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49DCD" w14:textId="77777777" w:rsidR="00700F3E" w:rsidRPr="00700F3E" w:rsidRDefault="00700F3E" w:rsidP="00700F3E">
      <w:pPr>
        <w:jc w:val="center"/>
        <w:rPr>
          <w:rFonts w:cstheme="minorHAnsi"/>
          <w:b/>
          <w:bCs/>
          <w:caps/>
          <w:sz w:val="28"/>
          <w:szCs w:val="20"/>
        </w:rPr>
      </w:pPr>
      <w:bookmarkStart w:id="0" w:name="_GoBack"/>
      <w:bookmarkEnd w:id="0"/>
    </w:p>
    <w:p w14:paraId="2AB6928C" w14:textId="77777777" w:rsidR="004A7846" w:rsidRPr="00700F3E" w:rsidRDefault="00800D59" w:rsidP="00700F3E">
      <w:pPr>
        <w:jc w:val="center"/>
        <w:rPr>
          <w:rFonts w:cstheme="minorHAnsi"/>
          <w:b/>
          <w:caps/>
          <w:sz w:val="28"/>
          <w:szCs w:val="20"/>
        </w:rPr>
      </w:pPr>
      <w:r>
        <w:rPr>
          <w:rFonts w:cstheme="minorHAnsi"/>
          <w:b/>
          <w:bCs/>
          <w:caps/>
          <w:sz w:val="28"/>
          <w:szCs w:val="20"/>
        </w:rPr>
        <w:t xml:space="preserve">Příloha č.1 - </w:t>
      </w:r>
      <w:r w:rsidR="00171E97" w:rsidRPr="00700F3E">
        <w:rPr>
          <w:rFonts w:cstheme="minorHAnsi"/>
          <w:b/>
          <w:bCs/>
          <w:caps/>
          <w:sz w:val="28"/>
          <w:szCs w:val="20"/>
        </w:rPr>
        <w:t>KONTROLNÍ LIST PŘIPRAVENOSTI</w:t>
      </w:r>
      <w:r w:rsidR="00D80942" w:rsidRPr="00700F3E">
        <w:rPr>
          <w:rFonts w:cstheme="minorHAnsi"/>
          <w:b/>
          <w:bCs/>
          <w:caps/>
          <w:sz w:val="28"/>
          <w:szCs w:val="20"/>
        </w:rPr>
        <w:t xml:space="preserve"> </w:t>
      </w:r>
      <w:r w:rsidR="00171E97" w:rsidRPr="00700F3E">
        <w:rPr>
          <w:rFonts w:cstheme="minorHAnsi"/>
          <w:b/>
          <w:bCs/>
          <w:caps/>
          <w:sz w:val="28"/>
          <w:szCs w:val="20"/>
        </w:rPr>
        <w:t xml:space="preserve">NA IMPLEMENTACI AKČNÍHO PLÁNU </w:t>
      </w:r>
      <w:r w:rsidR="00171E97" w:rsidRPr="00700F3E">
        <w:rPr>
          <w:rFonts w:cstheme="minorHAnsi"/>
          <w:b/>
          <w:caps/>
          <w:sz w:val="28"/>
          <w:szCs w:val="20"/>
        </w:rPr>
        <w:t>PRO N</w:t>
      </w:r>
      <w:r>
        <w:rPr>
          <w:rFonts w:cstheme="minorHAnsi"/>
          <w:b/>
          <w:caps/>
          <w:sz w:val="28"/>
          <w:szCs w:val="20"/>
        </w:rPr>
        <w:t>PO</w:t>
      </w:r>
    </w:p>
    <w:p w14:paraId="3920CCDE" w14:textId="77777777" w:rsidR="004A7846" w:rsidRDefault="004A7846">
      <w:pPr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Mkatabulky"/>
        <w:tblW w:w="10207" w:type="dxa"/>
        <w:tblInd w:w="-147" w:type="dxa"/>
        <w:tblLook w:val="04A0" w:firstRow="1" w:lastRow="0" w:firstColumn="1" w:lastColumn="0" w:noHBand="0" w:noVBand="1"/>
      </w:tblPr>
      <w:tblGrid>
        <w:gridCol w:w="2552"/>
        <w:gridCol w:w="7655"/>
      </w:tblGrid>
      <w:tr w:rsidR="004A7846" w14:paraId="0263DCD8" w14:textId="77777777" w:rsidTr="00700F3E">
        <w:trPr>
          <w:trHeight w:val="403"/>
        </w:trPr>
        <w:tc>
          <w:tcPr>
            <w:tcW w:w="2552" w:type="dxa"/>
          </w:tcPr>
          <w:p w14:paraId="3A60297B" w14:textId="77777777" w:rsidR="004A7846" w:rsidRDefault="00171E9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Číslo komponenty</w:t>
            </w:r>
          </w:p>
        </w:tc>
        <w:tc>
          <w:tcPr>
            <w:tcW w:w="7655" w:type="dxa"/>
          </w:tcPr>
          <w:p w14:paraId="16241C71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  <w:tr w:rsidR="004A7846" w14:paraId="5EAEA9F7" w14:textId="77777777" w:rsidTr="00700F3E">
        <w:trPr>
          <w:trHeight w:val="403"/>
        </w:trPr>
        <w:tc>
          <w:tcPr>
            <w:tcW w:w="2552" w:type="dxa"/>
          </w:tcPr>
          <w:p w14:paraId="4C1BEA03" w14:textId="77777777" w:rsidR="004A7846" w:rsidRDefault="00171E9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Název komponenty</w:t>
            </w:r>
          </w:p>
        </w:tc>
        <w:tc>
          <w:tcPr>
            <w:tcW w:w="7655" w:type="dxa"/>
          </w:tcPr>
          <w:p w14:paraId="65ED60F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  <w:tr w:rsidR="004A7846" w14:paraId="28826F2E" w14:textId="77777777" w:rsidTr="00700F3E">
        <w:trPr>
          <w:trHeight w:val="403"/>
        </w:trPr>
        <w:tc>
          <w:tcPr>
            <w:tcW w:w="2552" w:type="dxa"/>
          </w:tcPr>
          <w:p w14:paraId="6DBB63AF" w14:textId="77777777" w:rsidR="004A7846" w:rsidRDefault="00171E9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Číslo aktivity</w:t>
            </w:r>
          </w:p>
        </w:tc>
        <w:tc>
          <w:tcPr>
            <w:tcW w:w="7655" w:type="dxa"/>
          </w:tcPr>
          <w:p w14:paraId="48EC338C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  <w:tr w:rsidR="004A7846" w14:paraId="4A6752D1" w14:textId="77777777" w:rsidTr="00700F3E">
        <w:trPr>
          <w:trHeight w:val="403"/>
        </w:trPr>
        <w:tc>
          <w:tcPr>
            <w:tcW w:w="2552" w:type="dxa"/>
          </w:tcPr>
          <w:p w14:paraId="2EF01213" w14:textId="77777777" w:rsidR="004A7846" w:rsidRDefault="00171E9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Název aktivity</w:t>
            </w:r>
          </w:p>
        </w:tc>
        <w:tc>
          <w:tcPr>
            <w:tcW w:w="7655" w:type="dxa"/>
          </w:tcPr>
          <w:p w14:paraId="4AF23EF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</w:tbl>
    <w:p w14:paraId="78E0ECC5" w14:textId="77777777" w:rsidR="004A7846" w:rsidRDefault="004A7846">
      <w:pPr>
        <w:jc w:val="both"/>
        <w:rPr>
          <w:rFonts w:cstheme="minorHAnsi"/>
          <w:sz w:val="20"/>
          <w:szCs w:val="20"/>
        </w:rPr>
      </w:pPr>
    </w:p>
    <w:tbl>
      <w:tblPr>
        <w:tblStyle w:val="Mkatabulky"/>
        <w:tblW w:w="10173" w:type="dxa"/>
        <w:tblInd w:w="-113" w:type="dxa"/>
        <w:tblLook w:val="04A0" w:firstRow="1" w:lastRow="0" w:firstColumn="1" w:lastColumn="0" w:noHBand="0" w:noVBand="1"/>
      </w:tblPr>
      <w:tblGrid>
        <w:gridCol w:w="704"/>
        <w:gridCol w:w="5103"/>
        <w:gridCol w:w="1903"/>
        <w:gridCol w:w="2463"/>
      </w:tblGrid>
      <w:tr w:rsidR="004A7846" w14:paraId="5FFCAF17" w14:textId="77777777">
        <w:tc>
          <w:tcPr>
            <w:tcW w:w="704" w:type="dxa"/>
            <w:shd w:val="clear" w:color="auto" w:fill="A6A6A6" w:themeFill="background1" w:themeFillShade="A6"/>
          </w:tcPr>
          <w:p w14:paraId="67E84164" w14:textId="77777777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P.č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54219509" w14:textId="77777777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Kontrolní otázka</w:t>
            </w:r>
          </w:p>
        </w:tc>
        <w:tc>
          <w:tcPr>
            <w:tcW w:w="1903" w:type="dxa"/>
            <w:shd w:val="clear" w:color="auto" w:fill="A6A6A6" w:themeFill="background1" w:themeFillShade="A6"/>
          </w:tcPr>
          <w:p w14:paraId="275F4FD7" w14:textId="77777777" w:rsidR="004A7846" w:rsidRDefault="00D8094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Vyberte jednu z možností: </w:t>
            </w:r>
            <w:r w:rsidR="00171E97">
              <w:rPr>
                <w:rFonts w:cstheme="minorHAnsi"/>
                <w:sz w:val="20"/>
                <w:szCs w:val="20"/>
              </w:rPr>
              <w:t>ANO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="00171E97">
              <w:rPr>
                <w:rFonts w:cstheme="minorHAnsi"/>
                <w:sz w:val="20"/>
                <w:szCs w:val="20"/>
              </w:rPr>
              <w:t>NE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="00171E97">
              <w:rPr>
                <w:rFonts w:cstheme="minorHAnsi"/>
                <w:sz w:val="20"/>
                <w:szCs w:val="20"/>
              </w:rPr>
              <w:t xml:space="preserve"> NERELEVANTNÍ</w:t>
            </w:r>
          </w:p>
        </w:tc>
        <w:tc>
          <w:tcPr>
            <w:tcW w:w="2463" w:type="dxa"/>
            <w:shd w:val="clear" w:color="auto" w:fill="A6A6A6" w:themeFill="background1" w:themeFillShade="A6"/>
          </w:tcPr>
          <w:p w14:paraId="0E86AF38" w14:textId="77777777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Poznámky ke způsobu doložení (např. viz přiložený předpis – Kontrolní řád ze dne DD.MM. RRRR)</w:t>
            </w:r>
          </w:p>
        </w:tc>
      </w:tr>
      <w:tr w:rsidR="004A7846" w14:paraId="5BA17FB4" w14:textId="77777777">
        <w:tc>
          <w:tcPr>
            <w:tcW w:w="704" w:type="dxa"/>
          </w:tcPr>
          <w:p w14:paraId="7BD5E496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7AF4986" w14:textId="77777777" w:rsidR="004A7846" w:rsidRDefault="00171E97">
            <w:pPr>
              <w:spacing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</w:rPr>
              <w:t xml:space="preserve">Aktuální verze MP RED FLAGS a 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Průvodce pro oblast střetu zájmů dle čl. 61 Finančního nařízení pro NPO na období 2021-2026 byly implementovány do řídících a kontrolních systémů. </w:t>
            </w:r>
          </w:p>
          <w:p w14:paraId="7AA47D68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Uveďte odkaz na dokument nebo doložte.</w:t>
            </w:r>
          </w:p>
        </w:tc>
        <w:tc>
          <w:tcPr>
            <w:tcW w:w="1903" w:type="dxa"/>
          </w:tcPr>
          <w:p w14:paraId="136BF5EC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FC60B05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7FED7D4A" w14:textId="77777777">
        <w:tc>
          <w:tcPr>
            <w:tcW w:w="704" w:type="dxa"/>
          </w:tcPr>
          <w:p w14:paraId="5DAD01C4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129B330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 řídicích a kontrolních systémech jsou zavedeny postupy pro identifikaci účastníků finančních operací NPO a byl proveden dostatečný popis oddělení funkcí při implementaci výzev (příprava x schválení výzvy, hodnocení x schválení operací), veřejných zakázek (hodnocení nabídek x podpis smlouvy). </w:t>
            </w:r>
          </w:p>
          <w:p w14:paraId="47CC235C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7D7561FA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B3CA0B2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1FC145E5" w14:textId="77777777">
        <w:tc>
          <w:tcPr>
            <w:tcW w:w="704" w:type="dxa"/>
          </w:tcPr>
          <w:p w14:paraId="54EC7BAA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F51054C" w14:textId="315518E8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Etický kodex</w:t>
            </w:r>
            <w:r w:rsidR="00D06E75">
              <w:rPr>
                <w:rFonts w:cstheme="minorHAnsi"/>
                <w:sz w:val="20"/>
                <w:szCs w:val="20"/>
              </w:rPr>
              <w:t xml:space="preserve"> byl implementován do organizační struktury </w:t>
            </w:r>
            <w:r>
              <w:rPr>
                <w:rFonts w:cstheme="minorHAnsi"/>
                <w:sz w:val="20"/>
                <w:szCs w:val="20"/>
              </w:rPr>
              <w:t xml:space="preserve">a jsou stanovena pravidla pro jeho používání (seznamování zaměstnanců a dalších dotčených osob s kodexem, podpis kodexu, archivace podepsaných kodexů) uvnitř organizační struktury. </w:t>
            </w:r>
          </w:p>
          <w:p w14:paraId="3244F499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1A687012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33A017E4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7767FAAE" w14:textId="77777777">
        <w:tc>
          <w:tcPr>
            <w:tcW w:w="704" w:type="dxa"/>
          </w:tcPr>
          <w:p w14:paraId="54A32148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1409EC0" w14:textId="32B17F63" w:rsidR="004A7846" w:rsidRDefault="00A84868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Bylo implementováno Č</w:t>
            </w:r>
            <w:r w:rsidR="00171E97">
              <w:rPr>
                <w:rFonts w:cstheme="minorHAnsi"/>
                <w:sz w:val="20"/>
                <w:szCs w:val="20"/>
              </w:rPr>
              <w:t>estné prohlášení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71E97">
              <w:rPr>
                <w:rFonts w:cstheme="minorHAnsi"/>
                <w:sz w:val="20"/>
                <w:szCs w:val="20"/>
              </w:rPr>
              <w:t>pro žadatele o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 w:rsidR="00171E97">
              <w:rPr>
                <w:rFonts w:cstheme="minorHAnsi"/>
                <w:sz w:val="20"/>
                <w:szCs w:val="20"/>
              </w:rPr>
              <w:t xml:space="preserve">podporu v souladu s Průvodcem </w:t>
            </w:r>
            <w:r w:rsidR="00171E97">
              <w:rPr>
                <w:rFonts w:eastAsia="Times New Roman" w:cstheme="minorHAnsi"/>
                <w:sz w:val="20"/>
                <w:szCs w:val="20"/>
                <w:lang w:eastAsia="cs-CZ"/>
              </w:rPr>
              <w:t>pro oblast střetu zájmů dle čl. 61 Finančního nařízení pro Národní plán obnovy na období 2021-2026</w:t>
            </w:r>
            <w:r w:rsidR="00171E97">
              <w:rPr>
                <w:rFonts w:cstheme="minorHAnsi"/>
                <w:sz w:val="20"/>
                <w:szCs w:val="20"/>
              </w:rPr>
              <w:t>. Byly stanoveny interní postupy pro kontrolu čestných prohlášení u žadatelů o podporu a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 w:rsidR="00171E97">
              <w:rPr>
                <w:rFonts w:cstheme="minorHAnsi"/>
                <w:sz w:val="20"/>
                <w:szCs w:val="20"/>
              </w:rPr>
              <w:t>účastníků zadávacích řízení dle zákona č. 134/2016 Sb., a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 w:rsidR="00171E97">
              <w:rPr>
                <w:rFonts w:cstheme="minorHAnsi"/>
                <w:sz w:val="20"/>
                <w:szCs w:val="20"/>
              </w:rPr>
              <w:t>to až do úrovně skutečných majitelů (u žadatelů o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 w:rsidR="00171E97">
              <w:rPr>
                <w:rFonts w:cstheme="minorHAnsi"/>
                <w:sz w:val="20"/>
                <w:szCs w:val="20"/>
              </w:rPr>
              <w:t xml:space="preserve">podporu, dodavatelů, subdodavatelů). </w:t>
            </w:r>
          </w:p>
          <w:p w14:paraId="7716EC2F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456FCF5E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D733292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77244C8C" w14:textId="77777777">
        <w:tc>
          <w:tcPr>
            <w:tcW w:w="704" w:type="dxa"/>
          </w:tcPr>
          <w:p w14:paraId="6B08D7ED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D507C88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VK jmenovaní zástupci se zúčastnili školení pro aplikaci opatření k předcházení střetu zájmů pořádané MPO-DU. </w:t>
            </w:r>
          </w:p>
          <w:p w14:paraId="23C65ABB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Uveďte jméno/a proškoleného/</w:t>
            </w:r>
            <w:proofErr w:type="spellStart"/>
            <w:r>
              <w:rPr>
                <w:rFonts w:cstheme="minorHAnsi"/>
                <w:sz w:val="20"/>
                <w:szCs w:val="20"/>
              </w:rPr>
              <w:t>ých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zástupce/ů VK a název útvaru.</w:t>
            </w:r>
          </w:p>
        </w:tc>
        <w:tc>
          <w:tcPr>
            <w:tcW w:w="1903" w:type="dxa"/>
          </w:tcPr>
          <w:p w14:paraId="0B936BF0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31A08BEA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5810E948" w14:textId="77777777">
        <w:tc>
          <w:tcPr>
            <w:tcW w:w="704" w:type="dxa"/>
          </w:tcPr>
          <w:p w14:paraId="46998E12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BEC2215" w14:textId="6012740A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 rámci ŘKS byla zakotvena povinnost zaměstnanců (popř. dalších zapojených osob do hodnocení operací/nabídek u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 xml:space="preserve">veřejných zakázek) dotčených subjektů informovat přímého nadřízeného (popř. jinou určenou osobu – např. státního tajemníka) o možném riziku střetu zájmů u jeho osoby. Jsou zavedeny interní postupy pro šetření a následný postup při podezření na střet zájmů. </w:t>
            </w:r>
          </w:p>
          <w:p w14:paraId="7CE4356D" w14:textId="77777777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59E28078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1676EC2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42402A69" w14:textId="77777777">
        <w:tc>
          <w:tcPr>
            <w:tcW w:w="704" w:type="dxa"/>
          </w:tcPr>
          <w:p w14:paraId="1BD26313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12F834D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 rámci ŘKS je zaveden postup ověřování nezávislým útvarem (např. interní audit), že zavedené interní předpisy vztahující se k předcházení střetu zájmů jsou skutečně všemi zaměstnanci a dalšími zapojenými osobami do hodnocení operací a nabídek u veřejných zakázek uplatňovány. </w:t>
            </w:r>
          </w:p>
          <w:p w14:paraId="46CD120A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4439E738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7C682429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63465A14" w14:textId="77777777">
        <w:tc>
          <w:tcPr>
            <w:tcW w:w="704" w:type="dxa"/>
          </w:tcPr>
          <w:p w14:paraId="32A7DF2E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D29A3CD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Byla zpracována analýza rizik, která pokrývá také oblast předcházení střetu zájmů a výčet s tím spojených rizik včetně opatření k jejich minimalizaci. </w:t>
            </w:r>
          </w:p>
          <w:p w14:paraId="717DE33C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05836711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D15AACE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15000FF4" w14:textId="77777777">
        <w:tc>
          <w:tcPr>
            <w:tcW w:w="704" w:type="dxa"/>
          </w:tcPr>
          <w:p w14:paraId="1CFAA8C7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729A944" w14:textId="3EFA7BAD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Dotčení zaměstnanci a další osoby podílející se na hodnocení operací a zadávání veřejných zakázek mají zřízeny přístupy do Evidence skutečných majitelů, Obchodního rejstříku, ARACHNE a dalších vhodných veřejně přístupných rejstříků a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 xml:space="preserve">databází potřebných k analýze vazeb hodnocených subjektů ke zjištění rizika střetu zájmů u zainteresovaných osob. Jsou zavedeny interní postupy pro vyhledávání v těchto rejstřících a databázích. </w:t>
            </w:r>
          </w:p>
          <w:p w14:paraId="744F80C6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popis připravenosti v této věci včetně případných odkazů na interní dokumenty.</w:t>
            </w:r>
          </w:p>
        </w:tc>
        <w:tc>
          <w:tcPr>
            <w:tcW w:w="1903" w:type="dxa"/>
          </w:tcPr>
          <w:p w14:paraId="290C1B6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5084E2D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1CFB226A" w14:textId="77777777">
        <w:tc>
          <w:tcPr>
            <w:tcW w:w="704" w:type="dxa"/>
          </w:tcPr>
          <w:p w14:paraId="3E70CB0C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82A692C" w14:textId="5AD07880" w:rsidR="004A7846" w:rsidRDefault="00171E97">
            <w:p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Opatření k předcházení střetu zájmů u osob (zaměstnanců a</w:t>
            </w:r>
            <w:r w:rsidR="000F1E26"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dalších osob podílejících se na kontrole nebo hodnocení u</w:t>
            </w:r>
            <w:r w:rsidR="000F1E26"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podpor nebo veřejných zakázek) zapojených do implementace jsou upravena v interní či jiné dokumentaci. </w:t>
            </w:r>
          </w:p>
          <w:p w14:paraId="5E118058" w14:textId="77777777" w:rsidR="004A7846" w:rsidRDefault="00171E97">
            <w:pPr>
              <w:pStyle w:val="Odstavecseseznamem"/>
              <w:numPr>
                <w:ilvl w:val="0"/>
                <w:numId w:val="39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Dokumenty vyjmenujte.</w:t>
            </w:r>
          </w:p>
          <w:p w14:paraId="6075951F" w14:textId="77777777" w:rsidR="004A7846" w:rsidRDefault="00171E97">
            <w:pPr>
              <w:pStyle w:val="Odstavecseseznamem"/>
              <w:numPr>
                <w:ilvl w:val="0"/>
                <w:numId w:val="39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Popište základní principy a doložce u jakého </w:t>
            </w:r>
            <w:r>
              <w:rPr>
                <w:rFonts w:eastAsia="Times New Roman"/>
                <w:color w:val="212121"/>
                <w:sz w:val="20"/>
                <w:szCs w:val="20"/>
              </w:rPr>
              <w:t>okruhu osob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 střet zájmů je upraven. </w:t>
            </w:r>
          </w:p>
          <w:p w14:paraId="19E6A858" w14:textId="77777777" w:rsidR="004A7846" w:rsidRDefault="00171E97">
            <w:pPr>
              <w:pStyle w:val="Odstavecseseznamem"/>
              <w:numPr>
                <w:ilvl w:val="0"/>
                <w:numId w:val="39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Popište, jaké mechanismy byly v implementační struktuře využity.</w:t>
            </w:r>
          </w:p>
        </w:tc>
        <w:tc>
          <w:tcPr>
            <w:tcW w:w="1903" w:type="dxa"/>
          </w:tcPr>
          <w:p w14:paraId="40D508E4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47C2F343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06F8B603" w14:textId="77777777">
        <w:tc>
          <w:tcPr>
            <w:tcW w:w="704" w:type="dxa"/>
          </w:tcPr>
          <w:p w14:paraId="69640483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D0E04C9" w14:textId="77777777" w:rsidR="004A7846" w:rsidRDefault="00171E97">
            <w:p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Jsou upravena opatření a postupy pro předcházení střetu zájmů u žadatelů o podporu. </w:t>
            </w:r>
          </w:p>
          <w:p w14:paraId="5DDA5BC6" w14:textId="77777777" w:rsidR="004A7846" w:rsidRDefault="00171E97">
            <w:pPr>
              <w:pStyle w:val="Odstavecseseznamem"/>
              <w:numPr>
                <w:ilvl w:val="0"/>
                <w:numId w:val="40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Popište jakým způsobem. </w:t>
            </w:r>
          </w:p>
          <w:p w14:paraId="1CFFA315" w14:textId="0AABB21A" w:rsidR="004A7846" w:rsidRDefault="00171E97">
            <w:pPr>
              <w:pStyle w:val="Odstavecseseznamem"/>
              <w:numPr>
                <w:ilvl w:val="0"/>
                <w:numId w:val="40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Uveďte názvy dokumentů, kde jsou tato opatření a</w:t>
            </w:r>
            <w:r w:rsidR="000F1E26"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postupy upraveny a dokumenty doložte. </w:t>
            </w:r>
          </w:p>
          <w:p w14:paraId="1620228A" w14:textId="77777777" w:rsidR="004A7846" w:rsidRDefault="00171E97">
            <w:pPr>
              <w:pStyle w:val="Odstavecseseznamem"/>
              <w:numPr>
                <w:ilvl w:val="0"/>
                <w:numId w:val="40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Přidejte stručný popis, kde jsou upraveny základní principy a jakým způsobem na sebe dokumenty navazují.</w:t>
            </w:r>
          </w:p>
        </w:tc>
        <w:tc>
          <w:tcPr>
            <w:tcW w:w="1903" w:type="dxa"/>
          </w:tcPr>
          <w:p w14:paraId="69D9CDAA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3B3E22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42F5B6CF" w14:textId="77777777">
        <w:tc>
          <w:tcPr>
            <w:tcW w:w="704" w:type="dxa"/>
          </w:tcPr>
          <w:p w14:paraId="0E6B4684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47CFCFC" w14:textId="77777777" w:rsidR="004A7846" w:rsidRDefault="00171E97">
            <w:pPr>
              <w:tabs>
                <w:tab w:val="left" w:pos="1944"/>
              </w:tabs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Jsou zavedena další opatření a postupy pro předcházení střetu zájmů nad rámec těch, které jsou definovány v MP 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lastRenderedPageBreak/>
              <w:t xml:space="preserve">RED FLAGS a Průvodci </w:t>
            </w:r>
            <w:r>
              <w:rPr>
                <w:rFonts w:eastAsia="Times New Roman" w:cstheme="minorHAnsi"/>
                <w:sz w:val="20"/>
                <w:szCs w:val="20"/>
              </w:rPr>
              <w:t>pro oblast střetu zájmů dle čl. 61 Finančního nařízení pro Národní plán obnovy na období 2021-2026.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 </w:t>
            </w:r>
          </w:p>
          <w:p w14:paraId="0A0230E2" w14:textId="77777777" w:rsidR="004A7846" w:rsidRDefault="00171E97">
            <w:pPr>
              <w:tabs>
                <w:tab w:val="left" w:pos="1944"/>
              </w:tabs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Uveďte, zda jsou tato opatření a postupy plně v souladu s MP RED FLAGS a s Průvodcem </w:t>
            </w:r>
            <w:r>
              <w:rPr>
                <w:rFonts w:eastAsia="Times New Roman" w:cstheme="minorHAnsi"/>
                <w:sz w:val="20"/>
                <w:szCs w:val="20"/>
              </w:rPr>
              <w:t>pro oblast střetu zájmů dle čl. 61 Finančního nařízení pro Národní plán obnovy na období 2021-2026.</w:t>
            </w:r>
          </w:p>
        </w:tc>
        <w:tc>
          <w:tcPr>
            <w:tcW w:w="1903" w:type="dxa"/>
          </w:tcPr>
          <w:p w14:paraId="1119FFB5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D737FAC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7730E6B" w14:textId="77777777" w:rsidR="004A7846" w:rsidRDefault="004A7846">
      <w:pPr>
        <w:jc w:val="both"/>
        <w:rPr>
          <w:rFonts w:cstheme="minorHAnsi"/>
          <w:sz w:val="20"/>
          <w:szCs w:val="20"/>
        </w:rPr>
      </w:pPr>
    </w:p>
    <w:tbl>
      <w:tblPr>
        <w:tblW w:w="102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5"/>
        <w:gridCol w:w="3596"/>
        <w:gridCol w:w="3544"/>
      </w:tblGrid>
      <w:tr w:rsidR="004A7846" w14:paraId="71071777" w14:textId="77777777" w:rsidTr="00700F3E">
        <w:trPr>
          <w:trHeight w:val="552"/>
        </w:trPr>
        <w:tc>
          <w:tcPr>
            <w:tcW w:w="3145" w:type="dxa"/>
            <w:shd w:val="clear" w:color="auto" w:fill="C0C0C0"/>
          </w:tcPr>
          <w:p w14:paraId="43FD1C4D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96" w:type="dxa"/>
            <w:shd w:val="clear" w:color="auto" w:fill="C0C0C0"/>
          </w:tcPr>
          <w:p w14:paraId="6033925C" w14:textId="77777777" w:rsidR="004A7846" w:rsidRDefault="00171E97">
            <w:pPr>
              <w:pStyle w:val="Nadpis2"/>
              <w:numPr>
                <w:ilvl w:val="1"/>
                <w:numId w:val="0"/>
              </w:numPr>
              <w:spacing w:after="120"/>
              <w:jc w:val="both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Vyplnil </w:t>
            </w:r>
          </w:p>
        </w:tc>
        <w:tc>
          <w:tcPr>
            <w:tcW w:w="3544" w:type="dxa"/>
            <w:shd w:val="clear" w:color="auto" w:fill="C0C0C0"/>
          </w:tcPr>
          <w:p w14:paraId="3582ABD7" w14:textId="77777777" w:rsidR="004A7846" w:rsidRDefault="00171E97">
            <w:pPr>
              <w:pStyle w:val="Nadpis2"/>
              <w:numPr>
                <w:ilvl w:val="1"/>
                <w:numId w:val="0"/>
              </w:numPr>
              <w:spacing w:after="120"/>
              <w:jc w:val="both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Schvaluje</w:t>
            </w:r>
          </w:p>
        </w:tc>
      </w:tr>
      <w:tr w:rsidR="004A7846" w14:paraId="22136C98" w14:textId="77777777" w:rsidTr="00700F3E">
        <w:trPr>
          <w:trHeight w:val="526"/>
        </w:trPr>
        <w:tc>
          <w:tcPr>
            <w:tcW w:w="3145" w:type="dxa"/>
            <w:shd w:val="clear" w:color="auto" w:fill="C0C0C0"/>
          </w:tcPr>
          <w:p w14:paraId="381C318F" w14:textId="77777777" w:rsidR="004A7846" w:rsidRDefault="00171E97">
            <w:pPr>
              <w:pStyle w:val="Nadpis2"/>
              <w:spacing w:after="120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Jméno, příjmení, titul </w:t>
            </w:r>
          </w:p>
        </w:tc>
        <w:tc>
          <w:tcPr>
            <w:tcW w:w="3596" w:type="dxa"/>
          </w:tcPr>
          <w:p w14:paraId="2CA60235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77AF7B20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A7846" w14:paraId="051359E0" w14:textId="77777777" w:rsidTr="00700F3E">
        <w:trPr>
          <w:trHeight w:val="526"/>
        </w:trPr>
        <w:tc>
          <w:tcPr>
            <w:tcW w:w="3145" w:type="dxa"/>
            <w:shd w:val="clear" w:color="auto" w:fill="C0C0C0"/>
          </w:tcPr>
          <w:p w14:paraId="5E39C155" w14:textId="77777777" w:rsidR="004A7846" w:rsidRDefault="00171E97">
            <w:pPr>
              <w:spacing w:before="120" w:after="120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Pozice/funkce</w:t>
            </w:r>
          </w:p>
        </w:tc>
        <w:tc>
          <w:tcPr>
            <w:tcW w:w="3596" w:type="dxa"/>
          </w:tcPr>
          <w:p w14:paraId="68BAC9F8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60E3251B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A7846" w14:paraId="61BF0317" w14:textId="77777777" w:rsidTr="00700F3E">
        <w:trPr>
          <w:trHeight w:val="526"/>
        </w:trPr>
        <w:tc>
          <w:tcPr>
            <w:tcW w:w="3145" w:type="dxa"/>
            <w:shd w:val="clear" w:color="auto" w:fill="C0C0C0"/>
          </w:tcPr>
          <w:p w14:paraId="526B8A6A" w14:textId="77777777" w:rsidR="004A7846" w:rsidRDefault="00171E97">
            <w:pPr>
              <w:spacing w:before="120" w:after="120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Datum</w:t>
            </w:r>
          </w:p>
        </w:tc>
        <w:tc>
          <w:tcPr>
            <w:tcW w:w="3596" w:type="dxa"/>
          </w:tcPr>
          <w:p w14:paraId="02A9EC83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4BE31590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A7846" w14:paraId="3627FA40" w14:textId="77777777" w:rsidTr="00700F3E">
        <w:trPr>
          <w:trHeight w:val="526"/>
        </w:trPr>
        <w:tc>
          <w:tcPr>
            <w:tcW w:w="3145" w:type="dxa"/>
            <w:shd w:val="clear" w:color="auto" w:fill="C0C0C0"/>
          </w:tcPr>
          <w:p w14:paraId="77E668A9" w14:textId="77777777" w:rsidR="004A7846" w:rsidRDefault="00171E97">
            <w:pPr>
              <w:spacing w:before="120" w:after="120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Podpis</w:t>
            </w:r>
          </w:p>
        </w:tc>
        <w:tc>
          <w:tcPr>
            <w:tcW w:w="3596" w:type="dxa"/>
          </w:tcPr>
          <w:p w14:paraId="5D4A1D65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7F568B39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36B83C7F" w14:textId="77777777" w:rsidR="004A7846" w:rsidRDefault="004A7846">
      <w:pPr>
        <w:jc w:val="both"/>
        <w:rPr>
          <w:rFonts w:cstheme="minorHAnsi"/>
          <w:sz w:val="20"/>
          <w:szCs w:val="20"/>
        </w:rPr>
      </w:pPr>
    </w:p>
    <w:sectPr w:rsidR="004A7846" w:rsidSect="00700F3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B7512" w14:textId="77777777" w:rsidR="00635C00" w:rsidRDefault="00635C00">
      <w:pPr>
        <w:spacing w:after="0" w:line="240" w:lineRule="auto"/>
      </w:pPr>
      <w:r>
        <w:separator/>
      </w:r>
    </w:p>
  </w:endnote>
  <w:endnote w:type="continuationSeparator" w:id="0">
    <w:p w14:paraId="74B9D6C1" w14:textId="77777777" w:rsidR="00635C00" w:rsidRDefault="00635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9514961"/>
      <w:docPartObj>
        <w:docPartGallery w:val="Page Numbers (Bottom of Page)"/>
        <w:docPartUnique/>
      </w:docPartObj>
    </w:sdtPr>
    <w:sdtEndPr/>
    <w:sdtContent>
      <w:p w14:paraId="4F62D192" w14:textId="77777777" w:rsidR="00700F3E" w:rsidRDefault="00700F3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1D0E9F7D" w14:textId="77777777" w:rsidR="00700F3E" w:rsidRDefault="00700F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2232558"/>
      <w:docPartObj>
        <w:docPartGallery w:val="Page Numbers (Bottom of Page)"/>
        <w:docPartUnique/>
      </w:docPartObj>
    </w:sdtPr>
    <w:sdtEndPr/>
    <w:sdtContent>
      <w:p w14:paraId="166756C9" w14:textId="77777777" w:rsidR="00700F3E" w:rsidRDefault="00700F3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15792BEC" w14:textId="77777777" w:rsidR="00700F3E" w:rsidRDefault="00700F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1F587" w14:textId="77777777" w:rsidR="00635C00" w:rsidRDefault="00635C00">
      <w:pPr>
        <w:spacing w:after="0" w:line="240" w:lineRule="auto"/>
      </w:pPr>
      <w:r>
        <w:separator/>
      </w:r>
    </w:p>
  </w:footnote>
  <w:footnote w:type="continuationSeparator" w:id="0">
    <w:p w14:paraId="20DE5610" w14:textId="77777777" w:rsidR="00635C00" w:rsidRDefault="00635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8790A" w14:textId="77777777" w:rsidR="00700F3E" w:rsidRDefault="00700F3E" w:rsidP="00700F3E">
    <w:pPr>
      <w:pStyle w:val="Zhlav"/>
      <w:ind w:left="708"/>
      <w:rPr>
        <w:noProof/>
      </w:rPr>
    </w:pPr>
  </w:p>
  <w:p w14:paraId="5B983811" w14:textId="77777777" w:rsidR="004A7846" w:rsidRDefault="004A78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663E1" w14:textId="67892976" w:rsidR="00A219F2" w:rsidRDefault="00A219F2" w:rsidP="00A219F2">
    <w:pPr>
      <w:pStyle w:val="Zhlav"/>
      <w:ind w:left="708"/>
      <w:rPr>
        <w:noProof/>
      </w:rPr>
    </w:pPr>
    <w:bookmarkStart w:id="1" w:name="_Hlk99098139"/>
    <w:r>
      <w:rPr>
        <w:noProof/>
      </w:rPr>
      <w:drawing>
        <wp:anchor distT="0" distB="0" distL="114300" distR="114300" simplePos="0" relativeHeight="251668480" behindDoc="0" locked="0" layoutInCell="1" allowOverlap="1" wp14:anchorId="06E25B66" wp14:editId="34D9156C">
          <wp:simplePos x="0" y="0"/>
          <wp:positionH relativeFrom="margin">
            <wp:align>right</wp:align>
          </wp:positionH>
          <wp:positionV relativeFrom="paragraph">
            <wp:posOffset>-223520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Del="002E1DF2"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67456" behindDoc="1" locked="0" layoutInCell="1" allowOverlap="1" wp14:anchorId="0717A103" wp14:editId="30889C39">
          <wp:simplePos x="0" y="0"/>
          <wp:positionH relativeFrom="margin">
            <wp:align>left</wp:align>
          </wp:positionH>
          <wp:positionV relativeFrom="paragraph">
            <wp:posOffset>-405765</wp:posOffset>
          </wp:positionV>
          <wp:extent cx="1581150" cy="845748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  <w:p w14:paraId="53AE3449" w14:textId="77777777" w:rsidR="00700F3E" w:rsidRDefault="00700F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B011D4"/>
    <w:multiLevelType w:val="hybridMultilevel"/>
    <w:tmpl w:val="DB04B3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CAC51AF"/>
    <w:multiLevelType w:val="hybridMultilevel"/>
    <w:tmpl w:val="00AC0E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130316F8"/>
    <w:multiLevelType w:val="multilevel"/>
    <w:tmpl w:val="3320A8B2"/>
    <w:numStyleLink w:val="VariantaB-odrky"/>
  </w:abstractNum>
  <w:abstractNum w:abstractNumId="16" w15:restartNumberingAfterBreak="0">
    <w:nsid w:val="13FB2F1F"/>
    <w:multiLevelType w:val="multilevel"/>
    <w:tmpl w:val="E8BAE50A"/>
    <w:numStyleLink w:val="VariantaA-odrky"/>
  </w:abstractNum>
  <w:abstractNum w:abstractNumId="17" w15:restartNumberingAfterBreak="0">
    <w:nsid w:val="15587B24"/>
    <w:multiLevelType w:val="multilevel"/>
    <w:tmpl w:val="E8BAE50A"/>
    <w:numStyleLink w:val="VariantaA-odrky"/>
  </w:abstractNum>
  <w:abstractNum w:abstractNumId="18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9" w15:restartNumberingAfterBreak="0">
    <w:nsid w:val="191872DA"/>
    <w:multiLevelType w:val="multilevel"/>
    <w:tmpl w:val="E8A48D7C"/>
    <w:numStyleLink w:val="VariantaA-sla"/>
  </w:abstractNum>
  <w:abstractNum w:abstractNumId="20" w15:restartNumberingAfterBreak="0">
    <w:nsid w:val="19987FCF"/>
    <w:multiLevelType w:val="multilevel"/>
    <w:tmpl w:val="0D8ABE32"/>
    <w:numStyleLink w:val="VariantaB-sla"/>
  </w:abstractNum>
  <w:abstractNum w:abstractNumId="21" w15:restartNumberingAfterBreak="0">
    <w:nsid w:val="1D3068A6"/>
    <w:multiLevelType w:val="multilevel"/>
    <w:tmpl w:val="3320A8B2"/>
    <w:numStyleLink w:val="VariantaB-odrky"/>
  </w:abstractNum>
  <w:abstractNum w:abstractNumId="22" w15:restartNumberingAfterBreak="0">
    <w:nsid w:val="1D464EC2"/>
    <w:multiLevelType w:val="multilevel"/>
    <w:tmpl w:val="E8BAE50A"/>
    <w:numStyleLink w:val="VariantaA-odrky"/>
  </w:abstractNum>
  <w:abstractNum w:abstractNumId="23" w15:restartNumberingAfterBreak="0">
    <w:nsid w:val="1EAB39CE"/>
    <w:multiLevelType w:val="multilevel"/>
    <w:tmpl w:val="E8BAE50A"/>
    <w:numStyleLink w:val="VariantaA-odrky"/>
  </w:abstractNum>
  <w:abstractNum w:abstractNumId="24" w15:restartNumberingAfterBreak="0">
    <w:nsid w:val="289A5EA2"/>
    <w:multiLevelType w:val="multilevel"/>
    <w:tmpl w:val="E8BAE50A"/>
    <w:numStyleLink w:val="VariantaA-odrky"/>
  </w:abstractNum>
  <w:abstractNum w:abstractNumId="25" w15:restartNumberingAfterBreak="0">
    <w:nsid w:val="28AB573E"/>
    <w:multiLevelType w:val="multilevel"/>
    <w:tmpl w:val="3320A8B2"/>
    <w:numStyleLink w:val="VariantaB-odrky"/>
  </w:abstractNum>
  <w:abstractNum w:abstractNumId="26" w15:restartNumberingAfterBreak="0">
    <w:nsid w:val="2A5F2D39"/>
    <w:multiLevelType w:val="multilevel"/>
    <w:tmpl w:val="E8BAE50A"/>
    <w:numStyleLink w:val="VariantaA-odrky"/>
  </w:abstractNum>
  <w:abstractNum w:abstractNumId="27" w15:restartNumberingAfterBreak="0">
    <w:nsid w:val="2DBB2CE6"/>
    <w:multiLevelType w:val="multilevel"/>
    <w:tmpl w:val="E8BAE50A"/>
    <w:numStyleLink w:val="VariantaA-odrky"/>
  </w:abstractNum>
  <w:abstractNum w:abstractNumId="28" w15:restartNumberingAfterBreak="0">
    <w:nsid w:val="355131EF"/>
    <w:multiLevelType w:val="multilevel"/>
    <w:tmpl w:val="E8A48D7C"/>
    <w:numStyleLink w:val="VariantaA-sla"/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256675A"/>
    <w:multiLevelType w:val="hybridMultilevel"/>
    <w:tmpl w:val="545CD5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90926"/>
    <w:multiLevelType w:val="multilevel"/>
    <w:tmpl w:val="E8BAE50A"/>
    <w:numStyleLink w:val="VariantaA-odrky"/>
  </w:abstractNum>
  <w:abstractNum w:abstractNumId="33" w15:restartNumberingAfterBreak="0">
    <w:nsid w:val="533902EA"/>
    <w:multiLevelType w:val="multilevel"/>
    <w:tmpl w:val="E8BAE50A"/>
    <w:numStyleLink w:val="VariantaA-odrky"/>
  </w:abstractNum>
  <w:abstractNum w:abstractNumId="34" w15:restartNumberingAfterBreak="0">
    <w:nsid w:val="571C11E2"/>
    <w:multiLevelType w:val="multilevel"/>
    <w:tmpl w:val="E8A48D7C"/>
    <w:numStyleLink w:val="VariantaA-sla"/>
  </w:abstractNum>
  <w:abstractNum w:abstractNumId="3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6" w15:restartNumberingAfterBreak="0">
    <w:nsid w:val="5AF35F43"/>
    <w:multiLevelType w:val="multilevel"/>
    <w:tmpl w:val="0D8ABE32"/>
    <w:numStyleLink w:val="VariantaB-sla"/>
  </w:abstractNum>
  <w:abstractNum w:abstractNumId="37" w15:restartNumberingAfterBreak="0">
    <w:nsid w:val="70B9491F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35"/>
  </w:num>
  <w:num w:numId="3">
    <w:abstractNumId w:val="21"/>
  </w:num>
  <w:num w:numId="4">
    <w:abstractNumId w:val="16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0"/>
  </w:num>
  <w:num w:numId="7">
    <w:abstractNumId w:val="7"/>
  </w:num>
  <w:num w:numId="8">
    <w:abstractNumId w:val="34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3"/>
  </w:num>
  <w:num w:numId="14">
    <w:abstractNumId w:val="4"/>
  </w:num>
  <w:num w:numId="15">
    <w:abstractNumId w:val="3"/>
  </w:num>
  <w:num w:numId="16">
    <w:abstractNumId w:val="30"/>
  </w:num>
  <w:num w:numId="17">
    <w:abstractNumId w:val="22"/>
  </w:num>
  <w:num w:numId="18">
    <w:abstractNumId w:val="6"/>
  </w:num>
  <w:num w:numId="19">
    <w:abstractNumId w:val="14"/>
  </w:num>
  <w:num w:numId="20">
    <w:abstractNumId w:val="8"/>
  </w:num>
  <w:num w:numId="21">
    <w:abstractNumId w:val="28"/>
  </w:num>
  <w:num w:numId="22">
    <w:abstractNumId w:val="10"/>
  </w:num>
  <w:num w:numId="23">
    <w:abstractNumId w:val="23"/>
  </w:num>
  <w:num w:numId="24">
    <w:abstractNumId w:val="12"/>
  </w:num>
  <w:num w:numId="25">
    <w:abstractNumId w:val="17"/>
  </w:num>
  <w:num w:numId="26">
    <w:abstractNumId w:val="29"/>
  </w:num>
  <w:num w:numId="27">
    <w:abstractNumId w:val="27"/>
  </w:num>
  <w:num w:numId="28">
    <w:abstractNumId w:val="26"/>
  </w:num>
  <w:num w:numId="29">
    <w:abstractNumId w:val="20"/>
  </w:num>
  <w:num w:numId="30">
    <w:abstractNumId w:val="32"/>
  </w:num>
  <w:num w:numId="31">
    <w:abstractNumId w:val="36"/>
  </w:num>
  <w:num w:numId="32">
    <w:abstractNumId w:val="24"/>
  </w:num>
  <w:num w:numId="33">
    <w:abstractNumId w:val="19"/>
  </w:num>
  <w:num w:numId="34">
    <w:abstractNumId w:val="9"/>
  </w:num>
  <w:num w:numId="35">
    <w:abstractNumId w:val="25"/>
  </w:num>
  <w:num w:numId="36">
    <w:abstractNumId w:val="15"/>
  </w:num>
  <w:num w:numId="37">
    <w:abstractNumId w:val="37"/>
  </w:num>
  <w:num w:numId="38">
    <w:abstractNumId w:val="11"/>
  </w:num>
  <w:num w:numId="39">
    <w:abstractNumId w:val="13"/>
  </w:num>
  <w:num w:numId="40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846"/>
    <w:rsid w:val="000F1E26"/>
    <w:rsid w:val="00171E97"/>
    <w:rsid w:val="00246FD8"/>
    <w:rsid w:val="004A7846"/>
    <w:rsid w:val="00635C00"/>
    <w:rsid w:val="00696E04"/>
    <w:rsid w:val="00700F3E"/>
    <w:rsid w:val="007A5B3F"/>
    <w:rsid w:val="00800D59"/>
    <w:rsid w:val="00A219F2"/>
    <w:rsid w:val="00A84868"/>
    <w:rsid w:val="00D06E75"/>
    <w:rsid w:val="00D20CCA"/>
    <w:rsid w:val="00D80942"/>
    <w:rsid w:val="00DE6A7A"/>
    <w:rsid w:val="00E8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0D64E"/>
  <w15:chartTrackingRefBased/>
  <w15:docId w15:val="{73D3A473-9CE9-46DB-B0C0-62A120258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7"/>
    <w:qFormat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pPr>
      <w:ind w:left="720"/>
      <w:contextualSpacing/>
    </w:pPr>
  </w:style>
  <w:style w:type="numbering" w:customStyle="1" w:styleId="VariantaB-odrky">
    <w:name w:val="Varianta B - odrážky"/>
    <w:uiPriority w:val="99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pPr>
      <w:numPr>
        <w:numId w:val="20"/>
      </w:numPr>
    </w:pPr>
  </w:style>
  <w:style w:type="numbering" w:customStyle="1" w:styleId="VariantaB-sla">
    <w:name w:val="Varianta B - čísla"/>
    <w:uiPriority w:val="99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</w:style>
  <w:style w:type="paragraph" w:styleId="Datum">
    <w:name w:val="Date"/>
    <w:basedOn w:val="Normln"/>
    <w:next w:val="Normln"/>
    <w:link w:val="DatumChar"/>
    <w:uiPriority w:val="31"/>
    <w:unhideWhenUsed/>
  </w:style>
  <w:style w:type="character" w:customStyle="1" w:styleId="DatumChar">
    <w:name w:val="Datum Char"/>
    <w:basedOn w:val="Standardnpsmoodstavce"/>
    <w:link w:val="Datum"/>
    <w:uiPriority w:val="31"/>
    <w:rPr>
      <w:color w:val="000000" w:themeColor="text1"/>
    </w:rPr>
  </w:style>
  <w:style w:type="paragraph" w:styleId="Textvbloku">
    <w:name w:val="Block Text"/>
    <w:basedOn w:val="Normln"/>
    <w:uiPriority w:val="29"/>
    <w:unhideWhenUsed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</w:style>
  <w:style w:type="character" w:customStyle="1" w:styleId="ZkladntextChar">
    <w:name w:val="Základní text Char"/>
    <w:basedOn w:val="Standardnpsmoodstavce"/>
    <w:link w:val="Zkladntext"/>
    <w:uiPriority w:val="1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color w:val="000000" w:themeColor="tex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00F3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20C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0C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0C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0C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0C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B3F7E-EB21-41A2-8FFC-87097BD4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F84055D3.dotm</Template>
  <TotalTime>1</TotalTime>
  <Pages>3</Pages>
  <Words>645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Nečasová</dc:creator>
  <cp:keywords/>
  <dc:description/>
  <cp:lastModifiedBy>Nečasová Jana</cp:lastModifiedBy>
  <cp:revision>2</cp:revision>
  <cp:lastPrinted>2022-03-28T14:37:00Z</cp:lastPrinted>
  <dcterms:created xsi:type="dcterms:W3CDTF">2022-05-11T07:49:00Z</dcterms:created>
  <dcterms:modified xsi:type="dcterms:W3CDTF">2022-05-11T07:49:00Z</dcterms:modified>
</cp:coreProperties>
</file>