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71BEDD" w14:textId="1075A263" w:rsidR="00425BAD" w:rsidRPr="00814CE3" w:rsidRDefault="00425BAD" w:rsidP="4BFED563">
      <w:pPr>
        <w:spacing w:line="240" w:lineRule="auto"/>
      </w:pPr>
      <w:bookmarkStart w:id="0" w:name="_GoBack"/>
      <w:bookmarkEnd w:id="0"/>
      <w:r w:rsidRPr="4BFED563">
        <w:t>Komponenta 7.5: Dekarbonizace dopravy</w:t>
      </w:r>
      <w:r w:rsidR="7A72F963" w:rsidRPr="4BFED563">
        <w:rPr>
          <w:rFonts w:ascii="Times New Roman" w:eastAsia="Times New Roman" w:hAnsi="Times New Roman" w:cs="Times New Roman"/>
          <w:b/>
          <w:bCs/>
          <w:smallCaps/>
          <w:sz w:val="24"/>
          <w:szCs w:val="24"/>
          <w:lang w:val="en-IE"/>
        </w:rPr>
        <w:t xml:space="preserve"> </w:t>
      </w:r>
      <w:r w:rsidR="7A72F963" w:rsidRPr="4BFED563">
        <w:rPr>
          <w:rFonts w:asciiTheme="majorHAnsi" w:eastAsiaTheme="majorEastAsia" w:hAnsiTheme="majorHAnsi" w:cstheme="majorBidi"/>
          <w:smallCaps/>
          <w:lang w:val="en-IE"/>
        </w:rPr>
        <w:t>(REPOWEREU)</w:t>
      </w:r>
    </w:p>
    <w:p w14:paraId="52B3E9E5" w14:textId="77777777" w:rsidR="00425BAD" w:rsidRPr="00814CE3" w:rsidRDefault="00425BAD" w:rsidP="00425BAD">
      <w:pPr>
        <w:spacing w:line="240" w:lineRule="auto"/>
        <w:rPr>
          <w:rFonts w:cstheme="minorHAnsi"/>
        </w:rPr>
      </w:pPr>
    </w:p>
    <w:p w14:paraId="5B20C637" w14:textId="77777777" w:rsidR="00425BAD" w:rsidRPr="00814CE3" w:rsidRDefault="00425BAD" w:rsidP="00425BAD">
      <w:pPr>
        <w:pStyle w:val="slovanseznam"/>
        <w:spacing w:line="240" w:lineRule="auto"/>
        <w:rPr>
          <w:rFonts w:cstheme="minorHAnsi"/>
        </w:rPr>
      </w:pPr>
      <w:r w:rsidRPr="00814CE3">
        <w:rPr>
          <w:rFonts w:cstheme="minorHAnsi"/>
        </w:rPr>
        <w:t>Popis komponenty</w:t>
      </w:r>
    </w:p>
    <w:p w14:paraId="13610586" w14:textId="77777777" w:rsidR="00425BAD" w:rsidRPr="00814CE3" w:rsidRDefault="00425BAD" w:rsidP="00425BAD">
      <w:pPr>
        <w:pStyle w:val="slovanseznam"/>
        <w:numPr>
          <w:ilvl w:val="0"/>
          <w:numId w:val="0"/>
        </w:numPr>
        <w:spacing w:line="240" w:lineRule="auto"/>
        <w:ind w:left="357"/>
        <w:rPr>
          <w:rFonts w:cstheme="minorHAnsi"/>
        </w:rPr>
      </w:pPr>
    </w:p>
    <w:tbl>
      <w:tblPr>
        <w:tblStyle w:val="Mkatabulky"/>
        <w:tblW w:w="0" w:type="auto"/>
        <w:tblInd w:w="-5" w:type="dxa"/>
        <w:tblLook w:val="04A0" w:firstRow="1" w:lastRow="0" w:firstColumn="1" w:lastColumn="0" w:noHBand="0" w:noVBand="1"/>
      </w:tblPr>
      <w:tblGrid>
        <w:gridCol w:w="9633"/>
      </w:tblGrid>
      <w:tr w:rsidR="00425BAD" w:rsidRPr="00814CE3" w14:paraId="17108021" w14:textId="77777777" w:rsidTr="4BFED563">
        <w:tc>
          <w:tcPr>
            <w:tcW w:w="9633" w:type="dxa"/>
          </w:tcPr>
          <w:p w14:paraId="0C1D9B7B" w14:textId="77777777" w:rsidR="00425BAD" w:rsidRPr="00814CE3" w:rsidRDefault="00425BAD" w:rsidP="00885174">
            <w:pPr>
              <w:pStyle w:val="slovanseznam"/>
              <w:numPr>
                <w:ilvl w:val="0"/>
                <w:numId w:val="0"/>
              </w:numPr>
              <w:spacing w:line="240" w:lineRule="auto"/>
              <w:ind w:left="357" w:hanging="357"/>
              <w:jc w:val="both"/>
              <w:rPr>
                <w:rFonts w:cstheme="minorHAnsi"/>
                <w:color w:val="auto"/>
              </w:rPr>
            </w:pPr>
            <w:r w:rsidRPr="00814CE3">
              <w:rPr>
                <w:rFonts w:cstheme="minorHAnsi"/>
                <w:color w:val="auto"/>
              </w:rPr>
              <w:t>Oblast politiky</w:t>
            </w:r>
          </w:p>
          <w:p w14:paraId="66E28131" w14:textId="77777777" w:rsidR="00425BAD" w:rsidRPr="00814CE3" w:rsidRDefault="00425BAD" w:rsidP="00885174">
            <w:pPr>
              <w:spacing w:line="240" w:lineRule="auto"/>
              <w:jc w:val="both"/>
              <w:rPr>
                <w:rFonts w:cstheme="minorHAnsi"/>
                <w:color w:val="auto"/>
              </w:rPr>
            </w:pPr>
            <w:r w:rsidRPr="00814CE3">
              <w:rPr>
                <w:rFonts w:cstheme="minorHAnsi"/>
                <w:color w:val="auto"/>
              </w:rPr>
              <w:t>Klimatická politika, alternativní paliva, čistá mobilita, výzkum, vývoj, inovace, vzdělávání, obnovitelné zdroje energie, energetická politika</w:t>
            </w:r>
          </w:p>
          <w:p w14:paraId="1A8327E5" w14:textId="77777777" w:rsidR="00425BAD" w:rsidRPr="00814CE3" w:rsidRDefault="00425BAD" w:rsidP="00885174">
            <w:pPr>
              <w:pStyle w:val="slovanseznam"/>
              <w:numPr>
                <w:ilvl w:val="0"/>
                <w:numId w:val="0"/>
              </w:numPr>
              <w:spacing w:line="240" w:lineRule="auto"/>
              <w:ind w:left="357" w:hanging="357"/>
              <w:jc w:val="both"/>
              <w:rPr>
                <w:rFonts w:cstheme="minorHAnsi"/>
                <w:color w:val="auto"/>
              </w:rPr>
            </w:pPr>
            <w:r w:rsidRPr="00814CE3">
              <w:rPr>
                <w:rFonts w:cstheme="minorHAnsi"/>
                <w:color w:val="auto"/>
              </w:rPr>
              <w:t>Cíl</w:t>
            </w:r>
          </w:p>
          <w:p w14:paraId="349E2FAB" w14:textId="77777777" w:rsidR="00425BAD" w:rsidRPr="00814CE3" w:rsidRDefault="00425BAD" w:rsidP="00885174">
            <w:pPr>
              <w:spacing w:line="240" w:lineRule="auto"/>
              <w:jc w:val="both"/>
              <w:rPr>
                <w:rFonts w:cstheme="minorHAnsi"/>
              </w:rPr>
            </w:pPr>
            <w:r w:rsidRPr="00814CE3">
              <w:rPr>
                <w:rFonts w:cstheme="minorHAnsi"/>
                <w:color w:val="auto"/>
              </w:rPr>
              <w:t xml:space="preserve">Cílem je podpořit přechod ČR na nízko- a bezemisní dopravu, navýšení vozového parku na alternativní paliva a související infrastruktury a podpořit dosažení klimatických cílů ČR a EU. Prvním dokumentem, který souhrnně pokrýval problematiku čisté mobility, byl Národní akční plán čisté mobility (NAP CM) schválený usnesením vlády č. 941 ze dne 20. listopadu 2015. Vycházel z požadavků směrnice Evropského parlamentu a Rady č. 2014/94/EU o zavádění infrastruktury pro alternativní paliva, která ukládá každému členskému státu přijmout vnitrostátní rámec politiky pro rozvoj trhu, pokud jde o alternativní paliva v odvětví dopravy a zavádění příslušné infrastruktury. V roce 2019 došlo k aktualizaci tohoto dokumentu, zejména na základě nových unijních legislativních a nelegislativních dokumentů. </w:t>
            </w:r>
            <w:r w:rsidRPr="00814CE3">
              <w:rPr>
                <w:rFonts w:cstheme="minorHAnsi"/>
              </w:rPr>
              <w:t xml:space="preserve">Cílem je také posílení využívání nízkouhlíkových vodíkových technologií k dosažení klimatických cílů.  </w:t>
            </w:r>
          </w:p>
          <w:p w14:paraId="56CE3922" w14:textId="77777777" w:rsidR="00425BAD" w:rsidRPr="00814CE3" w:rsidRDefault="00425BAD" w:rsidP="00885174">
            <w:pPr>
              <w:spacing w:line="240" w:lineRule="auto"/>
              <w:ind w:left="0"/>
              <w:jc w:val="both"/>
              <w:rPr>
                <w:rFonts w:cstheme="minorHAnsi"/>
                <w:b/>
                <w:color w:val="auto"/>
              </w:rPr>
            </w:pPr>
            <w:r w:rsidRPr="00814CE3">
              <w:rPr>
                <w:rFonts w:cstheme="minorHAnsi"/>
                <w:b/>
                <w:color w:val="auto"/>
              </w:rPr>
              <w:t>Reformy a investice</w:t>
            </w:r>
          </w:p>
          <w:p w14:paraId="7F0B729B" w14:textId="5CCAD927" w:rsidR="00585906" w:rsidRPr="00FF565B" w:rsidRDefault="00425BAD" w:rsidP="4BFED563">
            <w:pPr>
              <w:spacing w:line="240" w:lineRule="auto"/>
              <w:ind w:left="0"/>
              <w:rPr>
                <w:color w:val="auto"/>
              </w:rPr>
            </w:pPr>
            <w:r w:rsidRPr="4BFED563">
              <w:rPr>
                <w:color w:val="auto"/>
              </w:rPr>
              <w:t xml:space="preserve">Reforma 1: </w:t>
            </w:r>
            <w:r w:rsidR="3CDCDD82" w:rsidRPr="4BFED563">
              <w:rPr>
                <w:color w:val="auto"/>
              </w:rPr>
              <w:t xml:space="preserve">Aktualizace Národního akčního plánu čisté mobility </w:t>
            </w:r>
            <w:r w:rsidR="35B6DCC6" w:rsidRPr="4BFED563">
              <w:rPr>
                <w:color w:val="auto"/>
              </w:rPr>
              <w:t>a stanovení cílů bezemisní mobility</w:t>
            </w:r>
          </w:p>
          <w:p w14:paraId="4B5F01D7" w14:textId="7CFEB22A" w:rsidR="00585906" w:rsidRPr="00FF565B" w:rsidRDefault="00585906" w:rsidP="4BFED563">
            <w:pPr>
              <w:spacing w:line="240" w:lineRule="auto"/>
              <w:ind w:left="0"/>
              <w:rPr>
                <w:color w:val="auto"/>
              </w:rPr>
            </w:pPr>
            <w:r w:rsidRPr="4BFED563">
              <w:rPr>
                <w:color w:val="auto"/>
              </w:rPr>
              <w:t xml:space="preserve">Reforma 2: Daňové reformy k podpoře </w:t>
            </w:r>
            <w:r w:rsidR="53AE3490" w:rsidRPr="4BFED563">
              <w:rPr>
                <w:color w:val="auto"/>
              </w:rPr>
              <w:t>bezemisní mobility</w:t>
            </w:r>
          </w:p>
          <w:p w14:paraId="0DCA4D95" w14:textId="49A754F6" w:rsidR="00585906" w:rsidRPr="00FF565B" w:rsidRDefault="00585906" w:rsidP="4BFED563">
            <w:pPr>
              <w:spacing w:line="240" w:lineRule="auto"/>
              <w:ind w:left="0"/>
              <w:jc w:val="both"/>
              <w:rPr>
                <w:color w:val="auto"/>
              </w:rPr>
            </w:pPr>
            <w:r w:rsidRPr="4BFED563">
              <w:t xml:space="preserve">Reforma 3: </w:t>
            </w:r>
            <w:r w:rsidR="3D610FA4" w:rsidRPr="4BFED563">
              <w:rPr>
                <w:color w:val="auto"/>
              </w:rPr>
              <w:t xml:space="preserve">Aktualizace </w:t>
            </w:r>
            <w:r w:rsidR="3E111028" w:rsidRPr="4BFED563">
              <w:rPr>
                <w:color w:val="auto"/>
              </w:rPr>
              <w:t>legislativního rámce</w:t>
            </w:r>
            <w:r w:rsidR="3AD6A869" w:rsidRPr="4BFED563">
              <w:rPr>
                <w:color w:val="auto"/>
              </w:rPr>
              <w:t xml:space="preserve"> pro</w:t>
            </w:r>
            <w:r w:rsidR="3E111028" w:rsidRPr="4BFED563">
              <w:rPr>
                <w:color w:val="auto"/>
              </w:rPr>
              <w:t xml:space="preserve"> obnovitelný vodík</w:t>
            </w:r>
          </w:p>
          <w:p w14:paraId="1009AA51" w14:textId="78B57DCD" w:rsidR="00425BAD" w:rsidRPr="00814CE3" w:rsidRDefault="00425BAD" w:rsidP="4BFED563">
            <w:pPr>
              <w:spacing w:line="240" w:lineRule="auto"/>
              <w:ind w:left="0"/>
              <w:jc w:val="both"/>
              <w:rPr>
                <w:color w:val="auto"/>
              </w:rPr>
            </w:pPr>
            <w:r w:rsidRPr="4BFED563">
              <w:rPr>
                <w:color w:val="auto"/>
              </w:rPr>
              <w:t xml:space="preserve">Reforma </w:t>
            </w:r>
            <w:r w:rsidR="4F8C6E8C" w:rsidRPr="4BFED563">
              <w:rPr>
                <w:color w:val="auto"/>
              </w:rPr>
              <w:t>4</w:t>
            </w:r>
            <w:r w:rsidRPr="4BFED563">
              <w:rPr>
                <w:color w:val="auto"/>
              </w:rPr>
              <w:t>:</w:t>
            </w:r>
            <w:r w:rsidR="25C21524" w:rsidRPr="4BFED563">
              <w:rPr>
                <w:color w:val="auto"/>
              </w:rPr>
              <w:t xml:space="preserve"> </w:t>
            </w:r>
            <w:r w:rsidR="45110689" w:rsidRPr="4BFED563">
              <w:rPr>
                <w:color w:val="auto"/>
              </w:rPr>
              <w:t>Zlepšení podmínek pro bezemisní alternativní dobíjecí infrastrukturu</w:t>
            </w:r>
          </w:p>
          <w:p w14:paraId="28E3EB65" w14:textId="3A5C7CCA" w:rsidR="00425BAD" w:rsidRDefault="00425BAD" w:rsidP="4BFED563">
            <w:pPr>
              <w:spacing w:line="240" w:lineRule="auto"/>
              <w:ind w:left="0"/>
            </w:pPr>
            <w:r w:rsidRPr="4BFED563">
              <w:rPr>
                <w:color w:val="auto"/>
              </w:rPr>
              <w:t xml:space="preserve">Reforma </w:t>
            </w:r>
            <w:r w:rsidR="4F8C6E8C" w:rsidRPr="4BFED563">
              <w:rPr>
                <w:color w:val="auto"/>
              </w:rPr>
              <w:t>5</w:t>
            </w:r>
            <w:r w:rsidRPr="4BFED563">
              <w:rPr>
                <w:color w:val="auto"/>
              </w:rPr>
              <w:t xml:space="preserve">: </w:t>
            </w:r>
            <w:r w:rsidR="084EEF7C" w:rsidRPr="4BFED563">
              <w:t>Podpora bezemisní mobility prostřednictvím úpravy časového poplatku za užívání pozemních komunikací (ceny dálniční známky)</w:t>
            </w:r>
          </w:p>
          <w:p w14:paraId="453206F8" w14:textId="41490D8C" w:rsidR="00425BAD" w:rsidRPr="00814CE3" w:rsidRDefault="00425BAD" w:rsidP="4BFED563">
            <w:pPr>
              <w:spacing w:line="240" w:lineRule="auto"/>
              <w:ind w:left="0"/>
              <w:rPr>
                <w:color w:val="auto"/>
              </w:rPr>
            </w:pPr>
            <w:r w:rsidRPr="4BFED563">
              <w:rPr>
                <w:color w:val="auto"/>
              </w:rPr>
              <w:t>Investice 1: Podpora nákupu vozidel – bezemisní vozidla</w:t>
            </w:r>
            <w:r w:rsidR="0372381D" w:rsidRPr="4BFED563">
              <w:rPr>
                <w:color w:val="auto"/>
              </w:rPr>
              <w:t xml:space="preserve"> a cargo e-kola</w:t>
            </w:r>
            <w:r w:rsidRPr="4BFED563">
              <w:rPr>
                <w:color w:val="auto"/>
              </w:rPr>
              <w:t xml:space="preserve"> pro podnikatelské subjekty  </w:t>
            </w:r>
          </w:p>
          <w:p w14:paraId="234C28FA" w14:textId="77777777" w:rsidR="00425BAD" w:rsidRPr="00814CE3" w:rsidRDefault="00425BAD" w:rsidP="00885174">
            <w:pPr>
              <w:spacing w:line="240" w:lineRule="auto"/>
              <w:ind w:left="0"/>
              <w:jc w:val="both"/>
              <w:rPr>
                <w:rFonts w:cstheme="minorHAnsi"/>
                <w:b/>
                <w:color w:val="auto"/>
              </w:rPr>
            </w:pPr>
            <w:r w:rsidRPr="00814CE3">
              <w:rPr>
                <w:rFonts w:cstheme="minorHAnsi"/>
                <w:b/>
                <w:color w:val="auto"/>
              </w:rPr>
              <w:t>Odhadované náklady:</w:t>
            </w:r>
          </w:p>
          <w:p w14:paraId="37BE3553" w14:textId="6AF37664" w:rsidR="00425BAD" w:rsidRPr="002B7201" w:rsidRDefault="00425BAD" w:rsidP="002B7201">
            <w:pPr>
              <w:spacing w:line="240" w:lineRule="auto"/>
              <w:jc w:val="both"/>
              <w:rPr>
                <w:rFonts w:cstheme="minorHAnsi"/>
                <w:color w:val="auto"/>
              </w:rPr>
            </w:pPr>
            <w:r w:rsidRPr="00814CE3">
              <w:rPr>
                <w:rFonts w:cstheme="minorHAnsi"/>
                <w:color w:val="auto"/>
              </w:rPr>
              <w:t>760 mil. Kč</w:t>
            </w:r>
          </w:p>
        </w:tc>
      </w:tr>
    </w:tbl>
    <w:p w14:paraId="6F1036B2" w14:textId="77777777" w:rsidR="00425BAD" w:rsidRPr="00814CE3" w:rsidRDefault="00425BAD" w:rsidP="00425BAD">
      <w:pPr>
        <w:pStyle w:val="slovanseznam2"/>
        <w:numPr>
          <w:ilvl w:val="0"/>
          <w:numId w:val="0"/>
        </w:numPr>
        <w:spacing w:line="240" w:lineRule="auto"/>
        <w:ind w:left="851"/>
        <w:jc w:val="both"/>
        <w:rPr>
          <w:rFonts w:cstheme="minorHAnsi"/>
        </w:rPr>
      </w:pPr>
    </w:p>
    <w:p w14:paraId="5C0F3A28" w14:textId="77777777" w:rsidR="00425BAD" w:rsidRPr="00814CE3" w:rsidRDefault="00425BAD" w:rsidP="00425BAD">
      <w:pPr>
        <w:spacing w:line="240" w:lineRule="auto"/>
        <w:ind w:left="0"/>
        <w:jc w:val="both"/>
        <w:rPr>
          <w:rFonts w:cstheme="minorHAnsi"/>
          <w:b/>
          <w:color w:val="auto"/>
        </w:rPr>
      </w:pPr>
      <w:r w:rsidRPr="00814CE3">
        <w:rPr>
          <w:rFonts w:cstheme="minorHAnsi"/>
          <w:b/>
          <w:color w:val="auto"/>
        </w:rPr>
        <w:t>Detail komponenty</w:t>
      </w:r>
    </w:p>
    <w:p w14:paraId="4F36F529" w14:textId="77777777" w:rsidR="00425BAD" w:rsidRPr="00814CE3" w:rsidRDefault="00425BAD" w:rsidP="00425BAD">
      <w:pPr>
        <w:pStyle w:val="slovanseznam"/>
        <w:numPr>
          <w:ilvl w:val="0"/>
          <w:numId w:val="0"/>
        </w:numPr>
        <w:spacing w:line="240" w:lineRule="auto"/>
        <w:jc w:val="both"/>
        <w:rPr>
          <w:rFonts w:cstheme="minorHAnsi"/>
          <w:b w:val="0"/>
          <w:color w:val="auto"/>
        </w:rPr>
      </w:pPr>
      <w:r w:rsidRPr="00814CE3">
        <w:rPr>
          <w:rFonts w:cstheme="minorHAnsi"/>
          <w:b w:val="0"/>
          <w:color w:val="auto"/>
        </w:rPr>
        <w:t>Komponenta bude naplněna aktualizací dvou strategických dokumentů, které mají významný dopad na rozvoj čisté mobility v ČR – Národního akčního plánu čisté mobility (NAP CM) a Vodíkové strategie. Bude zhodnocen současný stav, stávající opatření, překážky a výzvy do budoucna. Budou stanoveny cíle, pokud jde o počet bezemisních vozidel a infrastruktury na alternativní paliva. Součástí budou konkrétní návrhy opatření.</w:t>
      </w:r>
    </w:p>
    <w:p w14:paraId="0A67FD90" w14:textId="2BDC6BAF" w:rsidR="00425BAD" w:rsidRPr="00814CE3" w:rsidRDefault="00425BAD" w:rsidP="00425BAD">
      <w:pPr>
        <w:pStyle w:val="slovanseznam"/>
        <w:numPr>
          <w:ilvl w:val="0"/>
          <w:numId w:val="0"/>
        </w:numPr>
        <w:spacing w:line="240" w:lineRule="auto"/>
        <w:jc w:val="both"/>
        <w:rPr>
          <w:rFonts w:cstheme="minorHAnsi"/>
          <w:b w:val="0"/>
          <w:color w:val="auto"/>
        </w:rPr>
      </w:pPr>
      <w:r w:rsidRPr="00814CE3">
        <w:rPr>
          <w:rFonts w:cstheme="minorHAnsi"/>
          <w:b w:val="0"/>
          <w:color w:val="auto"/>
        </w:rPr>
        <w:t xml:space="preserve">Tyty strategické dokumenty budou doplněny i některými konkrétními opatřeními, a to </w:t>
      </w:r>
      <w:r w:rsidR="00D358DE">
        <w:rPr>
          <w:rFonts w:cstheme="minorHAnsi"/>
          <w:b w:val="0"/>
          <w:color w:val="auto"/>
        </w:rPr>
        <w:t xml:space="preserve">např. </w:t>
      </w:r>
      <w:r w:rsidRPr="00814CE3">
        <w:rPr>
          <w:rFonts w:cstheme="minorHAnsi"/>
          <w:b w:val="0"/>
          <w:color w:val="auto"/>
        </w:rPr>
        <w:t>v oblasti zjednodušení budování dobíjecí infrastruktury a daňovými opatřeními pro podporu většího náběhu bezemisních vozidel. To a financování z jiných zdrojů by měl mělo napomoci rozvoji a rychlejšími navýšení počtu dobíjecích a vodíkových plnících stanic.</w:t>
      </w:r>
    </w:p>
    <w:p w14:paraId="527744B8" w14:textId="50F6EE7F" w:rsidR="00425BAD" w:rsidRDefault="00425BAD" w:rsidP="00425BAD">
      <w:pPr>
        <w:pStyle w:val="slovanseznam"/>
        <w:numPr>
          <w:ilvl w:val="0"/>
          <w:numId w:val="0"/>
        </w:numPr>
        <w:spacing w:line="240" w:lineRule="auto"/>
        <w:jc w:val="both"/>
        <w:rPr>
          <w:rFonts w:cstheme="minorHAnsi"/>
          <w:b w:val="0"/>
          <w:color w:val="auto"/>
        </w:rPr>
      </w:pPr>
      <w:r w:rsidRPr="00814CE3">
        <w:rPr>
          <w:rFonts w:cstheme="minorHAnsi"/>
          <w:b w:val="0"/>
          <w:color w:val="auto"/>
        </w:rPr>
        <w:t>Součástí bude navýšení alokace pro komponentu 2.4 - podporu pořizování bezemisních vozidel pro podnikatelské subjekty tak, aby zůstal i přes významné inflační tlaky zachován původní cíl této komponenty (tj. pořízení alespoň 4 555 bezemisních vozidel).</w:t>
      </w:r>
    </w:p>
    <w:p w14:paraId="2C285F3F" w14:textId="5B9A2EFF" w:rsidR="00631842" w:rsidRDefault="00631842" w:rsidP="00425BAD">
      <w:pPr>
        <w:pStyle w:val="slovanseznam"/>
        <w:numPr>
          <w:ilvl w:val="0"/>
          <w:numId w:val="0"/>
        </w:numPr>
        <w:spacing w:line="240" w:lineRule="auto"/>
        <w:jc w:val="both"/>
        <w:rPr>
          <w:rFonts w:cstheme="minorHAnsi"/>
          <w:b w:val="0"/>
          <w:color w:val="auto"/>
        </w:rPr>
      </w:pPr>
    </w:p>
    <w:p w14:paraId="6A11178A" w14:textId="77777777" w:rsidR="00082656" w:rsidRPr="00814CE3" w:rsidRDefault="00082656" w:rsidP="00425BAD">
      <w:pPr>
        <w:pStyle w:val="slovanseznam"/>
        <w:numPr>
          <w:ilvl w:val="0"/>
          <w:numId w:val="0"/>
        </w:numPr>
        <w:spacing w:line="240" w:lineRule="auto"/>
        <w:jc w:val="both"/>
        <w:rPr>
          <w:rFonts w:cstheme="minorHAnsi"/>
          <w:b w:val="0"/>
          <w:color w:val="auto"/>
        </w:rPr>
      </w:pPr>
    </w:p>
    <w:p w14:paraId="449424A7" w14:textId="77777777" w:rsidR="00425BAD" w:rsidRPr="00814CE3" w:rsidRDefault="00425BAD" w:rsidP="00425BAD">
      <w:pPr>
        <w:pStyle w:val="Nadpis2"/>
        <w:spacing w:line="240" w:lineRule="auto"/>
        <w:ind w:left="0"/>
        <w:jc w:val="both"/>
        <w:rPr>
          <w:rStyle w:val="K-Nadpis2Char"/>
          <w:rFonts w:asciiTheme="minorHAnsi" w:eastAsiaTheme="minorEastAsia" w:hAnsiTheme="minorHAnsi" w:cstheme="minorHAnsi"/>
          <w:b/>
          <w:bCs/>
          <w:sz w:val="22"/>
          <w:szCs w:val="22"/>
        </w:rPr>
      </w:pPr>
      <w:r w:rsidRPr="00814CE3">
        <w:rPr>
          <w:rFonts w:asciiTheme="minorHAnsi" w:eastAsiaTheme="minorEastAsia" w:hAnsiTheme="minorHAnsi" w:cstheme="minorHAnsi"/>
          <w:sz w:val="22"/>
          <w:szCs w:val="22"/>
        </w:rPr>
        <w:t xml:space="preserve">2. </w:t>
      </w:r>
      <w:r w:rsidRPr="00814CE3">
        <w:rPr>
          <w:rStyle w:val="K-Nadpis2Char"/>
          <w:rFonts w:asciiTheme="minorHAnsi" w:eastAsiaTheme="minorEastAsia" w:hAnsiTheme="minorHAnsi" w:cstheme="minorHAnsi"/>
          <w:b/>
          <w:sz w:val="22"/>
          <w:szCs w:val="22"/>
        </w:rPr>
        <w:t>Hlavní výzvy a cíle</w:t>
      </w:r>
    </w:p>
    <w:p w14:paraId="024F0465" w14:textId="77777777" w:rsidR="00425BAD" w:rsidRPr="00814CE3" w:rsidRDefault="00425BAD" w:rsidP="00425BAD">
      <w:pPr>
        <w:pStyle w:val="Default"/>
        <w:numPr>
          <w:ilvl w:val="0"/>
          <w:numId w:val="12"/>
        </w:numPr>
        <w:spacing w:after="120"/>
        <w:jc w:val="both"/>
        <w:rPr>
          <w:rStyle w:val="K-Nadpis3Char"/>
          <w:rFonts w:asciiTheme="minorHAnsi" w:eastAsiaTheme="minorEastAsia" w:hAnsiTheme="minorHAnsi" w:cstheme="minorHAnsi"/>
          <w:sz w:val="22"/>
          <w:szCs w:val="22"/>
        </w:rPr>
      </w:pPr>
      <w:r w:rsidRPr="00814CE3">
        <w:rPr>
          <w:rStyle w:val="K-Nadpis3Char"/>
          <w:rFonts w:asciiTheme="minorHAnsi" w:eastAsiaTheme="minorEastAsia" w:hAnsiTheme="minorHAnsi" w:cstheme="minorHAnsi"/>
          <w:sz w:val="22"/>
          <w:szCs w:val="22"/>
        </w:rPr>
        <w:t>Hlavní výzvy</w:t>
      </w:r>
    </w:p>
    <w:p w14:paraId="2C68557C" w14:textId="13FC5961" w:rsidR="00425BAD" w:rsidRPr="00814CE3" w:rsidRDefault="00425BAD" w:rsidP="00425BAD">
      <w:pPr>
        <w:pStyle w:val="Default"/>
        <w:spacing w:after="120"/>
        <w:jc w:val="both"/>
        <w:rPr>
          <w:rStyle w:val="K-Nadpis3Char"/>
          <w:rFonts w:asciiTheme="minorHAnsi" w:eastAsiaTheme="minorEastAsia" w:hAnsiTheme="minorHAnsi" w:cstheme="minorHAnsi"/>
          <w:b w:val="0"/>
          <w:sz w:val="22"/>
          <w:szCs w:val="22"/>
        </w:rPr>
      </w:pPr>
      <w:r w:rsidRPr="00814CE3">
        <w:rPr>
          <w:rStyle w:val="K-Nadpis3Char"/>
          <w:rFonts w:asciiTheme="minorHAnsi" w:eastAsiaTheme="minorEastAsia" w:hAnsiTheme="minorHAnsi" w:cstheme="minorHAnsi"/>
          <w:b w:val="0"/>
          <w:sz w:val="22"/>
          <w:szCs w:val="22"/>
        </w:rPr>
        <w:lastRenderedPageBreak/>
        <w:t>I přes pozitivní trend se Česká republika řadí mezi poslední v EU v prvních registracích bezemisních vozidel. Pořizovací cena bezemisních vozidel je stále vyšší než vozidel s konvenčním pohonem, přičemž současná ekonomická situace může mít na poptávku negativní dopad. Je třeba rozšiřovat infrastrukturu pro alternativní paliva, současně je třeba podporovat navyšování počtu bezemisních vozidel či přikračovat k dalším opatřením tak, aby provozování infrastruktury dávalo ekonomický smysl. Do budoucna může integrace bateriových elektrických vozidel přispět k</w:t>
      </w:r>
      <w:r w:rsidR="00AA57DA">
        <w:rPr>
          <w:rStyle w:val="K-Nadpis3Char"/>
          <w:rFonts w:asciiTheme="minorHAnsi" w:eastAsiaTheme="minorEastAsia" w:hAnsiTheme="minorHAnsi" w:cstheme="minorHAnsi"/>
          <w:b w:val="0"/>
          <w:sz w:val="22"/>
          <w:szCs w:val="22"/>
        </w:rPr>
        <w:t>e</w:t>
      </w:r>
      <w:r w:rsidRPr="00814CE3">
        <w:rPr>
          <w:rStyle w:val="K-Nadpis3Char"/>
          <w:rFonts w:asciiTheme="minorHAnsi" w:eastAsiaTheme="minorEastAsia" w:hAnsiTheme="minorHAnsi" w:cstheme="minorHAnsi"/>
          <w:b w:val="0"/>
          <w:sz w:val="22"/>
          <w:szCs w:val="22"/>
        </w:rPr>
        <w:t> stabilitě energetického systému. Další rozvoj bezemisní mobility také závisí na navýšení kapacit obnovitelných zdrojů energie. Pokud jde o daňová opatření, je třeba balancovat potřebu podpory čisté mobility a přehledného a maximálně jednoduchého daňového systému.</w:t>
      </w:r>
    </w:p>
    <w:p w14:paraId="39A431C5" w14:textId="77777777" w:rsidR="00425BAD" w:rsidRPr="00814CE3" w:rsidRDefault="00425BAD" w:rsidP="00425BAD">
      <w:pPr>
        <w:pStyle w:val="Default"/>
        <w:numPr>
          <w:ilvl w:val="0"/>
          <w:numId w:val="12"/>
        </w:numPr>
        <w:spacing w:after="120"/>
        <w:jc w:val="both"/>
        <w:rPr>
          <w:rFonts w:asciiTheme="minorHAnsi" w:eastAsiaTheme="minorEastAsia" w:hAnsiTheme="minorHAnsi" w:cstheme="minorHAnsi"/>
          <w:b/>
          <w:bCs/>
          <w:sz w:val="22"/>
          <w:szCs w:val="22"/>
        </w:rPr>
      </w:pPr>
      <w:r w:rsidRPr="00814CE3">
        <w:rPr>
          <w:rFonts w:asciiTheme="minorHAnsi" w:eastAsiaTheme="minorEastAsia" w:hAnsiTheme="minorHAnsi" w:cstheme="minorHAnsi"/>
          <w:b/>
          <w:bCs/>
          <w:sz w:val="22"/>
          <w:szCs w:val="22"/>
        </w:rPr>
        <w:t xml:space="preserve">Hlavní cíle </w:t>
      </w:r>
    </w:p>
    <w:p w14:paraId="6B161420" w14:textId="136B174C" w:rsidR="00425BAD" w:rsidRPr="00814CE3" w:rsidRDefault="00425BAD" w:rsidP="00425BAD">
      <w:pPr>
        <w:spacing w:line="240" w:lineRule="auto"/>
        <w:jc w:val="both"/>
        <w:rPr>
          <w:rFonts w:cstheme="minorHAnsi"/>
          <w:color w:val="auto"/>
        </w:rPr>
      </w:pPr>
      <w:r w:rsidRPr="00814CE3">
        <w:rPr>
          <w:rFonts w:cstheme="minorHAnsi"/>
          <w:color w:val="auto"/>
        </w:rPr>
        <w:t xml:space="preserve">V kontextu nově plánovaných reforem a opatření a v souladu s požadavky vyplývajícími z nařízení o zavádění infrastruktury pro alternativní paliva (AFIR) bude NAP CM zaktualizován. </w:t>
      </w:r>
      <w:r w:rsidRPr="00814CE3">
        <w:rPr>
          <w:rFonts w:cstheme="minorHAnsi"/>
          <w:b/>
          <w:color w:val="auto"/>
        </w:rPr>
        <w:t>Aktualizovaný NAP CM</w:t>
      </w:r>
      <w:r w:rsidRPr="00814CE3">
        <w:rPr>
          <w:rFonts w:cstheme="minorHAnsi"/>
          <w:color w:val="auto"/>
        </w:rPr>
        <w:t xml:space="preserve"> musí také odrážet změny, které souvisí s dalšími prvky balíčku Fit for 55 a dalšími strategickými dokumenty na národní úrovni, jako je Národní </w:t>
      </w:r>
      <w:r w:rsidR="00C13593">
        <w:rPr>
          <w:rFonts w:cstheme="minorHAnsi"/>
          <w:color w:val="auto"/>
        </w:rPr>
        <w:t>energeticko-klimatický</w:t>
      </w:r>
      <w:r w:rsidRPr="00814CE3">
        <w:rPr>
          <w:rFonts w:cstheme="minorHAnsi"/>
          <w:color w:val="auto"/>
        </w:rPr>
        <w:t xml:space="preserve"> plán, Státní energetická koncepce či Vodíková strategie ČR.</w:t>
      </w:r>
    </w:p>
    <w:p w14:paraId="490F0D5B" w14:textId="77777777" w:rsidR="00425BAD" w:rsidRPr="00814CE3" w:rsidRDefault="00425BAD" w:rsidP="00425BAD">
      <w:pPr>
        <w:spacing w:line="240" w:lineRule="auto"/>
        <w:ind w:left="0"/>
        <w:jc w:val="both"/>
        <w:rPr>
          <w:rFonts w:cstheme="minorHAnsi"/>
          <w:color w:val="auto"/>
        </w:rPr>
      </w:pPr>
      <w:r w:rsidRPr="00814CE3">
        <w:rPr>
          <w:rFonts w:cstheme="minorHAnsi"/>
          <w:color w:val="auto"/>
        </w:rPr>
        <w:t xml:space="preserve">Tato aktualizace NAP CM bude obsahovat predikce vývoje vozidel na alternativní paliva a související infrastruktury a obsahovat konkrétní návrhy opatření legislativní a nelegislativní povahy, jak rozvoj čisté mobility v ČR dále podpořit. Již nyní lze avizovat a začít realizovat některé z těchto kroků (viz milníky níže). </w:t>
      </w:r>
    </w:p>
    <w:p w14:paraId="61802E1A" w14:textId="77777777" w:rsidR="00425BAD" w:rsidRPr="00814CE3" w:rsidRDefault="00425BAD" w:rsidP="00425BAD">
      <w:pPr>
        <w:spacing w:line="240" w:lineRule="auto"/>
        <w:ind w:left="0"/>
        <w:jc w:val="both"/>
        <w:rPr>
          <w:rFonts w:cstheme="minorHAnsi"/>
          <w:color w:val="auto"/>
        </w:rPr>
      </w:pPr>
      <w:r w:rsidRPr="00814CE3">
        <w:rPr>
          <w:rFonts w:cstheme="minorHAnsi"/>
          <w:color w:val="auto"/>
        </w:rPr>
        <w:t xml:space="preserve">Současně bude probíhat </w:t>
      </w:r>
      <w:r w:rsidRPr="00814CE3">
        <w:rPr>
          <w:rFonts w:cstheme="minorHAnsi"/>
          <w:b/>
          <w:color w:val="auto"/>
        </w:rPr>
        <w:t>aktualizace Vodíkové strategie ČR z roku 2021</w:t>
      </w:r>
      <w:r w:rsidRPr="00814CE3">
        <w:rPr>
          <w:rFonts w:cstheme="minorHAnsi"/>
          <w:color w:val="auto"/>
        </w:rPr>
        <w:t>.</w:t>
      </w:r>
      <w:r w:rsidRPr="00814CE3">
        <w:rPr>
          <w:rFonts w:cstheme="minorHAnsi"/>
        </w:rPr>
        <w:t xml:space="preserve"> </w:t>
      </w:r>
      <w:r w:rsidRPr="00814CE3">
        <w:rPr>
          <w:rFonts w:cstheme="minorHAnsi"/>
          <w:color w:val="auto"/>
        </w:rPr>
        <w:t>Aktualizovaná strategie bude lépe reagovat na současnou situaci, podmínky a vývoj technologií a bude provázána s dalšími strategickými dokumenty uvedenými výše.</w:t>
      </w:r>
    </w:p>
    <w:p w14:paraId="0D7597AE" w14:textId="77777777" w:rsidR="00425BAD" w:rsidRPr="00814CE3" w:rsidRDefault="00425BAD" w:rsidP="00425BAD">
      <w:pPr>
        <w:spacing w:line="240" w:lineRule="auto"/>
        <w:ind w:left="0"/>
        <w:jc w:val="both"/>
        <w:rPr>
          <w:rFonts w:cstheme="minorHAnsi"/>
          <w:color w:val="auto"/>
        </w:rPr>
      </w:pPr>
      <w:r w:rsidRPr="00814CE3">
        <w:rPr>
          <w:rFonts w:cstheme="minorHAnsi"/>
          <w:color w:val="auto"/>
        </w:rPr>
        <w:t>Na rozdíl od stávající strategie bude aktualizovaná verze definovat nejenom, kolik vodíku budeme v ČR potřebovat, ale také kolik nízko-uhlíkového a obnovitelného vodíku budeme schopni v ČR vyrábět a kolik obnovitelného vodíku bude nutné v budoucnu dovážet ze zahraničí. Určí také množství vodíku, které budeme potřebovat na základě plánovaných nařízení EK, a přibližné investiční nálady nutné pro splnění cílů definovaných v politikách EU. Po schválení vodíkové strategie budou připraveny hlavní metodiky pro výstavbu elektrolyzérů a vodíkových plnicích stanic k zajištění efektivního rozvoje vodíkového hospodářství v České republice.</w:t>
      </w:r>
    </w:p>
    <w:p w14:paraId="7348A7D4" w14:textId="77777777" w:rsidR="00425BAD" w:rsidRPr="00814CE3" w:rsidRDefault="00425BAD" w:rsidP="00425BAD">
      <w:pPr>
        <w:spacing w:line="240" w:lineRule="auto"/>
        <w:ind w:left="0"/>
        <w:jc w:val="both"/>
        <w:rPr>
          <w:rFonts w:cstheme="minorHAnsi"/>
          <w:color w:val="auto"/>
        </w:rPr>
      </w:pPr>
      <w:r w:rsidRPr="00814CE3">
        <w:rPr>
          <w:rFonts w:cstheme="minorHAnsi"/>
          <w:color w:val="auto"/>
        </w:rPr>
        <w:t>Prioritou vodíkové strategie je využití nízkouhlíkového vodíku v nízkoemisní mobilitě, protože v dopravě je z provozního hlediska nasazení vodíku nejefektivnější. V návaznosti na reformu dojde k vybudování základní sítě vodíkových stanic v souladu s budoucími požadavky AFIR. S tím musí souviset zajištění odpovídají výroby obnovitelného vodíku, vybudování skladovací infrastruktury a dopravy k plnicím stanicím. Paralelně k přípravě reformy budou probíhat pilotní projekty výstavby vodíkové infrastruktury, na kterých se bude testovat správnost a vhodnost metodik a doporučení k budování elektrolyzérů, vodíkových plnicích stanic a skladovací infrastruktury. Na základě vyhodnocení praktických postupů budou navrženy potřebné změny a doplnění relevantní legislativy, aby výstavba vodíkové infrastruktury nebyla omezována zbytečnými omezeními a aby podmínky pro výstavbu byly stejné po celé ČR. Vybudování plnicích stanic podél sítě TEN-T bude silný stimul pro rozšíření nízkoemisní dopravě v ČR.</w:t>
      </w:r>
    </w:p>
    <w:p w14:paraId="455B6401" w14:textId="00EA6876" w:rsidR="00425BAD" w:rsidRPr="00814CE3" w:rsidRDefault="00425BAD" w:rsidP="00425BAD">
      <w:pPr>
        <w:spacing w:line="240" w:lineRule="auto"/>
        <w:ind w:left="0"/>
        <w:jc w:val="both"/>
        <w:rPr>
          <w:rFonts w:cstheme="minorHAnsi"/>
        </w:rPr>
      </w:pPr>
      <w:r w:rsidRPr="00814CE3">
        <w:rPr>
          <w:rFonts w:cstheme="minorHAnsi"/>
        </w:rPr>
        <w:t>Cílem je reforma využívání nízkouhlíkových vodíkových technologií k dosažení klimatických cílů. Vodík je jedním ze základních stavebních prvků budování ekonomiky, která není založena na fosilních palivech. Cílem reformy je aktualizovat původní strategii, aby lépe reagovala na současnou situaci, podmínky a vývoj technologií. Aktualizovaná vodíková strategie musí také odrážet změny, které souvisí s balíčky Fit for 55, REPowerEU, Národním energetick</w:t>
      </w:r>
      <w:r w:rsidR="00C13593">
        <w:rPr>
          <w:rFonts w:cstheme="minorHAnsi"/>
        </w:rPr>
        <w:t>o-klimatickým</w:t>
      </w:r>
      <w:r w:rsidRPr="00814CE3">
        <w:rPr>
          <w:rFonts w:cstheme="minorHAnsi"/>
        </w:rPr>
        <w:t xml:space="preserve"> plánem, Státní energetickou koncepcí, Národním akčním plánem čisté mobility a připravovaným Net-Zero Industry Act.</w:t>
      </w:r>
    </w:p>
    <w:p w14:paraId="5E185B18" w14:textId="77777777" w:rsidR="00425BAD" w:rsidRPr="00814CE3" w:rsidRDefault="00425BAD" w:rsidP="00425BAD">
      <w:pPr>
        <w:spacing w:line="240" w:lineRule="auto"/>
        <w:ind w:left="0"/>
        <w:jc w:val="both"/>
        <w:rPr>
          <w:rFonts w:cstheme="minorHAnsi"/>
        </w:rPr>
      </w:pPr>
      <w:r w:rsidRPr="00814CE3">
        <w:rPr>
          <w:rFonts w:cstheme="minorHAnsi"/>
        </w:rPr>
        <w:t xml:space="preserve">Vodíková strategie ČR bude aktualizována tak, aby odrážela změny v legislativních aktech EU. Zejména se jedná o revizi RED II, Delegovaný akt k adicionalitě, Plynárenský balíček a AFIR. Hlavní důraz bude kladen na využití, produkci a transport obnovitelného vodíku. Česká republika nemá příliš vhodné podmínky pro využití obnovitelných zdrojů energie, a to kvůli nízkému počtu hodin slunečního svitu během roku a také nízkému potenciálu větrné a vodní energie. Z tohoto důvodu se musíme soustředit na maximální využití možností geotermální energie a dovozu vodíku. Komparativní výhodou ČR je naopak solidní plynárenská soustava, která může být poměrně snadno a za nižších nákladů přeměněna na soustavu vodíkovou. Je nutno </w:t>
      </w:r>
      <w:r w:rsidRPr="00814CE3">
        <w:rPr>
          <w:rFonts w:cstheme="minorHAnsi"/>
        </w:rPr>
        <w:lastRenderedPageBreak/>
        <w:t xml:space="preserve">zahájit jednání se zeměmi s přebytky obnovitelných zdrojů, které by mohly dodávat obnovitelný vodík do ČR a Německa. </w:t>
      </w:r>
    </w:p>
    <w:p w14:paraId="676B94AA" w14:textId="77777777" w:rsidR="00425BAD" w:rsidRPr="00814CE3" w:rsidRDefault="00425BAD" w:rsidP="00425BAD">
      <w:pPr>
        <w:spacing w:line="240" w:lineRule="auto"/>
        <w:ind w:left="0"/>
        <w:jc w:val="both"/>
        <w:rPr>
          <w:rFonts w:cstheme="minorHAnsi"/>
        </w:rPr>
      </w:pPr>
      <w:r w:rsidRPr="00814CE3">
        <w:rPr>
          <w:rFonts w:cstheme="minorHAnsi"/>
        </w:rPr>
        <w:t>Další prioritou kromě obnovitelného vodíku je potom nízkouhlíkový vodík</w:t>
      </w:r>
      <w:r w:rsidRPr="00814CE3">
        <w:rPr>
          <w:rFonts w:cstheme="minorHAnsi"/>
          <w:vertAlign w:val="superscript"/>
        </w:rPr>
        <w:footnoteReference w:id="1"/>
      </w:r>
      <w:r w:rsidRPr="00814CE3">
        <w:rPr>
          <w:rFonts w:cstheme="minorHAnsi"/>
        </w:rPr>
        <w:t>. V tomto ohledu můžeme zúročit naši zkušenost s jadernou energií a využívat vodík jako spojnici mezi obnovitelnými zdroji a jadernou energií. Tak můžeme zajistit bezpečnou produkci nízkouhlíkové energie, zvýšit domácí energetickou bezpečnost a dlouhodobě tak podpořit maximální utilizaci obou zdrojů – jak obnovitelné, tak jaderné energie.</w:t>
      </w:r>
    </w:p>
    <w:p w14:paraId="25331BA5" w14:textId="77777777" w:rsidR="00425BAD" w:rsidRPr="00814CE3" w:rsidRDefault="00425BAD" w:rsidP="00425BAD">
      <w:pPr>
        <w:spacing w:line="240" w:lineRule="auto"/>
        <w:ind w:left="0"/>
        <w:jc w:val="both"/>
        <w:rPr>
          <w:rFonts w:cstheme="minorHAnsi"/>
        </w:rPr>
      </w:pPr>
      <w:r w:rsidRPr="00814CE3">
        <w:rPr>
          <w:rFonts w:cstheme="minorHAnsi"/>
        </w:rPr>
        <w:t>Aktualizovaná strategie bude vycházet nejen z expertních odhadů vývoje spotřeby vodíku v jednotlivých segmentech národního hospodářství, ale také ze závazných požadavků na náhradu fosilních paliv stanovených výše uvedenými předpisy.</w:t>
      </w:r>
      <w:r w:rsidRPr="00814CE3">
        <w:rPr>
          <w:rFonts w:cstheme="minorHAnsi"/>
        </w:rPr>
        <w:br/>
        <w:t>Součástí strategie také bude odhad nákladů souvisejících s výrobou, spotřebou a přepravou vodíku. Vodíková strategie tak bude obsahovat indikativní cíle pro výrobu obnovitelného a nízkouhlíkového vodíku, potřebné instalované kapacity elektrolyzérů, obnovitelných zdrojů, vodíkových plynovodů a dalších přepravních kapacit.</w:t>
      </w:r>
      <w:r w:rsidRPr="00814CE3">
        <w:rPr>
          <w:rFonts w:cstheme="minorHAnsi"/>
        </w:rPr>
        <w:br/>
        <w:t>Ve vodíkové strategii zůstane zachováno rozdělení do čtyř hlavních pilířů: výroba, užití, doprava vodíku a vodíkové technologie. Struktura strategie bude odpovídat metodice tvorby strategií vypracovaně Ministerstvem pro místní rozvoj. Do přípravy strategie budou zapojena i další ministerstva, a to zejména Ministerstvo životního prostředí, Ministerstvo dopravy, Ministerstvo školství, mládeže a tělovýchovy, stejně jako oborové svazy, profesní sdružení a komory.</w:t>
      </w:r>
    </w:p>
    <w:p w14:paraId="34B85345" w14:textId="77777777" w:rsidR="00425BAD" w:rsidRPr="00814CE3" w:rsidRDefault="00425BAD" w:rsidP="00425BAD">
      <w:pPr>
        <w:spacing w:line="240" w:lineRule="auto"/>
        <w:ind w:left="0"/>
        <w:jc w:val="both"/>
        <w:rPr>
          <w:rFonts w:cstheme="minorHAnsi"/>
        </w:rPr>
      </w:pPr>
      <w:r w:rsidRPr="00814CE3">
        <w:rPr>
          <w:rFonts w:cstheme="minorHAnsi"/>
        </w:rPr>
        <w:t>Implementační část bude současně akčním plánem, který u jednotlivých indikativních cílů stanoví cestu, jak cílů dosáhnout, tedy zejména jaký instalovaný výkon elektrolyzérů bude nutný, jaké budou náklady, z jakých zdrojů budou tyto náklady pravděpodobně financovány a zda je jejich instalace možná z hlediska jiných omezení. Ke každému takto definovanému postupu bude stanoven krok příslušného resortu. Některé jsou zřejmé již dnes:</w:t>
      </w:r>
    </w:p>
    <w:p w14:paraId="1E5F5F1A" w14:textId="77777777" w:rsidR="00425BAD" w:rsidRPr="00814CE3" w:rsidRDefault="00425BAD" w:rsidP="00425BAD">
      <w:pPr>
        <w:pStyle w:val="Odstavecseseznamem"/>
        <w:numPr>
          <w:ilvl w:val="0"/>
          <w:numId w:val="15"/>
        </w:numPr>
        <w:spacing w:line="240" w:lineRule="auto"/>
        <w:jc w:val="both"/>
        <w:rPr>
          <w:rFonts w:cstheme="minorHAnsi"/>
        </w:rPr>
      </w:pPr>
      <w:r w:rsidRPr="00814CE3">
        <w:rPr>
          <w:rFonts w:cstheme="minorHAnsi"/>
        </w:rPr>
        <w:t xml:space="preserve">Pro zabezpečení výstavby takového množství elektrolyzérů vypíše MŽP, respektive SFŽP, odpovídající výzvu v rámci Modernizačního fondu v určeném časovém horizontu. </w:t>
      </w:r>
    </w:p>
    <w:p w14:paraId="4BD0248A" w14:textId="4A9D3EE4" w:rsidR="00425BAD" w:rsidRPr="00814CE3" w:rsidRDefault="00425BAD" w:rsidP="00425BAD">
      <w:pPr>
        <w:pStyle w:val="Odstavecseseznamem"/>
        <w:numPr>
          <w:ilvl w:val="0"/>
          <w:numId w:val="15"/>
        </w:numPr>
        <w:spacing w:line="240" w:lineRule="auto"/>
        <w:jc w:val="both"/>
        <w:rPr>
          <w:rFonts w:cstheme="minorHAnsi"/>
        </w:rPr>
      </w:pPr>
      <w:r w:rsidRPr="00814CE3">
        <w:rPr>
          <w:rFonts w:cstheme="minorHAnsi"/>
        </w:rPr>
        <w:t xml:space="preserve">MPO zajistí novelizaci </w:t>
      </w:r>
      <w:r w:rsidR="00056225">
        <w:rPr>
          <w:rFonts w:cstheme="minorHAnsi"/>
        </w:rPr>
        <w:t>E</w:t>
      </w:r>
      <w:r w:rsidRPr="00814CE3">
        <w:rPr>
          <w:rFonts w:cstheme="minorHAnsi"/>
        </w:rPr>
        <w:t>nergetického zákona, která umožní fungování vodíkového hospodářství.</w:t>
      </w:r>
    </w:p>
    <w:p w14:paraId="0B168F8A" w14:textId="77777777" w:rsidR="00425BAD" w:rsidRPr="00814CE3" w:rsidRDefault="00425BAD" w:rsidP="00425BAD">
      <w:pPr>
        <w:pStyle w:val="Odstavecseseznamem"/>
        <w:numPr>
          <w:ilvl w:val="0"/>
          <w:numId w:val="15"/>
        </w:numPr>
        <w:spacing w:line="240" w:lineRule="auto"/>
        <w:jc w:val="both"/>
        <w:rPr>
          <w:rFonts w:cstheme="minorHAnsi"/>
        </w:rPr>
      </w:pPr>
      <w:r w:rsidRPr="00814CE3">
        <w:rPr>
          <w:rFonts w:cstheme="minorHAnsi"/>
        </w:rPr>
        <w:t>MD zajistí vypsání příslušných výzev v rámci OP Doprava pro výstavbu výsledného množství vodíkových plnicích stanic.</w:t>
      </w:r>
    </w:p>
    <w:p w14:paraId="7B8D4698" w14:textId="77777777" w:rsidR="00425BAD" w:rsidRPr="00814CE3" w:rsidRDefault="00425BAD" w:rsidP="00425BAD">
      <w:pPr>
        <w:pStyle w:val="Odstavecseseznamem"/>
        <w:numPr>
          <w:ilvl w:val="0"/>
          <w:numId w:val="15"/>
        </w:numPr>
        <w:spacing w:line="240" w:lineRule="auto"/>
        <w:jc w:val="both"/>
        <w:rPr>
          <w:rFonts w:cstheme="minorHAnsi"/>
        </w:rPr>
      </w:pPr>
      <w:r w:rsidRPr="00814CE3">
        <w:rPr>
          <w:rFonts w:cstheme="minorHAnsi"/>
        </w:rPr>
        <w:t>MŠMT (Národní pedagogický institut) zajistí změnu rámcových vzdělávacích programů pro příslušné obory vzdělávání související s vodíkovým hospodářstvím</w:t>
      </w:r>
    </w:p>
    <w:p w14:paraId="75DA2E86" w14:textId="77777777" w:rsidR="00425BAD" w:rsidRPr="00814CE3" w:rsidRDefault="00425BAD" w:rsidP="00425BAD">
      <w:pPr>
        <w:spacing w:after="0" w:line="240" w:lineRule="auto"/>
        <w:rPr>
          <w:rFonts w:cstheme="minorHAnsi"/>
        </w:rPr>
      </w:pPr>
      <w:r w:rsidRPr="00814CE3">
        <w:rPr>
          <w:rFonts w:cstheme="minorHAnsi"/>
        </w:rPr>
        <w:t>Další úkoly vyplynou z tvorby Vodíkové strategie ČR.</w:t>
      </w:r>
    </w:p>
    <w:p w14:paraId="4E37CDE1" w14:textId="77777777" w:rsidR="00425BAD" w:rsidRPr="00814CE3" w:rsidRDefault="00425BAD" w:rsidP="00425BAD">
      <w:pPr>
        <w:spacing w:after="0" w:line="240" w:lineRule="auto"/>
        <w:rPr>
          <w:rFonts w:cstheme="minorHAnsi"/>
        </w:rPr>
      </w:pPr>
    </w:p>
    <w:p w14:paraId="4DE20CAD" w14:textId="77777777" w:rsidR="00425BAD" w:rsidRPr="00814CE3" w:rsidRDefault="00425BAD" w:rsidP="00DD19D2">
      <w:pPr>
        <w:spacing w:afterLines="165" w:after="396" w:line="240" w:lineRule="auto"/>
        <w:jc w:val="both"/>
        <w:rPr>
          <w:rFonts w:cstheme="minorHAnsi"/>
        </w:rPr>
      </w:pPr>
      <w:r w:rsidRPr="00814CE3">
        <w:rPr>
          <w:rFonts w:cstheme="minorHAnsi"/>
        </w:rPr>
        <w:t>Jednotlivé úkoly budou časově rozděleny zejména v horizontech do roku 2027, kdy se zpřísní pravidla adicionality v kontextu Aktu přenesené pravomoci směrnice o obnovitelných zdrojích energie, a do roku 2030, pro který jsou stanoveny cíle této směrnice.</w:t>
      </w:r>
    </w:p>
    <w:p w14:paraId="740D1DD0" w14:textId="77777777" w:rsidR="00425BAD" w:rsidRPr="00814CE3" w:rsidRDefault="00425BAD" w:rsidP="00DD19D2">
      <w:pPr>
        <w:spacing w:afterLines="165" w:after="396" w:line="240" w:lineRule="auto"/>
        <w:jc w:val="both"/>
        <w:rPr>
          <w:rFonts w:cstheme="minorHAnsi"/>
        </w:rPr>
      </w:pPr>
      <w:r w:rsidRPr="00814CE3">
        <w:rPr>
          <w:rFonts w:cstheme="minorHAnsi"/>
        </w:rPr>
        <w:t>Předpokládané legislativní změny: Zákon č. 458/2000 Sb. (energetický zákon)</w:t>
      </w:r>
    </w:p>
    <w:p w14:paraId="363DB404" w14:textId="77777777" w:rsidR="00425BAD" w:rsidRPr="00814CE3" w:rsidRDefault="00425BAD" w:rsidP="00425BAD">
      <w:pPr>
        <w:pStyle w:val="Default"/>
        <w:numPr>
          <w:ilvl w:val="0"/>
          <w:numId w:val="12"/>
        </w:numPr>
        <w:spacing w:after="120"/>
        <w:jc w:val="both"/>
        <w:rPr>
          <w:rFonts w:asciiTheme="minorHAnsi" w:eastAsiaTheme="minorEastAsia" w:hAnsiTheme="minorHAnsi" w:cstheme="minorHAnsi"/>
          <w:b/>
          <w:bCs/>
          <w:sz w:val="22"/>
          <w:szCs w:val="22"/>
        </w:rPr>
      </w:pPr>
      <w:r w:rsidRPr="00814CE3">
        <w:rPr>
          <w:rFonts w:asciiTheme="minorHAnsi" w:eastAsiaTheme="minorEastAsia" w:hAnsiTheme="minorHAnsi" w:cstheme="minorHAnsi"/>
          <w:b/>
          <w:bCs/>
          <w:sz w:val="22"/>
          <w:szCs w:val="22"/>
        </w:rPr>
        <w:t>Národní strategický kontext</w:t>
      </w:r>
    </w:p>
    <w:p w14:paraId="782FD63D" w14:textId="77777777" w:rsidR="00425BAD" w:rsidRPr="00814CE3" w:rsidRDefault="00425BAD" w:rsidP="00425BAD">
      <w:pPr>
        <w:spacing w:line="240" w:lineRule="auto"/>
        <w:jc w:val="both"/>
        <w:rPr>
          <w:rFonts w:cstheme="minorHAnsi"/>
          <w:color w:val="auto"/>
        </w:rPr>
      </w:pPr>
      <w:r w:rsidRPr="00814CE3">
        <w:rPr>
          <w:rFonts w:cstheme="minorHAnsi"/>
          <w:color w:val="auto"/>
        </w:rPr>
        <w:t>Pro podporu rozvoje čisté mobility v ČR byla přijata řada opatření, např.:</w:t>
      </w:r>
    </w:p>
    <w:p w14:paraId="5E3AEBBA" w14:textId="77777777" w:rsidR="00425BAD" w:rsidRPr="00814CE3" w:rsidRDefault="00425BAD" w:rsidP="00425BAD">
      <w:pPr>
        <w:pStyle w:val="Odstavecseseznamem"/>
        <w:numPr>
          <w:ilvl w:val="0"/>
          <w:numId w:val="10"/>
        </w:numPr>
        <w:spacing w:line="240" w:lineRule="auto"/>
        <w:jc w:val="both"/>
        <w:rPr>
          <w:rFonts w:cstheme="minorHAnsi"/>
          <w:color w:val="auto"/>
        </w:rPr>
      </w:pPr>
      <w:r w:rsidRPr="00814CE3">
        <w:rPr>
          <w:rFonts w:cstheme="minorHAnsi"/>
          <w:color w:val="auto"/>
        </w:rPr>
        <w:t>Zákon č. 56/2001 Sb. o podmínkách provozu vozidel na pozemních komunikacích – s účinností od 1. 4. 2019 je možné vydávat registrační značky pro elektromobily (pro BEV, FCEV a PHEV s emisemi do 50 g CO2/km), na které lze vázat různá zvýhodnění, např. parkování zdarma ve městech. Tato vozidla jsou také osvobozena od správních poplatků za zápis do registru silničních vozidel a vydání registrační značky (zákon č. 634/2004 Sb. o správních poplatcích).</w:t>
      </w:r>
    </w:p>
    <w:p w14:paraId="15722B4B" w14:textId="1C5FDA18" w:rsidR="00425BAD" w:rsidRPr="00814CE3" w:rsidRDefault="499BC452" w:rsidP="6BF94FC7">
      <w:pPr>
        <w:pStyle w:val="Odstavecseseznamem"/>
        <w:numPr>
          <w:ilvl w:val="0"/>
          <w:numId w:val="10"/>
        </w:numPr>
        <w:spacing w:line="240" w:lineRule="auto"/>
        <w:jc w:val="both"/>
        <w:rPr>
          <w:color w:val="auto"/>
        </w:rPr>
      </w:pPr>
      <w:r w:rsidRPr="6BF94FC7">
        <w:rPr>
          <w:color w:val="auto"/>
        </w:rPr>
        <w:lastRenderedPageBreak/>
        <w:t xml:space="preserve">Zákon č. 13/1997, o pozemních komunikacích – s účinností od 1. 1. 2020 </w:t>
      </w:r>
      <w:r w:rsidR="23FEE130" w:rsidRPr="6BF94FC7">
        <w:rPr>
          <w:color w:val="auto"/>
        </w:rPr>
        <w:t>zavedl</w:t>
      </w:r>
      <w:r w:rsidRPr="6BF94FC7">
        <w:rPr>
          <w:color w:val="auto"/>
        </w:rPr>
        <w:t xml:space="preserve"> osvobození elektrických a vodíkových vozidel (s emisemi do 50 g CO2/km) od časového a výkonového zpoplatnění (tj. uživatelských poplatků/dálniční známky a mýtného).</w:t>
      </w:r>
    </w:p>
    <w:p w14:paraId="57F3A53A" w14:textId="77777777" w:rsidR="00425BAD" w:rsidRPr="00814CE3" w:rsidRDefault="00425BAD" w:rsidP="00425BAD">
      <w:pPr>
        <w:pStyle w:val="Odstavecseseznamem"/>
        <w:numPr>
          <w:ilvl w:val="0"/>
          <w:numId w:val="10"/>
        </w:numPr>
        <w:spacing w:line="240" w:lineRule="auto"/>
        <w:jc w:val="both"/>
        <w:rPr>
          <w:rFonts w:cstheme="minorHAnsi"/>
          <w:color w:val="auto"/>
        </w:rPr>
      </w:pPr>
      <w:r w:rsidRPr="00814CE3">
        <w:rPr>
          <w:rFonts w:cstheme="minorHAnsi"/>
          <w:color w:val="auto"/>
        </w:rPr>
        <w:t>Zákon č. 360/2022 Sb., zákon o podpoře nízkoemisních vozidel prostřednictvím veřejných zakázek a veřejných služeb v přepravě cestujících (transpozice směrnice 2019/1161) stanovuje povinné podíly nízko- a bezemisních vozidel.</w:t>
      </w:r>
    </w:p>
    <w:p w14:paraId="391678C3" w14:textId="29AEB9FE" w:rsidR="00425BAD" w:rsidRPr="00814CE3" w:rsidRDefault="00425BAD" w:rsidP="00425BAD">
      <w:pPr>
        <w:pStyle w:val="Odstavecseseznamem"/>
        <w:numPr>
          <w:ilvl w:val="0"/>
          <w:numId w:val="10"/>
        </w:numPr>
        <w:spacing w:line="240" w:lineRule="auto"/>
        <w:jc w:val="both"/>
        <w:rPr>
          <w:rFonts w:cstheme="minorHAnsi"/>
          <w:color w:val="auto"/>
        </w:rPr>
      </w:pPr>
      <w:r w:rsidRPr="00814CE3">
        <w:rPr>
          <w:rFonts w:cstheme="minorHAnsi"/>
          <w:color w:val="auto"/>
        </w:rPr>
        <w:t>Vyhláška č. 266/2021 Sb. kterou se mění vyhláška č. 268/2009 Sb. o technických požadavcích na stavby – v souladu s požadavky směrnice č. 2018/844 o energetické náročnosti budov stanovuje pravidla pro vybavení budov dobíjecími stanicemi a předřazenou kabeláž</w:t>
      </w:r>
      <w:r w:rsidR="00977343">
        <w:rPr>
          <w:rFonts w:cstheme="minorHAnsi"/>
          <w:color w:val="auto"/>
        </w:rPr>
        <w:t>í</w:t>
      </w:r>
      <w:r w:rsidRPr="00814CE3">
        <w:rPr>
          <w:rFonts w:cstheme="minorHAnsi"/>
          <w:color w:val="auto"/>
        </w:rPr>
        <w:t xml:space="preserve"> pro pozdější instalaci dobíjecí stanice.</w:t>
      </w:r>
    </w:p>
    <w:p w14:paraId="2E23B0C0" w14:textId="77777777" w:rsidR="00425BAD" w:rsidRPr="00814CE3" w:rsidRDefault="00425BAD" w:rsidP="00425BAD">
      <w:pPr>
        <w:pStyle w:val="Odstavecseseznamem"/>
        <w:numPr>
          <w:ilvl w:val="0"/>
          <w:numId w:val="10"/>
        </w:numPr>
        <w:spacing w:line="240" w:lineRule="auto"/>
        <w:jc w:val="both"/>
        <w:rPr>
          <w:rFonts w:cstheme="minorHAnsi"/>
          <w:color w:val="auto"/>
        </w:rPr>
      </w:pPr>
      <w:r w:rsidRPr="00814CE3">
        <w:rPr>
          <w:rFonts w:cstheme="minorHAnsi"/>
          <w:color w:val="auto"/>
        </w:rPr>
        <w:t>Vyhláška Ministerstva práce a sociálních věcí č. č. 467/2022 Sb. (Vyhláška o změně sazby základní náhrady za používání silničních motorových vozidel a stravného a o stanovení průměrné ceny pohonných hmot pro účely poskytování cestovních náhrad), která uvádí elektřinu jako palivo a stanovuje cenu za dobitou kWh. Tzv. referenční cena elektřiny se používá pro účely výpočtů zejména pro účely dobíjení v domácnosti, ale i pro ostatní situace, kdy zaměstnanec není schopen prokázat konkrétní náklady na dobíjení vozidla použitého pro pracovní účely (i nadále má však zaměstnanec přednostně právo na náhradu v prokázané skutečné výši).</w:t>
      </w:r>
    </w:p>
    <w:p w14:paraId="2A407C69" w14:textId="77777777" w:rsidR="00425BAD" w:rsidRPr="00814CE3" w:rsidRDefault="00425BAD" w:rsidP="00425BAD">
      <w:pPr>
        <w:pStyle w:val="Odstavecseseznamem"/>
        <w:numPr>
          <w:ilvl w:val="0"/>
          <w:numId w:val="10"/>
        </w:numPr>
        <w:spacing w:line="240" w:lineRule="auto"/>
        <w:jc w:val="both"/>
        <w:rPr>
          <w:rFonts w:cstheme="minorHAnsi"/>
          <w:color w:val="auto"/>
        </w:rPr>
      </w:pPr>
      <w:r w:rsidRPr="00814CE3">
        <w:rPr>
          <w:rFonts w:cstheme="minorHAnsi"/>
          <w:color w:val="auto"/>
        </w:rPr>
        <w:t>Příručka "Daňové otázky elektromobility" - její aktuální verze je od konce roku 2021 k dispozici na webových stránkách Ministerstva financí. Cílem je odpovědět na klíčové otázky daňových postupů, které mohou napomoci rozvoji elektromobility a pomoci odstranit nejistotu zájemců o její využívání.</w:t>
      </w:r>
    </w:p>
    <w:p w14:paraId="06F186A3" w14:textId="77777777" w:rsidR="00425BAD" w:rsidRPr="00814CE3" w:rsidRDefault="00425BAD" w:rsidP="00425BAD">
      <w:pPr>
        <w:pStyle w:val="Odstavecseseznamem"/>
        <w:numPr>
          <w:ilvl w:val="0"/>
          <w:numId w:val="10"/>
        </w:numPr>
        <w:spacing w:line="240" w:lineRule="auto"/>
        <w:jc w:val="both"/>
        <w:rPr>
          <w:rFonts w:cstheme="minorHAnsi"/>
          <w:color w:val="auto"/>
        </w:rPr>
      </w:pPr>
      <w:r w:rsidRPr="00814CE3">
        <w:rPr>
          <w:rFonts w:cstheme="minorHAnsi"/>
          <w:color w:val="auto"/>
        </w:rPr>
        <w:t>Novela zákona o daních z příjmů, která zavádí od 1. července 2022 nižší zdanění nízkoemisních firemních vozidel poskytovaných zaměstnancům i pro soukromé účely. Za zdanitelný příjem se v případě používání těchto vozidel již nebude považovat 1 % jejich vstupní ceny (včetně DPH), ale pouze 0,5 % vstupní ceny vozidla. Rovněž byly přeřazeny dobíjecí stanice pro elektromobily do 2. odpisové skupiny, což umožní rychlejší daňové odpisování po dobu 5 let.</w:t>
      </w:r>
    </w:p>
    <w:p w14:paraId="7AC6E16B" w14:textId="77777777" w:rsidR="00425BAD" w:rsidRPr="00814CE3" w:rsidRDefault="00425BAD" w:rsidP="00425BAD">
      <w:pPr>
        <w:pStyle w:val="Odstavecseseznamem"/>
        <w:numPr>
          <w:ilvl w:val="0"/>
          <w:numId w:val="10"/>
        </w:numPr>
        <w:spacing w:line="240" w:lineRule="auto"/>
        <w:jc w:val="both"/>
        <w:rPr>
          <w:rFonts w:cstheme="minorHAnsi"/>
          <w:color w:val="auto"/>
        </w:rPr>
      </w:pPr>
      <w:r w:rsidRPr="00814CE3">
        <w:rPr>
          <w:rFonts w:cstheme="minorHAnsi"/>
          <w:color w:val="auto"/>
        </w:rPr>
        <w:t>Zákon č. 250/2021 Sb., o Zákon o bezpečnosti práce v souvislosti s provozem vyhrazených technických zařízení spolu s nařízením vlády č. 194/2022 Sb., o požadavcích o požadavcích na odbornou způsobilost k výkonu činnosti na elektrických zařízeních a na odbornou způsobilost v elektrotechnice (nahrazuje vyhlášku č. 50/1978 Sb.). Usnadňuje získání kvalifikace pro práci na elektrických vozidlech při dodržení všech bezpečnostních norem. Nově se bude dle kvalifikace rozlišovat mezi elektrotechnikem, osobou znalou, osobou poučenou a dále osobou proškolenou ve smyslu zákoníku práce. V souladu s tím budou moci osoby proškolené provádět některé opravy a servis elektrických vozidel, mimo zásahů do elektrických zařízení. V roce 2021 byla schválena profesní kvalifikace " Mechanik silničních vozidel s elektrickým a hybridním pohonem", která specifikuje požadavky na vzdělání pracovníků, kteří budou provádět servis a opravy elektrických vozidel.</w:t>
      </w:r>
    </w:p>
    <w:p w14:paraId="3AC2CDA4" w14:textId="77777777" w:rsidR="00425BAD" w:rsidRPr="00814CE3" w:rsidRDefault="00425BAD" w:rsidP="00425BAD">
      <w:pPr>
        <w:pStyle w:val="Odstavecseseznamem"/>
        <w:numPr>
          <w:ilvl w:val="0"/>
          <w:numId w:val="10"/>
        </w:numPr>
        <w:spacing w:line="240" w:lineRule="auto"/>
        <w:jc w:val="both"/>
        <w:rPr>
          <w:rFonts w:cstheme="minorHAnsi"/>
          <w:color w:val="auto"/>
        </w:rPr>
      </w:pPr>
      <w:r w:rsidRPr="00814CE3">
        <w:rPr>
          <w:rFonts w:cstheme="minorHAnsi"/>
          <w:color w:val="auto"/>
        </w:rPr>
        <w:t>Byl zahájen projekt Ministerstva průmyslu a obchodu ve spolupráci s Ministerstvem školství, mládeže a tělovýchovy prostřednictvím Technologické agentury ČR financovaný z programu BETA2, který má pomoci lépe připravit absolventy vysokých škol tak, aby měli vědomosti odpovídající novým trendům v automobilovém průmyslu, včetně čisté mobility.</w:t>
      </w:r>
    </w:p>
    <w:p w14:paraId="5E57EB83" w14:textId="77777777" w:rsidR="00425BAD" w:rsidRPr="00814CE3" w:rsidRDefault="00425BAD" w:rsidP="00425BAD">
      <w:pPr>
        <w:pStyle w:val="Odstavecseseznamem"/>
        <w:numPr>
          <w:ilvl w:val="0"/>
          <w:numId w:val="10"/>
        </w:numPr>
        <w:spacing w:line="240" w:lineRule="auto"/>
        <w:jc w:val="both"/>
        <w:rPr>
          <w:rFonts w:cstheme="minorHAnsi"/>
          <w:color w:val="auto"/>
        </w:rPr>
      </w:pPr>
      <w:r w:rsidRPr="00814CE3">
        <w:rPr>
          <w:rFonts w:cstheme="minorHAnsi"/>
          <w:color w:val="auto"/>
        </w:rPr>
        <w:t>Metodický pokyn k instalaci dobíjecích stanic (wallboxů) v bytových domech – zveřejněn začátkem roku 2023 na webových stránkách MMR a MPO. Cílem tohoto materiálu je shrnout pravidla pro instalaci a provoz dobíjecích stanic o výkonu do 22 kW v bytových domech s více byty s různými vlastníky (společenství (jednotek) vlastníků), podpořit rozvoj neveřejné dobíjecí infrastruktury v ČR.</w:t>
      </w:r>
    </w:p>
    <w:p w14:paraId="6DF2DFBF" w14:textId="6390197B" w:rsidR="00425BAD" w:rsidRDefault="499BC452" w:rsidP="6BF94FC7">
      <w:pPr>
        <w:pStyle w:val="Odstavecseseznamem"/>
        <w:numPr>
          <w:ilvl w:val="0"/>
          <w:numId w:val="10"/>
        </w:numPr>
        <w:spacing w:line="240" w:lineRule="auto"/>
        <w:jc w:val="both"/>
      </w:pPr>
      <w:r w:rsidRPr="6BF94FC7">
        <w:rPr>
          <w:color w:val="auto"/>
        </w:rPr>
        <w:t xml:space="preserve">Oblastí čisté mobility se rovněž zabývá </w:t>
      </w:r>
      <w:r w:rsidRPr="6BF94FC7">
        <w:rPr>
          <w:b/>
          <w:bCs/>
          <w:color w:val="auto"/>
        </w:rPr>
        <w:t>Vodíková strategie ČR.</w:t>
      </w:r>
      <w:r w:rsidRPr="6BF94FC7">
        <w:rPr>
          <w:color w:val="auto"/>
        </w:rPr>
        <w:t xml:space="preserve"> Jejím cílem je reforma využívání nízkouhlíkových vodíkových technologií k dosažení klimatických cílů. Vodík je jedním ze základních stavebních prvků budování ekonomiky, která není založena na fosilních palivech.</w:t>
      </w:r>
      <w:r w:rsidRPr="6BF94FC7">
        <w:rPr>
          <w:b/>
          <w:bCs/>
          <w:color w:val="auto"/>
        </w:rPr>
        <w:t xml:space="preserve"> </w:t>
      </w:r>
      <w:r w:rsidRPr="6BF94FC7">
        <w:t>Prvním dokumentem, který souhrnně pokrýval možnosti využití vodíkových technologií v ČR, byla Vodíková strategie České republiky, která byly schválena vládou v roce 202</w:t>
      </w:r>
      <w:r w:rsidR="4DE9E6FE" w:rsidRPr="6BF94FC7">
        <w:t>1</w:t>
      </w:r>
      <w:r w:rsidRPr="6BF94FC7">
        <w:t>.</w:t>
      </w:r>
    </w:p>
    <w:p w14:paraId="4422CB99" w14:textId="64DCBC30" w:rsidR="6BF94FC7" w:rsidRDefault="6BF94FC7" w:rsidP="6BF94FC7">
      <w:pPr>
        <w:spacing w:line="240" w:lineRule="auto"/>
        <w:ind w:left="0"/>
        <w:jc w:val="both"/>
      </w:pPr>
    </w:p>
    <w:p w14:paraId="197E9674" w14:textId="77777777" w:rsidR="00425BAD" w:rsidRPr="00814CE3" w:rsidRDefault="00425BAD" w:rsidP="00425BAD">
      <w:pPr>
        <w:pStyle w:val="K-Nadpis2"/>
        <w:spacing w:line="240" w:lineRule="auto"/>
        <w:jc w:val="both"/>
        <w:rPr>
          <w:rFonts w:asciiTheme="minorHAnsi" w:eastAsiaTheme="minorEastAsia" w:hAnsiTheme="minorHAnsi" w:cstheme="minorHAnsi"/>
          <w:sz w:val="22"/>
          <w:szCs w:val="22"/>
        </w:rPr>
      </w:pPr>
      <w:r w:rsidRPr="00814CE3">
        <w:rPr>
          <w:rFonts w:asciiTheme="minorHAnsi" w:eastAsiaTheme="minorEastAsia" w:hAnsiTheme="minorHAnsi" w:cstheme="minorHAnsi"/>
          <w:sz w:val="22"/>
          <w:szCs w:val="22"/>
        </w:rPr>
        <w:lastRenderedPageBreak/>
        <w:t>3. Popis reforem a investic</w:t>
      </w:r>
    </w:p>
    <w:p w14:paraId="285EA18E" w14:textId="77777777" w:rsidR="00425BAD" w:rsidRPr="00814CE3" w:rsidRDefault="00425BAD" w:rsidP="00425BAD">
      <w:pPr>
        <w:pStyle w:val="K-Nadpis3"/>
        <w:rPr>
          <w:rFonts w:asciiTheme="minorHAnsi" w:eastAsiaTheme="minorEastAsia" w:hAnsiTheme="minorHAnsi" w:cstheme="minorHAnsi"/>
          <w:sz w:val="22"/>
          <w:szCs w:val="22"/>
        </w:rPr>
      </w:pPr>
      <w:r w:rsidRPr="4BFED563">
        <w:rPr>
          <w:rFonts w:asciiTheme="minorHAnsi" w:eastAsiaTheme="minorEastAsia" w:hAnsiTheme="minorHAnsi" w:cstheme="minorBidi"/>
          <w:sz w:val="22"/>
          <w:szCs w:val="22"/>
        </w:rPr>
        <w:t xml:space="preserve">a) Popis reforem </w:t>
      </w:r>
    </w:p>
    <w:p w14:paraId="3332ACFB" w14:textId="193A229D" w:rsidR="4D479E2C" w:rsidRDefault="4D479E2C" w:rsidP="4BFED563">
      <w:pPr>
        <w:spacing w:line="240" w:lineRule="auto"/>
        <w:ind w:left="0"/>
        <w:rPr>
          <w:b/>
          <w:bCs/>
          <w:color w:val="auto"/>
          <w:u w:val="single"/>
        </w:rPr>
      </w:pPr>
      <w:r w:rsidRPr="4BFED563">
        <w:rPr>
          <w:b/>
          <w:bCs/>
          <w:color w:val="auto"/>
          <w:u w:val="single"/>
        </w:rPr>
        <w:t xml:space="preserve">Reforma 1: Aktualizace Národního akčního plánu čisté mobility a stanovení cílů bezemisní mobility  </w:t>
      </w:r>
    </w:p>
    <w:tbl>
      <w:tblPr>
        <w:tblStyle w:val="Mkatabulky"/>
        <w:tblW w:w="0" w:type="auto"/>
        <w:tblLook w:val="04A0" w:firstRow="1" w:lastRow="0" w:firstColumn="1" w:lastColumn="0" w:noHBand="0" w:noVBand="1"/>
      </w:tblPr>
      <w:tblGrid>
        <w:gridCol w:w="2619"/>
        <w:gridCol w:w="7009"/>
      </w:tblGrid>
      <w:tr w:rsidR="4BFED563" w14:paraId="17FF40DA" w14:textId="77777777" w:rsidTr="4BFED563">
        <w:trPr>
          <w:trHeight w:val="900"/>
        </w:trPr>
        <w:tc>
          <w:tcPr>
            <w:tcW w:w="2619" w:type="dxa"/>
          </w:tcPr>
          <w:p w14:paraId="3FBD4F85" w14:textId="77777777" w:rsidR="4BFED563" w:rsidRDefault="4BFED563" w:rsidP="4BFED563">
            <w:pPr>
              <w:spacing w:after="0" w:line="240" w:lineRule="auto"/>
              <w:ind w:left="0"/>
              <w:rPr>
                <w:color w:val="auto"/>
              </w:rPr>
            </w:pPr>
            <w:r w:rsidRPr="4BFED563">
              <w:rPr>
                <w:color w:val="auto"/>
              </w:rPr>
              <w:t>Výzva</w:t>
            </w:r>
          </w:p>
        </w:tc>
        <w:tc>
          <w:tcPr>
            <w:tcW w:w="7009" w:type="dxa"/>
          </w:tcPr>
          <w:p w14:paraId="40A4F9EA" w14:textId="77777777" w:rsidR="4BFED563" w:rsidRDefault="4BFED563" w:rsidP="4BFED563">
            <w:pPr>
              <w:spacing w:after="0" w:line="240" w:lineRule="auto"/>
              <w:ind w:left="0"/>
              <w:rPr>
                <w:color w:val="auto"/>
              </w:rPr>
            </w:pPr>
            <w:r w:rsidRPr="4BFED563">
              <w:rPr>
                <w:color w:val="auto"/>
              </w:rPr>
              <w:t>Zpracovat aktualizaci NAP CM, zapojit do zpracování všechny zainteresované resorty, stakeholdery z automobilového průmyslu, dopravců, energetiků a dalších subjektů zabývajících se čistou mobilitou</w:t>
            </w:r>
          </w:p>
        </w:tc>
      </w:tr>
      <w:tr w:rsidR="4BFED563" w14:paraId="14B32FED" w14:textId="77777777" w:rsidTr="4BFED563">
        <w:trPr>
          <w:trHeight w:val="1020"/>
        </w:trPr>
        <w:tc>
          <w:tcPr>
            <w:tcW w:w="2619" w:type="dxa"/>
          </w:tcPr>
          <w:p w14:paraId="2B88922B" w14:textId="77777777" w:rsidR="4BFED563" w:rsidRDefault="4BFED563" w:rsidP="4BFED563">
            <w:pPr>
              <w:spacing w:after="0" w:line="240" w:lineRule="auto"/>
              <w:ind w:left="0"/>
              <w:rPr>
                <w:color w:val="auto"/>
              </w:rPr>
            </w:pPr>
            <w:r w:rsidRPr="4BFED563">
              <w:rPr>
                <w:color w:val="auto"/>
              </w:rPr>
              <w:t>Cíl</w:t>
            </w:r>
          </w:p>
        </w:tc>
        <w:tc>
          <w:tcPr>
            <w:tcW w:w="7009" w:type="dxa"/>
          </w:tcPr>
          <w:p w14:paraId="53F86A39" w14:textId="77777777" w:rsidR="4BFED563" w:rsidRDefault="4BFED563" w:rsidP="4BFED563">
            <w:pPr>
              <w:spacing w:after="0" w:line="240" w:lineRule="auto"/>
              <w:ind w:left="0"/>
              <w:rPr>
                <w:color w:val="auto"/>
              </w:rPr>
            </w:pPr>
            <w:r w:rsidRPr="4BFED563">
              <w:rPr>
                <w:color w:val="auto"/>
              </w:rPr>
              <w:t>Aktualizovat NAP CM, aby odpovídal současným změněným požadavkům, včetně legislativy, a poskytl vodítka pro budoucí investiční rozhodnutí v oblasti nízko-a bezemisní dopravy a podpory rozvoje národního hospodářství</w:t>
            </w:r>
          </w:p>
          <w:p w14:paraId="66FB06F3" w14:textId="1190C253" w:rsidR="4BFED563" w:rsidRDefault="4BFED563" w:rsidP="4BFED563">
            <w:pPr>
              <w:spacing w:after="0" w:line="240" w:lineRule="auto"/>
              <w:ind w:left="0"/>
              <w:rPr>
                <w:color w:val="auto"/>
              </w:rPr>
            </w:pPr>
            <w:r w:rsidRPr="4BFED563">
              <w:rPr>
                <w:color w:val="auto"/>
              </w:rPr>
              <w:t>Navýšit počet bezemisních vozidel a rozšířit dobíjecí a vodíkovou plnící infrastrukturu v ČR</w:t>
            </w:r>
          </w:p>
        </w:tc>
      </w:tr>
      <w:tr w:rsidR="4BFED563" w14:paraId="4A1209D0" w14:textId="77777777" w:rsidTr="4BFED563">
        <w:trPr>
          <w:trHeight w:val="1266"/>
        </w:trPr>
        <w:tc>
          <w:tcPr>
            <w:tcW w:w="2619" w:type="dxa"/>
          </w:tcPr>
          <w:p w14:paraId="6AD63D57" w14:textId="77777777" w:rsidR="4BFED563" w:rsidRDefault="4BFED563" w:rsidP="4BFED563">
            <w:pPr>
              <w:spacing w:after="0" w:line="240" w:lineRule="auto"/>
              <w:ind w:left="0"/>
              <w:rPr>
                <w:color w:val="auto"/>
              </w:rPr>
            </w:pPr>
            <w:r w:rsidRPr="4BFED563">
              <w:rPr>
                <w:color w:val="auto"/>
              </w:rPr>
              <w:t>Implementace</w:t>
            </w:r>
          </w:p>
        </w:tc>
        <w:tc>
          <w:tcPr>
            <w:tcW w:w="7009" w:type="dxa"/>
          </w:tcPr>
          <w:p w14:paraId="50B8C72C" w14:textId="5FF937E3" w:rsidR="4BFED563" w:rsidRDefault="4BFED563" w:rsidP="4BFED563">
            <w:pPr>
              <w:spacing w:after="0" w:line="240" w:lineRule="auto"/>
              <w:ind w:left="0"/>
              <w:rPr>
                <w:color w:val="auto"/>
              </w:rPr>
            </w:pPr>
            <w:r w:rsidRPr="4BFED563">
              <w:rPr>
                <w:color w:val="auto"/>
              </w:rPr>
              <w:t>Podobně jako příprava předchozích NAP CM bude i tato aktualizace probíhat v několika etapách, přičemž do každé chceme zapojit co nejširší spektrum příslušných stakeholderů.</w:t>
            </w:r>
            <w:r>
              <w:br/>
            </w:r>
            <w:r w:rsidRPr="4BFED563">
              <w:rPr>
                <w:color w:val="auto"/>
              </w:rPr>
              <w:t>- sběr dat: získání odhadu vozového parku a související infrastruktury (v souladu s RED, AFIR, NEKP, SEK, Národním plánem pro chytré sítě, Národním plánem snižování emisí, emisní legislativou týkající se vozidel atd.)</w:t>
            </w:r>
          </w:p>
          <w:p w14:paraId="37D21E81" w14:textId="3A5C1D91" w:rsidR="4BFED563" w:rsidRDefault="4BFED563" w:rsidP="4BFED563">
            <w:pPr>
              <w:spacing w:after="0" w:line="240" w:lineRule="auto"/>
              <w:ind w:left="0"/>
              <w:rPr>
                <w:color w:val="auto"/>
              </w:rPr>
            </w:pPr>
            <w:r w:rsidRPr="4BFED563">
              <w:rPr>
                <w:color w:val="auto"/>
              </w:rPr>
              <w:t>- nastavení cílů</w:t>
            </w:r>
            <w:r>
              <w:br/>
            </w:r>
            <w:r w:rsidRPr="4BFED563">
              <w:rPr>
                <w:color w:val="auto"/>
              </w:rPr>
              <w:t>- identifikace potřebných opatření legislativní a nelegislativní povahy</w:t>
            </w:r>
            <w:r>
              <w:br/>
            </w:r>
            <w:r w:rsidRPr="4BFED563">
              <w:rPr>
                <w:color w:val="auto"/>
              </w:rPr>
              <w:t>- konzultace s veřejností</w:t>
            </w:r>
            <w:r>
              <w:br/>
            </w:r>
            <w:r w:rsidRPr="4BFED563">
              <w:rPr>
                <w:color w:val="auto"/>
              </w:rPr>
              <w:t>- meziresortní připomínkové řízení</w:t>
            </w:r>
            <w:r>
              <w:br/>
            </w:r>
            <w:r w:rsidRPr="4BFED563">
              <w:rPr>
                <w:color w:val="auto"/>
              </w:rPr>
              <w:t>- předložení NAP CM ke schválení vládou</w:t>
            </w:r>
          </w:p>
          <w:p w14:paraId="6D221EFD" w14:textId="77777777" w:rsidR="4BFED563" w:rsidRDefault="4BFED563" w:rsidP="4BFED563">
            <w:pPr>
              <w:spacing w:after="0" w:line="240" w:lineRule="auto"/>
              <w:ind w:left="0"/>
              <w:rPr>
                <w:color w:val="auto"/>
              </w:rPr>
            </w:pPr>
            <w:r w:rsidRPr="4BFED563">
              <w:rPr>
                <w:color w:val="auto"/>
              </w:rPr>
              <w:t xml:space="preserve">- předložení NAP CM Evropské komisi </w:t>
            </w:r>
          </w:p>
          <w:p w14:paraId="46DA6B81" w14:textId="614CD2D5" w:rsidR="4BFED563" w:rsidRDefault="4BFED563" w:rsidP="4BFED563">
            <w:pPr>
              <w:spacing w:after="0" w:line="240" w:lineRule="auto"/>
              <w:ind w:left="0"/>
              <w:rPr>
                <w:color w:val="auto"/>
              </w:rPr>
            </w:pPr>
          </w:p>
          <w:p w14:paraId="52104983" w14:textId="3A499458" w:rsidR="4BFED563" w:rsidRDefault="4BFED563" w:rsidP="4BFED563">
            <w:pPr>
              <w:spacing w:after="0" w:line="240" w:lineRule="auto"/>
              <w:ind w:left="0"/>
              <w:rPr>
                <w:color w:val="auto"/>
              </w:rPr>
            </w:pPr>
            <w:r w:rsidRPr="4BFED563">
              <w:rPr>
                <w:color w:val="auto"/>
              </w:rPr>
              <w:t>S aktualizací NAP CM souvisí rovněž nastavení cíle:</w:t>
            </w:r>
          </w:p>
          <w:p w14:paraId="60F87A0D" w14:textId="277F4ED5" w:rsidR="4BFED563" w:rsidRDefault="4BFED563" w:rsidP="4BFED563">
            <w:pPr>
              <w:pStyle w:val="Odstavecseseznamem"/>
              <w:numPr>
                <w:ilvl w:val="0"/>
                <w:numId w:val="11"/>
              </w:numPr>
              <w:spacing w:after="0" w:line="240" w:lineRule="auto"/>
              <w:ind w:left="390"/>
              <w:rPr>
                <w:color w:val="auto"/>
              </w:rPr>
            </w:pPr>
            <w:r w:rsidRPr="4BFED563">
              <w:rPr>
                <w:color w:val="auto"/>
              </w:rPr>
              <w:t>do konce roku 2025 navýšit počet zaregistrovaných bezemisních vozidel (v jednotlivých kategoriích 1. M1; 2. N1; 3. N2+N3) alespoň o 70 % oproti počtu registrovaných bezemisních vozidel v roce 2022, reportovat tyto počty Q1-Q2/2026</w:t>
            </w:r>
          </w:p>
          <w:p w14:paraId="6331D722" w14:textId="278F89E4" w:rsidR="4BFED563" w:rsidRDefault="4BFED563" w:rsidP="4BFED563">
            <w:pPr>
              <w:spacing w:after="0" w:line="240" w:lineRule="auto"/>
            </w:pPr>
            <w:r>
              <w:t>a dále milníku:</w:t>
            </w:r>
          </w:p>
          <w:p w14:paraId="26D0CE88" w14:textId="064A48E9" w:rsidR="4BFED563" w:rsidRDefault="4BFED563" w:rsidP="4BFED563">
            <w:pPr>
              <w:pStyle w:val="Odstavecseseznamem"/>
              <w:numPr>
                <w:ilvl w:val="0"/>
                <w:numId w:val="1"/>
              </w:numPr>
              <w:spacing w:after="0" w:line="240" w:lineRule="auto"/>
            </w:pPr>
            <w:r w:rsidRPr="4BFED563">
              <w:rPr>
                <w:color w:val="auto"/>
              </w:rPr>
              <w:t>vyhlášení výzev na podporu výstavby veřejných dobíjecích stanic a vodíkových plnicích stanic s celkovou alokací 120 mil. EUR</w:t>
            </w:r>
          </w:p>
          <w:p w14:paraId="1B4B549C" w14:textId="040856C1" w:rsidR="4BFED563" w:rsidRDefault="4BFED563" w:rsidP="4BFED563">
            <w:pPr>
              <w:pStyle w:val="Odstavecseseznamem"/>
              <w:spacing w:after="0" w:line="240" w:lineRule="auto"/>
              <w:rPr>
                <w:color w:val="auto"/>
              </w:rPr>
            </w:pPr>
          </w:p>
        </w:tc>
      </w:tr>
      <w:tr w:rsidR="4BFED563" w14:paraId="678E64CE" w14:textId="77777777" w:rsidTr="4BFED563">
        <w:trPr>
          <w:trHeight w:val="600"/>
        </w:trPr>
        <w:tc>
          <w:tcPr>
            <w:tcW w:w="2619" w:type="dxa"/>
          </w:tcPr>
          <w:p w14:paraId="3F0EDD1C" w14:textId="77777777" w:rsidR="4BFED563" w:rsidRDefault="4BFED563" w:rsidP="4BFED563">
            <w:pPr>
              <w:spacing w:after="0" w:line="240" w:lineRule="auto"/>
              <w:ind w:left="0"/>
              <w:rPr>
                <w:color w:val="auto"/>
              </w:rPr>
            </w:pPr>
            <w:r w:rsidRPr="4BFED563">
              <w:rPr>
                <w:color w:val="auto"/>
              </w:rPr>
              <w:t>Spolupráce a zapojení zúčastněných stran</w:t>
            </w:r>
          </w:p>
        </w:tc>
        <w:tc>
          <w:tcPr>
            <w:tcW w:w="7009" w:type="dxa"/>
          </w:tcPr>
          <w:p w14:paraId="237713DF" w14:textId="479E3F96" w:rsidR="4BFED563" w:rsidRDefault="4BFED563" w:rsidP="4BFED563">
            <w:pPr>
              <w:spacing w:after="0" w:line="240" w:lineRule="auto"/>
              <w:ind w:left="0"/>
              <w:rPr>
                <w:color w:val="auto"/>
              </w:rPr>
            </w:pPr>
            <w:r w:rsidRPr="4BFED563">
              <w:rPr>
                <w:color w:val="auto"/>
              </w:rPr>
              <w:t xml:space="preserve">MPO, MD, MŽP, MMR, MF, ŘSD, průmyslové asociace a platformy, odborové a zaměstnavatelské svazy, průmyslové, energetické a dopravní společnosti, provozovatelé odpočívek, odborná veřejnost </w:t>
            </w:r>
          </w:p>
        </w:tc>
      </w:tr>
      <w:tr w:rsidR="4BFED563" w14:paraId="32D911DB" w14:textId="77777777" w:rsidTr="4BFED563">
        <w:trPr>
          <w:trHeight w:val="600"/>
        </w:trPr>
        <w:tc>
          <w:tcPr>
            <w:tcW w:w="2619" w:type="dxa"/>
          </w:tcPr>
          <w:p w14:paraId="092EC46A" w14:textId="77777777" w:rsidR="4BFED563" w:rsidRDefault="4BFED563" w:rsidP="4BFED563">
            <w:pPr>
              <w:spacing w:line="240" w:lineRule="auto"/>
              <w:ind w:left="0"/>
              <w:rPr>
                <w:color w:val="auto"/>
              </w:rPr>
            </w:pPr>
            <w:r w:rsidRPr="4BFED563">
              <w:rPr>
                <w:color w:val="auto"/>
              </w:rPr>
              <w:t>Překážky a rizika</w:t>
            </w:r>
          </w:p>
        </w:tc>
        <w:tc>
          <w:tcPr>
            <w:tcW w:w="7009" w:type="dxa"/>
          </w:tcPr>
          <w:p w14:paraId="2DE20F78" w14:textId="30DF30C1" w:rsidR="4BFED563" w:rsidRDefault="4BFED563" w:rsidP="4BFED563">
            <w:pPr>
              <w:spacing w:after="0" w:line="240" w:lineRule="auto"/>
              <w:ind w:left="0"/>
              <w:rPr>
                <w:color w:val="auto"/>
              </w:rPr>
            </w:pPr>
            <w:r w:rsidRPr="4BFED563">
              <w:rPr>
                <w:color w:val="auto"/>
              </w:rPr>
              <w:t xml:space="preserve">Ekonomická situace. Nedostatek finančních prostředků na podporu rozvoje čisté mobility. Zdlouhavost přijímání novel zákonů v Parlamentu. </w:t>
            </w:r>
          </w:p>
        </w:tc>
      </w:tr>
      <w:tr w:rsidR="4BFED563" w14:paraId="79D9C82A" w14:textId="77777777" w:rsidTr="4BFED563">
        <w:trPr>
          <w:trHeight w:val="600"/>
        </w:trPr>
        <w:tc>
          <w:tcPr>
            <w:tcW w:w="2619" w:type="dxa"/>
          </w:tcPr>
          <w:p w14:paraId="4C374A6F" w14:textId="77777777" w:rsidR="4BFED563" w:rsidRDefault="4BFED563" w:rsidP="4BFED563">
            <w:pPr>
              <w:spacing w:after="0" w:line="240" w:lineRule="auto"/>
              <w:ind w:left="0"/>
              <w:rPr>
                <w:color w:val="auto"/>
              </w:rPr>
            </w:pPr>
            <w:r w:rsidRPr="4BFED563">
              <w:rPr>
                <w:color w:val="auto"/>
              </w:rPr>
              <w:t>Cílové skupiny populace a ekonomické subjekty</w:t>
            </w:r>
          </w:p>
        </w:tc>
        <w:tc>
          <w:tcPr>
            <w:tcW w:w="7009" w:type="dxa"/>
          </w:tcPr>
          <w:p w14:paraId="1C690D39" w14:textId="10DC14E5" w:rsidR="4BFED563" w:rsidRDefault="4BFED563" w:rsidP="4BFED563">
            <w:pPr>
              <w:spacing w:after="0" w:line="240" w:lineRule="auto"/>
              <w:ind w:left="0"/>
              <w:rPr>
                <w:color w:val="auto"/>
              </w:rPr>
            </w:pPr>
            <w:r w:rsidRPr="4BFED563">
              <w:rPr>
                <w:color w:val="auto"/>
              </w:rPr>
              <w:t>Průmyslové podniky, dopravní společnosti, energetické firmy, provozovatelé dobíjecí a vodíkové plnící infrastruktury, uživatelé nízko-a bezemisních vozidel, veřejnost</w:t>
            </w:r>
          </w:p>
        </w:tc>
      </w:tr>
      <w:tr w:rsidR="4BFED563" w14:paraId="3F0B1D91" w14:textId="77777777" w:rsidTr="4BFED563">
        <w:trPr>
          <w:trHeight w:val="900"/>
        </w:trPr>
        <w:tc>
          <w:tcPr>
            <w:tcW w:w="2619" w:type="dxa"/>
          </w:tcPr>
          <w:p w14:paraId="489D67FC" w14:textId="77777777" w:rsidR="4BFED563" w:rsidRDefault="4BFED563" w:rsidP="4BFED563">
            <w:pPr>
              <w:spacing w:after="0" w:line="240" w:lineRule="auto"/>
              <w:ind w:left="0"/>
              <w:rPr>
                <w:color w:val="auto"/>
              </w:rPr>
            </w:pPr>
            <w:r w:rsidRPr="4BFED563">
              <w:rPr>
                <w:color w:val="auto"/>
              </w:rPr>
              <w:t>Souhrnné náklady realizace financované z RRF za celé období</w:t>
            </w:r>
          </w:p>
        </w:tc>
        <w:tc>
          <w:tcPr>
            <w:tcW w:w="7009" w:type="dxa"/>
          </w:tcPr>
          <w:p w14:paraId="5B7C01A0" w14:textId="77777777" w:rsidR="4BFED563" w:rsidRDefault="4BFED563" w:rsidP="4BFED563">
            <w:pPr>
              <w:spacing w:after="0" w:line="240" w:lineRule="auto"/>
              <w:ind w:left="0"/>
              <w:rPr>
                <w:color w:val="auto"/>
              </w:rPr>
            </w:pPr>
            <w:r w:rsidRPr="4BFED563">
              <w:rPr>
                <w:color w:val="auto"/>
              </w:rPr>
              <w:t xml:space="preserve">0 Kč </w:t>
            </w:r>
          </w:p>
        </w:tc>
      </w:tr>
      <w:tr w:rsidR="4BFED563" w14:paraId="4D2E29A2" w14:textId="77777777" w:rsidTr="4BFED563">
        <w:trPr>
          <w:trHeight w:val="1200"/>
        </w:trPr>
        <w:tc>
          <w:tcPr>
            <w:tcW w:w="2619" w:type="dxa"/>
          </w:tcPr>
          <w:p w14:paraId="68C5D8E9" w14:textId="77777777" w:rsidR="4BFED563" w:rsidRDefault="4BFED563" w:rsidP="4BFED563">
            <w:pPr>
              <w:spacing w:line="240" w:lineRule="auto"/>
              <w:ind w:left="0"/>
              <w:rPr>
                <w:color w:val="auto"/>
              </w:rPr>
            </w:pPr>
            <w:r w:rsidRPr="4BFED563">
              <w:rPr>
                <w:color w:val="auto"/>
              </w:rPr>
              <w:t>Dodržování pravidel státní podpory</w:t>
            </w:r>
          </w:p>
        </w:tc>
        <w:tc>
          <w:tcPr>
            <w:tcW w:w="7009" w:type="dxa"/>
          </w:tcPr>
          <w:p w14:paraId="4C059FA7" w14:textId="6E508C7A" w:rsidR="4BFED563" w:rsidRDefault="4BFED563" w:rsidP="4BFED563">
            <w:pPr>
              <w:spacing w:after="0" w:line="240" w:lineRule="auto"/>
              <w:ind w:left="0"/>
              <w:rPr>
                <w:color w:val="auto"/>
              </w:rPr>
            </w:pPr>
            <w:r w:rsidRPr="4BFED563">
              <w:rPr>
                <w:color w:val="auto"/>
              </w:rPr>
              <w:t>K financování opatření vycházejících z NAP CM plánujeme využít fondy např. Modernizační fond, Národní plán obnovy, Fond spravedlivé transformace, operační programy. Financování bude vždy v souladu s pravidly státní podpory tak, jak jsou schváleny v daném programu.</w:t>
            </w:r>
          </w:p>
          <w:p w14:paraId="3F22DED9" w14:textId="58338C4F" w:rsidR="4BFED563" w:rsidRDefault="4BFED563" w:rsidP="4BFED563">
            <w:pPr>
              <w:spacing w:after="0" w:line="240" w:lineRule="auto"/>
              <w:ind w:left="0"/>
              <w:rPr>
                <w:color w:val="auto"/>
              </w:rPr>
            </w:pPr>
            <w:r w:rsidRPr="4BFED563">
              <w:rPr>
                <w:color w:val="auto"/>
              </w:rPr>
              <w:lastRenderedPageBreak/>
              <w:t>Akční plán však ještě nebyl zcela vypracován a schválen, v současné době nejsou známa všechna plánovaná opatření, která mají být do akčního plánu zahrnuta. Dokument jako takový nepředstavuje státní podporu.</w:t>
            </w:r>
          </w:p>
          <w:p w14:paraId="7A990102" w14:textId="00CCF9D6" w:rsidR="4BFED563" w:rsidRDefault="4BFED563" w:rsidP="4BFED563">
            <w:pPr>
              <w:spacing w:after="0" w:line="240" w:lineRule="auto"/>
              <w:ind w:left="0"/>
              <w:rPr>
                <w:color w:val="auto"/>
              </w:rPr>
            </w:pPr>
            <w:r w:rsidRPr="4BFED563">
              <w:rPr>
                <w:color w:val="auto"/>
              </w:rPr>
              <w:t>Obecně však platí, že financování projektů vyplývajících z opatření obsažených v akčním plánu bude probíhat v souladu s pravidly GBER, CEEAG a případně pravidly specifických programů notifikovaných EK. Předpokládá se, že může jít mimo jiné o oblasti podpory podle článků 36a, 36b GBER, podporu malých a středních podniků, regionální podporu, výzkum, vývoj a inovace a podporu vzdělávání nebo pravidla de minimis.</w:t>
            </w:r>
          </w:p>
          <w:p w14:paraId="4E007AFE" w14:textId="32CA1E4B" w:rsidR="4BFED563" w:rsidRDefault="4BFED563" w:rsidP="4BFED563">
            <w:pPr>
              <w:spacing w:after="0" w:line="240" w:lineRule="auto"/>
              <w:ind w:left="0"/>
              <w:rPr>
                <w:color w:val="auto"/>
              </w:rPr>
            </w:pPr>
            <w:r w:rsidRPr="4BFED563">
              <w:rPr>
                <w:color w:val="auto"/>
              </w:rPr>
              <w:t>Veškeré subdodávky od externích dodavatelů budou provedeny v souladu s platnými pravidly.</w:t>
            </w:r>
          </w:p>
        </w:tc>
      </w:tr>
      <w:tr w:rsidR="4BFED563" w14:paraId="4E0D5BF5" w14:textId="77777777" w:rsidTr="4BFED563">
        <w:trPr>
          <w:trHeight w:val="300"/>
        </w:trPr>
        <w:tc>
          <w:tcPr>
            <w:tcW w:w="2619" w:type="dxa"/>
          </w:tcPr>
          <w:p w14:paraId="5A9BD552" w14:textId="77777777" w:rsidR="4BFED563" w:rsidRDefault="4BFED563" w:rsidP="4BFED563">
            <w:pPr>
              <w:spacing w:after="0" w:line="240" w:lineRule="auto"/>
              <w:ind w:left="0"/>
              <w:rPr>
                <w:color w:val="auto"/>
              </w:rPr>
            </w:pPr>
            <w:r w:rsidRPr="4BFED563">
              <w:rPr>
                <w:color w:val="auto"/>
              </w:rPr>
              <w:lastRenderedPageBreak/>
              <w:t>Uveďte dobu implementace</w:t>
            </w:r>
          </w:p>
        </w:tc>
        <w:tc>
          <w:tcPr>
            <w:tcW w:w="7009" w:type="dxa"/>
          </w:tcPr>
          <w:p w14:paraId="614DEDB3" w14:textId="3F2A9016" w:rsidR="4BFED563" w:rsidRDefault="4BFED563" w:rsidP="4BFED563">
            <w:pPr>
              <w:spacing w:line="240" w:lineRule="auto"/>
              <w:ind w:left="0"/>
              <w:rPr>
                <w:color w:val="auto"/>
              </w:rPr>
            </w:pPr>
            <w:r w:rsidRPr="4BFED563">
              <w:rPr>
                <w:color w:val="auto"/>
              </w:rPr>
              <w:t>Aktualizace bude probíhat v období Q1 2023 – Q2 2024, cíle pro rok 2025 budou reportovány EK do konce Q2/2026, milník do konce Q2/2026</w:t>
            </w:r>
          </w:p>
        </w:tc>
      </w:tr>
    </w:tbl>
    <w:p w14:paraId="5C3DF383" w14:textId="77777777" w:rsidR="62AD64D3" w:rsidRDefault="62AD64D3" w:rsidP="4BFED563">
      <w:pPr>
        <w:spacing w:line="240" w:lineRule="auto"/>
        <w:ind w:left="0"/>
        <w:rPr>
          <w:color w:val="auto"/>
        </w:rPr>
      </w:pPr>
      <w:r w:rsidRPr="4BFED563">
        <w:rPr>
          <w:color w:val="auto"/>
        </w:rPr>
        <w:t xml:space="preserve"> </w:t>
      </w:r>
    </w:p>
    <w:p w14:paraId="7FF11B36" w14:textId="536D1171" w:rsidR="00425BAD" w:rsidRPr="00814CE3" w:rsidRDefault="00425BAD" w:rsidP="4BFED563">
      <w:pPr>
        <w:spacing w:line="240" w:lineRule="auto"/>
        <w:ind w:left="0"/>
        <w:rPr>
          <w:b/>
          <w:bCs/>
          <w:color w:val="auto"/>
          <w:u w:val="single"/>
        </w:rPr>
      </w:pPr>
      <w:r w:rsidRPr="4BFED563">
        <w:rPr>
          <w:b/>
          <w:bCs/>
          <w:color w:val="auto"/>
          <w:u w:val="single"/>
        </w:rPr>
        <w:t xml:space="preserve">Reforma 2: </w:t>
      </w:r>
      <w:r w:rsidR="3F49A1CF" w:rsidRPr="4BFED563">
        <w:rPr>
          <w:b/>
          <w:bCs/>
          <w:color w:val="auto"/>
          <w:u w:val="single"/>
        </w:rPr>
        <w:t>Daňové reformy k podpoře bezemisní mobility</w:t>
      </w:r>
    </w:p>
    <w:tbl>
      <w:tblPr>
        <w:tblW w:w="0" w:type="auto"/>
        <w:tblCellMar>
          <w:left w:w="0" w:type="dxa"/>
          <w:right w:w="0" w:type="dxa"/>
        </w:tblCellMar>
        <w:tblLook w:val="04A0" w:firstRow="1" w:lastRow="0" w:firstColumn="1" w:lastColumn="0" w:noHBand="0" w:noVBand="1"/>
      </w:tblPr>
      <w:tblGrid>
        <w:gridCol w:w="2623"/>
        <w:gridCol w:w="6995"/>
      </w:tblGrid>
      <w:tr w:rsidR="00425BAD" w:rsidRPr="00814CE3" w14:paraId="712BEA11" w14:textId="77777777" w:rsidTr="4BFED563">
        <w:trPr>
          <w:trHeight w:val="900"/>
        </w:trPr>
        <w:tc>
          <w:tcPr>
            <w:tcW w:w="28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FADEB63" w14:textId="77777777" w:rsidR="00425BAD" w:rsidRPr="00814CE3" w:rsidRDefault="00425BAD" w:rsidP="00885174">
            <w:pPr>
              <w:spacing w:line="240" w:lineRule="auto"/>
              <w:jc w:val="both"/>
              <w:rPr>
                <w:rFonts w:cstheme="minorHAnsi"/>
              </w:rPr>
            </w:pPr>
            <w:r w:rsidRPr="00814CE3">
              <w:rPr>
                <w:rFonts w:cstheme="minorHAnsi"/>
              </w:rPr>
              <w:t>Výzva</w:t>
            </w:r>
          </w:p>
        </w:tc>
        <w:tc>
          <w:tcPr>
            <w:tcW w:w="80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E2C3013" w14:textId="77777777" w:rsidR="00425BAD" w:rsidRPr="00814CE3" w:rsidRDefault="00425BAD" w:rsidP="00885174">
            <w:pPr>
              <w:spacing w:line="240" w:lineRule="auto"/>
              <w:jc w:val="both"/>
              <w:rPr>
                <w:rFonts w:cstheme="minorHAnsi"/>
              </w:rPr>
            </w:pPr>
            <w:r w:rsidRPr="00814CE3">
              <w:rPr>
                <w:rFonts w:cstheme="minorHAnsi"/>
              </w:rPr>
              <w:t>Postupná dekarbonizace dopravy a potažmo celé české ekonomiky je jedním z prvků ochrany klimatu a je obsažena v řadě národních akčních plánů. Stejně tak je jedním z bodů aktualizovaného Programového prohlášení vlády České republiky. Použití daňových nástrojů může být v tomto případě však značně omezené a do jisté míry komplikované.</w:t>
            </w:r>
          </w:p>
          <w:p w14:paraId="703D0D16" w14:textId="77777777" w:rsidR="00425BAD" w:rsidRPr="00814CE3" w:rsidRDefault="00425BAD" w:rsidP="00885174">
            <w:pPr>
              <w:spacing w:line="240" w:lineRule="auto"/>
              <w:jc w:val="both"/>
              <w:rPr>
                <w:rFonts w:cstheme="minorHAnsi"/>
              </w:rPr>
            </w:pPr>
          </w:p>
        </w:tc>
      </w:tr>
      <w:tr w:rsidR="00425BAD" w:rsidRPr="00814CE3" w14:paraId="54AE45F0" w14:textId="77777777" w:rsidTr="4BFED563">
        <w:trPr>
          <w:trHeight w:val="943"/>
        </w:trPr>
        <w:tc>
          <w:tcPr>
            <w:tcW w:w="2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BF8FBA" w14:textId="77777777" w:rsidR="00425BAD" w:rsidRPr="00814CE3" w:rsidRDefault="00425BAD" w:rsidP="00885174">
            <w:pPr>
              <w:spacing w:line="240" w:lineRule="auto"/>
              <w:jc w:val="both"/>
              <w:rPr>
                <w:rFonts w:cstheme="minorHAnsi"/>
              </w:rPr>
            </w:pPr>
            <w:r w:rsidRPr="00814CE3">
              <w:rPr>
                <w:rFonts w:cstheme="minorHAnsi"/>
              </w:rPr>
              <w:t>Cíl</w:t>
            </w:r>
          </w:p>
        </w:tc>
        <w:tc>
          <w:tcPr>
            <w:tcW w:w="8040" w:type="dxa"/>
            <w:tcBorders>
              <w:top w:val="nil"/>
              <w:left w:val="nil"/>
              <w:bottom w:val="single" w:sz="8" w:space="0" w:color="auto"/>
              <w:right w:val="single" w:sz="8" w:space="0" w:color="auto"/>
            </w:tcBorders>
            <w:tcMar>
              <w:top w:w="0" w:type="dxa"/>
              <w:left w:w="108" w:type="dxa"/>
              <w:bottom w:w="0" w:type="dxa"/>
              <w:right w:w="108" w:type="dxa"/>
            </w:tcMar>
            <w:hideMark/>
          </w:tcPr>
          <w:p w14:paraId="1BF9AEA9" w14:textId="04F062C1" w:rsidR="00425BAD" w:rsidRPr="00814CE3" w:rsidRDefault="00425BAD" w:rsidP="4BFED563">
            <w:pPr>
              <w:spacing w:line="240" w:lineRule="auto"/>
              <w:jc w:val="both"/>
            </w:pPr>
            <w:r w:rsidRPr="4BFED563">
              <w:t>Daňový systém podporující dekarbonizaci dopravy</w:t>
            </w:r>
            <w:r w:rsidR="62F1BDCC" w:rsidRPr="4BFED563">
              <w:t xml:space="preserve"> a zároveň</w:t>
            </w:r>
            <w:r w:rsidRPr="4BFED563">
              <w:t xml:space="preserve"> podporující růst ekonomiky při zachování jeho maximální jednoduchosti a přehlednosti bez vytváření dalších daňových výjimek. </w:t>
            </w:r>
            <w:r w:rsidR="0B99223F" w:rsidRPr="4BFED563">
              <w:t>Reforma doplňuje komponentu 2.4 Rozvoj čisté mobility s cílem zvýšení počtu bezemisních voz</w:t>
            </w:r>
            <w:r w:rsidR="42443065" w:rsidRPr="4BFED563">
              <w:t>idel.</w:t>
            </w:r>
          </w:p>
        </w:tc>
      </w:tr>
      <w:tr w:rsidR="00425BAD" w:rsidRPr="00814CE3" w14:paraId="4FB41BF8" w14:textId="77777777" w:rsidTr="4BFED563">
        <w:trPr>
          <w:trHeight w:val="826"/>
        </w:trPr>
        <w:tc>
          <w:tcPr>
            <w:tcW w:w="2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BDD909" w14:textId="77777777" w:rsidR="00425BAD" w:rsidRPr="00814CE3" w:rsidRDefault="00425BAD" w:rsidP="00885174">
            <w:pPr>
              <w:spacing w:line="240" w:lineRule="auto"/>
              <w:jc w:val="both"/>
              <w:rPr>
                <w:rFonts w:cstheme="minorHAnsi"/>
                <w:highlight w:val="red"/>
              </w:rPr>
            </w:pPr>
            <w:r w:rsidRPr="00814CE3">
              <w:rPr>
                <w:rFonts w:cstheme="minorHAnsi"/>
              </w:rPr>
              <w:t>Implementace</w:t>
            </w:r>
          </w:p>
        </w:tc>
        <w:tc>
          <w:tcPr>
            <w:tcW w:w="8040" w:type="dxa"/>
            <w:tcBorders>
              <w:top w:val="nil"/>
              <w:left w:val="nil"/>
              <w:bottom w:val="single" w:sz="8" w:space="0" w:color="auto"/>
              <w:right w:val="single" w:sz="8" w:space="0" w:color="auto"/>
            </w:tcBorders>
            <w:tcMar>
              <w:top w:w="0" w:type="dxa"/>
              <w:left w:w="108" w:type="dxa"/>
              <w:bottom w:w="0" w:type="dxa"/>
              <w:right w:w="108" w:type="dxa"/>
            </w:tcMar>
            <w:hideMark/>
          </w:tcPr>
          <w:p w14:paraId="5A3C07BC" w14:textId="77777777" w:rsidR="00425BAD" w:rsidRPr="00814CE3" w:rsidRDefault="00425BAD" w:rsidP="00885174">
            <w:pPr>
              <w:spacing w:line="240" w:lineRule="auto"/>
              <w:jc w:val="both"/>
              <w:rPr>
                <w:rFonts w:cstheme="minorHAnsi"/>
              </w:rPr>
            </w:pPr>
            <w:r w:rsidRPr="00814CE3">
              <w:rPr>
                <w:rFonts w:cstheme="minorHAnsi"/>
              </w:rPr>
              <w:t xml:space="preserve">Použití daňových nástrojů pro účely dekarbonizace dopravy má svá omezení a musí brát ohled nejen na vývoj fiskální situace a ekonomiky jako celku, ale také na další cíle daňové politiky jako je přehledný a maximálně jednoduchý daňový systém a také na cíle politické. </w:t>
            </w:r>
          </w:p>
          <w:p w14:paraId="4C018C7D" w14:textId="77777777" w:rsidR="00425BAD" w:rsidRPr="00814CE3" w:rsidRDefault="00425BAD" w:rsidP="00885174">
            <w:pPr>
              <w:spacing w:line="240" w:lineRule="auto"/>
              <w:jc w:val="both"/>
              <w:rPr>
                <w:rFonts w:cstheme="minorHAnsi"/>
              </w:rPr>
            </w:pPr>
            <w:r w:rsidRPr="00814CE3">
              <w:rPr>
                <w:rFonts w:cstheme="minorHAnsi"/>
                <w:bCs/>
              </w:rPr>
              <w:t xml:space="preserve">Rozšiřování daňových výjimek není v souladu se zachováním přehlednosti daňového systému. Ministerstvo financí však v rámci konsolidační strategie navrhuje revizi daňových výjimek, tedy včetně těch, které by mohly vést k eliminaci environmentálně škodlivých výjimek, a tak podpořit dekarbonizaci dopravy. </w:t>
            </w:r>
            <w:r w:rsidRPr="00814CE3">
              <w:rPr>
                <w:rFonts w:cstheme="minorHAnsi"/>
              </w:rPr>
              <w:t>Jisté také je, že bude nutno transponovat revidovanou energetickou směrnici, v jejímž rámci zajisté dojde i ke změnám environmentálně zaměřených daní.</w:t>
            </w:r>
          </w:p>
          <w:p w14:paraId="72778567" w14:textId="77777777" w:rsidR="00425BAD" w:rsidRPr="00814CE3" w:rsidRDefault="00425BAD" w:rsidP="00885174">
            <w:pPr>
              <w:spacing w:line="240" w:lineRule="auto"/>
              <w:jc w:val="both"/>
              <w:rPr>
                <w:rFonts w:cstheme="minorHAnsi"/>
              </w:rPr>
            </w:pPr>
            <w:r w:rsidRPr="00814CE3">
              <w:rPr>
                <w:rFonts w:cstheme="minorHAnsi"/>
              </w:rPr>
              <w:t xml:space="preserve">Je nutno vzít v potaz také fiskální situaci ČR a primární funkci daní, dominantního zdroje veřejných rozpočtů, a z toho vyplývající základní (a v budoucnu ještě akcentované) požadavky na daňový systém, který je nadřazen všem ostatním požadavkům. </w:t>
            </w:r>
          </w:p>
          <w:p w14:paraId="6E45B321" w14:textId="77777777" w:rsidR="00425BAD" w:rsidRPr="00814CE3" w:rsidRDefault="00425BAD" w:rsidP="00885174">
            <w:pPr>
              <w:spacing w:line="240" w:lineRule="auto"/>
              <w:jc w:val="both"/>
              <w:rPr>
                <w:rFonts w:cstheme="minorHAnsi"/>
              </w:rPr>
            </w:pPr>
            <w:r w:rsidRPr="00814CE3">
              <w:rPr>
                <w:rFonts w:cstheme="minorHAnsi"/>
                <w:bCs/>
              </w:rPr>
              <w:t xml:space="preserve">Některé daňové nástroje již byly implementovány, např. </w:t>
            </w:r>
            <w:r w:rsidRPr="00814CE3">
              <w:rPr>
                <w:rFonts w:cstheme="minorHAnsi"/>
              </w:rPr>
              <w:t>zavedení zrychleného odpisování dobíjecích stanic pro elektromobily a snížení procentní částky vstupní ceny služebního vozidla používaného pro soukromé účely do daňového základu zaměstnance z 1 % na 0,5 % v případě nízkoemisních vozidel.</w:t>
            </w:r>
          </w:p>
          <w:p w14:paraId="02F5FCCB" w14:textId="391030E0" w:rsidR="00425BAD" w:rsidRPr="00814CE3" w:rsidRDefault="00A20CD6" w:rsidP="00885174">
            <w:pPr>
              <w:spacing w:line="240" w:lineRule="auto"/>
              <w:jc w:val="both"/>
              <w:rPr>
                <w:rFonts w:cstheme="minorHAnsi"/>
              </w:rPr>
            </w:pPr>
            <w:r w:rsidRPr="007101D7">
              <w:rPr>
                <w:rFonts w:cstheme="minorHAnsi"/>
              </w:rPr>
              <w:t>Pokud jde o započítávání procentní částky vstupní ceny služebního vozidla používaného pro soukromé účely do daňového základu zaměstnance</w:t>
            </w:r>
            <w:r w:rsidR="00425BAD" w:rsidRPr="007101D7">
              <w:rPr>
                <w:rFonts w:cstheme="minorHAnsi"/>
              </w:rPr>
              <w:t xml:space="preserve"> </w:t>
            </w:r>
            <w:r w:rsidR="00425BAD" w:rsidRPr="007101D7">
              <w:rPr>
                <w:rFonts w:cstheme="minorHAnsi"/>
              </w:rPr>
              <w:lastRenderedPageBreak/>
              <w:t>služebního vozidla</w:t>
            </w:r>
            <w:r w:rsidRPr="007101D7">
              <w:rPr>
                <w:rFonts w:cstheme="minorHAnsi"/>
              </w:rPr>
              <w:t>, dojde k úpravě tak, aby se nejvýhodnější úroveň</w:t>
            </w:r>
            <w:r w:rsidR="007101D7" w:rsidRPr="007101D7">
              <w:rPr>
                <w:rFonts w:cstheme="minorHAnsi"/>
              </w:rPr>
              <w:t xml:space="preserve"> uplatnila</w:t>
            </w:r>
            <w:r w:rsidRPr="007101D7">
              <w:rPr>
                <w:rFonts w:cstheme="minorHAnsi"/>
              </w:rPr>
              <w:t xml:space="preserve"> </w:t>
            </w:r>
            <w:r w:rsidR="00425BAD" w:rsidRPr="007101D7">
              <w:rPr>
                <w:rFonts w:cstheme="minorHAnsi"/>
              </w:rPr>
              <w:t>pouze pro bezemisní vozidla.</w:t>
            </w:r>
            <w:r w:rsidR="00425BAD" w:rsidRPr="00814CE3">
              <w:rPr>
                <w:rFonts w:cstheme="minorHAnsi"/>
              </w:rPr>
              <w:t xml:space="preserve"> </w:t>
            </w:r>
          </w:p>
          <w:p w14:paraId="31EF9857" w14:textId="1E4CD6D1" w:rsidR="00425BAD" w:rsidRPr="00814CE3" w:rsidRDefault="00425BAD" w:rsidP="00885174">
            <w:pPr>
              <w:spacing w:line="240" w:lineRule="auto"/>
              <w:jc w:val="both"/>
              <w:rPr>
                <w:rFonts w:cstheme="minorHAnsi"/>
                <w:highlight w:val="red"/>
              </w:rPr>
            </w:pPr>
            <w:r w:rsidRPr="007101D7">
              <w:rPr>
                <w:rFonts w:cstheme="minorHAnsi"/>
              </w:rPr>
              <w:t xml:space="preserve">Prodlouženy </w:t>
            </w:r>
            <w:r w:rsidR="00B840A8" w:rsidRPr="007101D7">
              <w:rPr>
                <w:rFonts w:cstheme="minorHAnsi"/>
              </w:rPr>
              <w:t>budou</w:t>
            </w:r>
            <w:r w:rsidRPr="007101D7">
              <w:rPr>
                <w:rFonts w:cstheme="minorHAnsi"/>
              </w:rPr>
              <w:t xml:space="preserve"> zrychlené odpisy, a to pouze pro bezemisní vozidla</w:t>
            </w:r>
            <w:r w:rsidR="0033108B" w:rsidRPr="007101D7">
              <w:rPr>
                <w:rFonts w:cstheme="minorHAnsi"/>
              </w:rPr>
              <w:t xml:space="preserve"> (všech kategorií)</w:t>
            </w:r>
            <w:r w:rsidRPr="007101D7">
              <w:rPr>
                <w:rFonts w:cstheme="minorHAnsi"/>
              </w:rPr>
              <w:t>.</w:t>
            </w:r>
          </w:p>
        </w:tc>
      </w:tr>
      <w:tr w:rsidR="00425BAD" w:rsidRPr="00814CE3" w14:paraId="2393A69A" w14:textId="77777777" w:rsidTr="4BFED563">
        <w:trPr>
          <w:trHeight w:val="600"/>
        </w:trPr>
        <w:tc>
          <w:tcPr>
            <w:tcW w:w="2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A1EC2F" w14:textId="77777777" w:rsidR="00425BAD" w:rsidRPr="00814CE3" w:rsidRDefault="00425BAD" w:rsidP="00885174">
            <w:pPr>
              <w:spacing w:line="240" w:lineRule="auto"/>
              <w:jc w:val="both"/>
              <w:rPr>
                <w:rFonts w:cstheme="minorHAnsi"/>
              </w:rPr>
            </w:pPr>
            <w:r w:rsidRPr="00814CE3">
              <w:rPr>
                <w:rFonts w:cstheme="minorHAnsi"/>
              </w:rPr>
              <w:lastRenderedPageBreak/>
              <w:t>Spolupráce a zapojení zúčastněných stran</w:t>
            </w:r>
          </w:p>
        </w:tc>
        <w:tc>
          <w:tcPr>
            <w:tcW w:w="8040" w:type="dxa"/>
            <w:tcBorders>
              <w:top w:val="nil"/>
              <w:left w:val="nil"/>
              <w:bottom w:val="single" w:sz="8" w:space="0" w:color="auto"/>
              <w:right w:val="single" w:sz="8" w:space="0" w:color="auto"/>
            </w:tcBorders>
            <w:tcMar>
              <w:top w:w="0" w:type="dxa"/>
              <w:left w:w="108" w:type="dxa"/>
              <w:bottom w:w="0" w:type="dxa"/>
              <w:right w:w="108" w:type="dxa"/>
            </w:tcMar>
            <w:hideMark/>
          </w:tcPr>
          <w:p w14:paraId="1DEEA0EA" w14:textId="77777777" w:rsidR="00425BAD" w:rsidRPr="00814CE3" w:rsidRDefault="00425BAD" w:rsidP="00885174">
            <w:pPr>
              <w:spacing w:line="240" w:lineRule="auto"/>
              <w:jc w:val="both"/>
              <w:rPr>
                <w:rFonts w:cstheme="minorHAnsi"/>
              </w:rPr>
            </w:pPr>
            <w:r w:rsidRPr="00814CE3">
              <w:rPr>
                <w:rFonts w:cstheme="minorHAnsi"/>
              </w:rPr>
              <w:t>MF, MD, MŽP, MPO, průmyslové asociace</w:t>
            </w:r>
          </w:p>
          <w:p w14:paraId="66A002AD" w14:textId="77777777" w:rsidR="00425BAD" w:rsidRPr="00814CE3" w:rsidRDefault="00425BAD" w:rsidP="00885174">
            <w:pPr>
              <w:spacing w:line="240" w:lineRule="auto"/>
              <w:jc w:val="both"/>
              <w:rPr>
                <w:rFonts w:cstheme="minorHAnsi"/>
              </w:rPr>
            </w:pPr>
          </w:p>
        </w:tc>
      </w:tr>
      <w:tr w:rsidR="00425BAD" w:rsidRPr="00814CE3" w14:paraId="1A7EC5B7" w14:textId="77777777" w:rsidTr="4BFED563">
        <w:trPr>
          <w:trHeight w:val="600"/>
        </w:trPr>
        <w:tc>
          <w:tcPr>
            <w:tcW w:w="2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6B302B" w14:textId="77777777" w:rsidR="00425BAD" w:rsidRPr="00814CE3" w:rsidRDefault="00425BAD" w:rsidP="00885174">
            <w:pPr>
              <w:spacing w:line="240" w:lineRule="auto"/>
              <w:jc w:val="both"/>
              <w:rPr>
                <w:rFonts w:cstheme="minorHAnsi"/>
              </w:rPr>
            </w:pPr>
            <w:r w:rsidRPr="00814CE3">
              <w:rPr>
                <w:rFonts w:cstheme="minorHAnsi"/>
              </w:rPr>
              <w:t>Překážky a rizika</w:t>
            </w:r>
          </w:p>
        </w:tc>
        <w:tc>
          <w:tcPr>
            <w:tcW w:w="8040" w:type="dxa"/>
            <w:tcBorders>
              <w:top w:val="nil"/>
              <w:left w:val="nil"/>
              <w:bottom w:val="single" w:sz="8" w:space="0" w:color="auto"/>
              <w:right w:val="single" w:sz="8" w:space="0" w:color="auto"/>
            </w:tcBorders>
            <w:tcMar>
              <w:top w:w="0" w:type="dxa"/>
              <w:left w:w="108" w:type="dxa"/>
              <w:bottom w:w="0" w:type="dxa"/>
              <w:right w:w="108" w:type="dxa"/>
            </w:tcMar>
            <w:hideMark/>
          </w:tcPr>
          <w:p w14:paraId="1523D3BD" w14:textId="77777777" w:rsidR="00425BAD" w:rsidRPr="00814CE3" w:rsidRDefault="00425BAD" w:rsidP="00885174">
            <w:pPr>
              <w:spacing w:line="240" w:lineRule="auto"/>
              <w:jc w:val="both"/>
              <w:rPr>
                <w:rFonts w:cstheme="minorHAnsi"/>
              </w:rPr>
            </w:pPr>
            <w:r w:rsidRPr="00814CE3">
              <w:rPr>
                <w:rFonts w:cstheme="minorHAnsi"/>
              </w:rPr>
              <w:t>Ekonomický vývoj, konsolidace veřejných financí, vývoj jednání o energetické směrnici</w:t>
            </w:r>
          </w:p>
        </w:tc>
      </w:tr>
      <w:tr w:rsidR="00425BAD" w:rsidRPr="00814CE3" w14:paraId="6389B7CA" w14:textId="77777777" w:rsidTr="4BFED563">
        <w:trPr>
          <w:trHeight w:val="600"/>
        </w:trPr>
        <w:tc>
          <w:tcPr>
            <w:tcW w:w="2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73BEF9" w14:textId="77777777" w:rsidR="00425BAD" w:rsidRPr="00814CE3" w:rsidRDefault="00425BAD" w:rsidP="00885174">
            <w:pPr>
              <w:spacing w:line="240" w:lineRule="auto"/>
              <w:jc w:val="both"/>
              <w:rPr>
                <w:rFonts w:cstheme="minorHAnsi"/>
              </w:rPr>
            </w:pPr>
            <w:r w:rsidRPr="00814CE3">
              <w:rPr>
                <w:rFonts w:cstheme="minorHAnsi"/>
              </w:rPr>
              <w:t>Cílové skupiny populace a ekonomické subjekty</w:t>
            </w:r>
          </w:p>
        </w:tc>
        <w:tc>
          <w:tcPr>
            <w:tcW w:w="80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4F72007E" w14:textId="3D871F7B" w:rsidR="00425BAD" w:rsidRPr="00814CE3" w:rsidRDefault="00425BAD" w:rsidP="00885174">
            <w:pPr>
              <w:spacing w:line="240" w:lineRule="auto"/>
              <w:jc w:val="both"/>
              <w:rPr>
                <w:rFonts w:cstheme="minorHAnsi"/>
              </w:rPr>
            </w:pPr>
            <w:r w:rsidRPr="00814CE3">
              <w:rPr>
                <w:rFonts w:cstheme="minorHAnsi"/>
              </w:rPr>
              <w:t>Veřejnost, podniky, dopravní společnosti, automobilový průmysl</w:t>
            </w:r>
          </w:p>
        </w:tc>
      </w:tr>
      <w:tr w:rsidR="00425BAD" w:rsidRPr="00814CE3" w14:paraId="38A39354" w14:textId="77777777" w:rsidTr="4BFED563">
        <w:trPr>
          <w:trHeight w:val="900"/>
        </w:trPr>
        <w:tc>
          <w:tcPr>
            <w:tcW w:w="284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55CAE4E" w14:textId="77777777" w:rsidR="00425BAD" w:rsidRPr="00814CE3" w:rsidRDefault="00425BAD" w:rsidP="00885174">
            <w:pPr>
              <w:spacing w:line="240" w:lineRule="auto"/>
              <w:jc w:val="both"/>
              <w:rPr>
                <w:rFonts w:cstheme="minorHAnsi"/>
              </w:rPr>
            </w:pPr>
            <w:r w:rsidRPr="00814CE3">
              <w:rPr>
                <w:rFonts w:cstheme="minorHAnsi"/>
              </w:rPr>
              <w:t>Souhrnné náklady realizace financované z RRF za celé období</w:t>
            </w:r>
          </w:p>
        </w:tc>
        <w:tc>
          <w:tcPr>
            <w:tcW w:w="8040"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14:paraId="3F97ABB8" w14:textId="77777777" w:rsidR="00425BAD" w:rsidRPr="00814CE3" w:rsidRDefault="00425BAD" w:rsidP="00885174">
            <w:pPr>
              <w:spacing w:line="240" w:lineRule="auto"/>
              <w:jc w:val="both"/>
              <w:rPr>
                <w:rFonts w:cstheme="minorHAnsi"/>
              </w:rPr>
            </w:pPr>
            <w:r w:rsidRPr="00814CE3">
              <w:rPr>
                <w:rFonts w:cstheme="minorHAnsi"/>
              </w:rPr>
              <w:t>0 Kč</w:t>
            </w:r>
          </w:p>
        </w:tc>
      </w:tr>
      <w:tr w:rsidR="00425BAD" w:rsidRPr="00814CE3" w14:paraId="5C24A2C6" w14:textId="77777777" w:rsidTr="4BFED563">
        <w:trPr>
          <w:trHeight w:val="825"/>
        </w:trPr>
        <w:tc>
          <w:tcPr>
            <w:tcW w:w="2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57BD0D" w14:textId="77777777" w:rsidR="00425BAD" w:rsidRPr="00814CE3" w:rsidRDefault="00425BAD" w:rsidP="00885174">
            <w:pPr>
              <w:spacing w:line="240" w:lineRule="auto"/>
              <w:jc w:val="both"/>
              <w:rPr>
                <w:rFonts w:cstheme="minorHAnsi"/>
              </w:rPr>
            </w:pPr>
            <w:r w:rsidRPr="00814CE3">
              <w:rPr>
                <w:rFonts w:cstheme="minorHAnsi"/>
              </w:rPr>
              <w:t>Dodržování pravidel státní podpory</w:t>
            </w:r>
          </w:p>
        </w:tc>
        <w:tc>
          <w:tcPr>
            <w:tcW w:w="8040" w:type="dxa"/>
            <w:tcBorders>
              <w:top w:val="nil"/>
              <w:left w:val="nil"/>
              <w:bottom w:val="single" w:sz="8" w:space="0" w:color="auto"/>
              <w:right w:val="single" w:sz="8" w:space="0" w:color="auto"/>
            </w:tcBorders>
            <w:tcMar>
              <w:top w:w="0" w:type="dxa"/>
              <w:left w:w="108" w:type="dxa"/>
              <w:bottom w:w="0" w:type="dxa"/>
              <w:right w:w="108" w:type="dxa"/>
            </w:tcMar>
            <w:hideMark/>
          </w:tcPr>
          <w:p w14:paraId="1EFC9D20" w14:textId="7F61B788" w:rsidR="00425BAD" w:rsidRPr="00814CE3" w:rsidRDefault="2163A1FF" w:rsidP="6BF94FC7">
            <w:pPr>
              <w:spacing w:line="240" w:lineRule="auto"/>
              <w:jc w:val="both"/>
            </w:pPr>
            <w:r w:rsidRPr="6BF94FC7">
              <w:t xml:space="preserve">Reforma spočívá v opatřeních legislativní povahy - úlevy nebo příznivější zacházení podporující zavádění vozidel s nulovými emisemi se vztahuje stejným způsobem na všechny podniky, které jsou ve srovnatelné faktické a právní situaci. </w:t>
            </w:r>
            <w:r w:rsidR="031D087D" w:rsidRPr="6BF94FC7">
              <w:t xml:space="preserve">Kritéria jsou definována objektivně a nediskriminačně. </w:t>
            </w:r>
            <w:r w:rsidRPr="6BF94FC7">
              <w:t>Opatření nezahrnují diskreční pravomoci orgánů. Opatření proto nepředstavuje státní podporu.</w:t>
            </w:r>
          </w:p>
        </w:tc>
      </w:tr>
      <w:tr w:rsidR="00425BAD" w:rsidRPr="00814CE3" w14:paraId="44D56149" w14:textId="77777777" w:rsidTr="4BFED563">
        <w:trPr>
          <w:trHeight w:val="300"/>
        </w:trPr>
        <w:tc>
          <w:tcPr>
            <w:tcW w:w="284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857115" w14:textId="77777777" w:rsidR="00425BAD" w:rsidRPr="00814CE3" w:rsidRDefault="00425BAD" w:rsidP="00885174">
            <w:pPr>
              <w:spacing w:line="240" w:lineRule="auto"/>
              <w:jc w:val="both"/>
              <w:rPr>
                <w:rFonts w:cstheme="minorHAnsi"/>
                <w:highlight w:val="red"/>
              </w:rPr>
            </w:pPr>
            <w:r w:rsidRPr="00814CE3">
              <w:rPr>
                <w:rFonts w:cstheme="minorHAnsi"/>
              </w:rPr>
              <w:t>Uveďte dobu implementace</w:t>
            </w:r>
          </w:p>
        </w:tc>
        <w:tc>
          <w:tcPr>
            <w:tcW w:w="8040" w:type="dxa"/>
            <w:tcBorders>
              <w:top w:val="nil"/>
              <w:left w:val="nil"/>
              <w:bottom w:val="single" w:sz="8" w:space="0" w:color="auto"/>
              <w:right w:val="single" w:sz="8" w:space="0" w:color="auto"/>
            </w:tcBorders>
            <w:tcMar>
              <w:top w:w="0" w:type="dxa"/>
              <w:left w:w="108" w:type="dxa"/>
              <w:bottom w:w="0" w:type="dxa"/>
              <w:right w:w="108" w:type="dxa"/>
            </w:tcMar>
            <w:hideMark/>
          </w:tcPr>
          <w:p w14:paraId="0E4FDC5E" w14:textId="77777777" w:rsidR="00425BAD" w:rsidRPr="00814CE3" w:rsidRDefault="00425BAD" w:rsidP="00885174">
            <w:pPr>
              <w:spacing w:line="240" w:lineRule="auto"/>
              <w:jc w:val="both"/>
              <w:rPr>
                <w:rFonts w:cstheme="minorHAnsi"/>
              </w:rPr>
            </w:pPr>
            <w:r w:rsidRPr="00814CE3">
              <w:rPr>
                <w:rFonts w:cstheme="minorHAnsi"/>
                <w:bCs/>
              </w:rPr>
              <w:t>Některé daňové nástroje již byly implementovány, další jsou diskutovány na politické úrovni v souvislosti s konsolidací veřejných rozpočtů. Zde schválená opatření by měla platit od roku 2024.</w:t>
            </w:r>
          </w:p>
          <w:p w14:paraId="28C5BC4B" w14:textId="77777777" w:rsidR="00425BAD" w:rsidRPr="00814CE3" w:rsidRDefault="00425BAD" w:rsidP="00885174">
            <w:pPr>
              <w:spacing w:line="240" w:lineRule="auto"/>
              <w:jc w:val="both"/>
              <w:rPr>
                <w:rFonts w:cstheme="minorHAnsi"/>
                <w:highlight w:val="red"/>
              </w:rPr>
            </w:pPr>
            <w:r w:rsidRPr="00814CE3">
              <w:rPr>
                <w:rFonts w:cstheme="minorHAnsi"/>
              </w:rPr>
              <w:t>S ostatními je z</w:t>
            </w:r>
            <w:r w:rsidRPr="00814CE3">
              <w:rPr>
                <w:rFonts w:cstheme="minorHAnsi"/>
                <w:bCs/>
              </w:rPr>
              <w:t> hlediska daňové politiky vhodné počkat na finální znění revidované evropské energetické směrnice.</w:t>
            </w:r>
          </w:p>
        </w:tc>
      </w:tr>
    </w:tbl>
    <w:p w14:paraId="490217C5" w14:textId="7E3C05F7" w:rsidR="00425BAD" w:rsidRDefault="00425BAD" w:rsidP="00425BAD">
      <w:pPr>
        <w:spacing w:line="240" w:lineRule="auto"/>
        <w:ind w:left="0"/>
        <w:rPr>
          <w:rFonts w:cstheme="minorHAnsi"/>
          <w:color w:val="auto"/>
          <w:u w:val="single"/>
        </w:rPr>
      </w:pPr>
    </w:p>
    <w:p w14:paraId="79C4B815" w14:textId="006260DB" w:rsidR="770823D0" w:rsidRDefault="770823D0" w:rsidP="4BFED563">
      <w:pPr>
        <w:spacing w:line="240" w:lineRule="auto"/>
        <w:jc w:val="both"/>
        <w:rPr>
          <w:b/>
          <w:bCs/>
          <w:u w:val="single"/>
        </w:rPr>
      </w:pPr>
      <w:r w:rsidRPr="4BFED563">
        <w:rPr>
          <w:b/>
          <w:bCs/>
          <w:u w:val="single"/>
        </w:rPr>
        <w:t xml:space="preserve">Reforma 3: Aktualizace legislativního rámce pro obnovitelný vodík  </w:t>
      </w:r>
    </w:p>
    <w:tbl>
      <w:tblPr>
        <w:tblStyle w:val="Mkatabulky"/>
        <w:tblW w:w="10060" w:type="dxa"/>
        <w:tblLook w:val="04A0" w:firstRow="1" w:lastRow="0" w:firstColumn="1" w:lastColumn="0" w:noHBand="0" w:noVBand="1"/>
      </w:tblPr>
      <w:tblGrid>
        <w:gridCol w:w="2608"/>
        <w:gridCol w:w="7452"/>
      </w:tblGrid>
      <w:tr w:rsidR="00425BAD" w:rsidRPr="00814CE3" w14:paraId="608CE221" w14:textId="77777777" w:rsidTr="4BFED563">
        <w:trPr>
          <w:trHeight w:val="900"/>
        </w:trPr>
        <w:tc>
          <w:tcPr>
            <w:tcW w:w="2608" w:type="dxa"/>
            <w:hideMark/>
          </w:tcPr>
          <w:p w14:paraId="47BBD62A" w14:textId="77777777" w:rsidR="00425BAD" w:rsidRPr="00814CE3" w:rsidRDefault="00425BAD" w:rsidP="00885174">
            <w:pPr>
              <w:spacing w:line="240" w:lineRule="auto"/>
              <w:jc w:val="both"/>
              <w:rPr>
                <w:rFonts w:cstheme="minorHAnsi"/>
              </w:rPr>
            </w:pPr>
            <w:r w:rsidRPr="00814CE3">
              <w:rPr>
                <w:rFonts w:cstheme="minorHAnsi"/>
              </w:rPr>
              <w:t>Výzva</w:t>
            </w:r>
          </w:p>
        </w:tc>
        <w:tc>
          <w:tcPr>
            <w:tcW w:w="7452" w:type="dxa"/>
            <w:hideMark/>
          </w:tcPr>
          <w:p w14:paraId="0C13DCCE" w14:textId="2B0ECA9B" w:rsidR="00425BAD" w:rsidRPr="00814CE3" w:rsidRDefault="00425BAD" w:rsidP="00885174">
            <w:pPr>
              <w:spacing w:line="240" w:lineRule="auto"/>
              <w:jc w:val="both"/>
              <w:rPr>
                <w:rFonts w:cstheme="minorHAnsi"/>
              </w:rPr>
            </w:pPr>
            <w:r w:rsidRPr="00814CE3">
              <w:rPr>
                <w:rFonts w:cstheme="minorHAnsi"/>
              </w:rPr>
              <w:t>Vodík je jedním ze stavebních kamenů pro budování nízkoemisní dopravy a</w:t>
            </w:r>
            <w:r w:rsidR="006A5750">
              <w:rPr>
                <w:rFonts w:cstheme="minorHAnsi"/>
              </w:rPr>
              <w:t> </w:t>
            </w:r>
            <w:r w:rsidRPr="00814CE3">
              <w:rPr>
                <w:rFonts w:cstheme="minorHAnsi"/>
              </w:rPr>
              <w:t xml:space="preserve">průmyslu. </w:t>
            </w:r>
            <w:r w:rsidRPr="00814CE3">
              <w:rPr>
                <w:rFonts w:cstheme="minorHAnsi"/>
                <w:b/>
              </w:rPr>
              <w:t>Národní vodíková strategie</w:t>
            </w:r>
            <w:r w:rsidRPr="00814CE3">
              <w:rPr>
                <w:rFonts w:cstheme="minorHAnsi"/>
              </w:rPr>
              <w:t xml:space="preserve"> musí vytvořit vodítko pro hlavní stakehodery, aby mohli přijímat správná investiční rozhodnutí.</w:t>
            </w:r>
          </w:p>
          <w:p w14:paraId="710A929D" w14:textId="77777777" w:rsidR="00425BAD" w:rsidRPr="00814CE3" w:rsidRDefault="00425BAD" w:rsidP="00885174">
            <w:pPr>
              <w:spacing w:line="240" w:lineRule="auto"/>
              <w:jc w:val="both"/>
              <w:rPr>
                <w:rFonts w:cstheme="minorHAnsi"/>
              </w:rPr>
            </w:pPr>
            <w:r w:rsidRPr="00814CE3">
              <w:rPr>
                <w:rFonts w:cstheme="minorHAnsi"/>
                <w:b/>
              </w:rPr>
              <w:t>Budování elektrolyzérů</w:t>
            </w:r>
            <w:r w:rsidRPr="00814CE3">
              <w:rPr>
                <w:rFonts w:cstheme="minorHAnsi"/>
              </w:rPr>
              <w:t xml:space="preserve"> připojených k obnovitelným zdrojům energie je na svém počátku. Elektrolyzér je současně energetické zařízení a zařízení produkující chemické látky (vodík), proto se může na jeho výstavbu vztahovat velké množství nejrůznější předpisů a nařízené. Je nutné zajistit budoucí vysokou bezpečnost provozu elektrolyzéru, ale současně maximálně zjednodušit a sjednotit povolovací procesy tak, aby se zlevnilo a zrychlilo projektování a výstavby elektrolyzérů různých velikostí.</w:t>
            </w:r>
          </w:p>
          <w:p w14:paraId="3DA791B0" w14:textId="77777777" w:rsidR="00425BAD" w:rsidRPr="00814CE3" w:rsidRDefault="00425BAD" w:rsidP="00885174">
            <w:pPr>
              <w:spacing w:line="240" w:lineRule="auto"/>
              <w:jc w:val="both"/>
              <w:rPr>
                <w:rFonts w:cstheme="minorHAnsi"/>
              </w:rPr>
            </w:pPr>
            <w:r w:rsidRPr="00814CE3">
              <w:rPr>
                <w:rFonts w:cstheme="minorHAnsi"/>
                <w:b/>
              </w:rPr>
              <w:t>Metodika rozvoje ostrovních řešení</w:t>
            </w:r>
            <w:r w:rsidRPr="00814CE3">
              <w:rPr>
                <w:rFonts w:cstheme="minorHAnsi"/>
              </w:rPr>
              <w:t xml:space="preserve"> pro akceleraci vodíkové mobility: Pro počáteční rozvoj vodíkových technologií je výhodné snížit náklady na dopravu nízko-uhlíkového vodíku tím, že vodík se spotřebovává ve stejném místě, kde se vyrábí. Tato „ostrovní řešení“ jsou vhodná jako pilotní projekty výstavby vodíkové infrastruktury. Pro efektivní budování a zajištění dlouhodobé ekonomické udržitelnosti ostrovních řešení je nutné vypracovat a odzkoušet metodiku jejich návrhu a výstavby.</w:t>
            </w:r>
          </w:p>
        </w:tc>
      </w:tr>
      <w:tr w:rsidR="00425BAD" w:rsidRPr="00814CE3" w14:paraId="3F73B81A" w14:textId="77777777" w:rsidTr="4BFED563">
        <w:trPr>
          <w:trHeight w:val="2115"/>
        </w:trPr>
        <w:tc>
          <w:tcPr>
            <w:tcW w:w="2608" w:type="dxa"/>
            <w:hideMark/>
          </w:tcPr>
          <w:p w14:paraId="17CBF9FC" w14:textId="77777777" w:rsidR="00425BAD" w:rsidRPr="00814CE3" w:rsidRDefault="00425BAD" w:rsidP="00885174">
            <w:pPr>
              <w:spacing w:line="240" w:lineRule="auto"/>
              <w:jc w:val="both"/>
              <w:rPr>
                <w:rFonts w:cstheme="minorHAnsi"/>
              </w:rPr>
            </w:pPr>
            <w:r w:rsidRPr="00814CE3">
              <w:rPr>
                <w:rFonts w:cstheme="minorHAnsi"/>
              </w:rPr>
              <w:lastRenderedPageBreak/>
              <w:t>Cíl</w:t>
            </w:r>
          </w:p>
        </w:tc>
        <w:tc>
          <w:tcPr>
            <w:tcW w:w="7452" w:type="dxa"/>
            <w:hideMark/>
          </w:tcPr>
          <w:p w14:paraId="074204E7" w14:textId="77777777" w:rsidR="00425BAD" w:rsidRPr="00814CE3" w:rsidRDefault="00425BAD" w:rsidP="00885174">
            <w:pPr>
              <w:spacing w:line="240" w:lineRule="auto"/>
              <w:jc w:val="both"/>
              <w:rPr>
                <w:rFonts w:cstheme="minorHAnsi"/>
              </w:rPr>
            </w:pPr>
            <w:r w:rsidRPr="00814CE3">
              <w:rPr>
                <w:rFonts w:cstheme="minorHAnsi"/>
              </w:rPr>
              <w:t>Aktualizovat Vodíkovou strategii České republiky, aby odpovídala současným změněným požadavkům a poskytla vodítka pro budoucí investiční rozhodnutí v oblasti vodíkových technologií, dosahování cílů dekarbonizace a podpory rozvoje národního hospodářství.</w:t>
            </w:r>
          </w:p>
          <w:p w14:paraId="0AC2C8EB" w14:textId="47582A2D" w:rsidR="00425BAD" w:rsidRPr="00814CE3" w:rsidRDefault="00425BAD" w:rsidP="00885174">
            <w:pPr>
              <w:spacing w:line="240" w:lineRule="auto"/>
              <w:jc w:val="both"/>
              <w:rPr>
                <w:rFonts w:cstheme="minorHAnsi"/>
              </w:rPr>
            </w:pPr>
            <w:r w:rsidRPr="00814CE3">
              <w:rPr>
                <w:rFonts w:cstheme="minorHAnsi"/>
              </w:rPr>
              <w:t>Vytvořit návodnou metodiku pro budování elektrolyzérů pro investory a producenty vodíku a návodnou metodiku pro orgány státní správy</w:t>
            </w:r>
            <w:r w:rsidR="00806A81">
              <w:rPr>
                <w:rFonts w:cstheme="minorHAnsi"/>
              </w:rPr>
              <w:t xml:space="preserve">, </w:t>
            </w:r>
            <w:r w:rsidR="00806A81" w:rsidRPr="00806A81">
              <w:rPr>
                <w:rFonts w:cstheme="minorHAnsi"/>
              </w:rPr>
              <w:t>samosprávy a energetická společenství</w:t>
            </w:r>
            <w:r w:rsidRPr="00814CE3">
              <w:rPr>
                <w:rFonts w:cstheme="minorHAnsi"/>
              </w:rPr>
              <w:t>. Pokud se v průběhu přípravy metodik ukáže, že je nutné změnit nebo doplnit stávající vyhlášky a zákony, budou příslušné legislativní akty upraveny a schváleny.</w:t>
            </w:r>
          </w:p>
          <w:p w14:paraId="6DA29F48" w14:textId="77777777" w:rsidR="00425BAD" w:rsidRPr="00814CE3" w:rsidRDefault="00425BAD" w:rsidP="00885174">
            <w:pPr>
              <w:spacing w:line="240" w:lineRule="auto"/>
              <w:jc w:val="both"/>
              <w:rPr>
                <w:rFonts w:cstheme="minorHAnsi"/>
              </w:rPr>
            </w:pPr>
            <w:r w:rsidRPr="00814CE3">
              <w:rPr>
                <w:rFonts w:cstheme="minorHAnsi"/>
              </w:rPr>
              <w:t>Cílem je také vytvoření metodik modulárních ostrovních řešení umožňujících rozvoj vodíkové infrastruktury v dopravě s využitím cenově přijatelných řešení, vytvoření návodných postupů pro posuzování a schvalování regionálních řešení ze strany municipalit a zároveň pilotní ověření metod formou studií proveditelnosti v konkrétních vybraných regionech. Důraz řešení bude kladen na vytvoření a ověření metody zavádění regionálních ostrovních řešení pro dekarbonizovanou dopravu díky pilotnímu ověření na reálných pilotech několika mikroregionů. Pilotní studie zahrnují ověření životaschopnosti, ekonomické efektivity a míry energetické soběstačnosti komplexního regionálního řešení vodíkového hospodářství pro účely dekarbonizace multimodální dopravy ve smyslu integrální ekologie, s pozitivní vazbou na posílení české ekonomiky. Výstupy projektu najdou uplatnění v navazujících investičních projektech reálného rychlého zavedení využití nízkouhlíkového vodíku v regionální dopravě v daných mikroregionech a zároveň díky vysoké míře replikovatelnosti metody i v dalších mikroregionech v ČR a EU.</w:t>
            </w:r>
          </w:p>
          <w:p w14:paraId="12C58B0A" w14:textId="77777777" w:rsidR="00425BAD" w:rsidRPr="00814CE3" w:rsidRDefault="00425BAD" w:rsidP="00885174">
            <w:pPr>
              <w:spacing w:line="240" w:lineRule="auto"/>
              <w:jc w:val="both"/>
              <w:rPr>
                <w:rFonts w:cstheme="minorHAnsi"/>
              </w:rPr>
            </w:pPr>
            <w:r w:rsidRPr="00814CE3">
              <w:rPr>
                <w:rFonts w:cstheme="minorHAnsi"/>
              </w:rPr>
              <w:t>Součástí ověření metodiky budou i případné požadavky na změny legislativy, aby byla zajištěna efektivní implementace metodiky.</w:t>
            </w:r>
          </w:p>
        </w:tc>
      </w:tr>
      <w:tr w:rsidR="00425BAD" w:rsidRPr="00814CE3" w14:paraId="38BC616B" w14:textId="77777777" w:rsidTr="4BFED563">
        <w:trPr>
          <w:trHeight w:val="3246"/>
        </w:trPr>
        <w:tc>
          <w:tcPr>
            <w:tcW w:w="2608" w:type="dxa"/>
            <w:hideMark/>
          </w:tcPr>
          <w:p w14:paraId="556AA37F" w14:textId="77777777" w:rsidR="00425BAD" w:rsidRPr="00814CE3" w:rsidRDefault="00425BAD" w:rsidP="00885174">
            <w:pPr>
              <w:spacing w:line="240" w:lineRule="auto"/>
              <w:jc w:val="both"/>
              <w:rPr>
                <w:rFonts w:cstheme="minorHAnsi"/>
              </w:rPr>
            </w:pPr>
            <w:r w:rsidRPr="00814CE3">
              <w:rPr>
                <w:rFonts w:cstheme="minorHAnsi"/>
              </w:rPr>
              <w:t>Implementace</w:t>
            </w:r>
          </w:p>
        </w:tc>
        <w:tc>
          <w:tcPr>
            <w:tcW w:w="7452" w:type="dxa"/>
            <w:hideMark/>
          </w:tcPr>
          <w:p w14:paraId="770F281C" w14:textId="77777777" w:rsidR="00425BAD" w:rsidRPr="00814CE3" w:rsidRDefault="00425BAD" w:rsidP="00885174">
            <w:pPr>
              <w:spacing w:line="240" w:lineRule="auto"/>
              <w:jc w:val="both"/>
              <w:rPr>
                <w:rFonts w:cstheme="minorHAnsi"/>
              </w:rPr>
            </w:pPr>
            <w:r w:rsidRPr="00814CE3">
              <w:rPr>
                <w:rFonts w:cstheme="minorHAnsi"/>
              </w:rPr>
              <w:t>Podobně jako příprava první vodíkové strategie bude i její aktualizace probíhat v několika etapách, přičemž do každé chceme zapojit co nejširší spektrum příslušných stakeholderů.</w:t>
            </w:r>
            <w:r w:rsidRPr="00814CE3">
              <w:rPr>
                <w:rFonts w:cstheme="minorHAnsi"/>
              </w:rPr>
              <w:br/>
              <w:t>- sběr dat: získání odhadu o spotřebě a možnostech výroby vodíku</w:t>
            </w:r>
            <w:r w:rsidRPr="00814CE3">
              <w:rPr>
                <w:rFonts w:cstheme="minorHAnsi"/>
              </w:rPr>
              <w:br/>
              <w:t>- určení požadavků na množství vodíku podle nových nařízení EK (RED, AFIR, ...)</w:t>
            </w:r>
            <w:r w:rsidRPr="00814CE3">
              <w:rPr>
                <w:rFonts w:cstheme="minorHAnsi"/>
              </w:rPr>
              <w:br/>
              <w:t>- konsolidace dat, určení rozdílu mezi vývojem požadavků na spotřebu a možnostmi výroby</w:t>
            </w:r>
            <w:r w:rsidRPr="00814CE3">
              <w:rPr>
                <w:rFonts w:cstheme="minorHAnsi"/>
              </w:rPr>
              <w:br/>
              <w:t>- inventura či revize stále se vyvíjejících ch podmínek financování - posouzení možností jak zaplnit mezeru mezi výrobou a spotřebou</w:t>
            </w:r>
            <w:r w:rsidRPr="00814CE3">
              <w:rPr>
                <w:rFonts w:cstheme="minorHAnsi"/>
              </w:rPr>
              <w:br/>
              <w:t>- ekonomické vyhodnocení různých scénářů</w:t>
            </w:r>
            <w:r w:rsidRPr="00814CE3">
              <w:rPr>
                <w:rFonts w:cstheme="minorHAnsi"/>
              </w:rPr>
              <w:br/>
              <w:t>- konsolidace výsledků</w:t>
            </w:r>
            <w:r w:rsidRPr="00814CE3">
              <w:rPr>
                <w:rFonts w:cstheme="minorHAnsi"/>
              </w:rPr>
              <w:br/>
              <w:t>- připomínkování strategie</w:t>
            </w:r>
            <w:r w:rsidRPr="00814CE3">
              <w:rPr>
                <w:rFonts w:cstheme="minorHAnsi"/>
              </w:rPr>
              <w:br/>
              <w:t>- předložení strategie ke schválení vládou</w:t>
            </w:r>
          </w:p>
          <w:p w14:paraId="1B82A65F" w14:textId="77777777" w:rsidR="00425BAD" w:rsidRPr="00814CE3" w:rsidRDefault="00425BAD" w:rsidP="00885174">
            <w:pPr>
              <w:spacing w:line="240" w:lineRule="auto"/>
              <w:jc w:val="both"/>
              <w:rPr>
                <w:rFonts w:cstheme="minorHAnsi"/>
              </w:rPr>
            </w:pPr>
            <w:r w:rsidRPr="00814CE3">
              <w:rPr>
                <w:rFonts w:cstheme="minorHAnsi"/>
              </w:rPr>
              <w:t>Etapy řešení metodiky pro budování elektrolyzérů:</w:t>
            </w:r>
          </w:p>
          <w:p w14:paraId="7E354913" w14:textId="77777777" w:rsidR="00425BAD" w:rsidRPr="00814CE3" w:rsidRDefault="00425BAD" w:rsidP="00885174">
            <w:pPr>
              <w:pStyle w:val="Odstavecseseznamem"/>
              <w:numPr>
                <w:ilvl w:val="0"/>
                <w:numId w:val="11"/>
              </w:numPr>
              <w:spacing w:after="160" w:line="240" w:lineRule="auto"/>
              <w:jc w:val="both"/>
              <w:rPr>
                <w:rFonts w:cstheme="minorHAnsi"/>
              </w:rPr>
            </w:pPr>
            <w:r w:rsidRPr="4BFED563">
              <w:t>analýza obdobných zahraničních metodik a postupů,</w:t>
            </w:r>
          </w:p>
          <w:p w14:paraId="5D415171" w14:textId="77777777" w:rsidR="00425BAD" w:rsidRPr="00814CE3" w:rsidRDefault="00425BAD" w:rsidP="00885174">
            <w:pPr>
              <w:pStyle w:val="Odstavecseseznamem"/>
              <w:numPr>
                <w:ilvl w:val="0"/>
                <w:numId w:val="11"/>
              </w:numPr>
              <w:spacing w:after="160" w:line="240" w:lineRule="auto"/>
              <w:jc w:val="both"/>
              <w:rPr>
                <w:rFonts w:cstheme="minorHAnsi"/>
              </w:rPr>
            </w:pPr>
            <w:r w:rsidRPr="4BFED563">
              <w:t>návodná metodika pro zájemce o výstavbu ostrovních řešení,</w:t>
            </w:r>
          </w:p>
          <w:p w14:paraId="2DDE397D" w14:textId="77777777" w:rsidR="00425BAD" w:rsidRPr="00814CE3" w:rsidRDefault="00425BAD" w:rsidP="00885174">
            <w:pPr>
              <w:pStyle w:val="Odstavecseseznamem"/>
              <w:numPr>
                <w:ilvl w:val="0"/>
                <w:numId w:val="11"/>
              </w:numPr>
              <w:spacing w:after="160" w:line="240" w:lineRule="auto"/>
              <w:jc w:val="both"/>
              <w:rPr>
                <w:rFonts w:cstheme="minorHAnsi"/>
              </w:rPr>
            </w:pPr>
            <w:r w:rsidRPr="4BFED563">
              <w:t>metodika posuzování záměrů výstavby ostrovních řešení pro orgány státní správy.</w:t>
            </w:r>
          </w:p>
          <w:p w14:paraId="4150374B" w14:textId="77777777" w:rsidR="00425BAD" w:rsidRPr="00814CE3" w:rsidRDefault="00425BAD" w:rsidP="00885174">
            <w:pPr>
              <w:spacing w:line="240" w:lineRule="auto"/>
              <w:jc w:val="both"/>
              <w:rPr>
                <w:rFonts w:cstheme="minorHAnsi"/>
              </w:rPr>
            </w:pPr>
            <w:r w:rsidRPr="00814CE3">
              <w:rPr>
                <w:rFonts w:cstheme="minorHAnsi"/>
              </w:rPr>
              <w:t>Etapy řešení metodiky pro rozvoj ostrovních řešení:</w:t>
            </w:r>
          </w:p>
          <w:p w14:paraId="3D660BA4" w14:textId="77777777" w:rsidR="00425BAD" w:rsidRPr="00814CE3" w:rsidRDefault="00425BAD" w:rsidP="00885174">
            <w:pPr>
              <w:pStyle w:val="Odstavecseseznamem"/>
              <w:numPr>
                <w:ilvl w:val="0"/>
                <w:numId w:val="11"/>
              </w:numPr>
              <w:spacing w:after="160" w:line="240" w:lineRule="auto"/>
              <w:jc w:val="both"/>
              <w:rPr>
                <w:rFonts w:cstheme="minorHAnsi"/>
              </w:rPr>
            </w:pPr>
            <w:r w:rsidRPr="4BFED563">
              <w:t>základní koncept rozvoje ostrovních řešení pro akceleraci vodíkové mobility,</w:t>
            </w:r>
          </w:p>
          <w:p w14:paraId="0ED972CA" w14:textId="77777777" w:rsidR="00425BAD" w:rsidRPr="00814CE3" w:rsidRDefault="00425BAD" w:rsidP="00885174">
            <w:pPr>
              <w:pStyle w:val="Odstavecseseznamem"/>
              <w:numPr>
                <w:ilvl w:val="0"/>
                <w:numId w:val="11"/>
              </w:numPr>
              <w:spacing w:after="160" w:line="240" w:lineRule="auto"/>
              <w:jc w:val="both"/>
              <w:rPr>
                <w:rFonts w:cstheme="minorHAnsi"/>
              </w:rPr>
            </w:pPr>
            <w:r w:rsidRPr="4BFED563">
              <w:t>studie proveditelnosti ve vybraných mikroregionech (cca 3),</w:t>
            </w:r>
          </w:p>
          <w:p w14:paraId="47156B8D" w14:textId="77777777" w:rsidR="00425BAD" w:rsidRPr="00814CE3" w:rsidRDefault="00425BAD" w:rsidP="00885174">
            <w:pPr>
              <w:pStyle w:val="Odstavecseseznamem"/>
              <w:numPr>
                <w:ilvl w:val="0"/>
                <w:numId w:val="11"/>
              </w:numPr>
              <w:spacing w:after="160" w:line="240" w:lineRule="auto"/>
              <w:jc w:val="both"/>
              <w:rPr>
                <w:rFonts w:cstheme="minorHAnsi"/>
              </w:rPr>
            </w:pPr>
            <w:r w:rsidRPr="4BFED563">
              <w:lastRenderedPageBreak/>
              <w:t>návodná metodika pro zájemce o výstavbu ostrovních řešení,</w:t>
            </w:r>
          </w:p>
          <w:p w14:paraId="1BCBD498" w14:textId="77777777" w:rsidR="00425BAD" w:rsidRPr="00814CE3" w:rsidRDefault="00425BAD" w:rsidP="00885174">
            <w:pPr>
              <w:pStyle w:val="Odstavecseseznamem"/>
              <w:numPr>
                <w:ilvl w:val="0"/>
                <w:numId w:val="11"/>
              </w:numPr>
              <w:spacing w:after="160" w:line="240" w:lineRule="auto"/>
              <w:jc w:val="both"/>
              <w:rPr>
                <w:rFonts w:cstheme="minorHAnsi"/>
              </w:rPr>
            </w:pPr>
            <w:r w:rsidRPr="4BFED563">
              <w:t>metodika posuzování záměrů výstavby ostrovních řešení pro orgány státní správy.</w:t>
            </w:r>
          </w:p>
          <w:p w14:paraId="75A792EC" w14:textId="77777777" w:rsidR="00425BAD" w:rsidRPr="00814CE3" w:rsidRDefault="00425BAD" w:rsidP="00885174">
            <w:pPr>
              <w:spacing w:after="160" w:line="240" w:lineRule="auto"/>
              <w:jc w:val="both"/>
              <w:rPr>
                <w:rFonts w:cstheme="minorHAnsi"/>
              </w:rPr>
            </w:pPr>
          </w:p>
        </w:tc>
      </w:tr>
      <w:tr w:rsidR="00425BAD" w:rsidRPr="00814CE3" w14:paraId="6EEF81A5" w14:textId="77777777" w:rsidTr="4BFED563">
        <w:trPr>
          <w:trHeight w:val="600"/>
        </w:trPr>
        <w:tc>
          <w:tcPr>
            <w:tcW w:w="2608" w:type="dxa"/>
            <w:hideMark/>
          </w:tcPr>
          <w:p w14:paraId="2DF21F1D" w14:textId="77777777" w:rsidR="00425BAD" w:rsidRPr="00814CE3" w:rsidRDefault="00425BAD" w:rsidP="00885174">
            <w:pPr>
              <w:spacing w:line="240" w:lineRule="auto"/>
              <w:jc w:val="both"/>
              <w:rPr>
                <w:rFonts w:cstheme="minorHAnsi"/>
              </w:rPr>
            </w:pPr>
            <w:r w:rsidRPr="00814CE3">
              <w:rPr>
                <w:rFonts w:cstheme="minorHAnsi"/>
              </w:rPr>
              <w:lastRenderedPageBreak/>
              <w:t>Spolupráce a zapojení zúčastněných stran</w:t>
            </w:r>
          </w:p>
        </w:tc>
        <w:tc>
          <w:tcPr>
            <w:tcW w:w="7452" w:type="dxa"/>
            <w:hideMark/>
          </w:tcPr>
          <w:p w14:paraId="3CA05BD3" w14:textId="7E78751E" w:rsidR="00425BAD" w:rsidRPr="00814CE3" w:rsidRDefault="00347CAA" w:rsidP="00885174">
            <w:pPr>
              <w:spacing w:line="240" w:lineRule="auto"/>
              <w:jc w:val="both"/>
              <w:rPr>
                <w:rFonts w:cstheme="minorHAnsi"/>
              </w:rPr>
            </w:pPr>
            <w:r>
              <w:rPr>
                <w:rFonts w:cstheme="minorHAnsi"/>
              </w:rPr>
              <w:t xml:space="preserve">MPO, </w:t>
            </w:r>
            <w:r w:rsidR="00425BAD" w:rsidRPr="00814CE3">
              <w:rPr>
                <w:rFonts w:cstheme="minorHAnsi"/>
              </w:rPr>
              <w:t>MD, MŽP, MMR, MF, průmyslové asociace, odborové a zaměstnavatelské svazy, obchodní komora, konzultační firmy, průmyslové, energetické a dopravní společnosti, vodíkové technologické platformy a asociace, odborná veřejnost, Centrum dopravního výzkumu, regiony</w:t>
            </w:r>
          </w:p>
        </w:tc>
      </w:tr>
      <w:tr w:rsidR="00425BAD" w:rsidRPr="00814CE3" w14:paraId="364EE152" w14:textId="77777777" w:rsidTr="4BFED563">
        <w:trPr>
          <w:trHeight w:val="600"/>
        </w:trPr>
        <w:tc>
          <w:tcPr>
            <w:tcW w:w="2608" w:type="dxa"/>
            <w:hideMark/>
          </w:tcPr>
          <w:p w14:paraId="754D8888" w14:textId="77777777" w:rsidR="00425BAD" w:rsidRPr="00814CE3" w:rsidRDefault="00425BAD" w:rsidP="00885174">
            <w:pPr>
              <w:spacing w:line="240" w:lineRule="auto"/>
              <w:jc w:val="both"/>
              <w:rPr>
                <w:rFonts w:cstheme="minorHAnsi"/>
              </w:rPr>
            </w:pPr>
            <w:r w:rsidRPr="00814CE3">
              <w:rPr>
                <w:rFonts w:cstheme="minorHAnsi"/>
              </w:rPr>
              <w:t>Překážky a rizika</w:t>
            </w:r>
          </w:p>
        </w:tc>
        <w:tc>
          <w:tcPr>
            <w:tcW w:w="7452" w:type="dxa"/>
            <w:hideMark/>
          </w:tcPr>
          <w:p w14:paraId="3A7BB155" w14:textId="77777777" w:rsidR="00425BAD" w:rsidRPr="00814CE3" w:rsidRDefault="00425BAD" w:rsidP="00885174">
            <w:pPr>
              <w:spacing w:line="240" w:lineRule="auto"/>
              <w:jc w:val="both"/>
              <w:rPr>
                <w:rFonts w:cstheme="minorHAnsi"/>
              </w:rPr>
            </w:pPr>
            <w:r w:rsidRPr="00814CE3">
              <w:rPr>
                <w:rFonts w:cstheme="minorHAnsi"/>
              </w:rPr>
              <w:t>Největším rizikem je napjatý časový plán a omezené lidské zdroje na straně MPO a dalších rezortů.</w:t>
            </w:r>
          </w:p>
        </w:tc>
      </w:tr>
      <w:tr w:rsidR="00425BAD" w:rsidRPr="00814CE3" w14:paraId="6EBD67B4" w14:textId="77777777" w:rsidTr="4BFED563">
        <w:trPr>
          <w:trHeight w:val="600"/>
        </w:trPr>
        <w:tc>
          <w:tcPr>
            <w:tcW w:w="2608" w:type="dxa"/>
            <w:hideMark/>
          </w:tcPr>
          <w:p w14:paraId="0B26DFA8" w14:textId="77777777" w:rsidR="00425BAD" w:rsidRPr="00814CE3" w:rsidRDefault="00425BAD" w:rsidP="00885174">
            <w:pPr>
              <w:spacing w:line="240" w:lineRule="auto"/>
              <w:jc w:val="both"/>
              <w:rPr>
                <w:rFonts w:cstheme="minorHAnsi"/>
              </w:rPr>
            </w:pPr>
            <w:r w:rsidRPr="00814CE3">
              <w:rPr>
                <w:rFonts w:cstheme="minorHAnsi"/>
              </w:rPr>
              <w:t>Cílové skupiny populace a ekonomické subjekty</w:t>
            </w:r>
          </w:p>
        </w:tc>
        <w:tc>
          <w:tcPr>
            <w:tcW w:w="7452" w:type="dxa"/>
            <w:hideMark/>
          </w:tcPr>
          <w:p w14:paraId="6D5EF3D7" w14:textId="77777777" w:rsidR="00425BAD" w:rsidRPr="00814CE3" w:rsidRDefault="00425BAD" w:rsidP="00885174">
            <w:pPr>
              <w:spacing w:line="240" w:lineRule="auto"/>
              <w:jc w:val="both"/>
              <w:rPr>
                <w:rFonts w:cstheme="minorHAnsi"/>
              </w:rPr>
            </w:pPr>
            <w:r w:rsidRPr="00814CE3">
              <w:rPr>
                <w:rFonts w:cstheme="minorHAnsi"/>
              </w:rPr>
              <w:t>průmyslové podniky, dopravní společnosti, energetické firmy, veřejnost, investoři, regiony, orgány státní správy</w:t>
            </w:r>
          </w:p>
        </w:tc>
      </w:tr>
      <w:tr w:rsidR="00425BAD" w:rsidRPr="00814CE3" w14:paraId="1E8FA038" w14:textId="77777777" w:rsidTr="4BFED563">
        <w:trPr>
          <w:trHeight w:val="900"/>
        </w:trPr>
        <w:tc>
          <w:tcPr>
            <w:tcW w:w="2608" w:type="dxa"/>
            <w:hideMark/>
          </w:tcPr>
          <w:p w14:paraId="7340541B" w14:textId="77777777" w:rsidR="00425BAD" w:rsidRPr="00814CE3" w:rsidRDefault="00425BAD" w:rsidP="00885174">
            <w:pPr>
              <w:spacing w:line="240" w:lineRule="auto"/>
              <w:jc w:val="both"/>
              <w:rPr>
                <w:rFonts w:cstheme="minorHAnsi"/>
              </w:rPr>
            </w:pPr>
            <w:r w:rsidRPr="00814CE3">
              <w:rPr>
                <w:rFonts w:cstheme="minorHAnsi"/>
              </w:rPr>
              <w:t>Souhrnné náklady realizace financované z RRF za celé období</w:t>
            </w:r>
          </w:p>
        </w:tc>
        <w:tc>
          <w:tcPr>
            <w:tcW w:w="7452" w:type="dxa"/>
            <w:hideMark/>
          </w:tcPr>
          <w:p w14:paraId="05E7896C" w14:textId="77777777" w:rsidR="00425BAD" w:rsidRPr="00814CE3" w:rsidRDefault="00425BAD" w:rsidP="00885174">
            <w:pPr>
              <w:spacing w:line="240" w:lineRule="auto"/>
              <w:jc w:val="both"/>
              <w:rPr>
                <w:rFonts w:cstheme="minorHAnsi"/>
              </w:rPr>
            </w:pPr>
            <w:r w:rsidRPr="00814CE3">
              <w:rPr>
                <w:rFonts w:cstheme="minorHAnsi"/>
              </w:rPr>
              <w:t>0 Kč</w:t>
            </w:r>
          </w:p>
        </w:tc>
      </w:tr>
      <w:tr w:rsidR="00425BAD" w:rsidRPr="00814CE3" w14:paraId="23345DE1" w14:textId="77777777" w:rsidTr="4BFED563">
        <w:trPr>
          <w:trHeight w:val="1200"/>
        </w:trPr>
        <w:tc>
          <w:tcPr>
            <w:tcW w:w="2608" w:type="dxa"/>
            <w:hideMark/>
          </w:tcPr>
          <w:p w14:paraId="07024FBA" w14:textId="77777777" w:rsidR="00425BAD" w:rsidRPr="00814CE3" w:rsidRDefault="00425BAD" w:rsidP="00885174">
            <w:pPr>
              <w:spacing w:line="240" w:lineRule="auto"/>
              <w:jc w:val="both"/>
              <w:rPr>
                <w:rFonts w:cstheme="minorHAnsi"/>
              </w:rPr>
            </w:pPr>
            <w:r w:rsidRPr="00814CE3">
              <w:rPr>
                <w:rFonts w:cstheme="minorHAnsi"/>
              </w:rPr>
              <w:t>Dodržování pravidel státní podpory</w:t>
            </w:r>
          </w:p>
        </w:tc>
        <w:tc>
          <w:tcPr>
            <w:tcW w:w="7452" w:type="dxa"/>
            <w:hideMark/>
          </w:tcPr>
          <w:p w14:paraId="12DA3474" w14:textId="08F442FE" w:rsidR="00425BAD" w:rsidRPr="00814CE3" w:rsidRDefault="499BC452" w:rsidP="6BF94FC7">
            <w:pPr>
              <w:spacing w:line="240" w:lineRule="auto"/>
              <w:jc w:val="both"/>
            </w:pPr>
            <w:r w:rsidRPr="6BF94FC7">
              <w:t xml:space="preserve">K financování vybraných </w:t>
            </w:r>
            <w:r w:rsidR="5D8532B1" w:rsidRPr="6BF94FC7">
              <w:t xml:space="preserve">opatření a </w:t>
            </w:r>
            <w:r w:rsidRPr="6BF94FC7">
              <w:t>projektů vycházejících z vodíkové strategie budou použity různé fondy, jako je Inovační fond, Modernizační fond, Operační programy, Fond spravedlivé transformace atd. Financování bude vždy v souladu s pravidly státní podpory tak, jak jsou schváleny v daném programu.</w:t>
            </w:r>
          </w:p>
          <w:p w14:paraId="7EB93BB4" w14:textId="3408290B" w:rsidR="00425BAD" w:rsidRPr="00814CE3" w:rsidRDefault="303C708E" w:rsidP="754566DB">
            <w:pPr>
              <w:spacing w:line="240" w:lineRule="auto"/>
              <w:jc w:val="both"/>
            </w:pPr>
            <w:r w:rsidRPr="6BF94FC7">
              <w:t xml:space="preserve">Strategie však ještě nebyla zcela vypracována a schválena, v současné době nejsou známa všechna plánovaná opatření, která budou do akčního plánu zahrnuta. Strategický dokument jako takový nepředstavuje veřejnou podporu. Obecně však platí, že </w:t>
            </w:r>
            <w:r w:rsidR="46F85EB1" w:rsidRPr="6BF94FC7">
              <w:t>f</w:t>
            </w:r>
            <w:r w:rsidR="187AF67D" w:rsidRPr="6BF94FC7">
              <w:t>inancování projektů bude probíhat v souladu s pravidly GBER</w:t>
            </w:r>
            <w:r w:rsidR="25BC81C7" w:rsidRPr="6BF94FC7">
              <w:t>, CEEAG</w:t>
            </w:r>
            <w:r w:rsidR="187AF67D" w:rsidRPr="6BF94FC7">
              <w:t xml:space="preserve"> </w:t>
            </w:r>
            <w:r w:rsidR="6C6D4087" w:rsidRPr="6BF94FC7">
              <w:t xml:space="preserve">a </w:t>
            </w:r>
            <w:r w:rsidR="287A42B1" w:rsidRPr="6BF94FC7">
              <w:t xml:space="preserve">popřípadě </w:t>
            </w:r>
            <w:r w:rsidR="1F59A221" w:rsidRPr="6BF94FC7">
              <w:t xml:space="preserve">podle pravidel </w:t>
            </w:r>
            <w:r w:rsidR="47B83E79" w:rsidRPr="6BF94FC7">
              <w:t xml:space="preserve">specifických </w:t>
            </w:r>
            <w:r w:rsidR="187AF67D" w:rsidRPr="6BF94FC7">
              <w:t>programů</w:t>
            </w:r>
            <w:r w:rsidR="3374371C" w:rsidRPr="6BF94FC7">
              <w:t xml:space="preserve"> </w:t>
            </w:r>
            <w:r w:rsidR="6941F3F7" w:rsidRPr="6BF94FC7">
              <w:t>notifikovaných EK</w:t>
            </w:r>
            <w:r w:rsidR="187AF67D" w:rsidRPr="6BF94FC7">
              <w:t>.</w:t>
            </w:r>
            <w:r w:rsidR="2C0C123A" w:rsidRPr="6BF94FC7">
              <w:t xml:space="preserve"> </w:t>
            </w:r>
            <w:r w:rsidR="187AF67D" w:rsidRPr="6BF94FC7">
              <w:t xml:space="preserve"> </w:t>
            </w:r>
            <w:r w:rsidR="52F944BF" w:rsidRPr="6BF94FC7">
              <w:t>Předpokládáme, že půjde</w:t>
            </w:r>
            <w:r w:rsidR="2B170BC7" w:rsidRPr="6BF94FC7">
              <w:t>, ne však v</w:t>
            </w:r>
            <w:r w:rsidR="20052E68" w:rsidRPr="6BF94FC7">
              <w:t>ýhradně</w:t>
            </w:r>
            <w:r w:rsidR="2B170BC7" w:rsidRPr="6BF94FC7">
              <w:t xml:space="preserve">, </w:t>
            </w:r>
            <w:r w:rsidR="52F944BF" w:rsidRPr="6BF94FC7">
              <w:t xml:space="preserve">o </w:t>
            </w:r>
            <w:r w:rsidR="292E2C16" w:rsidRPr="6BF94FC7">
              <w:t xml:space="preserve">oblasti podpory </w:t>
            </w:r>
            <w:r w:rsidR="36FB5342" w:rsidRPr="6BF94FC7">
              <w:t xml:space="preserve">v rámci článků GBER </w:t>
            </w:r>
            <w:r w:rsidR="52F944BF" w:rsidRPr="6BF94FC7">
              <w:t>týkající se</w:t>
            </w:r>
            <w:r w:rsidR="6C46B726" w:rsidRPr="6BF94FC7">
              <w:t xml:space="preserve"> </w:t>
            </w:r>
            <w:r w:rsidR="52F944BF" w:rsidRPr="6BF94FC7">
              <w:t>výstavby infrastr</w:t>
            </w:r>
            <w:r w:rsidR="1C4DB35B" w:rsidRPr="6BF94FC7">
              <w:t>uktury</w:t>
            </w:r>
            <w:r w:rsidR="126937B2" w:rsidRPr="6BF94FC7">
              <w:t>;</w:t>
            </w:r>
            <w:r w:rsidR="1C4DB35B" w:rsidRPr="6BF94FC7">
              <w:t xml:space="preserve"> podpory malých a středních podniků</w:t>
            </w:r>
            <w:r w:rsidR="4A39E71D" w:rsidRPr="6BF94FC7">
              <w:t>;</w:t>
            </w:r>
            <w:r w:rsidR="53E8102F" w:rsidRPr="6BF94FC7">
              <w:t xml:space="preserve"> </w:t>
            </w:r>
            <w:r w:rsidR="23FE3502" w:rsidRPr="6BF94FC7">
              <w:t>regionální po</w:t>
            </w:r>
            <w:r w:rsidR="020BFBAC" w:rsidRPr="6BF94FC7">
              <w:t>d</w:t>
            </w:r>
            <w:r w:rsidR="23FE3502" w:rsidRPr="6BF94FC7">
              <w:t>pory</w:t>
            </w:r>
            <w:r w:rsidR="60AAD69A" w:rsidRPr="6BF94FC7">
              <w:t>;</w:t>
            </w:r>
            <w:r w:rsidR="23FE3502" w:rsidRPr="6BF94FC7">
              <w:t xml:space="preserve"> evropské územní spolupráce</w:t>
            </w:r>
            <w:r w:rsidR="1279ED48" w:rsidRPr="6BF94FC7">
              <w:t>;</w:t>
            </w:r>
            <w:r w:rsidR="23FE3502" w:rsidRPr="6BF94FC7">
              <w:t xml:space="preserve"> výzkumu, vývoje a inovací</w:t>
            </w:r>
            <w:r w:rsidR="22F4DEF6" w:rsidRPr="6BF94FC7">
              <w:t xml:space="preserve"> a</w:t>
            </w:r>
            <w:r w:rsidR="11C12991" w:rsidRPr="6BF94FC7">
              <w:t xml:space="preserve"> </w:t>
            </w:r>
            <w:r w:rsidR="7CB13759" w:rsidRPr="6BF94FC7">
              <w:t xml:space="preserve">podpory </w:t>
            </w:r>
            <w:r w:rsidR="23FE3502" w:rsidRPr="6BF94FC7">
              <w:t>vzdělávání</w:t>
            </w:r>
            <w:r w:rsidR="1F49A0D3" w:rsidRPr="6BF94FC7">
              <w:t xml:space="preserve">. </w:t>
            </w:r>
            <w:r w:rsidR="499BC452" w:rsidRPr="6BF94FC7">
              <w:t>Veškeré subdodávky od externích dodavatelů budou provedeny v souladu s platnými pravidly.</w:t>
            </w:r>
          </w:p>
        </w:tc>
      </w:tr>
      <w:tr w:rsidR="00425BAD" w:rsidRPr="00814CE3" w14:paraId="674D6900" w14:textId="77777777" w:rsidTr="4BFED563">
        <w:trPr>
          <w:trHeight w:val="300"/>
        </w:trPr>
        <w:tc>
          <w:tcPr>
            <w:tcW w:w="2608" w:type="dxa"/>
            <w:hideMark/>
          </w:tcPr>
          <w:p w14:paraId="2B025363" w14:textId="77777777" w:rsidR="00425BAD" w:rsidRPr="00814CE3" w:rsidRDefault="00425BAD" w:rsidP="00885174">
            <w:pPr>
              <w:spacing w:line="240" w:lineRule="auto"/>
              <w:jc w:val="both"/>
              <w:rPr>
                <w:rFonts w:cstheme="minorHAnsi"/>
              </w:rPr>
            </w:pPr>
            <w:r w:rsidRPr="00814CE3">
              <w:rPr>
                <w:rFonts w:cstheme="minorHAnsi"/>
              </w:rPr>
              <w:t>Uveďte dobu implementace</w:t>
            </w:r>
          </w:p>
        </w:tc>
        <w:tc>
          <w:tcPr>
            <w:tcW w:w="7452" w:type="dxa"/>
            <w:hideMark/>
          </w:tcPr>
          <w:p w14:paraId="1345BDDB" w14:textId="6C4A9B2D" w:rsidR="00425BAD" w:rsidRDefault="00425BAD" w:rsidP="00885174">
            <w:pPr>
              <w:spacing w:line="240" w:lineRule="auto"/>
              <w:jc w:val="both"/>
              <w:rPr>
                <w:rFonts w:cstheme="minorHAnsi"/>
              </w:rPr>
            </w:pPr>
            <w:r w:rsidRPr="00814CE3">
              <w:rPr>
                <w:rFonts w:cstheme="minorHAnsi"/>
              </w:rPr>
              <w:t>Vodíková strategie: Q1 2022 – Q2 2024</w:t>
            </w:r>
          </w:p>
          <w:p w14:paraId="1B575C15" w14:textId="77777777" w:rsidR="00A42D26" w:rsidRPr="00A42D26" w:rsidRDefault="00A42D26" w:rsidP="00A42D26">
            <w:pPr>
              <w:pStyle w:val="Odstavecseseznamem"/>
              <w:numPr>
                <w:ilvl w:val="0"/>
                <w:numId w:val="16"/>
              </w:numPr>
              <w:spacing w:line="240" w:lineRule="auto"/>
              <w:jc w:val="both"/>
              <w:rPr>
                <w:rFonts w:cstheme="minorHAnsi"/>
              </w:rPr>
            </w:pPr>
            <w:r w:rsidRPr="00A42D26">
              <w:rPr>
                <w:rFonts w:cstheme="minorHAnsi"/>
              </w:rPr>
              <w:t>Novelizace zákonů a vyhlášek: Q2 2023 – Q4 2025</w:t>
            </w:r>
          </w:p>
          <w:p w14:paraId="01744A21" w14:textId="77777777" w:rsidR="00A42D26" w:rsidRPr="00A42D26" w:rsidRDefault="00A42D26" w:rsidP="00A42D26">
            <w:pPr>
              <w:pStyle w:val="Odstavecseseznamem"/>
              <w:numPr>
                <w:ilvl w:val="1"/>
                <w:numId w:val="16"/>
              </w:numPr>
              <w:spacing w:after="0" w:line="240" w:lineRule="auto"/>
              <w:contextualSpacing w:val="0"/>
              <w:rPr>
                <w:rFonts w:eastAsia="Times New Roman" w:cstheme="minorHAnsi"/>
                <w:color w:val="auto"/>
              </w:rPr>
            </w:pPr>
            <w:r w:rsidRPr="00A42D26">
              <w:rPr>
                <w:rFonts w:eastAsia="Times New Roman" w:cstheme="minorHAnsi"/>
                <w:color w:val="auto"/>
              </w:rPr>
              <w:t>Energetický zákon</w:t>
            </w:r>
          </w:p>
          <w:p w14:paraId="654C85D0" w14:textId="77777777" w:rsidR="00A42D26" w:rsidRPr="00A42D26" w:rsidRDefault="00A42D26" w:rsidP="00A42D26">
            <w:pPr>
              <w:pStyle w:val="Odstavecseseznamem"/>
              <w:numPr>
                <w:ilvl w:val="1"/>
                <w:numId w:val="16"/>
              </w:numPr>
              <w:spacing w:after="0" w:line="240" w:lineRule="auto"/>
              <w:contextualSpacing w:val="0"/>
              <w:rPr>
                <w:rFonts w:eastAsia="Times New Roman" w:cstheme="minorHAnsi"/>
                <w:color w:val="auto"/>
              </w:rPr>
            </w:pPr>
            <w:r w:rsidRPr="00A42D26">
              <w:rPr>
                <w:rFonts w:eastAsia="Times New Roman" w:cstheme="minorHAnsi"/>
              </w:rPr>
              <w:t>Vyhláška č. 108/2011 Sb. o měření plynu</w:t>
            </w:r>
          </w:p>
          <w:p w14:paraId="43B674C0" w14:textId="77777777" w:rsidR="00A42D26" w:rsidRPr="00A42D26" w:rsidRDefault="00A42D26" w:rsidP="00A42D26">
            <w:pPr>
              <w:pStyle w:val="Odstavecseseznamem"/>
              <w:numPr>
                <w:ilvl w:val="1"/>
                <w:numId w:val="16"/>
              </w:numPr>
              <w:spacing w:after="0" w:line="240" w:lineRule="auto"/>
              <w:contextualSpacing w:val="0"/>
              <w:rPr>
                <w:rFonts w:eastAsia="Times New Roman" w:cstheme="minorHAnsi"/>
              </w:rPr>
            </w:pPr>
            <w:r w:rsidRPr="00A42D26">
              <w:rPr>
                <w:rFonts w:eastAsia="Times New Roman" w:cstheme="minorHAnsi"/>
              </w:rPr>
              <w:t>Vyhláška č. 488/2021 Sb., o podmínkách připojení k plynárenské soustavě</w:t>
            </w:r>
          </w:p>
          <w:p w14:paraId="49A9B62D" w14:textId="77777777" w:rsidR="00A42D26" w:rsidRPr="00A42D26" w:rsidRDefault="00A42D26" w:rsidP="00A42D26">
            <w:pPr>
              <w:pStyle w:val="Odstavecseseznamem"/>
              <w:numPr>
                <w:ilvl w:val="1"/>
                <w:numId w:val="16"/>
              </w:numPr>
              <w:spacing w:after="0" w:line="240" w:lineRule="auto"/>
              <w:contextualSpacing w:val="0"/>
              <w:rPr>
                <w:rFonts w:eastAsia="Times New Roman" w:cstheme="minorHAnsi"/>
              </w:rPr>
            </w:pPr>
            <w:r w:rsidRPr="00A42D26">
              <w:rPr>
                <w:rFonts w:eastAsia="Times New Roman" w:cstheme="minorHAnsi"/>
              </w:rPr>
              <w:t>Vyhláška č. 345/2002 Sb., o stanovení měřidel k povinnému ověřování a měřidel podléhajících schválení typu</w:t>
            </w:r>
          </w:p>
          <w:p w14:paraId="6264F141" w14:textId="77777777" w:rsidR="00A42D26" w:rsidRPr="00DF59FA" w:rsidRDefault="00A42D26" w:rsidP="00A42D26">
            <w:pPr>
              <w:pStyle w:val="Odstavecseseznamem"/>
              <w:numPr>
                <w:ilvl w:val="0"/>
                <w:numId w:val="16"/>
              </w:numPr>
              <w:spacing w:line="240" w:lineRule="auto"/>
              <w:jc w:val="both"/>
              <w:rPr>
                <w:rFonts w:cstheme="minorHAnsi"/>
              </w:rPr>
            </w:pPr>
            <w:r w:rsidRPr="00DF59FA">
              <w:rPr>
                <w:rFonts w:cstheme="minorHAnsi"/>
              </w:rPr>
              <w:t>Metodika rozvoje ostrovních řešení pro akceleraci vodíkové mobility: Q1 2023 – Q4 2025</w:t>
            </w:r>
          </w:p>
          <w:p w14:paraId="2FE10A1B" w14:textId="61AD9CAB" w:rsidR="00425BAD" w:rsidRPr="00A42D26" w:rsidRDefault="00A42D26" w:rsidP="00A42D26">
            <w:pPr>
              <w:pStyle w:val="Odstavecseseznamem"/>
              <w:numPr>
                <w:ilvl w:val="0"/>
                <w:numId w:val="16"/>
              </w:numPr>
              <w:spacing w:line="240" w:lineRule="auto"/>
              <w:jc w:val="both"/>
              <w:rPr>
                <w:rFonts w:cstheme="minorHAnsi"/>
              </w:rPr>
            </w:pPr>
            <w:r w:rsidRPr="00DF59FA">
              <w:rPr>
                <w:rFonts w:cstheme="minorHAnsi"/>
              </w:rPr>
              <w:t>Metodika pro budování elektrolyzérů: Q1 2023 – Q4 2025</w:t>
            </w:r>
          </w:p>
        </w:tc>
      </w:tr>
    </w:tbl>
    <w:p w14:paraId="6314BFD1" w14:textId="193599AA" w:rsidR="00425BAD" w:rsidRPr="00814CE3" w:rsidRDefault="00425BAD" w:rsidP="4BFED563">
      <w:pPr>
        <w:spacing w:line="240" w:lineRule="auto"/>
        <w:jc w:val="both"/>
        <w:rPr>
          <w:b/>
          <w:bCs/>
          <w:u w:val="single"/>
        </w:rPr>
      </w:pPr>
    </w:p>
    <w:p w14:paraId="2511FEAE" w14:textId="656FC637" w:rsidR="00425BAD" w:rsidRPr="00814CE3" w:rsidRDefault="358DA424" w:rsidP="4BFED563">
      <w:pPr>
        <w:spacing w:line="240" w:lineRule="auto"/>
        <w:jc w:val="both"/>
        <w:rPr>
          <w:b/>
          <w:bCs/>
          <w:u w:val="single"/>
        </w:rPr>
      </w:pPr>
      <w:r w:rsidRPr="4BFED563">
        <w:rPr>
          <w:b/>
          <w:bCs/>
          <w:u w:val="single"/>
        </w:rPr>
        <w:t xml:space="preserve">Reforma 4: Zlepšení podmínek pro bezemisní alternativní dobíjecí infrastrukturu  </w:t>
      </w:r>
    </w:p>
    <w:tbl>
      <w:tblPr>
        <w:tblStyle w:val="Mkatabulky"/>
        <w:tblW w:w="0" w:type="auto"/>
        <w:tblLook w:val="04A0" w:firstRow="1" w:lastRow="0" w:firstColumn="1" w:lastColumn="0" w:noHBand="0" w:noVBand="1"/>
      </w:tblPr>
      <w:tblGrid>
        <w:gridCol w:w="2619"/>
        <w:gridCol w:w="7009"/>
      </w:tblGrid>
      <w:tr w:rsidR="4BFED563" w14:paraId="2516CABF" w14:textId="77777777" w:rsidTr="4BFED563">
        <w:trPr>
          <w:trHeight w:val="677"/>
        </w:trPr>
        <w:tc>
          <w:tcPr>
            <w:tcW w:w="2619" w:type="dxa"/>
          </w:tcPr>
          <w:p w14:paraId="683D281E" w14:textId="77777777" w:rsidR="4BFED563" w:rsidRDefault="4BFED563" w:rsidP="4BFED563">
            <w:pPr>
              <w:spacing w:after="0" w:line="240" w:lineRule="auto"/>
              <w:ind w:left="0"/>
              <w:rPr>
                <w:color w:val="auto"/>
              </w:rPr>
            </w:pPr>
            <w:r w:rsidRPr="4BFED563">
              <w:rPr>
                <w:color w:val="auto"/>
              </w:rPr>
              <w:t>Výzva</w:t>
            </w:r>
          </w:p>
        </w:tc>
        <w:tc>
          <w:tcPr>
            <w:tcW w:w="7009" w:type="dxa"/>
          </w:tcPr>
          <w:p w14:paraId="6BB43DDE" w14:textId="77777777" w:rsidR="4BFED563" w:rsidRDefault="4BFED563" w:rsidP="4BFED563">
            <w:pPr>
              <w:spacing w:after="0" w:line="240" w:lineRule="auto"/>
              <w:ind w:left="0"/>
              <w:jc w:val="both"/>
              <w:rPr>
                <w:color w:val="auto"/>
              </w:rPr>
            </w:pPr>
            <w:r w:rsidRPr="4BFED563">
              <w:rPr>
                <w:color w:val="auto"/>
              </w:rPr>
              <w:t>Stavební právo je klíčové pro rozvoj dobíjecí infrastruktury</w:t>
            </w:r>
          </w:p>
        </w:tc>
      </w:tr>
      <w:tr w:rsidR="4BFED563" w14:paraId="1834CAD5" w14:textId="77777777" w:rsidTr="4BFED563">
        <w:trPr>
          <w:trHeight w:val="781"/>
        </w:trPr>
        <w:tc>
          <w:tcPr>
            <w:tcW w:w="2619" w:type="dxa"/>
          </w:tcPr>
          <w:p w14:paraId="51B668A2" w14:textId="77777777" w:rsidR="4BFED563" w:rsidRDefault="4BFED563" w:rsidP="4BFED563">
            <w:pPr>
              <w:spacing w:after="0" w:line="240" w:lineRule="auto"/>
              <w:ind w:left="0"/>
              <w:rPr>
                <w:color w:val="auto"/>
              </w:rPr>
            </w:pPr>
            <w:r w:rsidRPr="4BFED563">
              <w:rPr>
                <w:color w:val="auto"/>
              </w:rPr>
              <w:t>Cíl</w:t>
            </w:r>
          </w:p>
        </w:tc>
        <w:tc>
          <w:tcPr>
            <w:tcW w:w="7009" w:type="dxa"/>
          </w:tcPr>
          <w:p w14:paraId="7CA3CBB8" w14:textId="4EADF96F" w:rsidR="4BFED563" w:rsidRDefault="4BFED563" w:rsidP="4BFED563">
            <w:pPr>
              <w:spacing w:after="0" w:line="240" w:lineRule="auto"/>
              <w:ind w:left="0"/>
              <w:jc w:val="both"/>
              <w:rPr>
                <w:color w:val="auto"/>
              </w:rPr>
            </w:pPr>
            <w:r w:rsidRPr="4BFED563">
              <w:rPr>
                <w:color w:val="auto"/>
              </w:rPr>
              <w:t>Novelizovat stavební zákon tak, aby došlo ke zrychlení a zjednodušení výstavby dobíjecí infrastruktury</w:t>
            </w:r>
          </w:p>
          <w:p w14:paraId="1B12A9C4" w14:textId="6E415519" w:rsidR="4BFED563" w:rsidRDefault="4BFED563" w:rsidP="4BFED563">
            <w:pPr>
              <w:spacing w:after="0" w:line="240" w:lineRule="auto"/>
              <w:ind w:left="0"/>
              <w:jc w:val="both"/>
              <w:rPr>
                <w:color w:val="auto"/>
              </w:rPr>
            </w:pPr>
            <w:r w:rsidRPr="4BFED563">
              <w:rPr>
                <w:color w:val="auto"/>
              </w:rPr>
              <w:t>Dle potřeby přijít s dalšími opatřeními, např. v podobě novelizace dalších legislativních aktů</w:t>
            </w:r>
          </w:p>
        </w:tc>
      </w:tr>
      <w:tr w:rsidR="4BFED563" w14:paraId="45A25E36" w14:textId="77777777" w:rsidTr="4BFED563">
        <w:trPr>
          <w:trHeight w:val="3108"/>
        </w:trPr>
        <w:tc>
          <w:tcPr>
            <w:tcW w:w="2619" w:type="dxa"/>
          </w:tcPr>
          <w:p w14:paraId="4C437556" w14:textId="77777777" w:rsidR="4BFED563" w:rsidRDefault="4BFED563" w:rsidP="4BFED563">
            <w:pPr>
              <w:spacing w:after="0" w:line="240" w:lineRule="auto"/>
              <w:ind w:left="0"/>
              <w:rPr>
                <w:color w:val="auto"/>
              </w:rPr>
            </w:pPr>
            <w:r w:rsidRPr="4BFED563">
              <w:rPr>
                <w:color w:val="auto"/>
              </w:rPr>
              <w:t>Implementace</w:t>
            </w:r>
          </w:p>
        </w:tc>
        <w:tc>
          <w:tcPr>
            <w:tcW w:w="7009" w:type="dxa"/>
          </w:tcPr>
          <w:p w14:paraId="3B7F4924" w14:textId="6EDA18C0" w:rsidR="4BFED563" w:rsidRDefault="4BFED563" w:rsidP="4BFED563">
            <w:pPr>
              <w:spacing w:after="0" w:line="240" w:lineRule="auto"/>
              <w:ind w:left="0"/>
              <w:jc w:val="both"/>
              <w:rPr>
                <w:color w:val="auto"/>
              </w:rPr>
            </w:pPr>
            <w:r w:rsidRPr="4BFED563">
              <w:rPr>
                <w:color w:val="auto"/>
              </w:rPr>
              <w:t>Nový stavební zákon zavádí dobíjecí body/stanice jako technickou infrastrukturu, kterou jsou zejména systémy a sítě technické infrastruktury a s nimi související stavby a zařízení pro zásobování vodou, odvádění a čištění odpadních vod, energetiku, včetně výroben a zdrojů energie, zařízení pro akumulaci energie, dobíjecích stanic a zásobníků plynu, produktovody a elektronické komunikace, a dále stavby a zařízení ke snižování nebezpečí v území a pro zlepšování stavu povrchových a podzemních vod nebo k nakládání s odpady, a to do ustanovení § 10 Veřejná infrastruktura, kdy technická infrastruktura je součástí veřejné infrastruktury.</w:t>
            </w:r>
          </w:p>
          <w:p w14:paraId="0E0CA7F7" w14:textId="77777777" w:rsidR="4BFED563" w:rsidRDefault="4BFED563" w:rsidP="4BFED563">
            <w:pPr>
              <w:spacing w:after="0" w:line="240" w:lineRule="auto"/>
              <w:ind w:left="0"/>
              <w:jc w:val="both"/>
              <w:rPr>
                <w:color w:val="auto"/>
              </w:rPr>
            </w:pPr>
            <w:r w:rsidRPr="4BFED563">
              <w:rPr>
                <w:color w:val="auto"/>
              </w:rPr>
              <w:t>V ustanovení § 167 pak přejímá povinnosti zavedené již do zákona č. 183/2006 Sb., ve znění pozdějších předpisů, kdy stanovuje vlastníkovi stavby povinnost zajistit do 1. ledna 2025 instalaci alespoň 1 dobíjecí stanice, a to pokud je vlastníkem jiné stavby než stavby pro bydlení s více než 20 parkovacími stáními, za podmínek stanovených prováděcím právním předpisem. Prováděcí předpis pak v této části převezme stávající ustanovení § 48a a 48b vyhlášky č .268/2006 Sb., o technických požadavcích na stavby.</w:t>
            </w:r>
          </w:p>
          <w:p w14:paraId="441E04EB" w14:textId="77777777" w:rsidR="4BFED563" w:rsidRDefault="4BFED563" w:rsidP="4BFED563">
            <w:pPr>
              <w:spacing w:after="0" w:line="240" w:lineRule="auto"/>
              <w:ind w:left="0"/>
              <w:jc w:val="both"/>
              <w:rPr>
                <w:color w:val="auto"/>
              </w:rPr>
            </w:pPr>
            <w:r w:rsidRPr="4BFED563">
              <w:rPr>
                <w:color w:val="auto"/>
              </w:rPr>
              <w:t>Nový stavební zákon také mezi drobné stavby, tedy stavby, které nevyžadují žádné posouzení stran stavebních úřadů, řadí jako bod 23. běžný dobíjecí bod. Dobíjecí stanice, pokud nejde o drobnou stavbu, stanovuje jako stavby jednoduché.</w:t>
            </w:r>
          </w:p>
          <w:p w14:paraId="5CAF5F7F" w14:textId="2CDEBD00" w:rsidR="4BFED563" w:rsidRDefault="4BFED563" w:rsidP="4BFED563">
            <w:pPr>
              <w:spacing w:after="0" w:line="240" w:lineRule="auto"/>
              <w:ind w:left="0"/>
              <w:jc w:val="both"/>
              <w:rPr>
                <w:color w:val="auto"/>
              </w:rPr>
            </w:pPr>
          </w:p>
        </w:tc>
      </w:tr>
      <w:tr w:rsidR="4BFED563" w14:paraId="77555AEE" w14:textId="77777777" w:rsidTr="4BFED563">
        <w:trPr>
          <w:trHeight w:val="600"/>
        </w:trPr>
        <w:tc>
          <w:tcPr>
            <w:tcW w:w="2619" w:type="dxa"/>
          </w:tcPr>
          <w:p w14:paraId="72CEF928" w14:textId="77777777" w:rsidR="4BFED563" w:rsidRDefault="4BFED563" w:rsidP="4BFED563">
            <w:pPr>
              <w:spacing w:after="0" w:line="240" w:lineRule="auto"/>
              <w:ind w:left="0"/>
              <w:rPr>
                <w:color w:val="auto"/>
              </w:rPr>
            </w:pPr>
            <w:r w:rsidRPr="4BFED563">
              <w:rPr>
                <w:color w:val="auto"/>
              </w:rPr>
              <w:t>Spolupráce a zapojení zúčastněných stran</w:t>
            </w:r>
          </w:p>
        </w:tc>
        <w:tc>
          <w:tcPr>
            <w:tcW w:w="7009" w:type="dxa"/>
          </w:tcPr>
          <w:p w14:paraId="2330746A" w14:textId="77777777" w:rsidR="4BFED563" w:rsidRDefault="4BFED563" w:rsidP="4BFED563">
            <w:pPr>
              <w:spacing w:after="0" w:line="240" w:lineRule="auto"/>
              <w:ind w:left="0"/>
              <w:jc w:val="both"/>
              <w:rPr>
                <w:color w:val="auto"/>
              </w:rPr>
            </w:pPr>
            <w:r w:rsidRPr="4BFED563">
              <w:rPr>
                <w:color w:val="auto"/>
              </w:rPr>
              <w:t>MMR, MPO, MD, SP ČR, HK ČR, Svaz podnikatelů ve stavebnictví v ČR, Česká komora autorizovaných inženýrů a techniků činných ve výstavbě atd.</w:t>
            </w:r>
          </w:p>
        </w:tc>
      </w:tr>
      <w:tr w:rsidR="4BFED563" w14:paraId="618AB66D" w14:textId="77777777" w:rsidTr="4BFED563">
        <w:trPr>
          <w:trHeight w:val="600"/>
        </w:trPr>
        <w:tc>
          <w:tcPr>
            <w:tcW w:w="2619" w:type="dxa"/>
          </w:tcPr>
          <w:p w14:paraId="659CE293" w14:textId="77777777" w:rsidR="4BFED563" w:rsidRDefault="4BFED563" w:rsidP="4BFED563">
            <w:pPr>
              <w:spacing w:line="240" w:lineRule="auto"/>
              <w:ind w:left="0"/>
              <w:rPr>
                <w:color w:val="auto"/>
              </w:rPr>
            </w:pPr>
            <w:r w:rsidRPr="4BFED563">
              <w:rPr>
                <w:color w:val="auto"/>
              </w:rPr>
              <w:t>Překážky a rizika</w:t>
            </w:r>
          </w:p>
        </w:tc>
        <w:tc>
          <w:tcPr>
            <w:tcW w:w="7009" w:type="dxa"/>
          </w:tcPr>
          <w:p w14:paraId="3F95228E" w14:textId="77777777" w:rsidR="4BFED563" w:rsidRDefault="4BFED563" w:rsidP="4BFED563">
            <w:pPr>
              <w:spacing w:after="0" w:line="240" w:lineRule="auto"/>
              <w:ind w:left="0"/>
              <w:jc w:val="both"/>
              <w:rPr>
                <w:color w:val="auto"/>
              </w:rPr>
            </w:pPr>
            <w:r w:rsidRPr="4BFED563">
              <w:rPr>
                <w:color w:val="auto"/>
              </w:rPr>
              <w:t>Nedostatek finančních prostředků na podporu rozvoje čisté mobility ze státního rozpočtu, ekonomický vývoj</w:t>
            </w:r>
          </w:p>
        </w:tc>
      </w:tr>
      <w:tr w:rsidR="4BFED563" w14:paraId="6E19747E" w14:textId="77777777" w:rsidTr="4BFED563">
        <w:trPr>
          <w:trHeight w:val="600"/>
        </w:trPr>
        <w:tc>
          <w:tcPr>
            <w:tcW w:w="2619" w:type="dxa"/>
          </w:tcPr>
          <w:p w14:paraId="336D35D1" w14:textId="77777777" w:rsidR="4BFED563" w:rsidRDefault="4BFED563" w:rsidP="4BFED563">
            <w:pPr>
              <w:spacing w:after="0" w:line="240" w:lineRule="auto"/>
              <w:ind w:left="0"/>
              <w:rPr>
                <w:color w:val="auto"/>
              </w:rPr>
            </w:pPr>
            <w:r w:rsidRPr="4BFED563">
              <w:rPr>
                <w:color w:val="auto"/>
              </w:rPr>
              <w:t>Cílové skupiny populace a ekonomické subjekty</w:t>
            </w:r>
          </w:p>
        </w:tc>
        <w:tc>
          <w:tcPr>
            <w:tcW w:w="7009" w:type="dxa"/>
          </w:tcPr>
          <w:p w14:paraId="6974140D" w14:textId="77777777" w:rsidR="4BFED563" w:rsidRDefault="4BFED563" w:rsidP="4BFED563">
            <w:pPr>
              <w:spacing w:after="0" w:line="240" w:lineRule="auto"/>
              <w:ind w:left="0"/>
              <w:jc w:val="both"/>
              <w:rPr>
                <w:color w:val="auto"/>
              </w:rPr>
            </w:pPr>
            <w:r w:rsidRPr="4BFED563">
              <w:rPr>
                <w:color w:val="auto"/>
              </w:rPr>
              <w:t>Stavební a developerské společnosti, energetické společnosti, uživatelé čisté mobility, veřejnost</w:t>
            </w:r>
          </w:p>
        </w:tc>
      </w:tr>
      <w:tr w:rsidR="4BFED563" w14:paraId="20E81258" w14:textId="77777777" w:rsidTr="4BFED563">
        <w:trPr>
          <w:trHeight w:val="900"/>
        </w:trPr>
        <w:tc>
          <w:tcPr>
            <w:tcW w:w="2619" w:type="dxa"/>
          </w:tcPr>
          <w:p w14:paraId="02E2A925" w14:textId="77777777" w:rsidR="4BFED563" w:rsidRDefault="4BFED563" w:rsidP="4BFED563">
            <w:pPr>
              <w:spacing w:after="0" w:line="240" w:lineRule="auto"/>
              <w:ind w:left="0"/>
              <w:rPr>
                <w:color w:val="auto"/>
              </w:rPr>
            </w:pPr>
            <w:r w:rsidRPr="4BFED563">
              <w:rPr>
                <w:color w:val="auto"/>
              </w:rPr>
              <w:t>Souhrnné náklady realizace financované z RRF za celé období</w:t>
            </w:r>
          </w:p>
        </w:tc>
        <w:tc>
          <w:tcPr>
            <w:tcW w:w="7009" w:type="dxa"/>
          </w:tcPr>
          <w:p w14:paraId="2ACC5150" w14:textId="77777777" w:rsidR="4BFED563" w:rsidRDefault="4BFED563" w:rsidP="4BFED563">
            <w:pPr>
              <w:spacing w:after="0" w:line="240" w:lineRule="auto"/>
              <w:ind w:left="0"/>
              <w:jc w:val="both"/>
              <w:rPr>
                <w:color w:val="auto"/>
              </w:rPr>
            </w:pPr>
            <w:r w:rsidRPr="4BFED563">
              <w:rPr>
                <w:color w:val="auto"/>
              </w:rPr>
              <w:t xml:space="preserve">0 Kč </w:t>
            </w:r>
          </w:p>
        </w:tc>
      </w:tr>
      <w:tr w:rsidR="4BFED563" w14:paraId="07A2286E" w14:textId="77777777" w:rsidTr="4BFED563">
        <w:trPr>
          <w:trHeight w:val="697"/>
        </w:trPr>
        <w:tc>
          <w:tcPr>
            <w:tcW w:w="2619" w:type="dxa"/>
          </w:tcPr>
          <w:p w14:paraId="45B3BCF9" w14:textId="77777777" w:rsidR="4BFED563" w:rsidRDefault="4BFED563" w:rsidP="4BFED563">
            <w:pPr>
              <w:spacing w:line="240" w:lineRule="auto"/>
              <w:ind w:left="0"/>
              <w:rPr>
                <w:color w:val="auto"/>
              </w:rPr>
            </w:pPr>
            <w:r w:rsidRPr="4BFED563">
              <w:rPr>
                <w:color w:val="auto"/>
              </w:rPr>
              <w:t>Dodržování pravidel státní podpory</w:t>
            </w:r>
          </w:p>
        </w:tc>
        <w:tc>
          <w:tcPr>
            <w:tcW w:w="7009" w:type="dxa"/>
          </w:tcPr>
          <w:p w14:paraId="35897347" w14:textId="2D853A25" w:rsidR="4BFED563" w:rsidRDefault="4BFED563" w:rsidP="4BFED563">
            <w:pPr>
              <w:spacing w:after="0" w:line="240" w:lineRule="auto"/>
              <w:ind w:left="0"/>
              <w:jc w:val="both"/>
              <w:rPr>
                <w:color w:val="auto"/>
              </w:rPr>
            </w:pPr>
            <w:r w:rsidRPr="4BFED563">
              <w:rPr>
                <w:color w:val="auto"/>
              </w:rPr>
              <w:t>Reforma spočívá v opatřeních legislativní povahy, jejichž cílem je urychlit a zjednodušit proces výstavby uvedené infrastruktury. Tato opatření nezahrnují převod veřejných zdrojů, a proto nepředstavují státní podporu.</w:t>
            </w:r>
          </w:p>
          <w:p w14:paraId="0A1F46DA" w14:textId="42384005" w:rsidR="4BFED563" w:rsidRDefault="4BFED563" w:rsidP="4BFED563">
            <w:pPr>
              <w:spacing w:after="0" w:line="240" w:lineRule="auto"/>
              <w:ind w:left="0"/>
              <w:jc w:val="both"/>
              <w:rPr>
                <w:color w:val="auto"/>
              </w:rPr>
            </w:pPr>
          </w:p>
        </w:tc>
      </w:tr>
      <w:tr w:rsidR="4BFED563" w14:paraId="09E2FE29" w14:textId="77777777" w:rsidTr="4BFED563">
        <w:trPr>
          <w:trHeight w:val="300"/>
        </w:trPr>
        <w:tc>
          <w:tcPr>
            <w:tcW w:w="2619" w:type="dxa"/>
          </w:tcPr>
          <w:p w14:paraId="4887A0FC" w14:textId="77777777" w:rsidR="4BFED563" w:rsidRDefault="4BFED563" w:rsidP="4BFED563">
            <w:pPr>
              <w:spacing w:after="0" w:line="240" w:lineRule="auto"/>
              <w:ind w:left="0"/>
              <w:rPr>
                <w:color w:val="auto"/>
              </w:rPr>
            </w:pPr>
            <w:r w:rsidRPr="4BFED563">
              <w:rPr>
                <w:color w:val="auto"/>
              </w:rPr>
              <w:t>Uveďte dobu implementace</w:t>
            </w:r>
          </w:p>
        </w:tc>
        <w:tc>
          <w:tcPr>
            <w:tcW w:w="7009" w:type="dxa"/>
          </w:tcPr>
          <w:p w14:paraId="6EA2FF8A" w14:textId="161C6434" w:rsidR="1A62F409" w:rsidRDefault="1A62F409" w:rsidP="4BFED563">
            <w:pPr>
              <w:spacing w:line="240" w:lineRule="auto"/>
              <w:ind w:left="0"/>
              <w:jc w:val="both"/>
              <w:rPr>
                <w:color w:val="auto"/>
              </w:rPr>
            </w:pPr>
            <w:r w:rsidRPr="4BFED563">
              <w:rPr>
                <w:color w:val="auto"/>
              </w:rPr>
              <w:t>Reforma bude splněna do konce roku 2025</w:t>
            </w:r>
          </w:p>
        </w:tc>
      </w:tr>
    </w:tbl>
    <w:p w14:paraId="4FFC1D86" w14:textId="47B72BA0" w:rsidR="00425BAD" w:rsidRPr="00814CE3" w:rsidRDefault="00425BAD" w:rsidP="4BFED563">
      <w:pPr>
        <w:spacing w:line="240" w:lineRule="auto"/>
        <w:ind w:left="0"/>
        <w:rPr>
          <w:color w:val="auto"/>
          <w:u w:val="single"/>
        </w:rPr>
      </w:pPr>
    </w:p>
    <w:p w14:paraId="46382F22" w14:textId="28A82644" w:rsidR="00425BAD" w:rsidRPr="00814CE3" w:rsidRDefault="7EBABE1B" w:rsidP="4BFED563">
      <w:pPr>
        <w:spacing w:line="240" w:lineRule="auto"/>
        <w:ind w:left="0"/>
        <w:rPr>
          <w:b/>
          <w:bCs/>
          <w:color w:val="auto"/>
          <w:u w:val="single"/>
        </w:rPr>
      </w:pPr>
      <w:r w:rsidRPr="4BFED563">
        <w:rPr>
          <w:b/>
          <w:bCs/>
          <w:color w:val="auto"/>
          <w:u w:val="single"/>
        </w:rPr>
        <w:t xml:space="preserve">Reforma 5: Podpora bezemisní mobility prostřednictvím úpravy časového poplatku za užívání pozemních komunikací (ceny dálniční známky)  </w:t>
      </w:r>
    </w:p>
    <w:tbl>
      <w:tblPr>
        <w:tblW w:w="0" w:type="auto"/>
        <w:tblLook w:val="04A0" w:firstRow="1" w:lastRow="0" w:firstColumn="1" w:lastColumn="0" w:noHBand="0" w:noVBand="1"/>
      </w:tblPr>
      <w:tblGrid>
        <w:gridCol w:w="2624"/>
        <w:gridCol w:w="6994"/>
      </w:tblGrid>
      <w:tr w:rsidR="4BFED563" w14:paraId="4CAED44F" w14:textId="77777777" w:rsidTr="4BFED563">
        <w:trPr>
          <w:trHeight w:val="900"/>
        </w:trPr>
        <w:tc>
          <w:tcPr>
            <w:tcW w:w="262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4C5E186" w14:textId="77777777" w:rsidR="4BFED563" w:rsidRDefault="4BFED563" w:rsidP="4BFED563">
            <w:pPr>
              <w:spacing w:line="240" w:lineRule="auto"/>
              <w:jc w:val="both"/>
            </w:pPr>
            <w:r w:rsidRPr="4BFED563">
              <w:lastRenderedPageBreak/>
              <w:t>Výzva</w:t>
            </w:r>
          </w:p>
        </w:tc>
        <w:tc>
          <w:tcPr>
            <w:tcW w:w="699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5EA07BF" w14:textId="269EC2CA" w:rsidR="4BFED563" w:rsidRDefault="4BFED563" w:rsidP="4BFED563">
            <w:pPr>
              <w:spacing w:line="240" w:lineRule="auto"/>
              <w:jc w:val="both"/>
            </w:pPr>
            <w:r w:rsidRPr="4BFED563">
              <w:t xml:space="preserve">Postupná dekarbonizace dopravy a potažmo celé české ekonomiky je jedním z prvků ochrany klimatu a je obsažena v řadě národních akčních plánů. Stejně tak je jedním z bodů aktualizovaného Programového prohlášení vlády České republiky. </w:t>
            </w:r>
          </w:p>
        </w:tc>
      </w:tr>
      <w:tr w:rsidR="4BFED563" w14:paraId="6F26A777" w14:textId="77777777" w:rsidTr="4BFED563">
        <w:trPr>
          <w:trHeight w:val="943"/>
        </w:trPr>
        <w:tc>
          <w:tcPr>
            <w:tcW w:w="262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1C816E" w14:textId="77777777" w:rsidR="4BFED563" w:rsidRDefault="4BFED563" w:rsidP="4BFED563">
            <w:pPr>
              <w:spacing w:line="240" w:lineRule="auto"/>
              <w:jc w:val="both"/>
            </w:pPr>
            <w:r w:rsidRPr="4BFED563">
              <w:t>Cíl</w:t>
            </w:r>
          </w:p>
        </w:tc>
        <w:tc>
          <w:tcPr>
            <w:tcW w:w="6994" w:type="dxa"/>
            <w:tcBorders>
              <w:top w:val="nil"/>
              <w:left w:val="nil"/>
              <w:bottom w:val="single" w:sz="8" w:space="0" w:color="auto"/>
              <w:right w:val="single" w:sz="8" w:space="0" w:color="auto"/>
            </w:tcBorders>
            <w:tcMar>
              <w:top w:w="0" w:type="dxa"/>
              <w:left w:w="108" w:type="dxa"/>
              <w:bottom w:w="0" w:type="dxa"/>
              <w:right w:w="108" w:type="dxa"/>
            </w:tcMar>
          </w:tcPr>
          <w:p w14:paraId="61DFFC0B" w14:textId="703EBC9F" w:rsidR="4BFED563" w:rsidRDefault="4BFED563" w:rsidP="4BFED563">
            <w:pPr>
              <w:spacing w:line="240" w:lineRule="auto"/>
              <w:jc w:val="both"/>
            </w:pPr>
            <w:r w:rsidRPr="4BFED563">
              <w:t xml:space="preserve">Upravit nastavení zpoplatnění užívání pozemních komunikací tak, aby podporovalo bezemisní mobilitu </w:t>
            </w:r>
          </w:p>
        </w:tc>
      </w:tr>
      <w:tr w:rsidR="4BFED563" w14:paraId="7F7F4CC2" w14:textId="77777777" w:rsidTr="4BFED563">
        <w:trPr>
          <w:trHeight w:val="826"/>
        </w:trPr>
        <w:tc>
          <w:tcPr>
            <w:tcW w:w="262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D399E06" w14:textId="77777777" w:rsidR="4BFED563" w:rsidRDefault="4BFED563" w:rsidP="4BFED563">
            <w:pPr>
              <w:spacing w:line="240" w:lineRule="auto"/>
              <w:jc w:val="both"/>
            </w:pPr>
            <w:r w:rsidRPr="4BFED563">
              <w:t>Implementace</w:t>
            </w:r>
          </w:p>
        </w:tc>
        <w:tc>
          <w:tcPr>
            <w:tcW w:w="6994" w:type="dxa"/>
            <w:tcBorders>
              <w:top w:val="nil"/>
              <w:left w:val="nil"/>
              <w:bottom w:val="single" w:sz="8" w:space="0" w:color="auto"/>
              <w:right w:val="single" w:sz="8" w:space="0" w:color="auto"/>
            </w:tcBorders>
            <w:tcMar>
              <w:top w:w="0" w:type="dxa"/>
              <w:left w:w="108" w:type="dxa"/>
              <w:bottom w:w="0" w:type="dxa"/>
              <w:right w:w="108" w:type="dxa"/>
            </w:tcMar>
          </w:tcPr>
          <w:p w14:paraId="2A72FAD6" w14:textId="35837C26" w:rsidR="4BFED563" w:rsidRDefault="4BFED563" w:rsidP="4BFED563">
            <w:pPr>
              <w:spacing w:line="240" w:lineRule="auto"/>
              <w:jc w:val="both"/>
            </w:pPr>
            <w:r w:rsidRPr="4BFED563">
              <w:t>Zákon č. 13/1997 Sb. o pozemních komunikacích nastavuje systém zpoplatnění užívání pozemních komunikací s tím, že vozidla nejméně se čtyřmi koly, jejichž největší povolená hmotnost činí nejvýše 3,5 tuny, podléhají časovému poplatku (za užívání pozemních komunikací musí být uhrazena tzv. dálniční známka).</w:t>
            </w:r>
          </w:p>
          <w:p w14:paraId="31A4C853" w14:textId="77777777" w:rsidR="4BFED563" w:rsidRDefault="4BFED563" w:rsidP="4BFED563">
            <w:pPr>
              <w:spacing w:line="240" w:lineRule="auto"/>
              <w:jc w:val="both"/>
            </w:pPr>
            <w:r w:rsidRPr="4BFED563">
              <w:t>Dle současné právní úpravy jsou od tohoto poplatku osvobozena vozidla používající jako palivo elektrickou energii nebo vodík, a to výlučně, nebo v kombinaci s jiným palivem, je-li hodnota emisí CO2 v kombinovaném provozu nejvýše 50 g/km.</w:t>
            </w:r>
          </w:p>
          <w:p w14:paraId="60DA896B" w14:textId="3B7ABD25" w:rsidR="4BFED563" w:rsidRDefault="4BFED563" w:rsidP="4BFED563">
            <w:pPr>
              <w:spacing w:line="240" w:lineRule="auto"/>
              <w:jc w:val="both"/>
            </w:pPr>
            <w:r w:rsidRPr="4BFED563">
              <w:t>Tento časový poplatek bude upraven tak, aby se zpoplatnění vozidel s konvenčním pohonem oproti současnému stavu zvýšilo a současně bylo ponecháno nejvýhodnější nastavení pouze pro bezemisní vozidla.</w:t>
            </w:r>
            <w:r w:rsidR="1CB836D7" w:rsidRPr="4BFED563">
              <w:t xml:space="preserve"> Reforma povede k</w:t>
            </w:r>
            <w:r w:rsidR="14637838" w:rsidRPr="4BFED563">
              <w:t xml:space="preserve"> navýšení </w:t>
            </w:r>
            <w:r w:rsidR="1CB836D7" w:rsidRPr="4BFED563">
              <w:t>ročních dálničních známek pro vozidla M1 a N1 s konvenčním pohonem o nejméně 50 % ve srovnání s výchozím stavem v roce 2022.</w:t>
            </w:r>
          </w:p>
        </w:tc>
      </w:tr>
      <w:tr w:rsidR="4BFED563" w14:paraId="6E6DB610" w14:textId="77777777" w:rsidTr="4BFED563">
        <w:trPr>
          <w:trHeight w:val="600"/>
        </w:trPr>
        <w:tc>
          <w:tcPr>
            <w:tcW w:w="262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3D34731" w14:textId="77777777" w:rsidR="4BFED563" w:rsidRDefault="4BFED563" w:rsidP="4BFED563">
            <w:pPr>
              <w:spacing w:line="240" w:lineRule="auto"/>
              <w:jc w:val="both"/>
            </w:pPr>
            <w:r w:rsidRPr="4BFED563">
              <w:t>Spolupráce a zapojení zúčastněných stran</w:t>
            </w:r>
          </w:p>
        </w:tc>
        <w:tc>
          <w:tcPr>
            <w:tcW w:w="6994" w:type="dxa"/>
            <w:tcBorders>
              <w:top w:val="nil"/>
              <w:left w:val="nil"/>
              <w:bottom w:val="single" w:sz="8" w:space="0" w:color="auto"/>
              <w:right w:val="single" w:sz="8" w:space="0" w:color="auto"/>
            </w:tcBorders>
            <w:tcMar>
              <w:top w:w="0" w:type="dxa"/>
              <w:left w:w="108" w:type="dxa"/>
              <w:bottom w:w="0" w:type="dxa"/>
              <w:right w:w="108" w:type="dxa"/>
            </w:tcMar>
          </w:tcPr>
          <w:p w14:paraId="2C066F05" w14:textId="194FCEDB" w:rsidR="4BFED563" w:rsidRDefault="4BFED563" w:rsidP="4BFED563">
            <w:pPr>
              <w:spacing w:line="240" w:lineRule="auto"/>
              <w:jc w:val="both"/>
            </w:pPr>
            <w:r w:rsidRPr="4BFED563">
              <w:t>MD, MF, MŽP, MPO, průmyslové asociace</w:t>
            </w:r>
          </w:p>
          <w:p w14:paraId="0743AEC8" w14:textId="77777777" w:rsidR="4BFED563" w:rsidRDefault="4BFED563" w:rsidP="4BFED563">
            <w:pPr>
              <w:spacing w:line="240" w:lineRule="auto"/>
              <w:jc w:val="both"/>
            </w:pPr>
          </w:p>
        </w:tc>
      </w:tr>
      <w:tr w:rsidR="4BFED563" w14:paraId="70E5950A" w14:textId="77777777" w:rsidTr="4BFED563">
        <w:trPr>
          <w:trHeight w:val="600"/>
        </w:trPr>
        <w:tc>
          <w:tcPr>
            <w:tcW w:w="262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D8D6120" w14:textId="77777777" w:rsidR="4BFED563" w:rsidRDefault="4BFED563" w:rsidP="4BFED563">
            <w:pPr>
              <w:spacing w:line="240" w:lineRule="auto"/>
              <w:jc w:val="both"/>
            </w:pPr>
            <w:r w:rsidRPr="4BFED563">
              <w:t>Překážky a rizika</w:t>
            </w:r>
          </w:p>
        </w:tc>
        <w:tc>
          <w:tcPr>
            <w:tcW w:w="6994" w:type="dxa"/>
            <w:tcBorders>
              <w:top w:val="nil"/>
              <w:left w:val="nil"/>
              <w:bottom w:val="single" w:sz="8" w:space="0" w:color="auto"/>
              <w:right w:val="single" w:sz="8" w:space="0" w:color="auto"/>
            </w:tcBorders>
            <w:tcMar>
              <w:top w:w="0" w:type="dxa"/>
              <w:left w:w="108" w:type="dxa"/>
              <w:bottom w:w="0" w:type="dxa"/>
              <w:right w:w="108" w:type="dxa"/>
            </w:tcMar>
          </w:tcPr>
          <w:p w14:paraId="3E78A37A" w14:textId="391CD98E" w:rsidR="4BFED563" w:rsidRDefault="4BFED563" w:rsidP="4BFED563">
            <w:pPr>
              <w:spacing w:line="240" w:lineRule="auto"/>
              <w:jc w:val="both"/>
            </w:pPr>
            <w:r w:rsidRPr="4BFED563">
              <w:t>Ekonomický vývoj, konsolidace veřejných financí</w:t>
            </w:r>
          </w:p>
        </w:tc>
      </w:tr>
      <w:tr w:rsidR="4BFED563" w14:paraId="6A2AF310" w14:textId="77777777" w:rsidTr="4BFED563">
        <w:trPr>
          <w:trHeight w:val="600"/>
        </w:trPr>
        <w:tc>
          <w:tcPr>
            <w:tcW w:w="262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0E6BC5C" w14:textId="77777777" w:rsidR="4BFED563" w:rsidRDefault="4BFED563" w:rsidP="4BFED563">
            <w:pPr>
              <w:spacing w:line="240" w:lineRule="auto"/>
              <w:jc w:val="both"/>
            </w:pPr>
            <w:r w:rsidRPr="4BFED563">
              <w:t>Cílové skupiny populace a ekonomické subjekty</w:t>
            </w:r>
          </w:p>
        </w:tc>
        <w:tc>
          <w:tcPr>
            <w:tcW w:w="6994" w:type="dxa"/>
            <w:tcBorders>
              <w:top w:val="single" w:sz="8" w:space="0" w:color="auto"/>
              <w:left w:val="nil"/>
              <w:bottom w:val="single" w:sz="4" w:space="0" w:color="auto"/>
              <w:right w:val="single" w:sz="8" w:space="0" w:color="auto"/>
            </w:tcBorders>
            <w:tcMar>
              <w:top w:w="0" w:type="dxa"/>
              <w:left w:w="108" w:type="dxa"/>
              <w:bottom w:w="0" w:type="dxa"/>
              <w:right w:w="108" w:type="dxa"/>
            </w:tcMar>
          </w:tcPr>
          <w:p w14:paraId="461B5329" w14:textId="1058FB63" w:rsidR="4BFED563" w:rsidRDefault="4BFED563" w:rsidP="4BFED563">
            <w:pPr>
              <w:spacing w:line="240" w:lineRule="auto"/>
              <w:jc w:val="both"/>
            </w:pPr>
            <w:r w:rsidRPr="4BFED563">
              <w:t>Veřejnost, podniky, automobilový průmysl</w:t>
            </w:r>
          </w:p>
        </w:tc>
      </w:tr>
      <w:tr w:rsidR="4BFED563" w14:paraId="159327B7" w14:textId="77777777" w:rsidTr="4BFED563">
        <w:trPr>
          <w:trHeight w:val="900"/>
        </w:trPr>
        <w:tc>
          <w:tcPr>
            <w:tcW w:w="262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102CB97" w14:textId="77777777" w:rsidR="4BFED563" w:rsidRDefault="4BFED563" w:rsidP="4BFED563">
            <w:pPr>
              <w:spacing w:line="240" w:lineRule="auto"/>
              <w:jc w:val="both"/>
            </w:pPr>
            <w:r w:rsidRPr="4BFED563">
              <w:t>Souhrnné náklady realizace financované z RRF za celé období</w:t>
            </w:r>
          </w:p>
        </w:tc>
        <w:tc>
          <w:tcPr>
            <w:tcW w:w="6994"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14:paraId="69B439C5" w14:textId="77777777" w:rsidR="4BFED563" w:rsidRDefault="4BFED563" w:rsidP="4BFED563">
            <w:pPr>
              <w:spacing w:line="240" w:lineRule="auto"/>
              <w:jc w:val="both"/>
            </w:pPr>
            <w:r w:rsidRPr="4BFED563">
              <w:t>0 Kč</w:t>
            </w:r>
          </w:p>
        </w:tc>
      </w:tr>
      <w:tr w:rsidR="4BFED563" w14:paraId="562AA8A2" w14:textId="77777777" w:rsidTr="4BFED563">
        <w:trPr>
          <w:trHeight w:val="825"/>
        </w:trPr>
        <w:tc>
          <w:tcPr>
            <w:tcW w:w="262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D01BA7A" w14:textId="77777777" w:rsidR="4BFED563" w:rsidRDefault="4BFED563" w:rsidP="4BFED563">
            <w:pPr>
              <w:spacing w:line="240" w:lineRule="auto"/>
              <w:jc w:val="both"/>
            </w:pPr>
            <w:r w:rsidRPr="4BFED563">
              <w:t>Dodržování pravidel státní podpory</w:t>
            </w:r>
          </w:p>
        </w:tc>
        <w:tc>
          <w:tcPr>
            <w:tcW w:w="6994" w:type="dxa"/>
            <w:tcBorders>
              <w:top w:val="nil"/>
              <w:left w:val="nil"/>
              <w:bottom w:val="single" w:sz="8" w:space="0" w:color="auto"/>
              <w:right w:val="single" w:sz="8" w:space="0" w:color="auto"/>
            </w:tcBorders>
            <w:tcMar>
              <w:top w:w="0" w:type="dxa"/>
              <w:left w:w="108" w:type="dxa"/>
              <w:bottom w:w="0" w:type="dxa"/>
              <w:right w:w="108" w:type="dxa"/>
            </w:tcMar>
          </w:tcPr>
          <w:p w14:paraId="38E47EC6" w14:textId="52E2ED12" w:rsidR="4BFED563" w:rsidRDefault="4BFED563" w:rsidP="4BFED563">
            <w:pPr>
              <w:spacing w:line="240" w:lineRule="auto"/>
              <w:jc w:val="both"/>
            </w:pPr>
            <w:r>
              <w:t>Reforma spočívá v opatřeních legislativní povahy - úlevy nebo příznivé zacházení podporující zavádění vozidel s nulovými emisemi se vztahují stejným způsobem na všechny občany a podniky, které jsou ve srovnatelné faktické a právní situaci. Kritéria jsou definována objektivně a nediskriminačně. Konstrukce současného systému poplatků (nastavení cen dálničních známek) již řeší znečištění, principy/cíle opatření zůstávají stejné. Opatření nezahrnují diskreční pravomoci orgánů. Opatření proto nepředstavuje státní podporu.</w:t>
            </w:r>
          </w:p>
          <w:p w14:paraId="49D2AD74" w14:textId="727199AE" w:rsidR="4BFED563" w:rsidRDefault="4BFED563" w:rsidP="4BFED563">
            <w:pPr>
              <w:spacing w:line="240" w:lineRule="auto"/>
              <w:jc w:val="both"/>
            </w:pPr>
          </w:p>
        </w:tc>
      </w:tr>
      <w:tr w:rsidR="4BFED563" w14:paraId="0AB30484" w14:textId="77777777" w:rsidTr="4BFED563">
        <w:trPr>
          <w:trHeight w:val="300"/>
        </w:trPr>
        <w:tc>
          <w:tcPr>
            <w:tcW w:w="262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6379A6" w14:textId="77777777" w:rsidR="4BFED563" w:rsidRDefault="4BFED563" w:rsidP="4BFED563">
            <w:pPr>
              <w:spacing w:line="240" w:lineRule="auto"/>
              <w:jc w:val="both"/>
            </w:pPr>
            <w:r w:rsidRPr="4BFED563">
              <w:t>Uveďte dobu implementace</w:t>
            </w:r>
          </w:p>
        </w:tc>
        <w:tc>
          <w:tcPr>
            <w:tcW w:w="6994" w:type="dxa"/>
            <w:tcBorders>
              <w:top w:val="nil"/>
              <w:left w:val="nil"/>
              <w:bottom w:val="single" w:sz="8" w:space="0" w:color="auto"/>
              <w:right w:val="single" w:sz="8" w:space="0" w:color="auto"/>
            </w:tcBorders>
            <w:tcMar>
              <w:top w:w="0" w:type="dxa"/>
              <w:left w:w="108" w:type="dxa"/>
              <w:bottom w:w="0" w:type="dxa"/>
              <w:right w:w="108" w:type="dxa"/>
            </w:tcMar>
          </w:tcPr>
          <w:p w14:paraId="11848E63" w14:textId="6C7006D3" w:rsidR="4BFED563" w:rsidRDefault="4BFED563" w:rsidP="4BFED563">
            <w:pPr>
              <w:spacing w:line="240" w:lineRule="auto"/>
              <w:jc w:val="both"/>
            </w:pPr>
            <w:r w:rsidRPr="4BFED563">
              <w:t>Od Q</w:t>
            </w:r>
            <w:r w:rsidR="79B566A1" w:rsidRPr="4BFED563">
              <w:t>4</w:t>
            </w:r>
            <w:r w:rsidRPr="4BFED563">
              <w:t>/2024</w:t>
            </w:r>
          </w:p>
        </w:tc>
      </w:tr>
    </w:tbl>
    <w:p w14:paraId="6BDDF1D1" w14:textId="72FCBF47" w:rsidR="00425BAD" w:rsidRPr="00814CE3" w:rsidRDefault="00425BAD" w:rsidP="4BFED563">
      <w:pPr>
        <w:spacing w:line="240" w:lineRule="auto"/>
      </w:pPr>
    </w:p>
    <w:p w14:paraId="34625648" w14:textId="0E2B3094" w:rsidR="00425BAD" w:rsidRPr="00814CE3" w:rsidRDefault="00425BAD" w:rsidP="4BFED563">
      <w:pPr>
        <w:spacing w:line="240" w:lineRule="auto"/>
        <w:ind w:left="0"/>
        <w:rPr>
          <w:color w:val="auto"/>
          <w:u w:val="single"/>
        </w:rPr>
      </w:pPr>
    </w:p>
    <w:p w14:paraId="1FC211E0" w14:textId="0DDB7065" w:rsidR="00425BAD" w:rsidRPr="00814CE3" w:rsidRDefault="00425BAD" w:rsidP="4BFED563">
      <w:pPr>
        <w:spacing w:line="240" w:lineRule="auto"/>
        <w:ind w:left="0"/>
        <w:rPr>
          <w:color w:val="auto"/>
          <w:u w:val="single"/>
        </w:rPr>
      </w:pPr>
    </w:p>
    <w:p w14:paraId="329F469C" w14:textId="2CEFED5F" w:rsidR="6BF94FC7" w:rsidRDefault="6BF94FC7" w:rsidP="6BF94FC7">
      <w:pPr>
        <w:spacing w:line="240" w:lineRule="auto"/>
        <w:ind w:left="0"/>
        <w:rPr>
          <w:color w:val="auto"/>
        </w:rPr>
      </w:pPr>
    </w:p>
    <w:p w14:paraId="30FF8DE5" w14:textId="02784568" w:rsidR="00425BAD" w:rsidRPr="00814CE3" w:rsidRDefault="00425BAD" w:rsidP="00425BAD">
      <w:pPr>
        <w:spacing w:line="240" w:lineRule="auto"/>
        <w:ind w:left="0"/>
        <w:rPr>
          <w:rFonts w:cstheme="minorHAnsi"/>
          <w:b/>
          <w:color w:val="auto"/>
        </w:rPr>
      </w:pPr>
      <w:r w:rsidRPr="00814CE3">
        <w:rPr>
          <w:rFonts w:cstheme="minorHAnsi"/>
          <w:b/>
          <w:color w:val="auto"/>
        </w:rPr>
        <w:t>b) Popis investic</w:t>
      </w:r>
    </w:p>
    <w:p w14:paraId="56F346BB" w14:textId="77777777" w:rsidR="00425BAD" w:rsidRPr="00814CE3" w:rsidRDefault="00425BAD" w:rsidP="00425BAD">
      <w:pPr>
        <w:spacing w:line="240" w:lineRule="auto"/>
        <w:jc w:val="both"/>
        <w:rPr>
          <w:rFonts w:cstheme="minorHAnsi"/>
          <w:color w:val="auto"/>
        </w:rPr>
      </w:pPr>
      <w:r w:rsidRPr="00814CE3">
        <w:rPr>
          <w:rFonts w:cstheme="minorHAnsi"/>
          <w:color w:val="auto"/>
        </w:rPr>
        <w:t xml:space="preserve">Součástí je rovněž </w:t>
      </w:r>
      <w:r w:rsidRPr="00814CE3">
        <w:rPr>
          <w:rFonts w:cstheme="minorHAnsi"/>
          <w:b/>
          <w:color w:val="auto"/>
        </w:rPr>
        <w:t>investice</w:t>
      </w:r>
      <w:r w:rsidRPr="00814CE3">
        <w:rPr>
          <w:rFonts w:cstheme="minorHAnsi"/>
          <w:color w:val="auto"/>
        </w:rPr>
        <w:t xml:space="preserve">, která umožní zachovat původní cíl z komponenty 2.4 </w:t>
      </w:r>
      <w:r w:rsidRPr="00814CE3">
        <w:rPr>
          <w:rFonts w:cstheme="minorHAnsi"/>
          <w:b/>
          <w:color w:val="auto"/>
        </w:rPr>
        <w:t>Podpora nákupu bezemisních vozidel pro podnikatelské subjekty</w:t>
      </w:r>
      <w:r w:rsidRPr="00814CE3">
        <w:rPr>
          <w:rFonts w:cstheme="minorHAnsi"/>
          <w:color w:val="auto"/>
        </w:rPr>
        <w:t>, který byl jinak byl z důvodu vysoké inflace ohrožen.</w:t>
      </w:r>
    </w:p>
    <w:p w14:paraId="4DED6B25" w14:textId="77777777" w:rsidR="00425BAD" w:rsidRPr="00814CE3" w:rsidRDefault="00425BAD" w:rsidP="6BF94FC7">
      <w:pPr>
        <w:spacing w:line="240" w:lineRule="auto"/>
        <w:ind w:left="0"/>
        <w:rPr>
          <w:b/>
          <w:bCs/>
          <w:color w:val="auto"/>
          <w:u w:val="single"/>
        </w:rPr>
      </w:pPr>
    </w:p>
    <w:p w14:paraId="601319B0" w14:textId="7D0B7713" w:rsidR="6BF94FC7" w:rsidRDefault="6BF94FC7" w:rsidP="6BF94FC7">
      <w:pPr>
        <w:spacing w:line="240" w:lineRule="auto"/>
        <w:ind w:left="0"/>
        <w:rPr>
          <w:b/>
          <w:bCs/>
          <w:color w:val="auto"/>
          <w:u w:val="single"/>
        </w:rPr>
      </w:pPr>
    </w:p>
    <w:p w14:paraId="283443E8" w14:textId="349DCEE9" w:rsidR="00425BAD" w:rsidRPr="00814CE3" w:rsidRDefault="00585906" w:rsidP="4BFED563">
      <w:pPr>
        <w:spacing w:line="240" w:lineRule="auto"/>
        <w:ind w:left="0"/>
        <w:rPr>
          <w:b/>
          <w:bCs/>
          <w:color w:val="auto"/>
          <w:u w:val="single"/>
        </w:rPr>
      </w:pPr>
      <w:r w:rsidRPr="4BFED563">
        <w:rPr>
          <w:b/>
          <w:bCs/>
          <w:color w:val="auto"/>
          <w:u w:val="single"/>
        </w:rPr>
        <w:t xml:space="preserve">Investice 1: </w:t>
      </w:r>
      <w:r w:rsidR="00425BAD" w:rsidRPr="4BFED563">
        <w:rPr>
          <w:b/>
          <w:bCs/>
          <w:color w:val="auto"/>
          <w:u w:val="single"/>
        </w:rPr>
        <w:t xml:space="preserve">Podpora nákupu vozidel – bezemisní vozidla </w:t>
      </w:r>
      <w:r w:rsidR="155E85F6" w:rsidRPr="4BFED563">
        <w:rPr>
          <w:b/>
          <w:bCs/>
          <w:color w:val="auto"/>
          <w:u w:val="single"/>
        </w:rPr>
        <w:t xml:space="preserve">a cargo e-kola </w:t>
      </w:r>
      <w:r w:rsidR="00425BAD" w:rsidRPr="4BFED563">
        <w:rPr>
          <w:b/>
          <w:bCs/>
          <w:color w:val="auto"/>
          <w:u w:val="single"/>
        </w:rPr>
        <w:t xml:space="preserve">pro podnikatelské subjekty  </w:t>
      </w:r>
    </w:p>
    <w:tbl>
      <w:tblPr>
        <w:tblW w:w="0" w:type="auto"/>
        <w:tblCellMar>
          <w:left w:w="0" w:type="dxa"/>
          <w:right w:w="0" w:type="dxa"/>
        </w:tblCellMar>
        <w:tblLook w:val="04A0" w:firstRow="1" w:lastRow="0" w:firstColumn="1" w:lastColumn="0" w:noHBand="0" w:noVBand="1"/>
      </w:tblPr>
      <w:tblGrid>
        <w:gridCol w:w="2404"/>
        <w:gridCol w:w="7214"/>
      </w:tblGrid>
      <w:tr w:rsidR="00425BAD" w:rsidRPr="00814CE3" w14:paraId="0B653FFF" w14:textId="77777777" w:rsidTr="4BFED563">
        <w:tc>
          <w:tcPr>
            <w:tcW w:w="240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81DF079" w14:textId="77777777" w:rsidR="00425BAD" w:rsidRPr="00814CE3" w:rsidRDefault="00425BAD" w:rsidP="00885174">
            <w:pPr>
              <w:spacing w:after="120" w:line="240" w:lineRule="auto"/>
              <w:rPr>
                <w:rFonts w:cstheme="minorHAnsi"/>
                <w:lang w:eastAsia="cs-CZ"/>
              </w:rPr>
            </w:pPr>
            <w:r w:rsidRPr="00814CE3">
              <w:rPr>
                <w:rFonts w:cstheme="minorHAnsi"/>
                <w:lang w:eastAsia="cs-CZ"/>
              </w:rPr>
              <w:t>Výzva</w:t>
            </w:r>
          </w:p>
        </w:tc>
        <w:tc>
          <w:tcPr>
            <w:tcW w:w="721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F9F3FF4" w14:textId="77777777" w:rsidR="00425BAD" w:rsidRPr="00814CE3" w:rsidRDefault="00425BAD" w:rsidP="00885174">
            <w:pPr>
              <w:spacing w:after="120" w:line="240" w:lineRule="auto"/>
              <w:jc w:val="both"/>
              <w:rPr>
                <w:rFonts w:cstheme="minorHAnsi"/>
                <w:lang w:eastAsia="cs-CZ"/>
              </w:rPr>
            </w:pPr>
            <w:r w:rsidRPr="00814CE3">
              <w:rPr>
                <w:rFonts w:cstheme="minorHAnsi"/>
                <w:lang w:eastAsia="cs-CZ"/>
              </w:rPr>
              <w:t xml:space="preserve">Malá penetrace bezemisních vozidel u podnikatelských subjektů  </w:t>
            </w:r>
          </w:p>
        </w:tc>
      </w:tr>
      <w:tr w:rsidR="00425BAD" w:rsidRPr="00814CE3" w14:paraId="02687282" w14:textId="77777777" w:rsidTr="4BFED563">
        <w:tc>
          <w:tcPr>
            <w:tcW w:w="24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54D0A2" w14:textId="77777777" w:rsidR="00425BAD" w:rsidRPr="00814CE3" w:rsidRDefault="00425BAD" w:rsidP="00885174">
            <w:pPr>
              <w:spacing w:after="120" w:line="240" w:lineRule="auto"/>
              <w:rPr>
                <w:rFonts w:cstheme="minorHAnsi"/>
                <w:lang w:eastAsia="cs-CZ"/>
              </w:rPr>
            </w:pPr>
            <w:r w:rsidRPr="00814CE3">
              <w:rPr>
                <w:rFonts w:cstheme="minorHAnsi"/>
                <w:lang w:eastAsia="cs-CZ"/>
              </w:rPr>
              <w:t>Cíl</w:t>
            </w:r>
          </w:p>
        </w:tc>
        <w:tc>
          <w:tcPr>
            <w:tcW w:w="7214" w:type="dxa"/>
            <w:tcBorders>
              <w:top w:val="nil"/>
              <w:left w:val="nil"/>
              <w:bottom w:val="single" w:sz="8" w:space="0" w:color="auto"/>
              <w:right w:val="single" w:sz="8" w:space="0" w:color="auto"/>
            </w:tcBorders>
            <w:tcMar>
              <w:top w:w="0" w:type="dxa"/>
              <w:left w:w="108" w:type="dxa"/>
              <w:bottom w:w="0" w:type="dxa"/>
              <w:right w:w="108" w:type="dxa"/>
            </w:tcMar>
            <w:hideMark/>
          </w:tcPr>
          <w:p w14:paraId="3ED4BD21" w14:textId="2E9E03AC" w:rsidR="00425BAD" w:rsidRPr="00814CE3" w:rsidRDefault="44808BB2" w:rsidP="4BFED563">
            <w:pPr>
              <w:spacing w:after="120" w:line="240" w:lineRule="auto"/>
              <w:jc w:val="both"/>
              <w:rPr>
                <w:lang w:eastAsia="cs-CZ"/>
              </w:rPr>
            </w:pPr>
            <w:r w:rsidRPr="4BFED563">
              <w:rPr>
                <w:lang w:eastAsia="cs-CZ"/>
              </w:rPr>
              <w:t>Ve spojitosti s komp</w:t>
            </w:r>
            <w:r w:rsidR="301BF8F1" w:rsidRPr="4BFED563">
              <w:rPr>
                <w:lang w:eastAsia="cs-CZ"/>
              </w:rPr>
              <w:t>onentou 2.4 dojde k n</w:t>
            </w:r>
            <w:r w:rsidR="00425BAD" w:rsidRPr="4BFED563">
              <w:rPr>
                <w:lang w:eastAsia="cs-CZ"/>
              </w:rPr>
              <w:t>avýšení počtu</w:t>
            </w:r>
            <w:r w:rsidR="38043562" w:rsidRPr="4BFED563">
              <w:rPr>
                <w:lang w:eastAsia="cs-CZ"/>
              </w:rPr>
              <w:t xml:space="preserve"> o 1885</w:t>
            </w:r>
            <w:r w:rsidR="00425BAD" w:rsidRPr="4BFED563">
              <w:rPr>
                <w:lang w:eastAsia="cs-CZ"/>
              </w:rPr>
              <w:t xml:space="preserve"> bezemisních vozidel u podnikatelů </w:t>
            </w:r>
            <w:r w:rsidR="3E6ACBC6" w:rsidRPr="4BFED563">
              <w:rPr>
                <w:lang w:eastAsia="cs-CZ"/>
              </w:rPr>
              <w:t>a</w:t>
            </w:r>
            <w:r w:rsidR="7363A962" w:rsidRPr="4BFED563">
              <w:rPr>
                <w:lang w:eastAsia="cs-CZ"/>
              </w:rPr>
              <w:t xml:space="preserve"> </w:t>
            </w:r>
            <w:r w:rsidR="1BB76630" w:rsidRPr="4BFED563">
              <w:rPr>
                <w:lang w:eastAsia="cs-CZ"/>
              </w:rPr>
              <w:t xml:space="preserve">celkem </w:t>
            </w:r>
            <w:r w:rsidR="6B05AA54" w:rsidRPr="4BFED563">
              <w:rPr>
                <w:lang w:eastAsia="cs-CZ"/>
              </w:rPr>
              <w:t xml:space="preserve">bude podpořeno </w:t>
            </w:r>
            <w:r w:rsidR="1BB76630" w:rsidRPr="4BFED563">
              <w:rPr>
                <w:lang w:eastAsia="cs-CZ"/>
              </w:rPr>
              <w:t>4 055 bezemisních vozidel a 500 e-</w:t>
            </w:r>
            <w:r w:rsidR="53F5B4FD" w:rsidRPr="4BFED563">
              <w:rPr>
                <w:lang w:eastAsia="cs-CZ"/>
              </w:rPr>
              <w:t>kol.</w:t>
            </w:r>
          </w:p>
        </w:tc>
      </w:tr>
      <w:tr w:rsidR="00425BAD" w:rsidRPr="00814CE3" w14:paraId="51FB8488" w14:textId="77777777" w:rsidTr="4BFED563">
        <w:tc>
          <w:tcPr>
            <w:tcW w:w="24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FD9EB1" w14:textId="77777777" w:rsidR="00425BAD" w:rsidRPr="00814CE3" w:rsidRDefault="00425BAD" w:rsidP="00885174">
            <w:pPr>
              <w:spacing w:after="120" w:line="240" w:lineRule="auto"/>
              <w:rPr>
                <w:rFonts w:cstheme="minorHAnsi"/>
                <w:lang w:eastAsia="cs-CZ"/>
              </w:rPr>
            </w:pPr>
            <w:r w:rsidRPr="00814CE3">
              <w:rPr>
                <w:rFonts w:cstheme="minorHAnsi"/>
                <w:lang w:eastAsia="cs-CZ"/>
              </w:rPr>
              <w:t>Implementace</w:t>
            </w:r>
          </w:p>
        </w:tc>
        <w:tc>
          <w:tcPr>
            <w:tcW w:w="7214" w:type="dxa"/>
            <w:tcBorders>
              <w:top w:val="nil"/>
              <w:left w:val="nil"/>
              <w:bottom w:val="single" w:sz="8" w:space="0" w:color="auto"/>
              <w:right w:val="single" w:sz="8" w:space="0" w:color="auto"/>
            </w:tcBorders>
            <w:tcMar>
              <w:top w:w="0" w:type="dxa"/>
              <w:left w:w="108" w:type="dxa"/>
              <w:bottom w:w="0" w:type="dxa"/>
              <w:right w:w="108" w:type="dxa"/>
            </w:tcMar>
            <w:hideMark/>
          </w:tcPr>
          <w:p w14:paraId="4BBDF8B8" w14:textId="77777777" w:rsidR="00425BAD" w:rsidRPr="00814CE3" w:rsidRDefault="00425BAD" w:rsidP="00885174">
            <w:pPr>
              <w:spacing w:after="120" w:line="240" w:lineRule="auto"/>
              <w:jc w:val="both"/>
              <w:rPr>
                <w:rFonts w:cstheme="minorHAnsi"/>
                <w:lang w:eastAsia="cs-CZ"/>
              </w:rPr>
            </w:pPr>
            <w:r w:rsidRPr="00814CE3">
              <w:rPr>
                <w:rFonts w:cstheme="minorHAnsi"/>
                <w:lang w:eastAsia="cs-CZ"/>
              </w:rPr>
              <w:t>Gesce MPO, spolupráce NRB</w:t>
            </w:r>
          </w:p>
        </w:tc>
      </w:tr>
      <w:tr w:rsidR="00425BAD" w:rsidRPr="00814CE3" w14:paraId="7963EA9C" w14:textId="77777777" w:rsidTr="4BFED563">
        <w:trPr>
          <w:trHeight w:val="70"/>
        </w:trPr>
        <w:tc>
          <w:tcPr>
            <w:tcW w:w="24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183F81" w14:textId="77777777" w:rsidR="00425BAD" w:rsidRPr="00814CE3" w:rsidRDefault="00425BAD" w:rsidP="00885174">
            <w:pPr>
              <w:spacing w:after="120" w:line="240" w:lineRule="auto"/>
              <w:rPr>
                <w:rFonts w:cstheme="minorHAnsi"/>
                <w:lang w:eastAsia="cs-CZ"/>
              </w:rPr>
            </w:pPr>
            <w:r w:rsidRPr="00814CE3">
              <w:rPr>
                <w:rFonts w:cstheme="minorHAnsi"/>
                <w:lang w:eastAsia="cs-CZ"/>
              </w:rPr>
              <w:t>Spolupráce a zapojení zúčastněných stran</w:t>
            </w:r>
          </w:p>
        </w:tc>
        <w:tc>
          <w:tcPr>
            <w:tcW w:w="7214" w:type="dxa"/>
            <w:tcBorders>
              <w:top w:val="nil"/>
              <w:left w:val="nil"/>
              <w:bottom w:val="single" w:sz="8" w:space="0" w:color="auto"/>
              <w:right w:val="single" w:sz="8" w:space="0" w:color="auto"/>
            </w:tcBorders>
            <w:tcMar>
              <w:top w:w="0" w:type="dxa"/>
              <w:left w:w="108" w:type="dxa"/>
              <w:bottom w:w="0" w:type="dxa"/>
              <w:right w:w="108" w:type="dxa"/>
            </w:tcMar>
            <w:hideMark/>
          </w:tcPr>
          <w:p w14:paraId="7249197E" w14:textId="77777777" w:rsidR="00425BAD" w:rsidRPr="00814CE3" w:rsidRDefault="00425BAD" w:rsidP="00885174">
            <w:pPr>
              <w:spacing w:after="120" w:line="240" w:lineRule="auto"/>
              <w:jc w:val="both"/>
              <w:rPr>
                <w:rFonts w:cstheme="minorHAnsi"/>
                <w:lang w:eastAsia="cs-CZ"/>
              </w:rPr>
            </w:pPr>
            <w:r w:rsidRPr="00814CE3">
              <w:rPr>
                <w:rFonts w:cstheme="minorHAnsi"/>
                <w:lang w:eastAsia="cs-CZ"/>
              </w:rPr>
              <w:t>Podnikatelské subjekty, dopravci, prodejci vozidel, energetické společnosti, leasingové společnosti</w:t>
            </w:r>
          </w:p>
        </w:tc>
      </w:tr>
      <w:tr w:rsidR="00425BAD" w:rsidRPr="00814CE3" w14:paraId="528260AD" w14:textId="77777777" w:rsidTr="4BFED563">
        <w:tc>
          <w:tcPr>
            <w:tcW w:w="24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2C5BFC" w14:textId="77777777" w:rsidR="00425BAD" w:rsidRPr="00814CE3" w:rsidRDefault="00425BAD" w:rsidP="00885174">
            <w:pPr>
              <w:spacing w:after="120" w:line="240" w:lineRule="auto"/>
              <w:rPr>
                <w:rFonts w:cstheme="minorHAnsi"/>
                <w:lang w:eastAsia="cs-CZ"/>
              </w:rPr>
            </w:pPr>
            <w:r w:rsidRPr="00814CE3">
              <w:rPr>
                <w:rFonts w:cstheme="minorHAnsi"/>
                <w:lang w:eastAsia="cs-CZ"/>
              </w:rPr>
              <w:t>Překážky a rizika</w:t>
            </w:r>
          </w:p>
        </w:tc>
        <w:tc>
          <w:tcPr>
            <w:tcW w:w="7214" w:type="dxa"/>
            <w:tcBorders>
              <w:top w:val="nil"/>
              <w:left w:val="nil"/>
              <w:bottom w:val="single" w:sz="8" w:space="0" w:color="auto"/>
              <w:right w:val="single" w:sz="8" w:space="0" w:color="auto"/>
            </w:tcBorders>
            <w:tcMar>
              <w:top w:w="0" w:type="dxa"/>
              <w:left w:w="108" w:type="dxa"/>
              <w:bottom w:w="0" w:type="dxa"/>
              <w:right w:w="108" w:type="dxa"/>
            </w:tcMar>
            <w:hideMark/>
          </w:tcPr>
          <w:p w14:paraId="05D18906" w14:textId="77777777" w:rsidR="00425BAD" w:rsidRPr="00814CE3" w:rsidRDefault="00425BAD" w:rsidP="00885174">
            <w:pPr>
              <w:spacing w:after="120" w:line="240" w:lineRule="auto"/>
              <w:jc w:val="both"/>
              <w:rPr>
                <w:rFonts w:cstheme="minorHAnsi"/>
                <w:lang w:eastAsia="cs-CZ"/>
              </w:rPr>
            </w:pPr>
            <w:r w:rsidRPr="00814CE3">
              <w:rPr>
                <w:rFonts w:cstheme="minorHAnsi"/>
                <w:lang w:eastAsia="cs-CZ"/>
              </w:rPr>
              <w:t xml:space="preserve">Nedostatek vozidel na trhu, ekonomický vývoj </w:t>
            </w:r>
          </w:p>
        </w:tc>
      </w:tr>
      <w:tr w:rsidR="00425BAD" w:rsidRPr="00814CE3" w14:paraId="0A30CA5C" w14:textId="77777777" w:rsidTr="4BFED563">
        <w:tc>
          <w:tcPr>
            <w:tcW w:w="24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C3C135" w14:textId="77777777" w:rsidR="00425BAD" w:rsidRPr="00814CE3" w:rsidRDefault="00425BAD" w:rsidP="00885174">
            <w:pPr>
              <w:spacing w:after="120" w:line="240" w:lineRule="auto"/>
              <w:rPr>
                <w:rFonts w:cstheme="minorHAnsi"/>
                <w:lang w:eastAsia="cs-CZ"/>
              </w:rPr>
            </w:pPr>
            <w:r w:rsidRPr="00814CE3">
              <w:rPr>
                <w:rFonts w:cstheme="minorHAnsi"/>
                <w:lang w:eastAsia="cs-CZ"/>
              </w:rPr>
              <w:t>Cílové skupiny populace a ekonomické subjekty</w:t>
            </w:r>
          </w:p>
        </w:tc>
        <w:tc>
          <w:tcPr>
            <w:tcW w:w="7214" w:type="dxa"/>
            <w:tcBorders>
              <w:top w:val="nil"/>
              <w:left w:val="nil"/>
              <w:bottom w:val="single" w:sz="8" w:space="0" w:color="auto"/>
              <w:right w:val="single" w:sz="8" w:space="0" w:color="auto"/>
            </w:tcBorders>
            <w:tcMar>
              <w:top w:w="0" w:type="dxa"/>
              <w:left w:w="108" w:type="dxa"/>
              <w:bottom w:w="0" w:type="dxa"/>
              <w:right w:w="108" w:type="dxa"/>
            </w:tcMar>
            <w:hideMark/>
          </w:tcPr>
          <w:p w14:paraId="66D811D3" w14:textId="77777777" w:rsidR="00425BAD" w:rsidRPr="00814CE3" w:rsidRDefault="00425BAD" w:rsidP="00885174">
            <w:pPr>
              <w:spacing w:after="120" w:line="240" w:lineRule="auto"/>
              <w:jc w:val="both"/>
              <w:rPr>
                <w:rFonts w:cstheme="minorHAnsi"/>
                <w:lang w:eastAsia="cs-CZ"/>
              </w:rPr>
            </w:pPr>
            <w:r w:rsidRPr="00814CE3">
              <w:rPr>
                <w:rFonts w:cstheme="minorHAnsi"/>
                <w:lang w:eastAsia="cs-CZ"/>
              </w:rPr>
              <w:t>Podnikatelské subjekty</w:t>
            </w:r>
          </w:p>
        </w:tc>
      </w:tr>
      <w:tr w:rsidR="00425BAD" w:rsidRPr="00814CE3" w14:paraId="2FEF0AD3" w14:textId="77777777" w:rsidTr="4BFED563">
        <w:tc>
          <w:tcPr>
            <w:tcW w:w="24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CCFE4D2" w14:textId="77777777" w:rsidR="00425BAD" w:rsidRPr="00814CE3" w:rsidRDefault="00425BAD" w:rsidP="00885174">
            <w:pPr>
              <w:spacing w:after="120" w:line="240" w:lineRule="auto"/>
              <w:rPr>
                <w:rFonts w:cstheme="minorHAnsi"/>
                <w:lang w:eastAsia="cs-CZ"/>
              </w:rPr>
            </w:pPr>
            <w:r w:rsidRPr="00814CE3">
              <w:rPr>
                <w:rFonts w:cstheme="minorHAnsi"/>
                <w:lang w:eastAsia="cs-CZ"/>
              </w:rPr>
              <w:t>Souhrnné náklady realizace financované z RRF za celé období</w:t>
            </w:r>
          </w:p>
        </w:tc>
        <w:tc>
          <w:tcPr>
            <w:tcW w:w="7214" w:type="dxa"/>
            <w:tcBorders>
              <w:top w:val="nil"/>
              <w:left w:val="nil"/>
              <w:bottom w:val="single" w:sz="8" w:space="0" w:color="auto"/>
              <w:right w:val="single" w:sz="8" w:space="0" w:color="auto"/>
            </w:tcBorders>
            <w:tcMar>
              <w:top w:w="0" w:type="dxa"/>
              <w:left w:w="108" w:type="dxa"/>
              <w:bottom w:w="0" w:type="dxa"/>
              <w:right w:w="108" w:type="dxa"/>
            </w:tcMar>
            <w:hideMark/>
          </w:tcPr>
          <w:p w14:paraId="1E8A0503" w14:textId="77777777" w:rsidR="00425BAD" w:rsidRPr="00814CE3" w:rsidRDefault="00425BAD" w:rsidP="00885174">
            <w:pPr>
              <w:spacing w:after="120" w:line="240" w:lineRule="auto"/>
              <w:jc w:val="both"/>
              <w:rPr>
                <w:rFonts w:cstheme="minorHAnsi"/>
                <w:lang w:eastAsia="cs-CZ"/>
              </w:rPr>
            </w:pPr>
            <w:r w:rsidRPr="00814CE3">
              <w:rPr>
                <w:rFonts w:cstheme="minorHAnsi"/>
                <w:lang w:eastAsia="cs-CZ"/>
              </w:rPr>
              <w:t xml:space="preserve">760 mil. Kč </w:t>
            </w:r>
          </w:p>
        </w:tc>
      </w:tr>
      <w:tr w:rsidR="00425BAD" w:rsidRPr="00814CE3" w14:paraId="1F60DD8C" w14:textId="77777777" w:rsidTr="4BFED563">
        <w:tc>
          <w:tcPr>
            <w:tcW w:w="24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7F061D" w14:textId="77777777" w:rsidR="00425BAD" w:rsidRPr="00814CE3" w:rsidRDefault="00425BAD" w:rsidP="00885174">
            <w:pPr>
              <w:spacing w:after="120" w:line="240" w:lineRule="auto"/>
              <w:rPr>
                <w:rFonts w:cstheme="minorHAnsi"/>
                <w:lang w:eastAsia="cs-CZ"/>
              </w:rPr>
            </w:pPr>
            <w:r w:rsidRPr="00814CE3">
              <w:rPr>
                <w:rFonts w:cstheme="minorHAnsi"/>
                <w:lang w:eastAsia="cs-CZ"/>
              </w:rPr>
              <w:t>Dodržování pravidel státní podpory</w:t>
            </w:r>
          </w:p>
        </w:tc>
        <w:tc>
          <w:tcPr>
            <w:tcW w:w="7214" w:type="dxa"/>
            <w:tcBorders>
              <w:top w:val="nil"/>
              <w:left w:val="nil"/>
              <w:bottom w:val="single" w:sz="8" w:space="0" w:color="auto"/>
              <w:right w:val="single" w:sz="8" w:space="0" w:color="auto"/>
            </w:tcBorders>
            <w:tcMar>
              <w:top w:w="0" w:type="dxa"/>
              <w:left w:w="108" w:type="dxa"/>
              <w:bottom w:w="0" w:type="dxa"/>
              <w:right w:w="108" w:type="dxa"/>
            </w:tcMar>
            <w:hideMark/>
          </w:tcPr>
          <w:p w14:paraId="241A48A0" w14:textId="77777777" w:rsidR="00425BAD" w:rsidRPr="00814CE3" w:rsidRDefault="00425BAD" w:rsidP="00885174">
            <w:pPr>
              <w:spacing w:after="120" w:line="240" w:lineRule="auto"/>
              <w:jc w:val="both"/>
              <w:rPr>
                <w:rFonts w:cstheme="minorHAnsi"/>
                <w:lang w:eastAsia="cs-CZ"/>
              </w:rPr>
            </w:pPr>
            <w:r w:rsidRPr="00814CE3">
              <w:rPr>
                <w:rFonts w:cstheme="minorHAnsi"/>
                <w:lang w:eastAsia="cs-CZ"/>
              </w:rPr>
              <w:t xml:space="preserve">Podpora se bude řídit dle pravidel de minimis. </w:t>
            </w:r>
            <w:r w:rsidRPr="00814CE3">
              <w:rPr>
                <w:rFonts w:cstheme="minorHAnsi"/>
                <w:shd w:val="clear" w:color="auto" w:fill="FFFFFF"/>
              </w:rPr>
              <w:t>DPH nebude uznáváno jako způsobilý výdaj.</w:t>
            </w:r>
          </w:p>
        </w:tc>
      </w:tr>
      <w:tr w:rsidR="00425BAD" w:rsidRPr="00814CE3" w14:paraId="5CB16B5B" w14:textId="77777777" w:rsidTr="4BFED563">
        <w:tc>
          <w:tcPr>
            <w:tcW w:w="24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200469" w14:textId="77777777" w:rsidR="00425BAD" w:rsidRPr="00814CE3" w:rsidRDefault="00425BAD" w:rsidP="00885174">
            <w:pPr>
              <w:spacing w:after="120" w:line="240" w:lineRule="auto"/>
              <w:rPr>
                <w:rFonts w:cstheme="minorHAnsi"/>
                <w:lang w:eastAsia="cs-CZ"/>
              </w:rPr>
            </w:pPr>
            <w:r w:rsidRPr="00814CE3">
              <w:rPr>
                <w:rFonts w:cstheme="minorHAnsi"/>
                <w:lang w:eastAsia="cs-CZ"/>
              </w:rPr>
              <w:t>Uveďte dobu implementace</w:t>
            </w:r>
          </w:p>
        </w:tc>
        <w:tc>
          <w:tcPr>
            <w:tcW w:w="7214" w:type="dxa"/>
            <w:tcBorders>
              <w:top w:val="nil"/>
              <w:left w:val="nil"/>
              <w:bottom w:val="single" w:sz="8" w:space="0" w:color="auto"/>
              <w:right w:val="single" w:sz="8" w:space="0" w:color="auto"/>
            </w:tcBorders>
            <w:tcMar>
              <w:top w:w="0" w:type="dxa"/>
              <w:left w:w="108" w:type="dxa"/>
              <w:bottom w:w="0" w:type="dxa"/>
              <w:right w:w="108" w:type="dxa"/>
            </w:tcMar>
            <w:hideMark/>
          </w:tcPr>
          <w:p w14:paraId="0156095A" w14:textId="77777777" w:rsidR="00425BAD" w:rsidRPr="00814CE3" w:rsidRDefault="00425BAD" w:rsidP="00885174">
            <w:pPr>
              <w:spacing w:after="120" w:line="240" w:lineRule="auto"/>
              <w:jc w:val="both"/>
              <w:rPr>
                <w:rFonts w:cstheme="minorHAnsi"/>
                <w:lang w:eastAsia="cs-CZ"/>
              </w:rPr>
            </w:pPr>
            <w:r w:rsidRPr="00814CE3">
              <w:rPr>
                <w:rFonts w:cstheme="minorHAnsi"/>
                <w:lang w:eastAsia="cs-CZ"/>
              </w:rPr>
              <w:t>Plánovaná doba realizace (2023-2025)</w:t>
            </w:r>
          </w:p>
        </w:tc>
      </w:tr>
    </w:tbl>
    <w:p w14:paraId="1D705B9A" w14:textId="77777777" w:rsidR="00425BAD" w:rsidRPr="00814CE3" w:rsidRDefault="00425BAD" w:rsidP="00425BAD">
      <w:pPr>
        <w:spacing w:line="240" w:lineRule="auto"/>
        <w:ind w:left="0"/>
        <w:rPr>
          <w:rFonts w:cstheme="minorHAnsi"/>
          <w:color w:val="auto"/>
        </w:rPr>
      </w:pPr>
    </w:p>
    <w:p w14:paraId="7A76E434" w14:textId="77777777" w:rsidR="00425BAD" w:rsidRPr="00814CE3" w:rsidRDefault="00425BAD" w:rsidP="00425BAD">
      <w:pPr>
        <w:pStyle w:val="slovanseznam"/>
        <w:numPr>
          <w:ilvl w:val="0"/>
          <w:numId w:val="13"/>
        </w:numPr>
        <w:spacing w:line="240" w:lineRule="auto"/>
        <w:rPr>
          <w:rFonts w:cstheme="minorHAnsi"/>
        </w:rPr>
      </w:pPr>
      <w:r w:rsidRPr="00814CE3">
        <w:rPr>
          <w:rFonts w:cstheme="minorHAnsi"/>
        </w:rPr>
        <w:t>Strategická autonomie a bezpečnostní problematika</w:t>
      </w:r>
    </w:p>
    <w:p w14:paraId="3E1DA71C" w14:textId="09D6B5B1" w:rsidR="00425BAD" w:rsidRPr="00814CE3" w:rsidRDefault="00425BAD" w:rsidP="00425BAD">
      <w:pPr>
        <w:spacing w:line="240" w:lineRule="auto"/>
        <w:jc w:val="both"/>
        <w:rPr>
          <w:rFonts w:cstheme="minorHAnsi"/>
        </w:rPr>
      </w:pPr>
      <w:r w:rsidRPr="00814CE3">
        <w:rPr>
          <w:rFonts w:cstheme="minorHAnsi"/>
        </w:rPr>
        <w:t>Realizace reforem má neutrální vliv na bezpečnostní problematiku ČR. Reformy i investice pozitivně ovlivňují strategickou autonomii a energeti</w:t>
      </w:r>
      <w:r w:rsidR="008B3748">
        <w:rPr>
          <w:rFonts w:cstheme="minorHAnsi"/>
        </w:rPr>
        <w:t>c</w:t>
      </w:r>
      <w:r w:rsidRPr="00814CE3">
        <w:rPr>
          <w:rFonts w:cstheme="minorHAnsi"/>
        </w:rPr>
        <w:t xml:space="preserve">kou nezávislost ČR. </w:t>
      </w:r>
    </w:p>
    <w:p w14:paraId="12A0BFB5" w14:textId="77777777" w:rsidR="00425BAD" w:rsidRPr="00814CE3" w:rsidRDefault="00425BAD" w:rsidP="00425BAD">
      <w:pPr>
        <w:spacing w:line="240" w:lineRule="auto"/>
        <w:jc w:val="both"/>
        <w:rPr>
          <w:rFonts w:cstheme="minorHAnsi"/>
        </w:rPr>
      </w:pPr>
    </w:p>
    <w:p w14:paraId="3BE730C3" w14:textId="77777777" w:rsidR="00425BAD" w:rsidRPr="00814CE3" w:rsidRDefault="00425BAD" w:rsidP="00425BAD">
      <w:pPr>
        <w:pStyle w:val="slovanseznam"/>
        <w:numPr>
          <w:ilvl w:val="0"/>
          <w:numId w:val="13"/>
        </w:numPr>
        <w:spacing w:line="240" w:lineRule="auto"/>
        <w:rPr>
          <w:rFonts w:cstheme="minorHAnsi"/>
        </w:rPr>
      </w:pPr>
      <w:r w:rsidRPr="00814CE3">
        <w:rPr>
          <w:rFonts w:cstheme="minorHAnsi"/>
        </w:rPr>
        <w:t>Přeshraniční a mezinárodní projekty</w:t>
      </w:r>
    </w:p>
    <w:p w14:paraId="2F46708C" w14:textId="77777777" w:rsidR="00425BAD" w:rsidRPr="00814CE3" w:rsidRDefault="00425BAD" w:rsidP="00425BAD">
      <w:pPr>
        <w:spacing w:line="240" w:lineRule="auto"/>
        <w:rPr>
          <w:rFonts w:eastAsiaTheme="minorEastAsia" w:cstheme="minorHAnsi"/>
          <w:bCs/>
        </w:rPr>
      </w:pPr>
      <w:r w:rsidRPr="00814CE3">
        <w:rPr>
          <w:rFonts w:eastAsiaTheme="minorEastAsia" w:cstheme="minorHAnsi"/>
          <w:bCs/>
        </w:rPr>
        <w:t>Nepředpokládá se, že by v rámci této komponenty byly rozvíjeny přeshraniční projekty, případně by tomu mohlo být u vodíkových projektů.</w:t>
      </w:r>
    </w:p>
    <w:p w14:paraId="3C587E2E" w14:textId="77777777" w:rsidR="00425BAD" w:rsidRPr="00814CE3" w:rsidRDefault="00425BAD" w:rsidP="00425BAD">
      <w:pPr>
        <w:spacing w:line="240" w:lineRule="auto"/>
        <w:rPr>
          <w:rFonts w:eastAsiaTheme="minorEastAsia" w:cstheme="minorHAnsi"/>
          <w:bCs/>
        </w:rPr>
      </w:pPr>
    </w:p>
    <w:p w14:paraId="29ED83F4" w14:textId="77777777" w:rsidR="00425BAD" w:rsidRPr="00814CE3" w:rsidRDefault="00425BAD" w:rsidP="00425BAD">
      <w:pPr>
        <w:pStyle w:val="slovanseznam"/>
        <w:numPr>
          <w:ilvl w:val="0"/>
          <w:numId w:val="13"/>
        </w:numPr>
        <w:spacing w:line="240" w:lineRule="auto"/>
        <w:rPr>
          <w:rFonts w:cstheme="minorHAnsi"/>
        </w:rPr>
      </w:pPr>
      <w:r w:rsidRPr="00814CE3">
        <w:rPr>
          <w:rFonts w:cstheme="minorHAnsi"/>
        </w:rPr>
        <w:t>Zelený rozměr komponenty</w:t>
      </w:r>
    </w:p>
    <w:p w14:paraId="17EBE7EF" w14:textId="77777777" w:rsidR="00425BAD" w:rsidRPr="00814CE3" w:rsidRDefault="00425BAD" w:rsidP="00425BAD">
      <w:pPr>
        <w:spacing w:line="240" w:lineRule="auto"/>
        <w:rPr>
          <w:rFonts w:eastAsiaTheme="minorEastAsia" w:cstheme="minorHAnsi"/>
          <w:bCs/>
        </w:rPr>
      </w:pPr>
      <w:r w:rsidRPr="00814CE3">
        <w:rPr>
          <w:rFonts w:eastAsiaTheme="minorEastAsia" w:cstheme="minorHAnsi"/>
        </w:rPr>
        <w:t xml:space="preserve"> </w:t>
      </w:r>
      <w:r w:rsidRPr="00814CE3">
        <w:rPr>
          <w:rFonts w:eastAsiaTheme="minorEastAsia" w:cstheme="minorHAnsi"/>
          <w:bCs/>
        </w:rPr>
        <w:t>100 % klimatický tagging, 40 % environmentální tagging</w:t>
      </w:r>
    </w:p>
    <w:p w14:paraId="502D6974" w14:textId="77777777" w:rsidR="00425BAD" w:rsidRPr="00814CE3" w:rsidRDefault="00425BAD" w:rsidP="00425BAD">
      <w:pPr>
        <w:spacing w:line="240" w:lineRule="auto"/>
        <w:rPr>
          <w:rFonts w:eastAsiaTheme="minorEastAsia" w:cstheme="minorHAnsi"/>
          <w:bCs/>
        </w:rPr>
      </w:pPr>
    </w:p>
    <w:p w14:paraId="793378BB" w14:textId="77777777" w:rsidR="00425BAD" w:rsidRPr="00814CE3" w:rsidRDefault="00425BAD" w:rsidP="00425BAD">
      <w:pPr>
        <w:pStyle w:val="slovanseznam"/>
        <w:numPr>
          <w:ilvl w:val="0"/>
          <w:numId w:val="13"/>
        </w:numPr>
        <w:spacing w:line="240" w:lineRule="auto"/>
        <w:rPr>
          <w:rFonts w:cstheme="minorHAnsi"/>
        </w:rPr>
      </w:pPr>
      <w:r w:rsidRPr="00814CE3">
        <w:rPr>
          <w:rFonts w:cstheme="minorHAnsi"/>
        </w:rPr>
        <w:t>Digitální rozměr komponenty</w:t>
      </w:r>
    </w:p>
    <w:p w14:paraId="46AB85DC" w14:textId="77777777" w:rsidR="00425BAD" w:rsidRPr="00814CE3" w:rsidRDefault="00425BAD" w:rsidP="00425BAD">
      <w:pPr>
        <w:spacing w:line="240" w:lineRule="auto"/>
        <w:rPr>
          <w:rFonts w:eastAsiaTheme="minorEastAsia" w:cstheme="minorHAnsi"/>
        </w:rPr>
      </w:pPr>
      <w:r w:rsidRPr="00814CE3">
        <w:rPr>
          <w:rFonts w:eastAsiaTheme="minorEastAsia" w:cstheme="minorHAnsi"/>
        </w:rPr>
        <w:t xml:space="preserve">- </w:t>
      </w:r>
    </w:p>
    <w:p w14:paraId="3D3B205D" w14:textId="77777777" w:rsidR="00425BAD" w:rsidRPr="00814CE3" w:rsidRDefault="00425BAD" w:rsidP="00425BAD">
      <w:pPr>
        <w:pStyle w:val="slovanseznam"/>
        <w:numPr>
          <w:ilvl w:val="0"/>
          <w:numId w:val="13"/>
        </w:numPr>
        <w:spacing w:line="240" w:lineRule="auto"/>
        <w:rPr>
          <w:rFonts w:cstheme="minorHAnsi"/>
        </w:rPr>
      </w:pPr>
      <w:r w:rsidRPr="00814CE3">
        <w:rPr>
          <w:rFonts w:cstheme="minorHAnsi"/>
        </w:rPr>
        <w:lastRenderedPageBreak/>
        <w:t>Uplatnění zásady „významně nepoškozovat“</w:t>
      </w:r>
    </w:p>
    <w:p w14:paraId="205568A7" w14:textId="4F64A170" w:rsidR="00425BAD" w:rsidRPr="00814CE3" w:rsidRDefault="00425BAD" w:rsidP="00425BAD">
      <w:pPr>
        <w:spacing w:line="240" w:lineRule="auto"/>
        <w:rPr>
          <w:rFonts w:eastAsiaTheme="minorEastAsia" w:cstheme="minorHAnsi"/>
          <w:bCs/>
        </w:rPr>
      </w:pPr>
      <w:r w:rsidRPr="00814CE3">
        <w:rPr>
          <w:rFonts w:eastAsiaTheme="minorEastAsia" w:cstheme="minorHAnsi"/>
          <w:bCs/>
        </w:rPr>
        <w:t>Uvedené reformy jsou v souladu s</w:t>
      </w:r>
      <w:r w:rsidR="00B94CD1" w:rsidRPr="00814CE3">
        <w:rPr>
          <w:rFonts w:eastAsiaTheme="minorEastAsia" w:cstheme="minorHAnsi"/>
          <w:bCs/>
        </w:rPr>
        <w:t> </w:t>
      </w:r>
      <w:r w:rsidRPr="00814CE3">
        <w:rPr>
          <w:rFonts w:eastAsiaTheme="minorEastAsia" w:cstheme="minorHAnsi"/>
          <w:bCs/>
        </w:rPr>
        <w:t>DNSH</w:t>
      </w:r>
      <w:r w:rsidR="00B94CD1" w:rsidRPr="00814CE3">
        <w:rPr>
          <w:rFonts w:eastAsiaTheme="minorEastAsia" w:cstheme="minorHAnsi"/>
          <w:bCs/>
        </w:rPr>
        <w:t xml:space="preserve"> – viz příloha.</w:t>
      </w:r>
    </w:p>
    <w:p w14:paraId="3E899338" w14:textId="77777777" w:rsidR="00B94CD1" w:rsidRPr="00814CE3" w:rsidRDefault="00B94CD1" w:rsidP="00425BAD">
      <w:pPr>
        <w:spacing w:line="240" w:lineRule="auto"/>
        <w:rPr>
          <w:rFonts w:eastAsiaTheme="minorEastAsia" w:cstheme="minorHAnsi"/>
          <w:bCs/>
        </w:rPr>
      </w:pPr>
    </w:p>
    <w:p w14:paraId="1CAC3AEC" w14:textId="77777777" w:rsidR="00425BAD" w:rsidRPr="00814CE3" w:rsidRDefault="00425BAD" w:rsidP="00425BAD">
      <w:pPr>
        <w:pStyle w:val="slovanseznam"/>
        <w:numPr>
          <w:ilvl w:val="0"/>
          <w:numId w:val="13"/>
        </w:numPr>
        <w:spacing w:line="240" w:lineRule="auto"/>
        <w:rPr>
          <w:rFonts w:cstheme="minorHAnsi"/>
        </w:rPr>
      </w:pPr>
      <w:r w:rsidRPr="00814CE3">
        <w:rPr>
          <w:rFonts w:cstheme="minorHAnsi"/>
        </w:rPr>
        <w:t>Kritérium kybernetické bezpečnosti</w:t>
      </w:r>
    </w:p>
    <w:p w14:paraId="165D3918" w14:textId="21F24DF3" w:rsidR="00425BAD" w:rsidRPr="00814CE3" w:rsidRDefault="00425BAD" w:rsidP="00425BAD">
      <w:pPr>
        <w:spacing w:line="240" w:lineRule="auto"/>
        <w:jc w:val="both"/>
        <w:rPr>
          <w:rFonts w:cstheme="minorHAnsi"/>
          <w:b/>
        </w:rPr>
      </w:pPr>
      <w:r w:rsidRPr="00814CE3">
        <w:rPr>
          <w:rFonts w:cstheme="minorHAnsi"/>
        </w:rPr>
        <w:t>Charakter předkládaných investic</w:t>
      </w:r>
      <w:r w:rsidR="00994A8C">
        <w:rPr>
          <w:rFonts w:cstheme="minorHAnsi"/>
        </w:rPr>
        <w:t xml:space="preserve"> se</w:t>
      </w:r>
      <w:r w:rsidRPr="00814CE3">
        <w:rPr>
          <w:rFonts w:cstheme="minorHAnsi"/>
        </w:rPr>
        <w:t xml:space="preserve"> nezakládá na aktivním využívání prvků kybernetické bezpečnosti, která je nicméně reálně řešena a využívána na úrovni řízení provozu distribučních sítí. Těchto systémů se nicméně plánované investice netýkají. </w:t>
      </w:r>
    </w:p>
    <w:p w14:paraId="1163FA87" w14:textId="77777777" w:rsidR="00425BAD" w:rsidRPr="00814CE3" w:rsidRDefault="00425BAD" w:rsidP="00425BAD">
      <w:pPr>
        <w:pStyle w:val="K-Text"/>
        <w:spacing w:line="240" w:lineRule="auto"/>
        <w:rPr>
          <w:rFonts w:asciiTheme="minorHAnsi" w:eastAsiaTheme="minorEastAsia" w:hAnsiTheme="minorHAnsi" w:cstheme="minorHAnsi"/>
          <w:sz w:val="22"/>
          <w:szCs w:val="22"/>
        </w:rPr>
      </w:pPr>
    </w:p>
    <w:p w14:paraId="438ED859" w14:textId="77777777" w:rsidR="00425BAD" w:rsidRPr="00814CE3" w:rsidRDefault="00425BAD" w:rsidP="00425BAD">
      <w:pPr>
        <w:pStyle w:val="slovanseznam"/>
        <w:numPr>
          <w:ilvl w:val="0"/>
          <w:numId w:val="13"/>
        </w:numPr>
        <w:spacing w:line="240" w:lineRule="auto"/>
        <w:ind w:left="567"/>
        <w:rPr>
          <w:rFonts w:cstheme="minorHAnsi"/>
        </w:rPr>
      </w:pPr>
      <w:r w:rsidRPr="00814CE3">
        <w:rPr>
          <w:rFonts w:cstheme="minorHAnsi"/>
        </w:rPr>
        <w:t>Milníky, cíle a harmonogram</w:t>
      </w:r>
    </w:p>
    <w:p w14:paraId="5A0E96DD" w14:textId="77777777" w:rsidR="00425BAD" w:rsidRPr="00814CE3" w:rsidRDefault="00425BAD" w:rsidP="00425BAD">
      <w:pPr>
        <w:spacing w:line="240" w:lineRule="auto"/>
        <w:rPr>
          <w:rFonts w:cstheme="minorHAnsi"/>
        </w:rPr>
      </w:pPr>
      <w:r w:rsidRPr="00814CE3">
        <w:rPr>
          <w:rFonts w:cstheme="minorHAnsi"/>
        </w:rPr>
        <w:t>Blíže popsáno v samostatné příloze. Níže je základní výčet milníků a cílů.</w:t>
      </w:r>
    </w:p>
    <w:tbl>
      <w:tblPr>
        <w:tblStyle w:val="Mkatabulky1"/>
        <w:tblW w:w="9634" w:type="dxa"/>
        <w:tblLayout w:type="fixed"/>
        <w:tblLook w:val="04A0" w:firstRow="1" w:lastRow="0" w:firstColumn="1" w:lastColumn="0" w:noHBand="0" w:noVBand="1"/>
      </w:tblPr>
      <w:tblGrid>
        <w:gridCol w:w="3964"/>
        <w:gridCol w:w="554"/>
        <w:gridCol w:w="958"/>
        <w:gridCol w:w="4158"/>
      </w:tblGrid>
      <w:tr w:rsidR="00425BAD" w:rsidRPr="00814CE3" w14:paraId="4C58B81F" w14:textId="77777777" w:rsidTr="6BF94FC7">
        <w:trPr>
          <w:trHeight w:val="300"/>
        </w:trPr>
        <w:tc>
          <w:tcPr>
            <w:tcW w:w="3964" w:type="dxa"/>
            <w:vMerge w:val="restart"/>
            <w:noWrap/>
            <w:hideMark/>
          </w:tcPr>
          <w:p w14:paraId="7CBE6F87" w14:textId="77777777" w:rsidR="00425BAD" w:rsidRPr="00814CE3" w:rsidRDefault="00425BAD" w:rsidP="00885174">
            <w:pPr>
              <w:spacing w:line="240" w:lineRule="auto"/>
              <w:rPr>
                <w:rFonts w:cstheme="minorHAnsi"/>
                <w:b/>
                <w:bCs/>
                <w:color w:val="auto"/>
              </w:rPr>
            </w:pPr>
            <w:r w:rsidRPr="00814CE3">
              <w:rPr>
                <w:rFonts w:cstheme="minorHAnsi"/>
                <w:b/>
                <w:bCs/>
                <w:color w:val="auto"/>
              </w:rPr>
              <w:t>Název</w:t>
            </w:r>
          </w:p>
        </w:tc>
        <w:tc>
          <w:tcPr>
            <w:tcW w:w="1512" w:type="dxa"/>
            <w:gridSpan w:val="2"/>
            <w:noWrap/>
            <w:hideMark/>
          </w:tcPr>
          <w:p w14:paraId="30C986AE" w14:textId="77777777" w:rsidR="00425BAD" w:rsidRPr="00814CE3" w:rsidRDefault="00425BAD" w:rsidP="00885174">
            <w:pPr>
              <w:spacing w:line="240" w:lineRule="auto"/>
              <w:rPr>
                <w:rFonts w:cstheme="minorHAnsi"/>
                <w:b/>
                <w:bCs/>
                <w:color w:val="auto"/>
              </w:rPr>
            </w:pPr>
            <w:r w:rsidRPr="00814CE3">
              <w:rPr>
                <w:rFonts w:cstheme="minorHAnsi"/>
                <w:b/>
                <w:bCs/>
                <w:color w:val="auto"/>
              </w:rPr>
              <w:t>Čas</w:t>
            </w:r>
          </w:p>
        </w:tc>
        <w:tc>
          <w:tcPr>
            <w:tcW w:w="4158" w:type="dxa"/>
            <w:vMerge w:val="restart"/>
            <w:noWrap/>
            <w:hideMark/>
          </w:tcPr>
          <w:p w14:paraId="3E4085C5" w14:textId="77777777" w:rsidR="00425BAD" w:rsidRPr="00814CE3" w:rsidRDefault="00425BAD" w:rsidP="00885174">
            <w:pPr>
              <w:spacing w:line="240" w:lineRule="auto"/>
              <w:rPr>
                <w:rFonts w:cstheme="minorHAnsi"/>
                <w:b/>
                <w:bCs/>
                <w:color w:val="auto"/>
              </w:rPr>
            </w:pPr>
            <w:r w:rsidRPr="00814CE3">
              <w:rPr>
                <w:rFonts w:cstheme="minorHAnsi"/>
                <w:b/>
                <w:bCs/>
                <w:color w:val="auto"/>
              </w:rPr>
              <w:t>Popis každého milníku a cíle</w:t>
            </w:r>
          </w:p>
        </w:tc>
      </w:tr>
      <w:tr w:rsidR="00425BAD" w:rsidRPr="00814CE3" w14:paraId="204B08F3" w14:textId="77777777" w:rsidTr="6BF94FC7">
        <w:trPr>
          <w:trHeight w:val="600"/>
        </w:trPr>
        <w:tc>
          <w:tcPr>
            <w:tcW w:w="3964" w:type="dxa"/>
            <w:vMerge/>
            <w:hideMark/>
          </w:tcPr>
          <w:p w14:paraId="029C6A23" w14:textId="77777777" w:rsidR="00425BAD" w:rsidRPr="00814CE3" w:rsidRDefault="00425BAD" w:rsidP="00885174">
            <w:pPr>
              <w:spacing w:line="240" w:lineRule="auto"/>
              <w:rPr>
                <w:rFonts w:cstheme="minorHAnsi"/>
                <w:b/>
                <w:bCs/>
                <w:color w:val="auto"/>
              </w:rPr>
            </w:pPr>
          </w:p>
        </w:tc>
        <w:tc>
          <w:tcPr>
            <w:tcW w:w="554" w:type="dxa"/>
            <w:noWrap/>
            <w:hideMark/>
          </w:tcPr>
          <w:p w14:paraId="45A07145" w14:textId="77777777" w:rsidR="00425BAD" w:rsidRPr="00814CE3" w:rsidRDefault="00425BAD" w:rsidP="00885174">
            <w:pPr>
              <w:spacing w:line="240" w:lineRule="auto"/>
              <w:rPr>
                <w:rFonts w:cstheme="minorHAnsi"/>
                <w:b/>
                <w:bCs/>
                <w:color w:val="auto"/>
              </w:rPr>
            </w:pPr>
            <w:r w:rsidRPr="00814CE3">
              <w:rPr>
                <w:rFonts w:cstheme="minorHAnsi"/>
                <w:b/>
                <w:bCs/>
                <w:color w:val="auto"/>
              </w:rPr>
              <w:t>Q</w:t>
            </w:r>
          </w:p>
        </w:tc>
        <w:tc>
          <w:tcPr>
            <w:tcW w:w="958" w:type="dxa"/>
            <w:noWrap/>
            <w:hideMark/>
          </w:tcPr>
          <w:p w14:paraId="37263285" w14:textId="77777777" w:rsidR="00425BAD" w:rsidRPr="00814CE3" w:rsidRDefault="00425BAD" w:rsidP="00885174">
            <w:pPr>
              <w:spacing w:line="240" w:lineRule="auto"/>
              <w:rPr>
                <w:rFonts w:cstheme="minorHAnsi"/>
                <w:b/>
                <w:bCs/>
                <w:color w:val="auto"/>
              </w:rPr>
            </w:pPr>
            <w:r w:rsidRPr="00814CE3">
              <w:rPr>
                <w:rFonts w:cstheme="minorHAnsi"/>
                <w:b/>
                <w:bCs/>
                <w:color w:val="auto"/>
              </w:rPr>
              <w:t>Rok</w:t>
            </w:r>
          </w:p>
        </w:tc>
        <w:tc>
          <w:tcPr>
            <w:tcW w:w="4158" w:type="dxa"/>
            <w:vMerge/>
            <w:hideMark/>
          </w:tcPr>
          <w:p w14:paraId="4F6CE99D" w14:textId="77777777" w:rsidR="00425BAD" w:rsidRPr="00814CE3" w:rsidRDefault="00425BAD" w:rsidP="00885174">
            <w:pPr>
              <w:spacing w:line="240" w:lineRule="auto"/>
              <w:rPr>
                <w:rFonts w:cstheme="minorHAnsi"/>
                <w:b/>
                <w:bCs/>
                <w:color w:val="auto"/>
              </w:rPr>
            </w:pPr>
          </w:p>
        </w:tc>
      </w:tr>
      <w:tr w:rsidR="00425BAD" w:rsidRPr="00814CE3" w14:paraId="2E515046" w14:textId="77777777" w:rsidTr="6BF94FC7">
        <w:trPr>
          <w:trHeight w:val="600"/>
        </w:trPr>
        <w:tc>
          <w:tcPr>
            <w:tcW w:w="3964" w:type="dxa"/>
            <w:noWrap/>
            <w:hideMark/>
          </w:tcPr>
          <w:p w14:paraId="79A30EBE" w14:textId="77777777" w:rsidR="00425BAD" w:rsidRPr="00814CE3" w:rsidRDefault="00425BAD" w:rsidP="00885174">
            <w:pPr>
              <w:spacing w:after="0" w:line="240" w:lineRule="auto"/>
              <w:rPr>
                <w:rFonts w:cstheme="minorHAnsi"/>
                <w:color w:val="auto"/>
              </w:rPr>
            </w:pPr>
            <w:r w:rsidRPr="00814CE3">
              <w:rPr>
                <w:rFonts w:cstheme="minorHAnsi"/>
                <w:color w:val="auto"/>
              </w:rPr>
              <w:t>Novela stavební zákona</w:t>
            </w:r>
          </w:p>
        </w:tc>
        <w:tc>
          <w:tcPr>
            <w:tcW w:w="554" w:type="dxa"/>
            <w:noWrap/>
            <w:hideMark/>
          </w:tcPr>
          <w:p w14:paraId="7F797F43" w14:textId="1D5B97DB" w:rsidR="00425BAD" w:rsidRPr="00814CE3" w:rsidRDefault="499BC452" w:rsidP="6BF94FC7">
            <w:pPr>
              <w:spacing w:after="0" w:line="240" w:lineRule="auto"/>
              <w:rPr>
                <w:color w:val="auto"/>
              </w:rPr>
            </w:pPr>
            <w:r w:rsidRPr="6BF94FC7">
              <w:rPr>
                <w:color w:val="auto"/>
              </w:rPr>
              <w:t>Q</w:t>
            </w:r>
            <w:r w:rsidR="1A75AFE2" w:rsidRPr="6BF94FC7">
              <w:rPr>
                <w:color w:val="auto"/>
              </w:rPr>
              <w:t>4</w:t>
            </w:r>
          </w:p>
        </w:tc>
        <w:tc>
          <w:tcPr>
            <w:tcW w:w="958" w:type="dxa"/>
            <w:noWrap/>
            <w:hideMark/>
          </w:tcPr>
          <w:p w14:paraId="73143170" w14:textId="77777777" w:rsidR="00425BAD" w:rsidRPr="00814CE3" w:rsidRDefault="00425BAD" w:rsidP="00885174">
            <w:pPr>
              <w:spacing w:after="0" w:line="240" w:lineRule="auto"/>
              <w:rPr>
                <w:rFonts w:cstheme="minorHAnsi"/>
                <w:color w:val="auto"/>
              </w:rPr>
            </w:pPr>
            <w:r w:rsidRPr="00814CE3">
              <w:rPr>
                <w:rFonts w:cstheme="minorHAnsi"/>
                <w:color w:val="auto"/>
              </w:rPr>
              <w:t>2024</w:t>
            </w:r>
          </w:p>
        </w:tc>
        <w:tc>
          <w:tcPr>
            <w:tcW w:w="4158" w:type="dxa"/>
            <w:hideMark/>
          </w:tcPr>
          <w:p w14:paraId="68B97884" w14:textId="77777777" w:rsidR="00425BAD" w:rsidRPr="00814CE3" w:rsidRDefault="00425BAD" w:rsidP="00885174">
            <w:pPr>
              <w:spacing w:after="0" w:line="240" w:lineRule="auto"/>
              <w:jc w:val="both"/>
              <w:rPr>
                <w:rFonts w:cstheme="minorHAnsi"/>
                <w:color w:val="auto"/>
              </w:rPr>
            </w:pPr>
            <w:r w:rsidRPr="00814CE3">
              <w:rPr>
                <w:rFonts w:cstheme="minorHAnsi"/>
                <w:color w:val="auto"/>
              </w:rPr>
              <w:t>Zjednodušení procesu výstavby dobíjecí infrastruktury</w:t>
            </w:r>
          </w:p>
        </w:tc>
      </w:tr>
      <w:tr w:rsidR="003530CA" w:rsidRPr="00814CE3" w14:paraId="118A9DF5" w14:textId="77777777" w:rsidTr="6BF94FC7">
        <w:trPr>
          <w:trHeight w:val="600"/>
        </w:trPr>
        <w:tc>
          <w:tcPr>
            <w:tcW w:w="3964" w:type="dxa"/>
          </w:tcPr>
          <w:p w14:paraId="00814BA0" w14:textId="49E40DFC" w:rsidR="003530CA" w:rsidRPr="00814CE3" w:rsidRDefault="490E615E" w:rsidP="6BF94FC7">
            <w:pPr>
              <w:spacing w:after="0" w:line="240" w:lineRule="auto"/>
              <w:rPr>
                <w:color w:val="auto"/>
              </w:rPr>
            </w:pPr>
            <w:r w:rsidRPr="6BF94FC7">
              <w:rPr>
                <w:color w:val="auto"/>
              </w:rPr>
              <w:t>Daňové reformy</w:t>
            </w:r>
          </w:p>
        </w:tc>
        <w:tc>
          <w:tcPr>
            <w:tcW w:w="554" w:type="dxa"/>
            <w:noWrap/>
          </w:tcPr>
          <w:p w14:paraId="7B3EE375" w14:textId="2A806A0F" w:rsidR="003530CA" w:rsidRPr="00814CE3" w:rsidRDefault="003530CA" w:rsidP="00885174">
            <w:pPr>
              <w:spacing w:after="0" w:line="240" w:lineRule="auto"/>
              <w:rPr>
                <w:rFonts w:cstheme="minorHAnsi"/>
                <w:color w:val="auto"/>
              </w:rPr>
            </w:pPr>
            <w:r w:rsidRPr="00814CE3">
              <w:rPr>
                <w:rFonts w:cstheme="minorHAnsi"/>
                <w:color w:val="auto"/>
              </w:rPr>
              <w:t>Q4</w:t>
            </w:r>
          </w:p>
        </w:tc>
        <w:tc>
          <w:tcPr>
            <w:tcW w:w="958" w:type="dxa"/>
            <w:noWrap/>
          </w:tcPr>
          <w:p w14:paraId="36A8F166" w14:textId="1B717CDF" w:rsidR="003530CA" w:rsidRPr="00814CE3" w:rsidRDefault="003530CA" w:rsidP="00885174">
            <w:pPr>
              <w:spacing w:after="0" w:line="240" w:lineRule="auto"/>
              <w:rPr>
                <w:rFonts w:cstheme="minorHAnsi"/>
                <w:color w:val="auto"/>
              </w:rPr>
            </w:pPr>
            <w:r w:rsidRPr="00814CE3">
              <w:rPr>
                <w:rFonts w:cstheme="minorHAnsi"/>
                <w:color w:val="auto"/>
              </w:rPr>
              <w:t>2024</w:t>
            </w:r>
          </w:p>
        </w:tc>
        <w:tc>
          <w:tcPr>
            <w:tcW w:w="4158" w:type="dxa"/>
          </w:tcPr>
          <w:p w14:paraId="6BD02C0F" w14:textId="77777777" w:rsidR="003530CA" w:rsidRPr="00814CE3" w:rsidRDefault="003530CA" w:rsidP="00885174">
            <w:pPr>
              <w:spacing w:after="0" w:line="240" w:lineRule="auto"/>
              <w:rPr>
                <w:rFonts w:cstheme="minorHAnsi"/>
                <w:color w:val="auto"/>
              </w:rPr>
            </w:pPr>
            <w:r w:rsidRPr="00814CE3">
              <w:rPr>
                <w:rFonts w:cstheme="minorHAnsi"/>
                <w:color w:val="auto"/>
              </w:rPr>
              <w:t>Rychlejší odpisy u vozidel s nulovými emisemi</w:t>
            </w:r>
          </w:p>
          <w:p w14:paraId="0A4198AB" w14:textId="2C372C5E" w:rsidR="003530CA" w:rsidRPr="00814CE3" w:rsidRDefault="003530CA" w:rsidP="00885174">
            <w:pPr>
              <w:spacing w:after="0" w:line="240" w:lineRule="auto"/>
              <w:rPr>
                <w:rFonts w:cstheme="minorHAnsi"/>
                <w:color w:val="auto"/>
              </w:rPr>
            </w:pPr>
            <w:r w:rsidRPr="00814CE3">
              <w:rPr>
                <w:rFonts w:cstheme="minorHAnsi"/>
                <w:color w:val="auto"/>
              </w:rPr>
              <w:t>Zajistit nejvýhodnější úroveň zdanění služebního vozidla používaného pro soukromé účely pro bezemisní vozidla</w:t>
            </w:r>
          </w:p>
        </w:tc>
      </w:tr>
      <w:tr w:rsidR="003530CA" w:rsidRPr="00814CE3" w14:paraId="311FE008" w14:textId="77777777" w:rsidTr="6BF94FC7">
        <w:trPr>
          <w:trHeight w:val="600"/>
        </w:trPr>
        <w:tc>
          <w:tcPr>
            <w:tcW w:w="3964" w:type="dxa"/>
          </w:tcPr>
          <w:p w14:paraId="0DDA7E93" w14:textId="38BC2C2C" w:rsidR="003530CA" w:rsidRPr="00814CE3" w:rsidRDefault="003530CA" w:rsidP="00885174">
            <w:pPr>
              <w:spacing w:after="0" w:line="240" w:lineRule="auto"/>
              <w:rPr>
                <w:rFonts w:cstheme="minorHAnsi"/>
                <w:color w:val="auto"/>
              </w:rPr>
            </w:pPr>
            <w:r w:rsidRPr="00A42D26">
              <w:rPr>
                <w:rFonts w:cstheme="minorHAnsi"/>
                <w:color w:val="auto"/>
              </w:rPr>
              <w:t>Novela zákona č. 13/1997 o pozemních komunikacích</w:t>
            </w:r>
          </w:p>
        </w:tc>
        <w:tc>
          <w:tcPr>
            <w:tcW w:w="554" w:type="dxa"/>
            <w:noWrap/>
          </w:tcPr>
          <w:p w14:paraId="12367438" w14:textId="1DECE3F8" w:rsidR="003530CA" w:rsidRPr="00814CE3" w:rsidRDefault="003530CA" w:rsidP="00885174">
            <w:pPr>
              <w:spacing w:after="0" w:line="240" w:lineRule="auto"/>
              <w:rPr>
                <w:rFonts w:cstheme="minorHAnsi"/>
                <w:color w:val="auto"/>
              </w:rPr>
            </w:pPr>
            <w:r w:rsidRPr="00A42D26">
              <w:rPr>
                <w:rFonts w:cstheme="minorHAnsi"/>
                <w:color w:val="auto"/>
              </w:rPr>
              <w:t>Q2</w:t>
            </w:r>
          </w:p>
        </w:tc>
        <w:tc>
          <w:tcPr>
            <w:tcW w:w="958" w:type="dxa"/>
            <w:noWrap/>
          </w:tcPr>
          <w:p w14:paraId="4E153F44" w14:textId="234FAEF4" w:rsidR="003530CA" w:rsidRPr="00814CE3" w:rsidRDefault="003530CA" w:rsidP="00885174">
            <w:pPr>
              <w:spacing w:after="0" w:line="240" w:lineRule="auto"/>
              <w:rPr>
                <w:rFonts w:cstheme="minorHAnsi"/>
                <w:color w:val="auto"/>
              </w:rPr>
            </w:pPr>
            <w:r w:rsidRPr="00A42D26">
              <w:rPr>
                <w:rFonts w:cstheme="minorHAnsi"/>
                <w:color w:val="auto"/>
              </w:rPr>
              <w:t>2024</w:t>
            </w:r>
          </w:p>
        </w:tc>
        <w:tc>
          <w:tcPr>
            <w:tcW w:w="4158" w:type="dxa"/>
          </w:tcPr>
          <w:p w14:paraId="5DFF95BA" w14:textId="2E33BE9E" w:rsidR="003530CA" w:rsidRPr="00814CE3" w:rsidRDefault="003530CA" w:rsidP="00885174">
            <w:pPr>
              <w:spacing w:after="0" w:line="240" w:lineRule="auto"/>
              <w:rPr>
                <w:rFonts w:cstheme="minorHAnsi"/>
                <w:color w:val="auto"/>
              </w:rPr>
            </w:pPr>
            <w:r w:rsidRPr="00A42D26">
              <w:rPr>
                <w:rFonts w:cstheme="minorHAnsi"/>
                <w:color w:val="auto"/>
              </w:rPr>
              <w:t>Podpora bezemisní mobility prostřednictvím úpravy časového poplatku za užívání pozemních komunikací (ceny dálniční známky)</w:t>
            </w:r>
          </w:p>
        </w:tc>
      </w:tr>
      <w:tr w:rsidR="003530CA" w:rsidRPr="00814CE3" w14:paraId="359F0681" w14:textId="77777777" w:rsidTr="6BF94FC7">
        <w:trPr>
          <w:trHeight w:val="600"/>
        </w:trPr>
        <w:tc>
          <w:tcPr>
            <w:tcW w:w="3964" w:type="dxa"/>
          </w:tcPr>
          <w:p w14:paraId="43B7E3D9" w14:textId="2003268F" w:rsidR="003530CA" w:rsidRPr="00A42D26" w:rsidRDefault="003530CA" w:rsidP="00885174">
            <w:pPr>
              <w:spacing w:after="120" w:line="240" w:lineRule="auto"/>
              <w:rPr>
                <w:rFonts w:cstheme="minorHAnsi"/>
                <w:color w:val="auto"/>
              </w:rPr>
            </w:pPr>
            <w:r w:rsidRPr="00814CE3">
              <w:rPr>
                <w:rFonts w:cstheme="minorHAnsi"/>
                <w:color w:val="auto"/>
              </w:rPr>
              <w:t>Schválení aktualizované Vodíkové strategie vládou ČR</w:t>
            </w:r>
          </w:p>
        </w:tc>
        <w:tc>
          <w:tcPr>
            <w:tcW w:w="554" w:type="dxa"/>
            <w:noWrap/>
          </w:tcPr>
          <w:p w14:paraId="00ACCAF6" w14:textId="5796B2C4" w:rsidR="003530CA" w:rsidRPr="00A42D26" w:rsidRDefault="003530CA" w:rsidP="00885174">
            <w:pPr>
              <w:spacing w:after="120" w:line="240" w:lineRule="auto"/>
              <w:rPr>
                <w:rFonts w:cstheme="minorHAnsi"/>
                <w:color w:val="auto"/>
              </w:rPr>
            </w:pPr>
            <w:r w:rsidRPr="00814CE3">
              <w:rPr>
                <w:rFonts w:cstheme="minorHAnsi"/>
                <w:color w:val="auto"/>
              </w:rPr>
              <w:t>Q2</w:t>
            </w:r>
          </w:p>
        </w:tc>
        <w:tc>
          <w:tcPr>
            <w:tcW w:w="958" w:type="dxa"/>
            <w:noWrap/>
          </w:tcPr>
          <w:p w14:paraId="7FF2EBA5" w14:textId="16F23C7E" w:rsidR="003530CA" w:rsidRPr="00A42D26" w:rsidRDefault="003530CA" w:rsidP="00885174">
            <w:pPr>
              <w:spacing w:after="120" w:line="240" w:lineRule="auto"/>
              <w:rPr>
                <w:rFonts w:cstheme="minorHAnsi"/>
                <w:color w:val="auto"/>
              </w:rPr>
            </w:pPr>
            <w:r w:rsidRPr="00814CE3">
              <w:rPr>
                <w:rFonts w:cstheme="minorHAnsi"/>
                <w:color w:val="auto"/>
              </w:rPr>
              <w:t>2024</w:t>
            </w:r>
          </w:p>
        </w:tc>
        <w:tc>
          <w:tcPr>
            <w:tcW w:w="4158" w:type="dxa"/>
          </w:tcPr>
          <w:p w14:paraId="2547268F" w14:textId="45F0D17D" w:rsidR="003530CA" w:rsidRPr="00A42D26" w:rsidRDefault="003530CA" w:rsidP="00885174">
            <w:pPr>
              <w:spacing w:after="120" w:line="240" w:lineRule="auto"/>
              <w:rPr>
                <w:rFonts w:cstheme="minorHAnsi"/>
                <w:color w:val="auto"/>
              </w:rPr>
            </w:pPr>
            <w:r w:rsidRPr="00814CE3">
              <w:rPr>
                <w:rFonts w:cstheme="minorHAnsi"/>
                <w:color w:val="auto"/>
              </w:rPr>
              <w:t>Vypracování, projednání vodíkové strategie a její schválení vládou ČR</w:t>
            </w:r>
          </w:p>
        </w:tc>
      </w:tr>
      <w:tr w:rsidR="003530CA" w:rsidRPr="00814CE3" w14:paraId="0E91DE33" w14:textId="77777777" w:rsidTr="6BF94FC7">
        <w:trPr>
          <w:trHeight w:val="600"/>
        </w:trPr>
        <w:tc>
          <w:tcPr>
            <w:tcW w:w="3964" w:type="dxa"/>
          </w:tcPr>
          <w:p w14:paraId="2EE2561E" w14:textId="4925A1E3" w:rsidR="003530CA" w:rsidRPr="00814CE3" w:rsidRDefault="003530CA" w:rsidP="00885174">
            <w:pPr>
              <w:spacing w:after="120" w:line="240" w:lineRule="auto"/>
              <w:rPr>
                <w:rFonts w:cstheme="minorHAnsi"/>
                <w:color w:val="auto"/>
              </w:rPr>
            </w:pPr>
            <w:r w:rsidRPr="00814CE3">
              <w:rPr>
                <w:rFonts w:cstheme="minorHAnsi"/>
                <w:color w:val="auto"/>
              </w:rPr>
              <w:t>Vypracování a schválení dokumentu: Metodika výstavby elektrolyzérů</w:t>
            </w:r>
          </w:p>
        </w:tc>
        <w:tc>
          <w:tcPr>
            <w:tcW w:w="554" w:type="dxa"/>
            <w:noWrap/>
          </w:tcPr>
          <w:p w14:paraId="3C0E941E" w14:textId="46394879" w:rsidR="003530CA" w:rsidRPr="00814CE3" w:rsidRDefault="003530CA" w:rsidP="00885174">
            <w:pPr>
              <w:spacing w:after="120" w:line="240" w:lineRule="auto"/>
              <w:rPr>
                <w:rFonts w:cstheme="minorHAnsi"/>
                <w:color w:val="auto"/>
              </w:rPr>
            </w:pPr>
            <w:r w:rsidRPr="00814CE3">
              <w:rPr>
                <w:rFonts w:cstheme="minorHAnsi"/>
                <w:color w:val="auto"/>
              </w:rPr>
              <w:t>Q4</w:t>
            </w:r>
          </w:p>
        </w:tc>
        <w:tc>
          <w:tcPr>
            <w:tcW w:w="958" w:type="dxa"/>
            <w:noWrap/>
          </w:tcPr>
          <w:p w14:paraId="165506DC" w14:textId="333AA182" w:rsidR="003530CA" w:rsidRPr="00814CE3" w:rsidRDefault="003530CA" w:rsidP="00885174">
            <w:pPr>
              <w:spacing w:after="120" w:line="240" w:lineRule="auto"/>
              <w:rPr>
                <w:rFonts w:cstheme="minorHAnsi"/>
                <w:color w:val="auto"/>
              </w:rPr>
            </w:pPr>
            <w:r w:rsidRPr="00814CE3">
              <w:rPr>
                <w:rFonts w:cstheme="minorHAnsi"/>
                <w:color w:val="auto"/>
              </w:rPr>
              <w:t>2025</w:t>
            </w:r>
          </w:p>
        </w:tc>
        <w:tc>
          <w:tcPr>
            <w:tcW w:w="4158" w:type="dxa"/>
          </w:tcPr>
          <w:p w14:paraId="56F4F618" w14:textId="60DF040A" w:rsidR="003530CA" w:rsidRPr="00814CE3" w:rsidRDefault="003530CA" w:rsidP="00885174">
            <w:pPr>
              <w:spacing w:after="120" w:line="240" w:lineRule="auto"/>
              <w:rPr>
                <w:rFonts w:cstheme="minorHAnsi"/>
                <w:color w:val="auto"/>
              </w:rPr>
            </w:pPr>
            <w:r w:rsidRPr="00814CE3">
              <w:rPr>
                <w:rFonts w:cstheme="minorHAnsi"/>
                <w:color w:val="auto"/>
              </w:rPr>
              <w:t>Vypracování, projednání a schválení příslušné metodiky</w:t>
            </w:r>
          </w:p>
        </w:tc>
      </w:tr>
      <w:tr w:rsidR="003530CA" w:rsidRPr="00814CE3" w14:paraId="78689E6F" w14:textId="77777777" w:rsidTr="6BF94FC7">
        <w:trPr>
          <w:trHeight w:val="600"/>
        </w:trPr>
        <w:tc>
          <w:tcPr>
            <w:tcW w:w="3964" w:type="dxa"/>
          </w:tcPr>
          <w:p w14:paraId="0D05F816" w14:textId="43EF51BB" w:rsidR="003530CA" w:rsidRPr="00814CE3" w:rsidRDefault="003530CA" w:rsidP="00885174">
            <w:pPr>
              <w:spacing w:after="120" w:line="240" w:lineRule="auto"/>
              <w:rPr>
                <w:rFonts w:cstheme="minorHAnsi"/>
                <w:color w:val="auto"/>
              </w:rPr>
            </w:pPr>
            <w:r w:rsidRPr="00814CE3">
              <w:rPr>
                <w:rFonts w:cstheme="minorHAnsi"/>
                <w:color w:val="auto"/>
              </w:rPr>
              <w:t>Vypracování a schválení dokumentu: Metodika rozvoje ostrovních řešení pro akceleraci vodíkové mobility</w:t>
            </w:r>
          </w:p>
        </w:tc>
        <w:tc>
          <w:tcPr>
            <w:tcW w:w="554" w:type="dxa"/>
            <w:noWrap/>
          </w:tcPr>
          <w:p w14:paraId="390B2841" w14:textId="7CC5F123" w:rsidR="003530CA" w:rsidRPr="00814CE3" w:rsidRDefault="003530CA" w:rsidP="00885174">
            <w:pPr>
              <w:spacing w:after="120" w:line="240" w:lineRule="auto"/>
              <w:rPr>
                <w:rFonts w:cstheme="minorHAnsi"/>
                <w:color w:val="auto"/>
              </w:rPr>
            </w:pPr>
            <w:r>
              <w:rPr>
                <w:rFonts w:cstheme="minorHAnsi"/>
                <w:color w:val="auto"/>
              </w:rPr>
              <w:t>Q4</w:t>
            </w:r>
          </w:p>
        </w:tc>
        <w:tc>
          <w:tcPr>
            <w:tcW w:w="958" w:type="dxa"/>
            <w:noWrap/>
          </w:tcPr>
          <w:p w14:paraId="7C140B4B" w14:textId="0CB566A4" w:rsidR="003530CA" w:rsidRPr="00814CE3" w:rsidRDefault="003530CA" w:rsidP="00885174">
            <w:pPr>
              <w:spacing w:after="120" w:line="240" w:lineRule="auto"/>
              <w:rPr>
                <w:rFonts w:cstheme="minorHAnsi"/>
                <w:color w:val="auto"/>
              </w:rPr>
            </w:pPr>
            <w:r w:rsidRPr="00814CE3">
              <w:rPr>
                <w:rFonts w:cstheme="minorHAnsi"/>
                <w:color w:val="auto"/>
              </w:rPr>
              <w:t>202</w:t>
            </w:r>
            <w:r>
              <w:rPr>
                <w:rFonts w:cstheme="minorHAnsi"/>
                <w:color w:val="auto"/>
              </w:rPr>
              <w:t>5</w:t>
            </w:r>
          </w:p>
        </w:tc>
        <w:tc>
          <w:tcPr>
            <w:tcW w:w="4158" w:type="dxa"/>
          </w:tcPr>
          <w:p w14:paraId="2802399A" w14:textId="03DE493B" w:rsidR="003530CA" w:rsidRPr="00814CE3" w:rsidRDefault="003530CA" w:rsidP="00885174">
            <w:pPr>
              <w:spacing w:after="120" w:line="240" w:lineRule="auto"/>
              <w:rPr>
                <w:rFonts w:cstheme="minorHAnsi"/>
                <w:color w:val="auto"/>
              </w:rPr>
            </w:pPr>
            <w:r w:rsidRPr="00814CE3">
              <w:rPr>
                <w:rFonts w:cstheme="minorHAnsi"/>
                <w:color w:val="auto"/>
              </w:rPr>
              <w:t>Vypracování, projednání a schválení příslušné metodiky</w:t>
            </w:r>
          </w:p>
        </w:tc>
      </w:tr>
      <w:tr w:rsidR="003530CA" w:rsidRPr="00814CE3" w14:paraId="74391C83" w14:textId="77777777" w:rsidTr="6BF94FC7">
        <w:trPr>
          <w:trHeight w:val="600"/>
        </w:trPr>
        <w:tc>
          <w:tcPr>
            <w:tcW w:w="3964" w:type="dxa"/>
          </w:tcPr>
          <w:p w14:paraId="60931231" w14:textId="42AE7B03" w:rsidR="003530CA" w:rsidRPr="00814CE3" w:rsidRDefault="003530CA" w:rsidP="00885174">
            <w:pPr>
              <w:spacing w:after="120" w:line="240" w:lineRule="auto"/>
              <w:rPr>
                <w:rFonts w:cstheme="minorHAnsi"/>
                <w:color w:val="auto"/>
              </w:rPr>
            </w:pPr>
            <w:r w:rsidRPr="00814CE3">
              <w:rPr>
                <w:rFonts w:cstheme="minorHAnsi"/>
                <w:color w:val="auto"/>
              </w:rPr>
              <w:t>Aktualizace NAP CM</w:t>
            </w:r>
          </w:p>
        </w:tc>
        <w:tc>
          <w:tcPr>
            <w:tcW w:w="554" w:type="dxa"/>
            <w:noWrap/>
          </w:tcPr>
          <w:p w14:paraId="052DC409" w14:textId="59CFD9FD" w:rsidR="003530CA" w:rsidRPr="00814CE3" w:rsidRDefault="003530CA" w:rsidP="00885174">
            <w:pPr>
              <w:spacing w:after="120" w:line="240" w:lineRule="auto"/>
              <w:rPr>
                <w:rFonts w:cstheme="minorHAnsi"/>
                <w:color w:val="auto"/>
              </w:rPr>
            </w:pPr>
            <w:r w:rsidRPr="00814CE3">
              <w:rPr>
                <w:rFonts w:cstheme="minorHAnsi"/>
                <w:color w:val="auto"/>
              </w:rPr>
              <w:t>Q2</w:t>
            </w:r>
          </w:p>
        </w:tc>
        <w:tc>
          <w:tcPr>
            <w:tcW w:w="958" w:type="dxa"/>
            <w:noWrap/>
          </w:tcPr>
          <w:p w14:paraId="47C645C4" w14:textId="63DBD074" w:rsidR="003530CA" w:rsidRPr="00814CE3" w:rsidRDefault="003530CA" w:rsidP="00885174">
            <w:pPr>
              <w:spacing w:after="120" w:line="240" w:lineRule="auto"/>
              <w:rPr>
                <w:rFonts w:cstheme="minorHAnsi"/>
                <w:color w:val="auto"/>
              </w:rPr>
            </w:pPr>
            <w:r w:rsidRPr="00814CE3">
              <w:rPr>
                <w:rFonts w:cstheme="minorHAnsi"/>
                <w:color w:val="auto"/>
              </w:rPr>
              <w:t>2024</w:t>
            </w:r>
          </w:p>
        </w:tc>
        <w:tc>
          <w:tcPr>
            <w:tcW w:w="4158" w:type="dxa"/>
          </w:tcPr>
          <w:p w14:paraId="1C6F4865" w14:textId="56F5B5BA" w:rsidR="003530CA" w:rsidRPr="00814CE3" w:rsidRDefault="003530CA" w:rsidP="00885174">
            <w:pPr>
              <w:spacing w:after="120" w:line="240" w:lineRule="auto"/>
              <w:rPr>
                <w:rFonts w:cstheme="minorHAnsi"/>
                <w:color w:val="auto"/>
              </w:rPr>
            </w:pPr>
            <w:r w:rsidRPr="00814CE3">
              <w:rPr>
                <w:rFonts w:cstheme="minorHAnsi"/>
                <w:color w:val="auto"/>
              </w:rPr>
              <w:t>Vypracování, projednání NAP CM a jeho schválení vládou ČR</w:t>
            </w:r>
          </w:p>
        </w:tc>
      </w:tr>
      <w:tr w:rsidR="7B02CF4B" w14:paraId="148110CF" w14:textId="77777777" w:rsidTr="6BF94FC7">
        <w:trPr>
          <w:trHeight w:val="600"/>
        </w:trPr>
        <w:tc>
          <w:tcPr>
            <w:tcW w:w="3964" w:type="dxa"/>
          </w:tcPr>
          <w:p w14:paraId="11C9CADA" w14:textId="70AA73D8" w:rsidR="429A2FA6" w:rsidRDefault="65080300" w:rsidP="7B02CF4B">
            <w:pPr>
              <w:spacing w:line="240" w:lineRule="auto"/>
              <w:rPr>
                <w:color w:val="auto"/>
              </w:rPr>
            </w:pPr>
            <w:r w:rsidRPr="6BF94FC7">
              <w:rPr>
                <w:color w:val="auto"/>
              </w:rPr>
              <w:t>Vyhlášení výzev na podporu veřejně přístupné infrastruktury pro alternativní paliva</w:t>
            </w:r>
          </w:p>
          <w:p w14:paraId="2333B8AE" w14:textId="3B9705AB" w:rsidR="7B02CF4B" w:rsidRDefault="7B02CF4B" w:rsidP="7B02CF4B">
            <w:pPr>
              <w:spacing w:line="240" w:lineRule="auto"/>
              <w:rPr>
                <w:color w:val="auto"/>
              </w:rPr>
            </w:pPr>
          </w:p>
        </w:tc>
        <w:tc>
          <w:tcPr>
            <w:tcW w:w="554" w:type="dxa"/>
            <w:noWrap/>
          </w:tcPr>
          <w:p w14:paraId="5F2CD179" w14:textId="65992C18" w:rsidR="2BA433C1" w:rsidRDefault="2BA433C1" w:rsidP="7B02CF4B">
            <w:pPr>
              <w:spacing w:line="240" w:lineRule="auto"/>
              <w:rPr>
                <w:color w:val="auto"/>
              </w:rPr>
            </w:pPr>
            <w:r w:rsidRPr="7B02CF4B">
              <w:rPr>
                <w:color w:val="auto"/>
              </w:rPr>
              <w:t>Q2</w:t>
            </w:r>
          </w:p>
        </w:tc>
        <w:tc>
          <w:tcPr>
            <w:tcW w:w="958" w:type="dxa"/>
            <w:noWrap/>
          </w:tcPr>
          <w:p w14:paraId="545229A3" w14:textId="37D9287E" w:rsidR="2BA433C1" w:rsidRDefault="2BA433C1" w:rsidP="7B02CF4B">
            <w:pPr>
              <w:spacing w:line="240" w:lineRule="auto"/>
              <w:rPr>
                <w:color w:val="auto"/>
              </w:rPr>
            </w:pPr>
            <w:r w:rsidRPr="7B02CF4B">
              <w:rPr>
                <w:color w:val="auto"/>
              </w:rPr>
              <w:t>2026</w:t>
            </w:r>
          </w:p>
        </w:tc>
        <w:tc>
          <w:tcPr>
            <w:tcW w:w="4158" w:type="dxa"/>
          </w:tcPr>
          <w:p w14:paraId="786E1043" w14:textId="068FC79D" w:rsidR="429A2FA6" w:rsidRDefault="65080300" w:rsidP="7B02CF4B">
            <w:pPr>
              <w:spacing w:line="240" w:lineRule="auto"/>
              <w:rPr>
                <w:color w:val="auto"/>
              </w:rPr>
            </w:pPr>
            <w:r w:rsidRPr="6BF94FC7">
              <w:rPr>
                <w:color w:val="auto"/>
              </w:rPr>
              <w:t xml:space="preserve">Vyhlášení výzev na podporu veřejných dobíjecích stanic a vodíkových </w:t>
            </w:r>
            <w:r w:rsidR="6A9A4BE1" w:rsidRPr="6BF94FC7">
              <w:rPr>
                <w:color w:val="auto"/>
              </w:rPr>
              <w:t>plnicích</w:t>
            </w:r>
            <w:r w:rsidRPr="6BF94FC7">
              <w:rPr>
                <w:color w:val="auto"/>
              </w:rPr>
              <w:t xml:space="preserve"> stanic s celkovou alokací 120 mil. EUR</w:t>
            </w:r>
            <w:r w:rsidR="429A2FA6">
              <w:br/>
            </w:r>
          </w:p>
        </w:tc>
      </w:tr>
      <w:tr w:rsidR="003530CA" w:rsidRPr="00814CE3" w14:paraId="0A150021" w14:textId="77777777" w:rsidTr="6BF94FC7">
        <w:trPr>
          <w:trHeight w:val="600"/>
        </w:trPr>
        <w:tc>
          <w:tcPr>
            <w:tcW w:w="3964" w:type="dxa"/>
          </w:tcPr>
          <w:p w14:paraId="4E07B4EA" w14:textId="3F065E82" w:rsidR="003530CA" w:rsidRPr="00814CE3" w:rsidRDefault="003530CA" w:rsidP="00885174">
            <w:pPr>
              <w:spacing w:after="120" w:line="240" w:lineRule="auto"/>
              <w:rPr>
                <w:rFonts w:cstheme="minorHAnsi"/>
                <w:color w:val="auto"/>
              </w:rPr>
            </w:pPr>
            <w:r w:rsidRPr="00A42D26">
              <w:rPr>
                <w:rFonts w:cstheme="minorHAnsi"/>
                <w:color w:val="auto"/>
              </w:rPr>
              <w:t>Navýšení počtu zaregistrovaných bezemisních vozidel</w:t>
            </w:r>
          </w:p>
        </w:tc>
        <w:tc>
          <w:tcPr>
            <w:tcW w:w="554" w:type="dxa"/>
            <w:noWrap/>
          </w:tcPr>
          <w:p w14:paraId="18B4616F" w14:textId="11458A35" w:rsidR="003530CA" w:rsidRPr="00814CE3" w:rsidRDefault="003530CA" w:rsidP="00885174">
            <w:pPr>
              <w:spacing w:after="120" w:line="240" w:lineRule="auto"/>
              <w:rPr>
                <w:rFonts w:cstheme="minorHAnsi"/>
                <w:color w:val="auto"/>
              </w:rPr>
            </w:pPr>
            <w:r w:rsidRPr="00A42D26">
              <w:rPr>
                <w:rFonts w:cstheme="minorHAnsi"/>
                <w:color w:val="auto"/>
              </w:rPr>
              <w:t>Q</w:t>
            </w:r>
            <w:r>
              <w:rPr>
                <w:rFonts w:cstheme="minorHAnsi"/>
                <w:color w:val="auto"/>
              </w:rPr>
              <w:t>2</w:t>
            </w:r>
          </w:p>
        </w:tc>
        <w:tc>
          <w:tcPr>
            <w:tcW w:w="958" w:type="dxa"/>
            <w:noWrap/>
          </w:tcPr>
          <w:p w14:paraId="5B0A8C6E" w14:textId="60A3ACC6" w:rsidR="003530CA" w:rsidRPr="00814CE3" w:rsidRDefault="003530CA" w:rsidP="00885174">
            <w:pPr>
              <w:spacing w:after="120" w:line="240" w:lineRule="auto"/>
              <w:rPr>
                <w:rFonts w:cstheme="minorHAnsi"/>
                <w:color w:val="auto"/>
              </w:rPr>
            </w:pPr>
            <w:r w:rsidRPr="00A42D26">
              <w:rPr>
                <w:rFonts w:cstheme="minorHAnsi"/>
                <w:color w:val="auto"/>
              </w:rPr>
              <w:t>2026</w:t>
            </w:r>
          </w:p>
        </w:tc>
        <w:tc>
          <w:tcPr>
            <w:tcW w:w="4158" w:type="dxa"/>
          </w:tcPr>
          <w:p w14:paraId="3EBA3F23" w14:textId="55EF5C2F" w:rsidR="003530CA" w:rsidRPr="00814CE3" w:rsidRDefault="003530CA" w:rsidP="00885174">
            <w:pPr>
              <w:spacing w:after="120" w:line="240" w:lineRule="auto"/>
              <w:rPr>
                <w:rFonts w:cstheme="minorHAnsi"/>
                <w:color w:val="auto"/>
              </w:rPr>
            </w:pPr>
            <w:r w:rsidRPr="00A42D26">
              <w:rPr>
                <w:rFonts w:cstheme="minorHAnsi"/>
                <w:color w:val="auto"/>
              </w:rPr>
              <w:t>Cíle pro bezemisní vozidla k roku 2025</w:t>
            </w:r>
          </w:p>
        </w:tc>
      </w:tr>
      <w:tr w:rsidR="003530CA" w:rsidRPr="00814CE3" w14:paraId="4F412C6D" w14:textId="77777777" w:rsidTr="6BF94FC7">
        <w:trPr>
          <w:trHeight w:val="600"/>
        </w:trPr>
        <w:tc>
          <w:tcPr>
            <w:tcW w:w="3964" w:type="dxa"/>
          </w:tcPr>
          <w:p w14:paraId="62B2A05E" w14:textId="689D7CEC" w:rsidR="003530CA" w:rsidRPr="00814CE3" w:rsidRDefault="003530CA" w:rsidP="00885174">
            <w:pPr>
              <w:spacing w:line="240" w:lineRule="auto"/>
              <w:ind w:left="0"/>
              <w:jc w:val="both"/>
              <w:rPr>
                <w:rFonts w:cstheme="minorHAnsi"/>
                <w:color w:val="auto"/>
              </w:rPr>
            </w:pPr>
            <w:r w:rsidRPr="00814CE3">
              <w:rPr>
                <w:rFonts w:cstheme="minorHAnsi"/>
                <w:color w:val="auto"/>
              </w:rPr>
              <w:t xml:space="preserve">Pořízení počtu bezemisních vozidel u podnikatelských subjektů </w:t>
            </w:r>
          </w:p>
        </w:tc>
        <w:tc>
          <w:tcPr>
            <w:tcW w:w="554" w:type="dxa"/>
            <w:noWrap/>
          </w:tcPr>
          <w:p w14:paraId="79BF20B1" w14:textId="11DA9ADE" w:rsidR="003530CA" w:rsidRPr="00814CE3" w:rsidRDefault="003530CA" w:rsidP="00885174">
            <w:pPr>
              <w:spacing w:after="120" w:line="240" w:lineRule="auto"/>
              <w:rPr>
                <w:rFonts w:cstheme="minorHAnsi"/>
                <w:color w:val="auto"/>
              </w:rPr>
            </w:pPr>
            <w:r w:rsidRPr="00814CE3">
              <w:rPr>
                <w:rFonts w:cstheme="minorHAnsi"/>
                <w:color w:val="auto"/>
              </w:rPr>
              <w:t>Q4</w:t>
            </w:r>
          </w:p>
        </w:tc>
        <w:tc>
          <w:tcPr>
            <w:tcW w:w="958" w:type="dxa"/>
            <w:noWrap/>
          </w:tcPr>
          <w:p w14:paraId="345631BE" w14:textId="1E118678" w:rsidR="003530CA" w:rsidRPr="00814CE3" w:rsidRDefault="003530CA" w:rsidP="00885174">
            <w:pPr>
              <w:spacing w:after="120" w:line="240" w:lineRule="auto"/>
              <w:rPr>
                <w:rFonts w:cstheme="minorHAnsi"/>
                <w:color w:val="auto"/>
              </w:rPr>
            </w:pPr>
            <w:r w:rsidRPr="00814CE3">
              <w:rPr>
                <w:rFonts w:cstheme="minorHAnsi"/>
                <w:color w:val="auto"/>
              </w:rPr>
              <w:t>2025</w:t>
            </w:r>
          </w:p>
        </w:tc>
        <w:tc>
          <w:tcPr>
            <w:tcW w:w="4158" w:type="dxa"/>
          </w:tcPr>
          <w:p w14:paraId="6469F0A1" w14:textId="0AF5F529" w:rsidR="003530CA" w:rsidRPr="00814CE3" w:rsidRDefault="003530CA" w:rsidP="003E6E3E">
            <w:pPr>
              <w:spacing w:after="120" w:line="240" w:lineRule="auto"/>
              <w:rPr>
                <w:rFonts w:cstheme="minorHAnsi"/>
                <w:color w:val="auto"/>
              </w:rPr>
            </w:pPr>
            <w:r w:rsidRPr="00814CE3">
              <w:rPr>
                <w:rFonts w:cstheme="minorHAnsi"/>
                <w:color w:val="auto"/>
              </w:rPr>
              <w:t>Pořízení 1 885 ks bezemisních vozidel</w:t>
            </w:r>
          </w:p>
        </w:tc>
      </w:tr>
    </w:tbl>
    <w:p w14:paraId="367199A1" w14:textId="41EC64EE" w:rsidR="6BF94FC7" w:rsidRDefault="6BF94FC7" w:rsidP="6BF94FC7">
      <w:pPr>
        <w:pStyle w:val="slovanseznam"/>
        <w:numPr>
          <w:ilvl w:val="0"/>
          <w:numId w:val="0"/>
        </w:numPr>
        <w:spacing w:line="240" w:lineRule="auto"/>
      </w:pPr>
    </w:p>
    <w:p w14:paraId="4506B4ED" w14:textId="77777777" w:rsidR="00425BAD" w:rsidRPr="00814CE3" w:rsidRDefault="499BC452" w:rsidP="00425BAD">
      <w:pPr>
        <w:pStyle w:val="slovanseznam"/>
        <w:numPr>
          <w:ilvl w:val="0"/>
          <w:numId w:val="13"/>
        </w:numPr>
        <w:spacing w:line="240" w:lineRule="auto"/>
        <w:rPr>
          <w:rFonts w:cstheme="minorHAnsi"/>
        </w:rPr>
      </w:pPr>
      <w:r w:rsidRPr="6BF94FC7">
        <w:t>Financování a costing</w:t>
      </w:r>
    </w:p>
    <w:tbl>
      <w:tblPr>
        <w:tblStyle w:val="Mkatabulky"/>
        <w:tblW w:w="10015" w:type="dxa"/>
        <w:tblInd w:w="45" w:type="dxa"/>
        <w:tblLook w:val="04A0" w:firstRow="1" w:lastRow="0" w:firstColumn="1" w:lastColumn="0" w:noHBand="0" w:noVBand="1"/>
      </w:tblPr>
      <w:tblGrid>
        <w:gridCol w:w="4792"/>
        <w:gridCol w:w="5223"/>
      </w:tblGrid>
      <w:tr w:rsidR="00425BAD" w:rsidRPr="00814CE3" w14:paraId="222B22EF" w14:textId="77777777" w:rsidTr="00885174">
        <w:tc>
          <w:tcPr>
            <w:tcW w:w="4792" w:type="dxa"/>
          </w:tcPr>
          <w:p w14:paraId="2D57B68D" w14:textId="77777777" w:rsidR="00425BAD" w:rsidRPr="00814CE3" w:rsidRDefault="00425BAD" w:rsidP="00885174">
            <w:pPr>
              <w:spacing w:line="240" w:lineRule="auto"/>
              <w:jc w:val="both"/>
              <w:rPr>
                <w:rFonts w:cstheme="minorHAnsi"/>
                <w:b/>
              </w:rPr>
            </w:pPr>
            <w:r w:rsidRPr="00814CE3">
              <w:rPr>
                <w:rFonts w:cstheme="minorHAnsi"/>
                <w:b/>
              </w:rPr>
              <w:t>Položka</w:t>
            </w:r>
          </w:p>
        </w:tc>
        <w:tc>
          <w:tcPr>
            <w:tcW w:w="5223" w:type="dxa"/>
          </w:tcPr>
          <w:p w14:paraId="1902F985" w14:textId="77777777" w:rsidR="00425BAD" w:rsidRPr="00814CE3" w:rsidRDefault="00425BAD" w:rsidP="00885174">
            <w:pPr>
              <w:spacing w:line="240" w:lineRule="auto"/>
              <w:jc w:val="both"/>
              <w:rPr>
                <w:rFonts w:cstheme="minorHAnsi"/>
                <w:b/>
              </w:rPr>
            </w:pPr>
            <w:r w:rsidRPr="00814CE3">
              <w:rPr>
                <w:rFonts w:cstheme="minorHAnsi"/>
                <w:b/>
              </w:rPr>
              <w:t>Náklady v tisících Kč</w:t>
            </w:r>
          </w:p>
        </w:tc>
      </w:tr>
      <w:tr w:rsidR="00425BAD" w:rsidRPr="00814CE3" w14:paraId="0E6F067E" w14:textId="77777777" w:rsidTr="00885174">
        <w:tc>
          <w:tcPr>
            <w:tcW w:w="4792" w:type="dxa"/>
          </w:tcPr>
          <w:p w14:paraId="6BE7E677" w14:textId="77777777" w:rsidR="00425BAD" w:rsidRPr="00814CE3" w:rsidRDefault="00425BAD" w:rsidP="00885174">
            <w:pPr>
              <w:spacing w:line="240" w:lineRule="auto"/>
              <w:jc w:val="both"/>
              <w:rPr>
                <w:rFonts w:cstheme="minorHAnsi"/>
              </w:rPr>
            </w:pPr>
            <w:r w:rsidRPr="00814CE3">
              <w:rPr>
                <w:rFonts w:cstheme="minorHAnsi"/>
              </w:rPr>
              <w:lastRenderedPageBreak/>
              <w:t>Milníky v oblasti dekarbonizace dopravy (viz níže)</w:t>
            </w:r>
          </w:p>
        </w:tc>
        <w:tc>
          <w:tcPr>
            <w:tcW w:w="5223" w:type="dxa"/>
          </w:tcPr>
          <w:p w14:paraId="3A81538C" w14:textId="77777777" w:rsidR="00425BAD" w:rsidRPr="00814CE3" w:rsidRDefault="00425BAD" w:rsidP="00885174">
            <w:pPr>
              <w:spacing w:line="240" w:lineRule="auto"/>
              <w:jc w:val="both"/>
              <w:rPr>
                <w:rFonts w:cstheme="minorHAnsi"/>
              </w:rPr>
            </w:pPr>
            <w:r w:rsidRPr="00814CE3">
              <w:rPr>
                <w:rFonts w:cstheme="minorHAnsi"/>
              </w:rPr>
              <w:t>-*</w:t>
            </w:r>
          </w:p>
        </w:tc>
      </w:tr>
      <w:tr w:rsidR="00425BAD" w:rsidRPr="00814CE3" w14:paraId="06721B4C" w14:textId="77777777" w:rsidTr="00885174">
        <w:tc>
          <w:tcPr>
            <w:tcW w:w="4792" w:type="dxa"/>
          </w:tcPr>
          <w:p w14:paraId="5458C113" w14:textId="77777777" w:rsidR="00425BAD" w:rsidRPr="00814CE3" w:rsidRDefault="00425BAD" w:rsidP="00885174">
            <w:pPr>
              <w:spacing w:line="240" w:lineRule="auto"/>
              <w:jc w:val="both"/>
              <w:rPr>
                <w:rFonts w:cstheme="minorHAnsi"/>
              </w:rPr>
            </w:pPr>
            <w:r w:rsidRPr="00814CE3">
              <w:rPr>
                <w:rFonts w:cstheme="minorHAnsi"/>
              </w:rPr>
              <w:t>Investice – navýšení komponenty 2.4 (Podpora nákupu bezemisních vozidel pro podnikatelské subjekty)</w:t>
            </w:r>
          </w:p>
        </w:tc>
        <w:tc>
          <w:tcPr>
            <w:tcW w:w="5223" w:type="dxa"/>
          </w:tcPr>
          <w:p w14:paraId="6BF3E3AC" w14:textId="77777777" w:rsidR="00425BAD" w:rsidRPr="00814CE3" w:rsidRDefault="00425BAD" w:rsidP="00885174">
            <w:pPr>
              <w:spacing w:line="240" w:lineRule="auto"/>
              <w:jc w:val="both"/>
              <w:rPr>
                <w:rFonts w:cstheme="minorHAnsi"/>
              </w:rPr>
            </w:pPr>
            <w:r w:rsidRPr="00814CE3">
              <w:rPr>
                <w:rFonts w:cstheme="minorHAnsi"/>
              </w:rPr>
              <w:t>760 000</w:t>
            </w:r>
          </w:p>
        </w:tc>
      </w:tr>
      <w:tr w:rsidR="00425BAD" w:rsidRPr="00814CE3" w14:paraId="64D622F7" w14:textId="77777777" w:rsidTr="00885174">
        <w:tc>
          <w:tcPr>
            <w:tcW w:w="4792" w:type="dxa"/>
          </w:tcPr>
          <w:p w14:paraId="628DF5F8" w14:textId="77777777" w:rsidR="00425BAD" w:rsidRPr="00814CE3" w:rsidRDefault="00425BAD" w:rsidP="00885174">
            <w:pPr>
              <w:spacing w:line="240" w:lineRule="auto"/>
              <w:jc w:val="both"/>
              <w:rPr>
                <w:rFonts w:cstheme="minorHAnsi"/>
                <w:b/>
              </w:rPr>
            </w:pPr>
            <w:r w:rsidRPr="00814CE3">
              <w:rPr>
                <w:rFonts w:cstheme="minorHAnsi"/>
                <w:b/>
              </w:rPr>
              <w:t>Celkem</w:t>
            </w:r>
          </w:p>
        </w:tc>
        <w:tc>
          <w:tcPr>
            <w:tcW w:w="5223" w:type="dxa"/>
          </w:tcPr>
          <w:p w14:paraId="7B22103E" w14:textId="77777777" w:rsidR="00425BAD" w:rsidRPr="00814CE3" w:rsidRDefault="00425BAD" w:rsidP="00885174">
            <w:pPr>
              <w:spacing w:line="240" w:lineRule="auto"/>
              <w:jc w:val="both"/>
              <w:rPr>
                <w:rFonts w:cstheme="minorHAnsi"/>
                <w:b/>
              </w:rPr>
            </w:pPr>
            <w:r w:rsidRPr="00814CE3">
              <w:rPr>
                <w:rFonts w:cstheme="minorHAnsi"/>
                <w:b/>
              </w:rPr>
              <w:t>760 000</w:t>
            </w:r>
          </w:p>
        </w:tc>
      </w:tr>
    </w:tbl>
    <w:p w14:paraId="06085518" w14:textId="77777777" w:rsidR="00425BAD" w:rsidRPr="00814CE3" w:rsidRDefault="00425BAD" w:rsidP="00425BAD">
      <w:pPr>
        <w:spacing w:line="240" w:lineRule="auto"/>
        <w:ind w:left="0"/>
        <w:jc w:val="both"/>
        <w:rPr>
          <w:rFonts w:cstheme="minorHAnsi"/>
        </w:rPr>
      </w:pPr>
      <w:r w:rsidRPr="00814CE3">
        <w:rPr>
          <w:rFonts w:cstheme="minorHAnsi"/>
        </w:rPr>
        <w:t xml:space="preserve"> * s vlastní přípravou reforem nejsou spojeny žádné investice, protože náklady budou pokryty z běžných provozních prostředků jednotlivých institucí</w:t>
      </w:r>
    </w:p>
    <w:p w14:paraId="1C9661FE" w14:textId="145B5078" w:rsidR="00AF056E" w:rsidRPr="00814CE3" w:rsidRDefault="00AF056E" w:rsidP="00425BAD">
      <w:pPr>
        <w:rPr>
          <w:rFonts w:cstheme="minorHAnsi"/>
        </w:rPr>
      </w:pPr>
    </w:p>
    <w:sectPr w:rsidR="00AF056E" w:rsidRPr="00814CE3" w:rsidSect="00CC5E4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AB2D76" w14:textId="77777777" w:rsidR="00230582" w:rsidRDefault="00230582" w:rsidP="00B05A43">
      <w:r>
        <w:separator/>
      </w:r>
    </w:p>
  </w:endnote>
  <w:endnote w:type="continuationSeparator" w:id="0">
    <w:p w14:paraId="1553D6D6" w14:textId="77777777" w:rsidR="00230582" w:rsidRDefault="00230582" w:rsidP="00B05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10908925"/>
      <w:docPartObj>
        <w:docPartGallery w:val="Page Numbers (Bottom of Page)"/>
        <w:docPartUnique/>
      </w:docPartObj>
    </w:sdtPr>
    <w:sdtEndPr/>
    <w:sdtContent>
      <w:p w14:paraId="331864A8" w14:textId="77777777" w:rsidR="00DF7685" w:rsidRDefault="00DF7685">
        <w:pPr>
          <w:pStyle w:val="Zpat"/>
          <w:jc w:val="right"/>
        </w:pPr>
        <w:r>
          <w:fldChar w:fldCharType="begin"/>
        </w:r>
        <w:r>
          <w:instrText>PAGE   \* MERGEFORMAT</w:instrText>
        </w:r>
        <w:r>
          <w:fldChar w:fldCharType="separate"/>
        </w:r>
        <w:r>
          <w:t>2</w:t>
        </w:r>
        <w:r>
          <w:fldChar w:fldCharType="end"/>
        </w:r>
      </w:p>
    </w:sdtContent>
  </w:sdt>
  <w:p w14:paraId="49DA5B52" w14:textId="77777777" w:rsidR="00DF7685" w:rsidRDefault="00DF7685" w:rsidP="00B05A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82C6A" w14:textId="77777777" w:rsidR="00230582" w:rsidRDefault="00230582" w:rsidP="00B05A43">
      <w:r>
        <w:separator/>
      </w:r>
    </w:p>
  </w:footnote>
  <w:footnote w:type="continuationSeparator" w:id="0">
    <w:p w14:paraId="06B7EA78" w14:textId="77777777" w:rsidR="00230582" w:rsidRDefault="00230582" w:rsidP="00B05A43">
      <w:r>
        <w:continuationSeparator/>
      </w:r>
    </w:p>
  </w:footnote>
  <w:footnote w:id="1">
    <w:p w14:paraId="08B53AC3" w14:textId="77777777" w:rsidR="00425BAD" w:rsidRDefault="00425BAD" w:rsidP="00425BAD">
      <w:pPr>
        <w:pStyle w:val="Textpoznpodarou"/>
      </w:pPr>
      <w:r>
        <w:rPr>
          <w:rStyle w:val="Znakapoznpodarou"/>
        </w:rPr>
        <w:footnoteRef/>
      </w:r>
      <w:r>
        <w:t xml:space="preserve"> Dle definice v Temporary Crisis and Transition Framework for State Aid measures to support the economy following the aggression against Ukraine by Russia (2023/C 101/03), bod 2.6 (i)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11F223DA"/>
    <w:multiLevelType w:val="hybridMultilevel"/>
    <w:tmpl w:val="1DA210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0316F8"/>
    <w:multiLevelType w:val="multilevel"/>
    <w:tmpl w:val="3320A8B2"/>
    <w:numStyleLink w:val="VariantaB-odrky"/>
  </w:abstractNum>
  <w:abstractNum w:abstractNumId="3"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4" w15:restartNumberingAfterBreak="0">
    <w:nsid w:val="17B95505"/>
    <w:multiLevelType w:val="hybridMultilevel"/>
    <w:tmpl w:val="B87E56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91872DA"/>
    <w:multiLevelType w:val="multilevel"/>
    <w:tmpl w:val="E8A48D7C"/>
    <w:numStyleLink w:val="VariantaA-sla"/>
  </w:abstractNum>
  <w:abstractNum w:abstractNumId="6" w15:restartNumberingAfterBreak="0">
    <w:nsid w:val="19672786"/>
    <w:multiLevelType w:val="hybridMultilevel"/>
    <w:tmpl w:val="FD5EC47A"/>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9E34BD"/>
    <w:multiLevelType w:val="hybridMultilevel"/>
    <w:tmpl w:val="C360F55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9A5EA2"/>
    <w:multiLevelType w:val="multilevel"/>
    <w:tmpl w:val="E8BAE50A"/>
    <w:numStyleLink w:val="VariantaA-odrky"/>
  </w:abstractNum>
  <w:abstractNum w:abstractNumId="9" w15:restartNumberingAfterBreak="0">
    <w:nsid w:val="32203F5D"/>
    <w:multiLevelType w:val="hybridMultilevel"/>
    <w:tmpl w:val="1758F52A"/>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50104C05"/>
    <w:multiLevelType w:val="hybridMultilevel"/>
    <w:tmpl w:val="BB2047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0FBA4FC"/>
    <w:multiLevelType w:val="hybridMultilevel"/>
    <w:tmpl w:val="FFFFFFFF"/>
    <w:lvl w:ilvl="0" w:tplc="6792B394">
      <w:start w:val="1"/>
      <w:numFmt w:val="bullet"/>
      <w:lvlText w:val="-"/>
      <w:lvlJc w:val="left"/>
      <w:pPr>
        <w:ind w:left="720" w:hanging="360"/>
      </w:pPr>
      <w:rPr>
        <w:rFonts w:ascii="Calibri" w:hAnsi="Calibri" w:hint="default"/>
      </w:rPr>
    </w:lvl>
    <w:lvl w:ilvl="1" w:tplc="B4549918">
      <w:start w:val="1"/>
      <w:numFmt w:val="bullet"/>
      <w:lvlText w:val="o"/>
      <w:lvlJc w:val="left"/>
      <w:pPr>
        <w:ind w:left="1440" w:hanging="360"/>
      </w:pPr>
      <w:rPr>
        <w:rFonts w:ascii="Courier New" w:hAnsi="Courier New" w:hint="default"/>
      </w:rPr>
    </w:lvl>
    <w:lvl w:ilvl="2" w:tplc="A54E09A4">
      <w:start w:val="1"/>
      <w:numFmt w:val="bullet"/>
      <w:lvlText w:val=""/>
      <w:lvlJc w:val="left"/>
      <w:pPr>
        <w:ind w:left="2160" w:hanging="360"/>
      </w:pPr>
      <w:rPr>
        <w:rFonts w:ascii="Wingdings" w:hAnsi="Wingdings" w:hint="default"/>
      </w:rPr>
    </w:lvl>
    <w:lvl w:ilvl="3" w:tplc="13BA101C">
      <w:start w:val="1"/>
      <w:numFmt w:val="bullet"/>
      <w:lvlText w:val=""/>
      <w:lvlJc w:val="left"/>
      <w:pPr>
        <w:ind w:left="2880" w:hanging="360"/>
      </w:pPr>
      <w:rPr>
        <w:rFonts w:ascii="Symbol" w:hAnsi="Symbol" w:hint="default"/>
      </w:rPr>
    </w:lvl>
    <w:lvl w:ilvl="4" w:tplc="763AFA50">
      <w:start w:val="1"/>
      <w:numFmt w:val="bullet"/>
      <w:lvlText w:val="o"/>
      <w:lvlJc w:val="left"/>
      <w:pPr>
        <w:ind w:left="3600" w:hanging="360"/>
      </w:pPr>
      <w:rPr>
        <w:rFonts w:ascii="Courier New" w:hAnsi="Courier New" w:hint="default"/>
      </w:rPr>
    </w:lvl>
    <w:lvl w:ilvl="5" w:tplc="83B416BE">
      <w:start w:val="1"/>
      <w:numFmt w:val="bullet"/>
      <w:lvlText w:val=""/>
      <w:lvlJc w:val="left"/>
      <w:pPr>
        <w:ind w:left="4320" w:hanging="360"/>
      </w:pPr>
      <w:rPr>
        <w:rFonts w:ascii="Wingdings" w:hAnsi="Wingdings" w:hint="default"/>
      </w:rPr>
    </w:lvl>
    <w:lvl w:ilvl="6" w:tplc="F8D6D1D2">
      <w:start w:val="1"/>
      <w:numFmt w:val="bullet"/>
      <w:lvlText w:val=""/>
      <w:lvlJc w:val="left"/>
      <w:pPr>
        <w:ind w:left="5040" w:hanging="360"/>
      </w:pPr>
      <w:rPr>
        <w:rFonts w:ascii="Symbol" w:hAnsi="Symbol" w:hint="default"/>
      </w:rPr>
    </w:lvl>
    <w:lvl w:ilvl="7" w:tplc="EC30703E">
      <w:start w:val="1"/>
      <w:numFmt w:val="bullet"/>
      <w:lvlText w:val="o"/>
      <w:lvlJc w:val="left"/>
      <w:pPr>
        <w:ind w:left="5760" w:hanging="360"/>
      </w:pPr>
      <w:rPr>
        <w:rFonts w:ascii="Courier New" w:hAnsi="Courier New" w:hint="default"/>
      </w:rPr>
    </w:lvl>
    <w:lvl w:ilvl="8" w:tplc="75303EBA">
      <w:start w:val="1"/>
      <w:numFmt w:val="bullet"/>
      <w:lvlText w:val=""/>
      <w:lvlJc w:val="left"/>
      <w:pPr>
        <w:ind w:left="6480" w:hanging="360"/>
      </w:pPr>
      <w:rPr>
        <w:rFonts w:ascii="Wingdings" w:hAnsi="Wingdings" w:hint="default"/>
      </w:rPr>
    </w:lvl>
  </w:abstractNum>
  <w:abstractNum w:abstractNumId="1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4" w15:restartNumberingAfterBreak="0">
    <w:nsid w:val="5AF35F43"/>
    <w:multiLevelType w:val="multilevel"/>
    <w:tmpl w:val="0D8ABE32"/>
    <w:numStyleLink w:val="VariantaB-sla"/>
  </w:abstractNum>
  <w:abstractNum w:abstractNumId="15" w15:restartNumberingAfterBreak="0">
    <w:nsid w:val="6E797949"/>
    <w:multiLevelType w:val="hybridMultilevel"/>
    <w:tmpl w:val="53C638CA"/>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71A92D58"/>
    <w:multiLevelType w:val="hybridMultilevel"/>
    <w:tmpl w:val="9940D598"/>
    <w:lvl w:ilvl="0" w:tplc="044E90C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3"/>
  </w:num>
  <w:num w:numId="4">
    <w:abstractNumId w:val="10"/>
  </w:num>
  <w:num w:numId="5">
    <w:abstractNumId w:val="0"/>
  </w:num>
  <w:num w:numId="6">
    <w:abstractNumId w:val="14"/>
  </w:num>
  <w:num w:numId="7">
    <w:abstractNumId w:val="8"/>
  </w:num>
  <w:num w:numId="8">
    <w:abstractNumId w:val="5"/>
  </w:num>
  <w:num w:numId="9">
    <w:abstractNumId w:val="2"/>
  </w:num>
  <w:num w:numId="10">
    <w:abstractNumId w:val="9"/>
  </w:num>
  <w:num w:numId="11">
    <w:abstractNumId w:val="16"/>
  </w:num>
  <w:num w:numId="12">
    <w:abstractNumId w:val="11"/>
  </w:num>
  <w:num w:numId="13">
    <w:abstractNumId w:val="6"/>
  </w:num>
  <w:num w:numId="14">
    <w:abstractNumId w:val="1"/>
  </w:num>
  <w:num w:numId="15">
    <w:abstractNumId w:val="7"/>
  </w:num>
  <w:num w:numId="16">
    <w:abstractNumId w:val="15"/>
  </w:num>
  <w:num w:numId="1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582"/>
    <w:rsid w:val="00015306"/>
    <w:rsid w:val="000171B0"/>
    <w:rsid w:val="000227F1"/>
    <w:rsid w:val="0002674B"/>
    <w:rsid w:val="000329FE"/>
    <w:rsid w:val="0004162E"/>
    <w:rsid w:val="00041A3B"/>
    <w:rsid w:val="0004786B"/>
    <w:rsid w:val="00051AB0"/>
    <w:rsid w:val="00053131"/>
    <w:rsid w:val="00056225"/>
    <w:rsid w:val="000579B8"/>
    <w:rsid w:val="00063405"/>
    <w:rsid w:val="00065463"/>
    <w:rsid w:val="00067C1A"/>
    <w:rsid w:val="000809B9"/>
    <w:rsid w:val="00082656"/>
    <w:rsid w:val="00090B40"/>
    <w:rsid w:val="00090B4F"/>
    <w:rsid w:val="00095A0A"/>
    <w:rsid w:val="00097A67"/>
    <w:rsid w:val="000B075C"/>
    <w:rsid w:val="000B0895"/>
    <w:rsid w:val="000B1B3D"/>
    <w:rsid w:val="000B5A1E"/>
    <w:rsid w:val="000B7214"/>
    <w:rsid w:val="000C4CAF"/>
    <w:rsid w:val="000C65AF"/>
    <w:rsid w:val="000D0D59"/>
    <w:rsid w:val="000D4686"/>
    <w:rsid w:val="000E718F"/>
    <w:rsid w:val="000F5383"/>
    <w:rsid w:val="000F6EE1"/>
    <w:rsid w:val="001134EE"/>
    <w:rsid w:val="00121485"/>
    <w:rsid w:val="001268B0"/>
    <w:rsid w:val="0015630B"/>
    <w:rsid w:val="00167834"/>
    <w:rsid w:val="0018051B"/>
    <w:rsid w:val="001B1E4A"/>
    <w:rsid w:val="001C044A"/>
    <w:rsid w:val="001D27C0"/>
    <w:rsid w:val="001E74C3"/>
    <w:rsid w:val="001F6937"/>
    <w:rsid w:val="00204BBF"/>
    <w:rsid w:val="00220DE3"/>
    <w:rsid w:val="00225854"/>
    <w:rsid w:val="00230582"/>
    <w:rsid w:val="00246ADB"/>
    <w:rsid w:val="0025290D"/>
    <w:rsid w:val="00260372"/>
    <w:rsid w:val="00262DAF"/>
    <w:rsid w:val="00277FC1"/>
    <w:rsid w:val="00285AED"/>
    <w:rsid w:val="00290582"/>
    <w:rsid w:val="002A53E6"/>
    <w:rsid w:val="002B4177"/>
    <w:rsid w:val="002B7201"/>
    <w:rsid w:val="002E2442"/>
    <w:rsid w:val="002F0E8C"/>
    <w:rsid w:val="002F20DC"/>
    <w:rsid w:val="002F5E38"/>
    <w:rsid w:val="0030198E"/>
    <w:rsid w:val="00302A77"/>
    <w:rsid w:val="00310FA0"/>
    <w:rsid w:val="003155F3"/>
    <w:rsid w:val="00320481"/>
    <w:rsid w:val="003250CB"/>
    <w:rsid w:val="00326806"/>
    <w:rsid w:val="0033108B"/>
    <w:rsid w:val="00332272"/>
    <w:rsid w:val="00344679"/>
    <w:rsid w:val="00347CAA"/>
    <w:rsid w:val="003530CA"/>
    <w:rsid w:val="00363201"/>
    <w:rsid w:val="003643B9"/>
    <w:rsid w:val="0038221B"/>
    <w:rsid w:val="0039063C"/>
    <w:rsid w:val="00393AB1"/>
    <w:rsid w:val="003A46A8"/>
    <w:rsid w:val="003A51AA"/>
    <w:rsid w:val="003B565A"/>
    <w:rsid w:val="003C3035"/>
    <w:rsid w:val="003C4D22"/>
    <w:rsid w:val="003D00A1"/>
    <w:rsid w:val="003D0C44"/>
    <w:rsid w:val="003D116B"/>
    <w:rsid w:val="003D57C1"/>
    <w:rsid w:val="003E1331"/>
    <w:rsid w:val="003E18F5"/>
    <w:rsid w:val="003E53D8"/>
    <w:rsid w:val="003E5E3B"/>
    <w:rsid w:val="003E6CC1"/>
    <w:rsid w:val="003E6E3E"/>
    <w:rsid w:val="00403863"/>
    <w:rsid w:val="00412A1D"/>
    <w:rsid w:val="0041427F"/>
    <w:rsid w:val="00425602"/>
    <w:rsid w:val="00425BAD"/>
    <w:rsid w:val="00433255"/>
    <w:rsid w:val="004509E5"/>
    <w:rsid w:val="00455C44"/>
    <w:rsid w:val="00460B21"/>
    <w:rsid w:val="004707A5"/>
    <w:rsid w:val="00473192"/>
    <w:rsid w:val="004736C6"/>
    <w:rsid w:val="00477324"/>
    <w:rsid w:val="00486FB9"/>
    <w:rsid w:val="004B0FE2"/>
    <w:rsid w:val="004B3857"/>
    <w:rsid w:val="004B4E09"/>
    <w:rsid w:val="004C03A8"/>
    <w:rsid w:val="004C212A"/>
    <w:rsid w:val="004C507A"/>
    <w:rsid w:val="004F205A"/>
    <w:rsid w:val="00500232"/>
    <w:rsid w:val="00504668"/>
    <w:rsid w:val="005100EF"/>
    <w:rsid w:val="00542177"/>
    <w:rsid w:val="00542BBA"/>
    <w:rsid w:val="005455E1"/>
    <w:rsid w:val="005476FF"/>
    <w:rsid w:val="005502BD"/>
    <w:rsid w:val="00556787"/>
    <w:rsid w:val="005733A8"/>
    <w:rsid w:val="00582276"/>
    <w:rsid w:val="00585906"/>
    <w:rsid w:val="005922D5"/>
    <w:rsid w:val="005A0A3A"/>
    <w:rsid w:val="005A2B65"/>
    <w:rsid w:val="005B1F6A"/>
    <w:rsid w:val="005B5FFC"/>
    <w:rsid w:val="005C2560"/>
    <w:rsid w:val="005C3359"/>
    <w:rsid w:val="005C75A4"/>
    <w:rsid w:val="005D0FFC"/>
    <w:rsid w:val="005D49C3"/>
    <w:rsid w:val="005F44E0"/>
    <w:rsid w:val="005F7585"/>
    <w:rsid w:val="00602154"/>
    <w:rsid w:val="00605759"/>
    <w:rsid w:val="00605C72"/>
    <w:rsid w:val="0062352B"/>
    <w:rsid w:val="00627042"/>
    <w:rsid w:val="00631842"/>
    <w:rsid w:val="00642319"/>
    <w:rsid w:val="00645668"/>
    <w:rsid w:val="00650C6C"/>
    <w:rsid w:val="006522BC"/>
    <w:rsid w:val="00652FE6"/>
    <w:rsid w:val="0066239B"/>
    <w:rsid w:val="006657CF"/>
    <w:rsid w:val="00667898"/>
    <w:rsid w:val="00673135"/>
    <w:rsid w:val="0067533A"/>
    <w:rsid w:val="00677EED"/>
    <w:rsid w:val="00677FE0"/>
    <w:rsid w:val="00681A8D"/>
    <w:rsid w:val="006A29F4"/>
    <w:rsid w:val="006A5750"/>
    <w:rsid w:val="006A61E3"/>
    <w:rsid w:val="006B3196"/>
    <w:rsid w:val="006B4F97"/>
    <w:rsid w:val="006D04EF"/>
    <w:rsid w:val="006E24BE"/>
    <w:rsid w:val="006E2ACD"/>
    <w:rsid w:val="006E2FB0"/>
    <w:rsid w:val="006E5329"/>
    <w:rsid w:val="006E5E77"/>
    <w:rsid w:val="00700495"/>
    <w:rsid w:val="00701168"/>
    <w:rsid w:val="007101D7"/>
    <w:rsid w:val="007102D2"/>
    <w:rsid w:val="007119C5"/>
    <w:rsid w:val="00713948"/>
    <w:rsid w:val="00751089"/>
    <w:rsid w:val="00753A27"/>
    <w:rsid w:val="00754650"/>
    <w:rsid w:val="00756EDB"/>
    <w:rsid w:val="00763CB9"/>
    <w:rsid w:val="00764262"/>
    <w:rsid w:val="0079342A"/>
    <w:rsid w:val="00793460"/>
    <w:rsid w:val="007A1EA2"/>
    <w:rsid w:val="007A32DD"/>
    <w:rsid w:val="007B1EA1"/>
    <w:rsid w:val="007B3C88"/>
    <w:rsid w:val="007B4949"/>
    <w:rsid w:val="007C2CA9"/>
    <w:rsid w:val="007C4D2A"/>
    <w:rsid w:val="007C53DB"/>
    <w:rsid w:val="007F0BC6"/>
    <w:rsid w:val="007F4B20"/>
    <w:rsid w:val="00800761"/>
    <w:rsid w:val="00806A81"/>
    <w:rsid w:val="00813FA2"/>
    <w:rsid w:val="00814CE3"/>
    <w:rsid w:val="00817905"/>
    <w:rsid w:val="008179CF"/>
    <w:rsid w:val="0082620C"/>
    <w:rsid w:val="0082718F"/>
    <w:rsid w:val="00831374"/>
    <w:rsid w:val="0083216D"/>
    <w:rsid w:val="00842A03"/>
    <w:rsid w:val="008431D9"/>
    <w:rsid w:val="00844597"/>
    <w:rsid w:val="00857580"/>
    <w:rsid w:val="00865238"/>
    <w:rsid w:val="008667BF"/>
    <w:rsid w:val="0087430F"/>
    <w:rsid w:val="00891620"/>
    <w:rsid w:val="008943D6"/>
    <w:rsid w:val="00895645"/>
    <w:rsid w:val="008A7851"/>
    <w:rsid w:val="008B3748"/>
    <w:rsid w:val="008B63B4"/>
    <w:rsid w:val="008C0839"/>
    <w:rsid w:val="008C0AE6"/>
    <w:rsid w:val="008C3782"/>
    <w:rsid w:val="008D4A32"/>
    <w:rsid w:val="008D593A"/>
    <w:rsid w:val="008D721D"/>
    <w:rsid w:val="008E1F3D"/>
    <w:rsid w:val="008E7760"/>
    <w:rsid w:val="00917004"/>
    <w:rsid w:val="00922001"/>
    <w:rsid w:val="00922C17"/>
    <w:rsid w:val="009254FD"/>
    <w:rsid w:val="00942DDD"/>
    <w:rsid w:val="009516A8"/>
    <w:rsid w:val="0097705C"/>
    <w:rsid w:val="00977343"/>
    <w:rsid w:val="00982AC9"/>
    <w:rsid w:val="00983043"/>
    <w:rsid w:val="009926C5"/>
    <w:rsid w:val="00994A8C"/>
    <w:rsid w:val="009B3F27"/>
    <w:rsid w:val="009B5AF9"/>
    <w:rsid w:val="009C0B45"/>
    <w:rsid w:val="009E3A14"/>
    <w:rsid w:val="009F2CD8"/>
    <w:rsid w:val="009F393D"/>
    <w:rsid w:val="009F66D8"/>
    <w:rsid w:val="009F7F46"/>
    <w:rsid w:val="00A000BF"/>
    <w:rsid w:val="00A0587E"/>
    <w:rsid w:val="00A121C8"/>
    <w:rsid w:val="00A20CD6"/>
    <w:rsid w:val="00A23378"/>
    <w:rsid w:val="00A23856"/>
    <w:rsid w:val="00A273AE"/>
    <w:rsid w:val="00A275BC"/>
    <w:rsid w:val="00A348D0"/>
    <w:rsid w:val="00A42D26"/>
    <w:rsid w:val="00A4612D"/>
    <w:rsid w:val="00A464B4"/>
    <w:rsid w:val="00A536F7"/>
    <w:rsid w:val="00A63D6B"/>
    <w:rsid w:val="00A74CA1"/>
    <w:rsid w:val="00A84B52"/>
    <w:rsid w:val="00A8660F"/>
    <w:rsid w:val="00A90108"/>
    <w:rsid w:val="00A90C4F"/>
    <w:rsid w:val="00A93489"/>
    <w:rsid w:val="00A95C48"/>
    <w:rsid w:val="00AA40F7"/>
    <w:rsid w:val="00AA57DA"/>
    <w:rsid w:val="00AA7056"/>
    <w:rsid w:val="00AB31C6"/>
    <w:rsid w:val="00AB523B"/>
    <w:rsid w:val="00AC08B4"/>
    <w:rsid w:val="00AC492F"/>
    <w:rsid w:val="00AD6DD6"/>
    <w:rsid w:val="00AD7E40"/>
    <w:rsid w:val="00AF056E"/>
    <w:rsid w:val="00AF4D36"/>
    <w:rsid w:val="00AF587A"/>
    <w:rsid w:val="00B0060D"/>
    <w:rsid w:val="00B035FD"/>
    <w:rsid w:val="00B05A43"/>
    <w:rsid w:val="00B1134C"/>
    <w:rsid w:val="00B1477A"/>
    <w:rsid w:val="00B20993"/>
    <w:rsid w:val="00B26AE8"/>
    <w:rsid w:val="00B41096"/>
    <w:rsid w:val="00B42E96"/>
    <w:rsid w:val="00B50EE6"/>
    <w:rsid w:val="00B51E39"/>
    <w:rsid w:val="00B52185"/>
    <w:rsid w:val="00B65756"/>
    <w:rsid w:val="00B73B69"/>
    <w:rsid w:val="00B75FFF"/>
    <w:rsid w:val="00B840A8"/>
    <w:rsid w:val="00B94CD1"/>
    <w:rsid w:val="00B9753A"/>
    <w:rsid w:val="00BA2EBD"/>
    <w:rsid w:val="00BB12A9"/>
    <w:rsid w:val="00BB16D8"/>
    <w:rsid w:val="00BB479C"/>
    <w:rsid w:val="00BC4720"/>
    <w:rsid w:val="00BD0856"/>
    <w:rsid w:val="00BD09F1"/>
    <w:rsid w:val="00BD75A2"/>
    <w:rsid w:val="00BE3149"/>
    <w:rsid w:val="00BF014E"/>
    <w:rsid w:val="00BF4DCE"/>
    <w:rsid w:val="00BF62A3"/>
    <w:rsid w:val="00C13593"/>
    <w:rsid w:val="00C2017A"/>
    <w:rsid w:val="00C2026B"/>
    <w:rsid w:val="00C20470"/>
    <w:rsid w:val="00C22B93"/>
    <w:rsid w:val="00C322CF"/>
    <w:rsid w:val="00C34298"/>
    <w:rsid w:val="00C34B2F"/>
    <w:rsid w:val="00C4641B"/>
    <w:rsid w:val="00C552DD"/>
    <w:rsid w:val="00C6690E"/>
    <w:rsid w:val="00C703C5"/>
    <w:rsid w:val="00C74AEE"/>
    <w:rsid w:val="00C805F2"/>
    <w:rsid w:val="00C902F6"/>
    <w:rsid w:val="00C96BE1"/>
    <w:rsid w:val="00C96EFE"/>
    <w:rsid w:val="00CA0EEA"/>
    <w:rsid w:val="00CB1032"/>
    <w:rsid w:val="00CB38C5"/>
    <w:rsid w:val="00CC1EFB"/>
    <w:rsid w:val="00CC5E40"/>
    <w:rsid w:val="00CC694B"/>
    <w:rsid w:val="00CD7268"/>
    <w:rsid w:val="00CF4FF3"/>
    <w:rsid w:val="00D039F0"/>
    <w:rsid w:val="00D118E7"/>
    <w:rsid w:val="00D13C57"/>
    <w:rsid w:val="00D152F2"/>
    <w:rsid w:val="00D1569F"/>
    <w:rsid w:val="00D20B1E"/>
    <w:rsid w:val="00D22462"/>
    <w:rsid w:val="00D230AC"/>
    <w:rsid w:val="00D31EE8"/>
    <w:rsid w:val="00D32489"/>
    <w:rsid w:val="00D3349E"/>
    <w:rsid w:val="00D358DE"/>
    <w:rsid w:val="00D6547D"/>
    <w:rsid w:val="00D65C63"/>
    <w:rsid w:val="00D7170C"/>
    <w:rsid w:val="00D73CB8"/>
    <w:rsid w:val="00D77F5F"/>
    <w:rsid w:val="00D83506"/>
    <w:rsid w:val="00D90364"/>
    <w:rsid w:val="00D910D1"/>
    <w:rsid w:val="00DA7591"/>
    <w:rsid w:val="00DB7116"/>
    <w:rsid w:val="00DC5BEB"/>
    <w:rsid w:val="00DD19D2"/>
    <w:rsid w:val="00DD300E"/>
    <w:rsid w:val="00DE134B"/>
    <w:rsid w:val="00DF6713"/>
    <w:rsid w:val="00DF7685"/>
    <w:rsid w:val="00E04155"/>
    <w:rsid w:val="00E12718"/>
    <w:rsid w:val="00E32798"/>
    <w:rsid w:val="00E33CC8"/>
    <w:rsid w:val="00E3518A"/>
    <w:rsid w:val="00E51C91"/>
    <w:rsid w:val="00E57CAD"/>
    <w:rsid w:val="00E610BD"/>
    <w:rsid w:val="00E6222A"/>
    <w:rsid w:val="00E63EF1"/>
    <w:rsid w:val="00E667C1"/>
    <w:rsid w:val="00E67E34"/>
    <w:rsid w:val="00E81CA7"/>
    <w:rsid w:val="00EB082E"/>
    <w:rsid w:val="00EC1E46"/>
    <w:rsid w:val="00EC3F88"/>
    <w:rsid w:val="00EC76B1"/>
    <w:rsid w:val="00ED36D8"/>
    <w:rsid w:val="00ED4379"/>
    <w:rsid w:val="00EE6BD7"/>
    <w:rsid w:val="00EF50F3"/>
    <w:rsid w:val="00F0689D"/>
    <w:rsid w:val="00F56261"/>
    <w:rsid w:val="00F61EEB"/>
    <w:rsid w:val="00F61F25"/>
    <w:rsid w:val="00FB01B5"/>
    <w:rsid w:val="00FB4355"/>
    <w:rsid w:val="00FC1ABD"/>
    <w:rsid w:val="00FD414F"/>
    <w:rsid w:val="00FF565B"/>
    <w:rsid w:val="00FF7740"/>
    <w:rsid w:val="020BFBAC"/>
    <w:rsid w:val="022BD76A"/>
    <w:rsid w:val="02D85AE2"/>
    <w:rsid w:val="031D087D"/>
    <w:rsid w:val="03527379"/>
    <w:rsid w:val="0372381D"/>
    <w:rsid w:val="04A53F0F"/>
    <w:rsid w:val="04EBCF47"/>
    <w:rsid w:val="05512933"/>
    <w:rsid w:val="0563782C"/>
    <w:rsid w:val="063492A0"/>
    <w:rsid w:val="066407D5"/>
    <w:rsid w:val="068A143B"/>
    <w:rsid w:val="06F6C48A"/>
    <w:rsid w:val="07ACCD9E"/>
    <w:rsid w:val="084EEF7C"/>
    <w:rsid w:val="086EBAE3"/>
    <w:rsid w:val="09489DFF"/>
    <w:rsid w:val="09A780C2"/>
    <w:rsid w:val="09A7F6D3"/>
    <w:rsid w:val="0A00890D"/>
    <w:rsid w:val="0A2E654C"/>
    <w:rsid w:val="0B99223F"/>
    <w:rsid w:val="0D66060E"/>
    <w:rsid w:val="0E414E84"/>
    <w:rsid w:val="0E6BC061"/>
    <w:rsid w:val="1114153B"/>
    <w:rsid w:val="111D35F0"/>
    <w:rsid w:val="1199E05B"/>
    <w:rsid w:val="11C12991"/>
    <w:rsid w:val="126937B2"/>
    <w:rsid w:val="1279ED48"/>
    <w:rsid w:val="136217C1"/>
    <w:rsid w:val="13AB4045"/>
    <w:rsid w:val="14216EDC"/>
    <w:rsid w:val="14637838"/>
    <w:rsid w:val="14770ADA"/>
    <w:rsid w:val="155E85F6"/>
    <w:rsid w:val="15DF023A"/>
    <w:rsid w:val="177AD29B"/>
    <w:rsid w:val="17E69599"/>
    <w:rsid w:val="180899BD"/>
    <w:rsid w:val="187AF67D"/>
    <w:rsid w:val="198265FA"/>
    <w:rsid w:val="1A62F409"/>
    <w:rsid w:val="1A75AFE2"/>
    <w:rsid w:val="1BA2AB2B"/>
    <w:rsid w:val="1BB76630"/>
    <w:rsid w:val="1C2C9423"/>
    <w:rsid w:val="1C4DB35B"/>
    <w:rsid w:val="1CB836D7"/>
    <w:rsid w:val="1CDF80D4"/>
    <w:rsid w:val="1E651BCE"/>
    <w:rsid w:val="1E80E6B6"/>
    <w:rsid w:val="1EE2C9C0"/>
    <w:rsid w:val="1F19A736"/>
    <w:rsid w:val="1F49A0D3"/>
    <w:rsid w:val="1F59A221"/>
    <w:rsid w:val="1F7E39BE"/>
    <w:rsid w:val="20052E68"/>
    <w:rsid w:val="204B170A"/>
    <w:rsid w:val="20761C4E"/>
    <w:rsid w:val="212181A1"/>
    <w:rsid w:val="2163A1FF"/>
    <w:rsid w:val="21C342CD"/>
    <w:rsid w:val="227199EE"/>
    <w:rsid w:val="22F4DEF6"/>
    <w:rsid w:val="22FF9DA5"/>
    <w:rsid w:val="23FE3502"/>
    <w:rsid w:val="23FEE130"/>
    <w:rsid w:val="241EA5BA"/>
    <w:rsid w:val="2441114E"/>
    <w:rsid w:val="24A53EA9"/>
    <w:rsid w:val="25BC81C7"/>
    <w:rsid w:val="25C21524"/>
    <w:rsid w:val="27447BF2"/>
    <w:rsid w:val="287A42B1"/>
    <w:rsid w:val="292E2C16"/>
    <w:rsid w:val="2A8C4CB7"/>
    <w:rsid w:val="2B148903"/>
    <w:rsid w:val="2B170BC7"/>
    <w:rsid w:val="2BA433C1"/>
    <w:rsid w:val="2BD771F4"/>
    <w:rsid w:val="2C0C123A"/>
    <w:rsid w:val="2D82CA1D"/>
    <w:rsid w:val="2E9E7941"/>
    <w:rsid w:val="301BF8F1"/>
    <w:rsid w:val="3029F6EA"/>
    <w:rsid w:val="303C708E"/>
    <w:rsid w:val="30607002"/>
    <w:rsid w:val="31925ACA"/>
    <w:rsid w:val="32505556"/>
    <w:rsid w:val="3302AB0F"/>
    <w:rsid w:val="3374371C"/>
    <w:rsid w:val="3393CF05"/>
    <w:rsid w:val="33AE43A2"/>
    <w:rsid w:val="33CA9370"/>
    <w:rsid w:val="342AEC80"/>
    <w:rsid w:val="3468F9EB"/>
    <w:rsid w:val="358DA424"/>
    <w:rsid w:val="35B518B8"/>
    <w:rsid w:val="35B6DCC6"/>
    <w:rsid w:val="35C6BCE1"/>
    <w:rsid w:val="35ED2AEE"/>
    <w:rsid w:val="363A4BD1"/>
    <w:rsid w:val="36FB5342"/>
    <w:rsid w:val="3751A762"/>
    <w:rsid w:val="38043562"/>
    <w:rsid w:val="38AC12D1"/>
    <w:rsid w:val="3A42015C"/>
    <w:rsid w:val="3AD6A869"/>
    <w:rsid w:val="3ADA667E"/>
    <w:rsid w:val="3B083B96"/>
    <w:rsid w:val="3B0DBCF4"/>
    <w:rsid w:val="3B70E53F"/>
    <w:rsid w:val="3C7636DF"/>
    <w:rsid w:val="3CDCDD82"/>
    <w:rsid w:val="3D5406EB"/>
    <w:rsid w:val="3D610FA4"/>
    <w:rsid w:val="3D9390A1"/>
    <w:rsid w:val="3DF6B3D4"/>
    <w:rsid w:val="3E030C3B"/>
    <w:rsid w:val="3E111028"/>
    <w:rsid w:val="3E6ACBC6"/>
    <w:rsid w:val="3EEDFF5A"/>
    <w:rsid w:val="3EF8E3CF"/>
    <w:rsid w:val="3F49A1CF"/>
    <w:rsid w:val="3F797811"/>
    <w:rsid w:val="41230374"/>
    <w:rsid w:val="42308491"/>
    <w:rsid w:val="42443065"/>
    <w:rsid w:val="429A2FA6"/>
    <w:rsid w:val="43351014"/>
    <w:rsid w:val="44808BB2"/>
    <w:rsid w:val="449F0202"/>
    <w:rsid w:val="44B82A5F"/>
    <w:rsid w:val="45110689"/>
    <w:rsid w:val="457C691D"/>
    <w:rsid w:val="4592F876"/>
    <w:rsid w:val="45DEBFDE"/>
    <w:rsid w:val="46280950"/>
    <w:rsid w:val="46D3D1B4"/>
    <w:rsid w:val="46F85EB1"/>
    <w:rsid w:val="4776B51E"/>
    <w:rsid w:val="47B83E79"/>
    <w:rsid w:val="4867CC60"/>
    <w:rsid w:val="490E615E"/>
    <w:rsid w:val="498AF7EB"/>
    <w:rsid w:val="498EC2F3"/>
    <w:rsid w:val="499BC452"/>
    <w:rsid w:val="49D61AC6"/>
    <w:rsid w:val="4A39E71D"/>
    <w:rsid w:val="4B5BA3DB"/>
    <w:rsid w:val="4BFED563"/>
    <w:rsid w:val="4CC79EA5"/>
    <w:rsid w:val="4CFAF42A"/>
    <w:rsid w:val="4D479E2C"/>
    <w:rsid w:val="4DE9E6FE"/>
    <w:rsid w:val="4DFBBAE3"/>
    <w:rsid w:val="4EA2CA4F"/>
    <w:rsid w:val="4EE2D374"/>
    <w:rsid w:val="4EED52C5"/>
    <w:rsid w:val="4F8C6E8C"/>
    <w:rsid w:val="50E032F1"/>
    <w:rsid w:val="5106E3EF"/>
    <w:rsid w:val="5134C688"/>
    <w:rsid w:val="51C03953"/>
    <w:rsid w:val="52F944BF"/>
    <w:rsid w:val="53AE3490"/>
    <w:rsid w:val="53E8102F"/>
    <w:rsid w:val="53F5B4FD"/>
    <w:rsid w:val="54BCCCD4"/>
    <w:rsid w:val="55329543"/>
    <w:rsid w:val="5562CA54"/>
    <w:rsid w:val="55DA5512"/>
    <w:rsid w:val="56AB6F86"/>
    <w:rsid w:val="56CD9F0B"/>
    <w:rsid w:val="56DCA1B6"/>
    <w:rsid w:val="56F9465F"/>
    <w:rsid w:val="57067808"/>
    <w:rsid w:val="5719B369"/>
    <w:rsid w:val="58696F6C"/>
    <w:rsid w:val="58FFA6DB"/>
    <w:rsid w:val="5A053FCD"/>
    <w:rsid w:val="5A31F9C8"/>
    <w:rsid w:val="5AADC635"/>
    <w:rsid w:val="5C0C39F7"/>
    <w:rsid w:val="5C9DAEAA"/>
    <w:rsid w:val="5D0BED36"/>
    <w:rsid w:val="5D8532B1"/>
    <w:rsid w:val="5E864854"/>
    <w:rsid w:val="5F57EC0C"/>
    <w:rsid w:val="5F975C46"/>
    <w:rsid w:val="5FFFC5F9"/>
    <w:rsid w:val="60AAD69A"/>
    <w:rsid w:val="60FE5F7F"/>
    <w:rsid w:val="61A37099"/>
    <w:rsid w:val="62AD64D3"/>
    <w:rsid w:val="62F1BDCC"/>
    <w:rsid w:val="65080300"/>
    <w:rsid w:val="6584E46D"/>
    <w:rsid w:val="671E32F7"/>
    <w:rsid w:val="6759BDED"/>
    <w:rsid w:val="679436C3"/>
    <w:rsid w:val="6866E3D3"/>
    <w:rsid w:val="6941F3F7"/>
    <w:rsid w:val="69FE8EA2"/>
    <w:rsid w:val="6A9A4BE1"/>
    <w:rsid w:val="6B05AA54"/>
    <w:rsid w:val="6BCC672E"/>
    <w:rsid w:val="6BF94FC7"/>
    <w:rsid w:val="6C46B726"/>
    <w:rsid w:val="6C6D4087"/>
    <w:rsid w:val="70373FFB"/>
    <w:rsid w:val="7058BD4F"/>
    <w:rsid w:val="7145B96A"/>
    <w:rsid w:val="720DC619"/>
    <w:rsid w:val="72BA8F45"/>
    <w:rsid w:val="72E9E1B0"/>
    <w:rsid w:val="73346228"/>
    <w:rsid w:val="7363A962"/>
    <w:rsid w:val="73A11277"/>
    <w:rsid w:val="74D03289"/>
    <w:rsid w:val="74D7EAAE"/>
    <w:rsid w:val="751C1B8F"/>
    <w:rsid w:val="752AABE2"/>
    <w:rsid w:val="754566DB"/>
    <w:rsid w:val="76D8B339"/>
    <w:rsid w:val="770823D0"/>
    <w:rsid w:val="7752E1D4"/>
    <w:rsid w:val="78222134"/>
    <w:rsid w:val="785057BA"/>
    <w:rsid w:val="78C07943"/>
    <w:rsid w:val="7917E60C"/>
    <w:rsid w:val="79B566A1"/>
    <w:rsid w:val="79DE5349"/>
    <w:rsid w:val="7A072D9F"/>
    <w:rsid w:val="7A0C279C"/>
    <w:rsid w:val="7A72F963"/>
    <w:rsid w:val="7A8FE31B"/>
    <w:rsid w:val="7AF3C033"/>
    <w:rsid w:val="7B02CF4B"/>
    <w:rsid w:val="7B03299D"/>
    <w:rsid w:val="7BBC95E5"/>
    <w:rsid w:val="7CB13759"/>
    <w:rsid w:val="7CBD633C"/>
    <w:rsid w:val="7EBABE1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E1D495"/>
  <w15:chartTrackingRefBased/>
  <w15:docId w15:val="{56EAB2A4-E1C0-41BD-8E8D-705DB5BB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7" w:qFormat="1"/>
    <w:lsdException w:name="heading 2" w:semiHidden="1" w:uiPriority="7"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73B69"/>
    <w:pPr>
      <w:spacing w:after="165" w:line="293" w:lineRule="auto"/>
      <w:ind w:left="45"/>
    </w:pPr>
    <w:rPr>
      <w:color w:val="000000" w:themeColor="text1"/>
    </w:rPr>
  </w:style>
  <w:style w:type="paragraph" w:styleId="Nadpis1">
    <w:name w:val="heading 1"/>
    <w:basedOn w:val="Normln"/>
    <w:next w:val="Normln"/>
    <w:link w:val="Nadpis1Char"/>
    <w:uiPriority w:val="7"/>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rážky 1,seznam písmena,Nad,Conclusion de partie,Odstavec cíl se seznamem,Odstavec se seznamem5,_Odstavec se seznamem,Seznam - odrážky,Fiche List Paragraph,List Paragraph (Czech Tourism),Název grafu,nad 1,Odstavec se seznamem2"/>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290582"/>
    <w:pPr>
      <w:numPr>
        <w:numId w:val="8"/>
      </w:numPr>
      <w:spacing w:after="0"/>
    </w:pPr>
    <w:rPr>
      <w:b/>
    </w:rPr>
  </w:style>
  <w:style w:type="paragraph" w:styleId="slovanseznam2">
    <w:name w:val="List Number 2"/>
    <w:aliases w:val="Číslovaný seznam A 2"/>
    <w:basedOn w:val="Normln"/>
    <w:uiPriority w:val="15"/>
    <w:qFormat/>
    <w:rsid w:val="001B1E4A"/>
    <w:pPr>
      <w:numPr>
        <w:ilvl w:val="1"/>
        <w:numId w:val="8"/>
      </w:numPr>
      <w:spacing w:after="0"/>
      <w:contextualSpacing/>
    </w:pPr>
  </w:style>
  <w:style w:type="paragraph" w:styleId="slovanseznam3">
    <w:name w:val="List Number 3"/>
    <w:aliases w:val="Číslovaný seznam A 3"/>
    <w:basedOn w:val="Normln"/>
    <w:uiPriority w:val="15"/>
    <w:qFormat/>
    <w:rsid w:val="001B1E4A"/>
    <w:pPr>
      <w:numPr>
        <w:ilvl w:val="2"/>
        <w:numId w:val="8"/>
      </w:numPr>
      <w:spacing w:after="0"/>
      <w:contextualSpacing/>
    </w:pPr>
  </w:style>
  <w:style w:type="paragraph" w:styleId="slovanseznam4">
    <w:name w:val="List Number 4"/>
    <w:aliases w:val="Číslovaný seznam A 4"/>
    <w:basedOn w:val="Normln"/>
    <w:uiPriority w:val="15"/>
    <w:qFormat/>
    <w:rsid w:val="001B1E4A"/>
    <w:pPr>
      <w:numPr>
        <w:ilvl w:val="3"/>
        <w:numId w:val="8"/>
      </w:numPr>
      <w:spacing w:after="0"/>
      <w:contextualSpacing/>
    </w:pPr>
  </w:style>
  <w:style w:type="paragraph" w:styleId="slovanseznam5">
    <w:name w:val="List Number 5"/>
    <w:aliases w:val="Číslovaný seznam A 5"/>
    <w:basedOn w:val="Normln"/>
    <w:uiPriority w:val="15"/>
    <w:qFormat/>
    <w:rsid w:val="001B1E4A"/>
    <w:pPr>
      <w:numPr>
        <w:ilvl w:val="4"/>
        <w:numId w:val="8"/>
      </w:numPr>
      <w:spacing w:after="0"/>
      <w:contextualSpacing/>
    </w:pPr>
  </w:style>
  <w:style w:type="paragraph" w:customStyle="1" w:styleId="slovanseznamB">
    <w:name w:val="Číslovaný seznam B"/>
    <w:basedOn w:val="Normln"/>
    <w:uiPriority w:val="16"/>
    <w:qFormat/>
    <w:rsid w:val="009F7F46"/>
    <w:pPr>
      <w:numPr>
        <w:numId w:val="6"/>
      </w:numPr>
      <w:spacing w:after="0"/>
    </w:pPr>
  </w:style>
  <w:style w:type="paragraph" w:customStyle="1" w:styleId="slovanseznamB2">
    <w:name w:val="Číslovaný seznam B 2"/>
    <w:basedOn w:val="Normln"/>
    <w:uiPriority w:val="16"/>
    <w:qFormat/>
    <w:rsid w:val="009F7F46"/>
    <w:pPr>
      <w:numPr>
        <w:ilvl w:val="1"/>
        <w:numId w:val="6"/>
      </w:numPr>
      <w:spacing w:after="0"/>
    </w:pPr>
  </w:style>
  <w:style w:type="paragraph" w:customStyle="1" w:styleId="slovanseznamB3">
    <w:name w:val="Číslovaný seznam B 3"/>
    <w:basedOn w:val="Normln"/>
    <w:uiPriority w:val="16"/>
    <w:qFormat/>
    <w:rsid w:val="009F7F46"/>
    <w:pPr>
      <w:numPr>
        <w:ilvl w:val="2"/>
        <w:numId w:val="6"/>
      </w:numPr>
      <w:spacing w:after="0"/>
    </w:pPr>
  </w:style>
  <w:style w:type="paragraph" w:customStyle="1" w:styleId="slovanseznamB4">
    <w:name w:val="Číslovaný seznam B 4"/>
    <w:basedOn w:val="Normln"/>
    <w:uiPriority w:val="16"/>
    <w:qFormat/>
    <w:rsid w:val="009F7F46"/>
    <w:pPr>
      <w:numPr>
        <w:ilvl w:val="3"/>
        <w:numId w:val="6"/>
      </w:numPr>
      <w:spacing w:after="0"/>
    </w:pPr>
  </w:style>
  <w:style w:type="paragraph" w:customStyle="1" w:styleId="slovanseznamB5">
    <w:name w:val="Číslovaný seznam B 5"/>
    <w:basedOn w:val="Normln"/>
    <w:uiPriority w:val="16"/>
    <w:qFormat/>
    <w:rsid w:val="009F7F46"/>
    <w:pPr>
      <w:numPr>
        <w:ilvl w:val="4"/>
        <w:numId w:val="6"/>
      </w:numPr>
      <w:spacing w:after="0"/>
    </w:pPr>
  </w:style>
  <w:style w:type="paragraph" w:styleId="Seznamsodrkami3">
    <w:name w:val="List Bullet 3"/>
    <w:aliases w:val="Seznam s odrážkami A 3"/>
    <w:basedOn w:val="Normln"/>
    <w:uiPriority w:val="10"/>
    <w:qFormat/>
    <w:rsid w:val="00262DAF"/>
    <w:pPr>
      <w:numPr>
        <w:ilvl w:val="2"/>
        <w:numId w:val="7"/>
      </w:numPr>
      <w:spacing w:after="0"/>
      <w:contextualSpacing/>
    </w:pPr>
  </w:style>
  <w:style w:type="paragraph" w:styleId="Seznamsodrkami4">
    <w:name w:val="List Bullet 4"/>
    <w:aliases w:val="Seznam s odrážkami A 4"/>
    <w:basedOn w:val="Normln"/>
    <w:uiPriority w:val="10"/>
    <w:qFormat/>
    <w:rsid w:val="00262DAF"/>
    <w:pPr>
      <w:numPr>
        <w:ilvl w:val="3"/>
        <w:numId w:val="7"/>
      </w:numPr>
      <w:spacing w:after="0"/>
      <w:contextualSpacing/>
    </w:pPr>
  </w:style>
  <w:style w:type="paragraph" w:styleId="Seznamsodrkami5">
    <w:name w:val="List Bullet 5"/>
    <w:aliases w:val="Seznam s odrážkami A 5"/>
    <w:basedOn w:val="Normln"/>
    <w:uiPriority w:val="10"/>
    <w:qFormat/>
    <w:rsid w:val="00262DAF"/>
    <w:pPr>
      <w:numPr>
        <w:ilvl w:val="4"/>
        <w:numId w:val="7"/>
      </w:numPr>
      <w:spacing w:after="0"/>
    </w:pPr>
  </w:style>
  <w:style w:type="paragraph" w:styleId="Seznamsodrkami">
    <w:name w:val="List Bullet"/>
    <w:aliases w:val="Seznam s odrážkami A"/>
    <w:basedOn w:val="Normln"/>
    <w:uiPriority w:val="10"/>
    <w:qFormat/>
    <w:rsid w:val="00262DAF"/>
    <w:pPr>
      <w:numPr>
        <w:numId w:val="7"/>
      </w:numPr>
      <w:spacing w:after="0"/>
      <w:contextualSpacing/>
    </w:pPr>
  </w:style>
  <w:style w:type="paragraph" w:styleId="Seznamsodrkami2">
    <w:name w:val="List Bullet 2"/>
    <w:aliases w:val="Seznam s odrážkami A 2"/>
    <w:basedOn w:val="Normln"/>
    <w:uiPriority w:val="10"/>
    <w:qFormat/>
    <w:rsid w:val="00262DAF"/>
    <w:pPr>
      <w:numPr>
        <w:ilvl w:val="1"/>
        <w:numId w:val="7"/>
      </w:numPr>
      <w:spacing w:after="0"/>
      <w:contextualSpacing/>
    </w:pPr>
  </w:style>
  <w:style w:type="paragraph" w:customStyle="1" w:styleId="Nadpis1-mimoobsah">
    <w:name w:val="Nadpis 1 - mimo obsah"/>
    <w:basedOn w:val="Normln"/>
    <w:next w:val="Normln"/>
    <w:uiPriority w:val="8"/>
    <w:qFormat/>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qFormat/>
    <w:rsid w:val="008D4A32"/>
    <w:pPr>
      <w:numPr>
        <w:ilvl w:val="1"/>
      </w:numPr>
      <w:ind w:left="45"/>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9"/>
      </w:numPr>
      <w:spacing w:after="0"/>
    </w:pPr>
  </w:style>
  <w:style w:type="paragraph" w:customStyle="1" w:styleId="SeznamsodrkamiB2">
    <w:name w:val="Seznam s odrážkami B 2"/>
    <w:basedOn w:val="Normln"/>
    <w:uiPriority w:val="11"/>
    <w:qFormat/>
    <w:rsid w:val="007102D2"/>
    <w:pPr>
      <w:numPr>
        <w:ilvl w:val="1"/>
        <w:numId w:val="9"/>
      </w:numPr>
      <w:spacing w:after="0"/>
    </w:pPr>
  </w:style>
  <w:style w:type="paragraph" w:customStyle="1" w:styleId="SeznamsodrkamiB3">
    <w:name w:val="Seznam s odrážkami B 3"/>
    <w:basedOn w:val="Normln"/>
    <w:uiPriority w:val="11"/>
    <w:qFormat/>
    <w:rsid w:val="007102D2"/>
    <w:pPr>
      <w:numPr>
        <w:ilvl w:val="2"/>
        <w:numId w:val="9"/>
      </w:numPr>
      <w:spacing w:after="0"/>
    </w:pPr>
  </w:style>
  <w:style w:type="paragraph" w:customStyle="1" w:styleId="SeznamsodrkamiB4">
    <w:name w:val="Seznam s odrážkami B 4"/>
    <w:basedOn w:val="Normln"/>
    <w:uiPriority w:val="11"/>
    <w:qFormat/>
    <w:rsid w:val="007102D2"/>
    <w:pPr>
      <w:numPr>
        <w:ilvl w:val="3"/>
        <w:numId w:val="9"/>
      </w:numPr>
      <w:spacing w:after="0"/>
    </w:pPr>
  </w:style>
  <w:style w:type="paragraph" w:customStyle="1" w:styleId="SeznamsodrkamiB5">
    <w:name w:val="Seznam s odrážkami B 5"/>
    <w:basedOn w:val="Normln"/>
    <w:uiPriority w:val="11"/>
    <w:qFormat/>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styleId="Bezmezer">
    <w:name w:val="No Spacing"/>
    <w:link w:val="BezmezerChar"/>
    <w:uiPriority w:val="1"/>
    <w:qFormat/>
    <w:rsid w:val="00277FC1"/>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277FC1"/>
    <w:rPr>
      <w:rFonts w:eastAsiaTheme="minorEastAsia"/>
      <w:lang w:eastAsia="cs-CZ"/>
    </w:rPr>
  </w:style>
  <w:style w:type="character" w:customStyle="1" w:styleId="OdstavecseseznamemChar">
    <w:name w:val="Odstavec se seznamem Char"/>
    <w:aliases w:val="Odrážky 1 Char,seznam písmena Char,Nad Char,Conclusion de partie Char,Odstavec cíl se seznamem Char,Odstavec se seznamem5 Char,_Odstavec se seznamem Char,Seznam - odrážky Char,Fiche List Paragraph Char,Název grafu Char"/>
    <w:basedOn w:val="Standardnpsmoodstavce"/>
    <w:link w:val="Odstavecseseznamem"/>
    <w:uiPriority w:val="35"/>
    <w:qFormat/>
    <w:rsid w:val="00277FC1"/>
    <w:rPr>
      <w:color w:val="000000" w:themeColor="text1"/>
    </w:rPr>
  </w:style>
  <w:style w:type="table" w:styleId="Mkatabulky">
    <w:name w:val="Table Grid"/>
    <w:aliases w:val="SGS Table Basic 1,CV table"/>
    <w:basedOn w:val="Normlntabulka"/>
    <w:uiPriority w:val="39"/>
    <w:rsid w:val="00032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542177"/>
    <w:pPr>
      <w:autoSpaceDE w:val="0"/>
      <w:autoSpaceDN w:val="0"/>
      <w:adjustRightInd w:val="0"/>
      <w:spacing w:after="0" w:line="240" w:lineRule="auto"/>
    </w:pPr>
    <w:rPr>
      <w:rFonts w:ascii="Calibri" w:hAnsi="Calibri" w:cs="Calibri"/>
      <w:color w:val="000000"/>
      <w:sz w:val="24"/>
      <w:szCs w:val="24"/>
    </w:rPr>
  </w:style>
  <w:style w:type="character" w:styleId="Odkaznakoment">
    <w:name w:val="annotation reference"/>
    <w:basedOn w:val="Standardnpsmoodstavce"/>
    <w:uiPriority w:val="99"/>
    <w:semiHidden/>
    <w:unhideWhenUsed/>
    <w:rsid w:val="00097A67"/>
    <w:rPr>
      <w:sz w:val="16"/>
      <w:szCs w:val="16"/>
    </w:rPr>
  </w:style>
  <w:style w:type="paragraph" w:styleId="Textkomente">
    <w:name w:val="annotation text"/>
    <w:basedOn w:val="Normln"/>
    <w:link w:val="TextkomenteChar"/>
    <w:uiPriority w:val="99"/>
    <w:unhideWhenUsed/>
    <w:rsid w:val="00097A67"/>
    <w:pPr>
      <w:spacing w:line="240" w:lineRule="auto"/>
    </w:pPr>
    <w:rPr>
      <w:sz w:val="20"/>
      <w:szCs w:val="20"/>
    </w:rPr>
  </w:style>
  <w:style w:type="character" w:customStyle="1" w:styleId="TextkomenteChar">
    <w:name w:val="Text komentáře Char"/>
    <w:basedOn w:val="Standardnpsmoodstavce"/>
    <w:link w:val="Textkomente"/>
    <w:uiPriority w:val="99"/>
    <w:rsid w:val="00097A67"/>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097A67"/>
    <w:rPr>
      <w:b/>
      <w:bCs/>
    </w:rPr>
  </w:style>
  <w:style w:type="character" w:customStyle="1" w:styleId="PedmtkomenteChar">
    <w:name w:val="Předmět komentáře Char"/>
    <w:basedOn w:val="TextkomenteChar"/>
    <w:link w:val="Pedmtkomente"/>
    <w:uiPriority w:val="99"/>
    <w:semiHidden/>
    <w:rsid w:val="00097A67"/>
    <w:rPr>
      <w:b/>
      <w:bCs/>
      <w:color w:val="000000" w:themeColor="text1"/>
      <w:sz w:val="20"/>
      <w:szCs w:val="20"/>
    </w:rPr>
  </w:style>
  <w:style w:type="paragraph" w:styleId="Textbubliny">
    <w:name w:val="Balloon Text"/>
    <w:basedOn w:val="Normln"/>
    <w:link w:val="TextbublinyChar"/>
    <w:uiPriority w:val="99"/>
    <w:semiHidden/>
    <w:unhideWhenUsed/>
    <w:rsid w:val="00097A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97A67"/>
    <w:rPr>
      <w:rFonts w:ascii="Segoe UI" w:hAnsi="Segoe UI" w:cs="Segoe UI"/>
      <w:color w:val="000000" w:themeColor="text1"/>
      <w:sz w:val="18"/>
      <w:szCs w:val="18"/>
    </w:rPr>
  </w:style>
  <w:style w:type="character" w:styleId="Nevyeenzmnka">
    <w:name w:val="Unresolved Mention"/>
    <w:basedOn w:val="Standardnpsmoodstavce"/>
    <w:uiPriority w:val="99"/>
    <w:semiHidden/>
    <w:unhideWhenUsed/>
    <w:rsid w:val="00BF62A3"/>
    <w:rPr>
      <w:color w:val="605E5C"/>
      <w:shd w:val="clear" w:color="auto" w:fill="E1DFDD"/>
    </w:rPr>
  </w:style>
  <w:style w:type="table" w:customStyle="1" w:styleId="Mkatabulky1">
    <w:name w:val="Mřížka tabulky1"/>
    <w:basedOn w:val="Normlntabulka"/>
    <w:next w:val="Mkatabulky"/>
    <w:uiPriority w:val="39"/>
    <w:rsid w:val="000B07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Nadpis2">
    <w:name w:val="K-Nadpis2"/>
    <w:basedOn w:val="Nadpis2"/>
    <w:link w:val="K-Nadpis2Char"/>
    <w:qFormat/>
    <w:rsid w:val="004B0FE2"/>
    <w:pPr>
      <w:numPr>
        <w:ilvl w:val="1"/>
      </w:numPr>
      <w:ind w:left="576" w:hanging="576"/>
    </w:pPr>
    <w:rPr>
      <w:rFonts w:ascii="Times New Roman" w:hAnsi="Times New Roman" w:cs="Times New Roman"/>
      <w:sz w:val="28"/>
      <w:szCs w:val="28"/>
    </w:rPr>
  </w:style>
  <w:style w:type="character" w:customStyle="1" w:styleId="K-Nadpis2Char">
    <w:name w:val="K-Nadpis2 Char"/>
    <w:basedOn w:val="Nadpis2Char"/>
    <w:link w:val="K-Nadpis2"/>
    <w:rsid w:val="004B0FE2"/>
    <w:rPr>
      <w:rFonts w:ascii="Times New Roman" w:eastAsiaTheme="majorEastAsia" w:hAnsi="Times New Roman" w:cs="Times New Roman"/>
      <w:b/>
      <w:color w:val="000000" w:themeColor="text1"/>
      <w:sz w:val="28"/>
      <w:szCs w:val="28"/>
    </w:rPr>
  </w:style>
  <w:style w:type="paragraph" w:customStyle="1" w:styleId="K-Nadpis3">
    <w:name w:val="K-Nadpis3"/>
    <w:basedOn w:val="Default"/>
    <w:link w:val="K-Nadpis3Char"/>
    <w:qFormat/>
    <w:rsid w:val="00891620"/>
    <w:pPr>
      <w:spacing w:after="120"/>
      <w:jc w:val="both"/>
    </w:pPr>
    <w:rPr>
      <w:b/>
      <w:szCs w:val="23"/>
    </w:rPr>
  </w:style>
  <w:style w:type="character" w:customStyle="1" w:styleId="DefaultChar">
    <w:name w:val="Default Char"/>
    <w:basedOn w:val="Standardnpsmoodstavce"/>
    <w:link w:val="Default"/>
    <w:rsid w:val="00891620"/>
    <w:rPr>
      <w:rFonts w:ascii="Calibri" w:hAnsi="Calibri" w:cs="Calibri"/>
      <w:color w:val="000000"/>
      <w:sz w:val="24"/>
      <w:szCs w:val="24"/>
    </w:rPr>
  </w:style>
  <w:style w:type="character" w:customStyle="1" w:styleId="K-Nadpis3Char">
    <w:name w:val="K-Nadpis3 Char"/>
    <w:basedOn w:val="DefaultChar"/>
    <w:link w:val="K-Nadpis3"/>
    <w:rsid w:val="00891620"/>
    <w:rPr>
      <w:rFonts w:ascii="Calibri" w:hAnsi="Calibri" w:cs="Calibri"/>
      <w:b/>
      <w:color w:val="000000"/>
      <w:sz w:val="24"/>
      <w:szCs w:val="23"/>
    </w:rPr>
  </w:style>
  <w:style w:type="paragraph" w:customStyle="1" w:styleId="K-Text">
    <w:name w:val="K-Text"/>
    <w:basedOn w:val="Normln"/>
    <w:link w:val="K-TextChar"/>
    <w:qFormat/>
    <w:rsid w:val="00AF056E"/>
    <w:pPr>
      <w:spacing w:after="120"/>
      <w:ind w:left="0"/>
      <w:jc w:val="both"/>
    </w:pPr>
    <w:rPr>
      <w:rFonts w:ascii="Times New Roman" w:hAnsi="Times New Roman" w:cs="Times New Roman"/>
      <w:iCs/>
      <w:color w:val="auto"/>
      <w:sz w:val="23"/>
      <w:szCs w:val="23"/>
    </w:rPr>
  </w:style>
  <w:style w:type="paragraph" w:customStyle="1" w:styleId="K-TextInfo">
    <w:name w:val="K-Text_Info"/>
    <w:basedOn w:val="Default"/>
    <w:link w:val="K-TextInfoChar"/>
    <w:qFormat/>
    <w:rsid w:val="00AF056E"/>
    <w:pPr>
      <w:spacing w:after="120"/>
      <w:jc w:val="both"/>
    </w:pPr>
    <w:rPr>
      <w:rFonts w:ascii="Times New Roman" w:hAnsi="Times New Roman" w:cs="Times New Roman"/>
      <w:i/>
      <w:iCs/>
      <w:color w:val="2196FF" w:themeColor="text2" w:themeTint="99"/>
      <w:sz w:val="23"/>
      <w:szCs w:val="23"/>
    </w:rPr>
  </w:style>
  <w:style w:type="character" w:customStyle="1" w:styleId="K-TextChar">
    <w:name w:val="K-Text Char"/>
    <w:basedOn w:val="Standardnpsmoodstavce"/>
    <w:link w:val="K-Text"/>
    <w:rsid w:val="00AF056E"/>
    <w:rPr>
      <w:rFonts w:ascii="Times New Roman" w:hAnsi="Times New Roman" w:cs="Times New Roman"/>
      <w:iCs/>
      <w:sz w:val="23"/>
      <w:szCs w:val="23"/>
    </w:rPr>
  </w:style>
  <w:style w:type="character" w:customStyle="1" w:styleId="K-TextInfoChar">
    <w:name w:val="K-Text_Info Char"/>
    <w:basedOn w:val="DefaultChar"/>
    <w:link w:val="K-TextInfo"/>
    <w:rsid w:val="00AF056E"/>
    <w:rPr>
      <w:rFonts w:ascii="Times New Roman" w:hAnsi="Times New Roman" w:cs="Times New Roman"/>
      <w:i/>
      <w:iCs/>
      <w:color w:val="2196FF" w:themeColor="text2" w:themeTint="99"/>
      <w:sz w:val="23"/>
      <w:szCs w:val="23"/>
    </w:rPr>
  </w:style>
  <w:style w:type="paragraph" w:styleId="Textpoznpodarou">
    <w:name w:val="footnote text"/>
    <w:basedOn w:val="Normln"/>
    <w:link w:val="TextpoznpodarouChar"/>
    <w:uiPriority w:val="99"/>
    <w:semiHidden/>
    <w:unhideWhenUsed/>
    <w:rsid w:val="00425BAD"/>
    <w:pPr>
      <w:spacing w:after="0" w:line="240" w:lineRule="auto"/>
      <w:ind w:left="0"/>
    </w:pPr>
    <w:rPr>
      <w:rFonts w:ascii="Calibri" w:hAnsi="Calibri" w:cs="Calibri"/>
      <w:color w:val="auto"/>
      <w:sz w:val="20"/>
      <w:szCs w:val="20"/>
      <w:lang w:eastAsia="cs-CZ"/>
    </w:rPr>
  </w:style>
  <w:style w:type="character" w:customStyle="1" w:styleId="TextpoznpodarouChar">
    <w:name w:val="Text pozn. pod čarou Char"/>
    <w:basedOn w:val="Standardnpsmoodstavce"/>
    <w:link w:val="Textpoznpodarou"/>
    <w:uiPriority w:val="99"/>
    <w:semiHidden/>
    <w:rsid w:val="00425BAD"/>
    <w:rPr>
      <w:rFonts w:ascii="Calibri" w:hAnsi="Calibri" w:cs="Calibri"/>
      <w:sz w:val="20"/>
      <w:szCs w:val="20"/>
      <w:lang w:eastAsia="cs-CZ"/>
    </w:rPr>
  </w:style>
  <w:style w:type="character" w:styleId="Znakapoznpodarou">
    <w:name w:val="footnote reference"/>
    <w:basedOn w:val="Standardnpsmoodstavce"/>
    <w:uiPriority w:val="99"/>
    <w:semiHidden/>
    <w:unhideWhenUsed/>
    <w:rsid w:val="00425B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59525">
      <w:bodyDiv w:val="1"/>
      <w:marLeft w:val="0"/>
      <w:marRight w:val="0"/>
      <w:marTop w:val="0"/>
      <w:marBottom w:val="0"/>
      <w:divBdr>
        <w:top w:val="none" w:sz="0" w:space="0" w:color="auto"/>
        <w:left w:val="none" w:sz="0" w:space="0" w:color="auto"/>
        <w:bottom w:val="none" w:sz="0" w:space="0" w:color="auto"/>
        <w:right w:val="none" w:sz="0" w:space="0" w:color="auto"/>
      </w:divBdr>
    </w:div>
    <w:div w:id="271594895">
      <w:bodyDiv w:val="1"/>
      <w:marLeft w:val="0"/>
      <w:marRight w:val="0"/>
      <w:marTop w:val="0"/>
      <w:marBottom w:val="0"/>
      <w:divBdr>
        <w:top w:val="none" w:sz="0" w:space="0" w:color="auto"/>
        <w:left w:val="none" w:sz="0" w:space="0" w:color="auto"/>
        <w:bottom w:val="none" w:sz="0" w:space="0" w:color="auto"/>
        <w:right w:val="none" w:sz="0" w:space="0" w:color="auto"/>
      </w:divBdr>
    </w:div>
    <w:div w:id="458643007">
      <w:bodyDiv w:val="1"/>
      <w:marLeft w:val="0"/>
      <w:marRight w:val="0"/>
      <w:marTop w:val="0"/>
      <w:marBottom w:val="0"/>
      <w:divBdr>
        <w:top w:val="none" w:sz="0" w:space="0" w:color="auto"/>
        <w:left w:val="none" w:sz="0" w:space="0" w:color="auto"/>
        <w:bottom w:val="none" w:sz="0" w:space="0" w:color="auto"/>
        <w:right w:val="none" w:sz="0" w:space="0" w:color="auto"/>
      </w:divBdr>
    </w:div>
    <w:div w:id="547491102">
      <w:bodyDiv w:val="1"/>
      <w:marLeft w:val="0"/>
      <w:marRight w:val="0"/>
      <w:marTop w:val="0"/>
      <w:marBottom w:val="0"/>
      <w:divBdr>
        <w:top w:val="none" w:sz="0" w:space="0" w:color="auto"/>
        <w:left w:val="none" w:sz="0" w:space="0" w:color="auto"/>
        <w:bottom w:val="none" w:sz="0" w:space="0" w:color="auto"/>
        <w:right w:val="none" w:sz="0" w:space="0" w:color="auto"/>
      </w:divBdr>
    </w:div>
    <w:div w:id="871306388">
      <w:bodyDiv w:val="1"/>
      <w:marLeft w:val="0"/>
      <w:marRight w:val="0"/>
      <w:marTop w:val="0"/>
      <w:marBottom w:val="0"/>
      <w:divBdr>
        <w:top w:val="none" w:sz="0" w:space="0" w:color="auto"/>
        <w:left w:val="none" w:sz="0" w:space="0" w:color="auto"/>
        <w:bottom w:val="none" w:sz="0" w:space="0" w:color="auto"/>
        <w:right w:val="none" w:sz="0" w:space="0" w:color="auto"/>
      </w:divBdr>
    </w:div>
    <w:div w:id="1077557041">
      <w:bodyDiv w:val="1"/>
      <w:marLeft w:val="0"/>
      <w:marRight w:val="0"/>
      <w:marTop w:val="0"/>
      <w:marBottom w:val="0"/>
      <w:divBdr>
        <w:top w:val="none" w:sz="0" w:space="0" w:color="auto"/>
        <w:left w:val="none" w:sz="0" w:space="0" w:color="auto"/>
        <w:bottom w:val="none" w:sz="0" w:space="0" w:color="auto"/>
        <w:right w:val="none" w:sz="0" w:space="0" w:color="auto"/>
      </w:divBdr>
    </w:div>
    <w:div w:id="1420828421">
      <w:bodyDiv w:val="1"/>
      <w:marLeft w:val="0"/>
      <w:marRight w:val="0"/>
      <w:marTop w:val="0"/>
      <w:marBottom w:val="0"/>
      <w:divBdr>
        <w:top w:val="none" w:sz="0" w:space="0" w:color="auto"/>
        <w:left w:val="none" w:sz="0" w:space="0" w:color="auto"/>
        <w:bottom w:val="none" w:sz="0" w:space="0" w:color="auto"/>
        <w:right w:val="none" w:sz="0" w:space="0" w:color="auto"/>
      </w:divBdr>
    </w:div>
    <w:div w:id="1639143780">
      <w:bodyDiv w:val="1"/>
      <w:marLeft w:val="0"/>
      <w:marRight w:val="0"/>
      <w:marTop w:val="0"/>
      <w:marBottom w:val="0"/>
      <w:divBdr>
        <w:top w:val="none" w:sz="0" w:space="0" w:color="auto"/>
        <w:left w:val="none" w:sz="0" w:space="0" w:color="auto"/>
        <w:bottom w:val="none" w:sz="0" w:space="0" w:color="auto"/>
        <w:right w:val="none" w:sz="0" w:space="0" w:color="auto"/>
      </w:divBdr>
    </w:div>
    <w:div w:id="1928028993">
      <w:bodyDiv w:val="1"/>
      <w:marLeft w:val="0"/>
      <w:marRight w:val="0"/>
      <w:marTop w:val="0"/>
      <w:marBottom w:val="0"/>
      <w:divBdr>
        <w:top w:val="none" w:sz="0" w:space="0" w:color="auto"/>
        <w:left w:val="none" w:sz="0" w:space="0" w:color="auto"/>
        <w:bottom w:val="none" w:sz="0" w:space="0" w:color="auto"/>
        <w:right w:val="none" w:sz="0" w:space="0" w:color="auto"/>
      </w:divBdr>
    </w:div>
    <w:div w:id="1944730180">
      <w:bodyDiv w:val="1"/>
      <w:marLeft w:val="0"/>
      <w:marRight w:val="0"/>
      <w:marTop w:val="0"/>
      <w:marBottom w:val="0"/>
      <w:divBdr>
        <w:top w:val="none" w:sz="0" w:space="0" w:color="auto"/>
        <w:left w:val="none" w:sz="0" w:space="0" w:color="auto"/>
        <w:bottom w:val="none" w:sz="0" w:space="0" w:color="auto"/>
        <w:right w:val="none" w:sz="0" w:space="0" w:color="auto"/>
      </w:divBdr>
    </w:div>
    <w:div w:id="2099401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31CBC-ABF8-46DC-BD57-7DBD5672118E}">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2.xml><?xml version="1.0" encoding="utf-8"?>
<ds:datastoreItem xmlns:ds="http://schemas.openxmlformats.org/officeDocument/2006/customXml" ds:itemID="{4728077D-D84F-48E6-9558-A0BB2C8A0813}">
  <ds:schemaRefs>
    <ds:schemaRef ds:uri="http://schemas.microsoft.com/sharepoint/v3/contenttype/forms"/>
  </ds:schemaRefs>
</ds:datastoreItem>
</file>

<file path=customXml/itemProps3.xml><?xml version="1.0" encoding="utf-8"?>
<ds:datastoreItem xmlns:ds="http://schemas.openxmlformats.org/officeDocument/2006/customXml" ds:itemID="{4A2F5480-4F6E-4126-B9FF-117CE83DFA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04709B-5E4D-4A7F-A625-7BB070867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65118347.dotm</Template>
  <TotalTime>1</TotalTime>
  <Pages>14</Pages>
  <Words>5443</Words>
  <Characters>32116</Characters>
  <Application>Microsoft Office Word</Application>
  <DocSecurity>0</DocSecurity>
  <Lines>267</Lines>
  <Paragraphs>74</Paragraphs>
  <ScaleCrop>false</ScaleCrop>
  <Company>Ministerstvo průmyslu a obchodu</Company>
  <LinksUpToDate>false</LinksUpToDate>
  <CharactersWithSpaces>37485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Mervart Petr</dc:creator>
  <cp:keywords/>
  <dc:description/>
  <cp:lastModifiedBy>Bubenková Monika</cp:lastModifiedBy>
  <cp:revision>14</cp:revision>
  <dcterms:created xsi:type="dcterms:W3CDTF">2023-10-17T09:15:00Z</dcterms:created>
  <dcterms:modified xsi:type="dcterms:W3CDTF">2023-11-22T07:40:00Z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