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4D3A46" w14:paraId="04AAC281" w14:textId="77777777" w:rsidTr="00897330">
        <w:tc>
          <w:tcPr>
            <w:tcW w:w="9166" w:type="dxa"/>
            <w:gridSpan w:val="2"/>
            <w:shd w:val="clear" w:color="auto" w:fill="1F3864"/>
          </w:tcPr>
          <w:p w14:paraId="37CD884A" w14:textId="77777777" w:rsidR="00425C3D" w:rsidRPr="004D3A46" w:rsidRDefault="00C52144" w:rsidP="00897330">
            <w:pPr>
              <w:jc w:val="center"/>
              <w:rPr>
                <w:rFonts w:ascii="Times New Roman" w:eastAsia="Calibri" w:hAnsi="Times New Roman" w:cs="Times New Roman"/>
                <w:b/>
                <w:bCs/>
                <w:noProof/>
                <w:sz w:val="24"/>
                <w:szCs w:val="24"/>
                <w:u w:val="single"/>
                <w:lang w:val="en-IE"/>
              </w:rPr>
            </w:pPr>
            <w:bookmarkStart w:id="0" w:name="_GoBack"/>
            <w:bookmarkEnd w:id="0"/>
            <w:r w:rsidRPr="004D3A46">
              <w:rPr>
                <w:rFonts w:ascii="Times New Roman" w:eastAsia="Calibri" w:hAnsi="Times New Roman" w:cs="Times New Roman"/>
                <w:b/>
                <w:bCs/>
                <w:noProof/>
                <w:sz w:val="20"/>
                <w:szCs w:val="20"/>
                <w:lang w:val="en-US"/>
              </w:rPr>
              <w:t>Component 2.2: REDUCING ENERGY CONSUMPTION IN THE PUBLIC SECTOR</w:t>
            </w:r>
          </w:p>
        </w:tc>
      </w:tr>
      <w:tr w:rsidR="00425C3D" w:rsidRPr="004D3A46" w14:paraId="0A9FF214" w14:textId="77777777" w:rsidTr="00897330">
        <w:tc>
          <w:tcPr>
            <w:tcW w:w="3227" w:type="dxa"/>
            <w:shd w:val="clear" w:color="auto" w:fill="00B0F0"/>
          </w:tcPr>
          <w:p w14:paraId="4C5D0916" w14:textId="77777777" w:rsidR="00425C3D" w:rsidRPr="004D3A46" w:rsidRDefault="00425C3D" w:rsidP="00897330">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CBFDD65" w14:textId="77777777" w:rsidR="00425C3D" w:rsidRPr="004D3A46" w:rsidRDefault="00255E0B" w:rsidP="00897330">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Investment 1</w:t>
            </w:r>
          </w:p>
        </w:tc>
      </w:tr>
      <w:tr w:rsidR="00425C3D" w:rsidRPr="004D3A46" w14:paraId="0C9E1B84" w14:textId="77777777" w:rsidTr="00897330">
        <w:tc>
          <w:tcPr>
            <w:tcW w:w="3227" w:type="dxa"/>
            <w:shd w:val="clear" w:color="auto" w:fill="00B0F0"/>
          </w:tcPr>
          <w:p w14:paraId="22D2F8A2" w14:textId="77777777" w:rsidR="00425C3D" w:rsidRPr="004D3A46" w:rsidRDefault="00425C3D" w:rsidP="00897330">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97C7B12" w14:textId="77777777" w:rsidR="00425C3D" w:rsidRPr="004D3A46" w:rsidRDefault="00255E0B" w:rsidP="00897330">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Improving the energy performance of state buildings</w:t>
            </w:r>
          </w:p>
        </w:tc>
      </w:tr>
      <w:tr w:rsidR="00425C3D" w:rsidRPr="004D3A46" w14:paraId="206AB144" w14:textId="77777777" w:rsidTr="00897330">
        <w:tc>
          <w:tcPr>
            <w:tcW w:w="3227" w:type="dxa"/>
            <w:shd w:val="clear" w:color="auto" w:fill="BDD6EE"/>
          </w:tcPr>
          <w:p w14:paraId="6030BB1D" w14:textId="77777777" w:rsidR="00425C3D" w:rsidRPr="004D3A46" w:rsidRDefault="00425C3D" w:rsidP="00897330">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Type of change compared to CID</w:t>
            </w:r>
          </w:p>
        </w:tc>
        <w:tc>
          <w:tcPr>
            <w:tcW w:w="5939" w:type="dxa"/>
          </w:tcPr>
          <w:p w14:paraId="36BD599D" w14:textId="77777777" w:rsidR="00425C3D" w:rsidRPr="004D3A46" w:rsidRDefault="00425C3D" w:rsidP="00897330">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noProof/>
                <w:sz w:val="20"/>
                <w:szCs w:val="20"/>
                <w:lang w:val="en-US"/>
              </w:rPr>
              <w:t>[modified]</w:t>
            </w:r>
          </w:p>
        </w:tc>
      </w:tr>
      <w:tr w:rsidR="00425C3D" w:rsidRPr="004D3A46" w14:paraId="1F792A83" w14:textId="77777777" w:rsidTr="00897330">
        <w:tc>
          <w:tcPr>
            <w:tcW w:w="3227" w:type="dxa"/>
            <w:shd w:val="clear" w:color="auto" w:fill="BDD6EE"/>
          </w:tcPr>
          <w:p w14:paraId="6BED476E" w14:textId="77777777" w:rsidR="00425C3D" w:rsidRPr="004D3A46" w:rsidRDefault="00425C3D" w:rsidP="00897330">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Legal base of the change (select at least one)</w:t>
            </w:r>
          </w:p>
        </w:tc>
        <w:tc>
          <w:tcPr>
            <w:tcW w:w="5939" w:type="dxa"/>
          </w:tcPr>
          <w:p w14:paraId="69CEBB6D"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Article 14(2) – loan request</w:t>
            </w:r>
          </w:p>
          <w:p w14:paraId="61E28534"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Article 18(2) – update of the maximum financial contribution</w:t>
            </w:r>
          </w:p>
          <w:p w14:paraId="5DE4E4F9" w14:textId="77777777" w:rsidR="00425C3D" w:rsidRPr="004D3A46" w:rsidRDefault="00097F3D"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Article 21 – amendment due to objective circumstances</w:t>
            </w:r>
          </w:p>
          <w:p w14:paraId="0ACD15B6" w14:textId="77777777" w:rsidR="00425C3D" w:rsidRPr="004D3A46" w:rsidRDefault="00097F3D"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fr-BE"/>
                  </w:rPr>
                  <w:t>☐</w:t>
                </w:r>
              </w:sdtContent>
            </w:sdt>
            <w:r w:rsidR="00425C3D" w:rsidRPr="004D3A46">
              <w:rPr>
                <w:rFonts w:ascii="Times New Roman" w:eastAsia="Calibri" w:hAnsi="Times New Roman" w:cs="Times New Roman"/>
                <w:noProof/>
                <w:sz w:val="20"/>
                <w:szCs w:val="20"/>
                <w:lang w:val="fr-BE"/>
              </w:rPr>
              <w:t xml:space="preserve"> Article 21a – REPowerEU non-repayable financial support (ETS revenue)</w:t>
            </w:r>
          </w:p>
          <w:p w14:paraId="40EECDBA" w14:textId="77777777" w:rsidR="00425C3D" w:rsidRPr="004D3A46" w:rsidRDefault="00097F3D"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IE"/>
                  </w:rPr>
                  <w:t>☐</w:t>
                </w:r>
              </w:sdtContent>
            </w:sdt>
            <w:r w:rsidR="00425C3D" w:rsidRPr="004D3A46">
              <w:rPr>
                <w:rFonts w:ascii="Times New Roman" w:eastAsia="Calibri" w:hAnsi="Times New Roman" w:cs="Times New Roman"/>
                <w:noProof/>
                <w:sz w:val="20"/>
                <w:szCs w:val="20"/>
                <w:lang w:val="en-IE"/>
              </w:rPr>
              <w:t xml:space="preserve"> Article 21b (2) – BAR transfers</w:t>
            </w:r>
          </w:p>
          <w:p w14:paraId="3AEF2BDF" w14:textId="77777777" w:rsidR="00425C3D" w:rsidRPr="004D3A46" w:rsidRDefault="00425C3D" w:rsidP="00897330">
            <w:pPr>
              <w:jc w:val="both"/>
              <w:rPr>
                <w:rFonts w:ascii="Times New Roman" w:eastAsia="Calibri" w:hAnsi="Times New Roman" w:cs="Times New Roman"/>
                <w:noProof/>
                <w:sz w:val="20"/>
                <w:szCs w:val="20"/>
                <w:lang w:val="en-US"/>
              </w:rPr>
            </w:pPr>
            <w:r w:rsidRPr="004D3A46">
              <w:rPr>
                <w:rFonts w:ascii="Segoe UI Symbol" w:eastAsia="MS Gothic" w:hAnsi="Segoe UI Symbol" w:cs="Segoe UI Symbol"/>
                <w:noProof/>
                <w:sz w:val="20"/>
                <w:szCs w:val="20"/>
                <w:lang w:val="en-US"/>
              </w:rPr>
              <w:t>☐</w:t>
            </w:r>
            <w:r w:rsidRPr="004D3A46">
              <w:rPr>
                <w:rFonts w:ascii="Times New Roman" w:eastAsia="Calibri" w:hAnsi="Times New Roman" w:cs="Times New Roman"/>
                <w:noProof/>
                <w:sz w:val="20"/>
                <w:szCs w:val="20"/>
                <w:lang w:val="en-US"/>
              </w:rPr>
              <w:t xml:space="preserve"> None of the above, correction of clerical error</w:t>
            </w:r>
          </w:p>
          <w:p w14:paraId="672A6659" w14:textId="77777777" w:rsidR="00425C3D" w:rsidRPr="004D3A46" w:rsidRDefault="00425C3D" w:rsidP="00897330">
            <w:pPr>
              <w:jc w:val="both"/>
              <w:rPr>
                <w:rFonts w:ascii="Times New Roman" w:eastAsia="Calibri" w:hAnsi="Times New Roman" w:cs="Times New Roman"/>
                <w:noProof/>
                <w:sz w:val="20"/>
                <w:szCs w:val="20"/>
                <w:lang w:val="en-IE"/>
              </w:rPr>
            </w:pPr>
          </w:p>
        </w:tc>
      </w:tr>
      <w:tr w:rsidR="00425C3D" w:rsidRPr="004D3A46" w14:paraId="378CB70A" w14:textId="77777777" w:rsidTr="00897330">
        <w:tc>
          <w:tcPr>
            <w:tcW w:w="3227" w:type="dxa"/>
            <w:shd w:val="clear" w:color="auto" w:fill="BDD6EE"/>
          </w:tcPr>
          <w:p w14:paraId="61CA3AEF" w14:textId="77777777" w:rsidR="00425C3D" w:rsidRPr="004D3A46" w:rsidRDefault="00425C3D" w:rsidP="00897330">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Elements modified (only for modified measures)</w:t>
            </w:r>
          </w:p>
          <w:p w14:paraId="0A37501D" w14:textId="77777777" w:rsidR="00425C3D" w:rsidRPr="004D3A46"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77CF8BC1"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Component / Measure description</w:t>
            </w:r>
          </w:p>
          <w:p w14:paraId="525D3D32"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Milestones and targets</w:t>
            </w:r>
          </w:p>
          <w:p w14:paraId="08692C1D"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Estimated cost</w:t>
            </w:r>
          </w:p>
          <w:p w14:paraId="61C03193" w14:textId="77777777" w:rsidR="00425C3D" w:rsidRPr="004D3A46" w:rsidRDefault="00097F3D"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CF6BA81" w14:textId="77777777" w:rsidR="00425C3D" w:rsidRPr="004D3A46" w:rsidRDefault="00097F3D"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4D3A46">
                  <w:rPr>
                    <w:rFonts w:ascii="Segoe UI Symbol" w:eastAsia="Calibri" w:hAnsi="Segoe UI Symbol" w:cs="Segoe UI Symbol"/>
                    <w:noProof/>
                    <w:color w:val="2B579A"/>
                    <w:sz w:val="20"/>
                    <w:szCs w:val="20"/>
                    <w:shd w:val="clear" w:color="auto" w:fill="E6E6E6"/>
                    <w:lang w:val="en-US"/>
                  </w:rPr>
                  <w:t>☐</w:t>
                </w:r>
              </w:sdtContent>
            </w:sdt>
            <w:r w:rsidR="00425C3D" w:rsidRPr="004D3A46">
              <w:rPr>
                <w:rFonts w:ascii="Times New Roman" w:eastAsia="Calibri" w:hAnsi="Times New Roman" w:cs="Times New Roman"/>
                <w:noProof/>
                <w:sz w:val="20"/>
                <w:szCs w:val="20"/>
                <w:lang w:val="en-US"/>
              </w:rPr>
              <w:t xml:space="preserve"> DNSH self-assessment</w:t>
            </w:r>
          </w:p>
        </w:tc>
      </w:tr>
    </w:tbl>
    <w:p w14:paraId="5DAB6C7B" w14:textId="77777777" w:rsidR="00713948" w:rsidRPr="004D3A46"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4D3A46" w14:paraId="6D9794BB" w14:textId="77777777" w:rsidTr="20793250">
        <w:tc>
          <w:tcPr>
            <w:tcW w:w="9242" w:type="dxa"/>
            <w:gridSpan w:val="3"/>
            <w:shd w:val="clear" w:color="auto" w:fill="1F3864"/>
          </w:tcPr>
          <w:p w14:paraId="44AE1025" w14:textId="77777777" w:rsidR="00425C3D" w:rsidRPr="004D3A46" w:rsidRDefault="00255E0B" w:rsidP="00897330">
            <w:pPr>
              <w:jc w:val="center"/>
              <w:rPr>
                <w:rFonts w:ascii="Times New Roman" w:eastAsia="Calibri" w:hAnsi="Times New Roman" w:cs="Times New Roman"/>
                <w:b/>
                <w:bCs/>
                <w:noProof/>
                <w:sz w:val="20"/>
                <w:szCs w:val="20"/>
                <w:lang w:val="en-IE"/>
              </w:rPr>
            </w:pPr>
            <w:r w:rsidRPr="004D3A46">
              <w:rPr>
                <w:rFonts w:ascii="Times New Roman" w:eastAsia="Calibri" w:hAnsi="Times New Roman" w:cs="Times New Roman"/>
                <w:b/>
                <w:bCs/>
                <w:noProof/>
                <w:sz w:val="20"/>
                <w:szCs w:val="20"/>
                <w:lang w:val="en-IE"/>
              </w:rPr>
              <w:t>Investment 1: Improving the energy performance of state buildings</w:t>
            </w:r>
            <w:r w:rsidR="00896FDC" w:rsidRPr="004D3A46">
              <w:rPr>
                <w:rFonts w:ascii="Times New Roman" w:eastAsia="Calibri" w:hAnsi="Times New Roman" w:cs="Times New Roman"/>
                <w:b/>
                <w:bCs/>
                <w:noProof/>
                <w:sz w:val="20"/>
                <w:szCs w:val="20"/>
                <w:lang w:val="en-IE"/>
              </w:rPr>
              <w:t xml:space="preserve"> – Target 103</w:t>
            </w:r>
          </w:p>
        </w:tc>
      </w:tr>
      <w:tr w:rsidR="00425C3D" w:rsidRPr="004D3A46" w14:paraId="1E46945E" w14:textId="77777777" w:rsidTr="20793250">
        <w:tc>
          <w:tcPr>
            <w:tcW w:w="9242" w:type="dxa"/>
            <w:gridSpan w:val="3"/>
            <w:shd w:val="clear" w:color="auto" w:fill="auto"/>
          </w:tcPr>
          <w:p w14:paraId="77CE7458" w14:textId="77777777" w:rsidR="00425C3D" w:rsidRPr="004D3A46" w:rsidRDefault="00425C3D" w:rsidP="00897330">
            <w:pPr>
              <w:jc w:val="both"/>
              <w:rPr>
                <w:rFonts w:ascii="Times New Roman" w:eastAsia="Calibri" w:hAnsi="Times New Roman" w:cs="Times New Roman"/>
                <w:i/>
                <w:iCs/>
                <w:noProof/>
                <w:sz w:val="20"/>
                <w:szCs w:val="20"/>
                <w:lang w:val="en-IE"/>
              </w:rPr>
            </w:pPr>
            <w:r w:rsidRPr="004D3A46">
              <w:rPr>
                <w:rFonts w:ascii="Times New Roman" w:eastAsia="Calibri" w:hAnsi="Times New Roman" w:cs="Times New Roman"/>
                <w:i/>
                <w:iCs/>
                <w:noProof/>
                <w:sz w:val="20"/>
                <w:szCs w:val="20"/>
                <w:lang w:val="en-IE"/>
              </w:rPr>
              <w:t>Description and justification of the change</w:t>
            </w:r>
          </w:p>
        </w:tc>
      </w:tr>
      <w:tr w:rsidR="00425C3D" w:rsidRPr="004D3A46" w14:paraId="109DA755" w14:textId="77777777" w:rsidTr="20793250">
        <w:tc>
          <w:tcPr>
            <w:tcW w:w="2235" w:type="dxa"/>
            <w:shd w:val="clear" w:color="auto" w:fill="00B0F0"/>
          </w:tcPr>
          <w:p w14:paraId="7BB1F0D7" w14:textId="77777777" w:rsidR="00425C3D" w:rsidRPr="004D3A46" w:rsidRDefault="00425C3D" w:rsidP="00897330">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DF570C5" w14:textId="77777777" w:rsidR="00425C3D" w:rsidRPr="004D3A46" w:rsidRDefault="00425C3D" w:rsidP="00897330">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A6315A3" w14:textId="77777777" w:rsidR="00425C3D" w:rsidRPr="004D3A46" w:rsidRDefault="00425C3D" w:rsidP="00897330">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Amended version</w:t>
            </w:r>
          </w:p>
        </w:tc>
      </w:tr>
      <w:tr w:rsidR="00425C3D" w:rsidRPr="004D3A46" w14:paraId="26BF0702" w14:textId="77777777" w:rsidTr="20793250">
        <w:tc>
          <w:tcPr>
            <w:tcW w:w="2235" w:type="dxa"/>
          </w:tcPr>
          <w:p w14:paraId="0662AD12" w14:textId="77777777" w:rsidR="00425C3D" w:rsidRPr="004D3A46" w:rsidRDefault="00425C3D" w:rsidP="00897330">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0B2C913" w14:textId="77777777" w:rsidR="00896FDC" w:rsidRPr="004D3A46" w:rsidRDefault="00896FDC" w:rsidP="00896FDC">
            <w:pPr>
              <w:jc w:val="both"/>
              <w:rPr>
                <w:i/>
                <w:noProof/>
                <w:sz w:val="20"/>
                <w:szCs w:val="24"/>
              </w:rPr>
            </w:pPr>
            <w:r w:rsidRPr="004D3A46">
              <w:rPr>
                <w:i/>
                <w:noProof/>
                <w:sz w:val="20"/>
                <w:szCs w:val="24"/>
              </w:rPr>
              <w:t xml:space="preserve">This investment aims at reducing the final energy consumption in the buildings of the state administration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of at least 30 % or a reduction in CO2 emissions of 30 % shall be financed. </w:t>
            </w:r>
          </w:p>
          <w:p w14:paraId="521260D8" w14:textId="77777777" w:rsidR="00896FDC" w:rsidRPr="004D3A46" w:rsidRDefault="00896FDC" w:rsidP="00896FDC">
            <w:pPr>
              <w:tabs>
                <w:tab w:val="left" w:pos="1402"/>
              </w:tabs>
              <w:spacing w:after="300" w:line="280" w:lineRule="exact"/>
              <w:jc w:val="both"/>
              <w:rPr>
                <w:i/>
                <w:noProof/>
                <w:sz w:val="20"/>
              </w:rPr>
            </w:pPr>
            <w:r w:rsidRPr="004D3A46">
              <w:rPr>
                <w:i/>
                <w:noProof/>
                <w:sz w:val="20"/>
              </w:rPr>
              <w:t xml:space="preserve">The investment aims at supporting of up to 100 building renovation projects including insulation of a buildings, </w:t>
            </w:r>
            <w:r w:rsidRPr="004D3A46">
              <w:rPr>
                <w:rFonts w:eastAsia="Segoe UI"/>
                <w:i/>
                <w:noProof/>
                <w:color w:val="000000" w:themeColor="text1"/>
                <w:sz w:val="20"/>
                <w:lang w:val="en"/>
              </w:rPr>
              <w:t xml:space="preserve">exchange and renovation of </w:t>
            </w:r>
            <w:r w:rsidRPr="004D3A46">
              <w:rPr>
                <w:i/>
                <w:noProof/>
                <w:sz w:val="20"/>
              </w:rPr>
              <w:t>windows and doors, installation of systems based on renewable energy sources or implementation of improvements of the indoor environment measures having a demonstrable impact on the energy performance of the buildings.</w:t>
            </w:r>
          </w:p>
          <w:p w14:paraId="3DBCB011" w14:textId="77777777" w:rsidR="00425C3D" w:rsidRPr="004D3A46" w:rsidRDefault="00896FDC" w:rsidP="00896FDC">
            <w:pPr>
              <w:tabs>
                <w:tab w:val="left" w:pos="1402"/>
              </w:tabs>
              <w:spacing w:after="300" w:line="280" w:lineRule="exact"/>
              <w:jc w:val="both"/>
              <w:rPr>
                <w:rFonts w:eastAsia="Segoe UI" w:cs="Segoe UI"/>
                <w:i/>
                <w:noProof/>
                <w:color w:val="000000"/>
                <w:sz w:val="20"/>
                <w:lang w:val="en" w:eastAsia="cs-CZ" w:bidi="cs-CZ"/>
              </w:rPr>
            </w:pPr>
            <w:r w:rsidRPr="004D3A46">
              <w:rPr>
                <w:i/>
                <w:noProof/>
                <w:sz w:val="20"/>
              </w:rPr>
              <w:t>75 % of projects shall be contracted by 31 December 2023.</w:t>
            </w:r>
          </w:p>
        </w:tc>
        <w:tc>
          <w:tcPr>
            <w:tcW w:w="3747" w:type="dxa"/>
          </w:tcPr>
          <w:p w14:paraId="4740FD7B" w14:textId="77777777" w:rsidR="00896FDC" w:rsidRPr="004D3A46" w:rsidRDefault="00896FDC" w:rsidP="00896FDC">
            <w:pPr>
              <w:jc w:val="both"/>
              <w:rPr>
                <w:i/>
                <w:noProof/>
                <w:sz w:val="20"/>
                <w:szCs w:val="24"/>
              </w:rPr>
            </w:pPr>
            <w:r w:rsidRPr="004D3A46">
              <w:rPr>
                <w:i/>
                <w:noProof/>
                <w:sz w:val="20"/>
                <w:szCs w:val="24"/>
              </w:rPr>
              <w:t xml:space="preserve">This investment aims at reducing the final energy consumption in the buildings of the state administration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of at least 30 % or a reduction in CO2 emissions of 30 % shall be financed. </w:t>
            </w:r>
          </w:p>
          <w:p w14:paraId="38D401C3" w14:textId="77777777" w:rsidR="00896FDC" w:rsidRPr="004D3A46" w:rsidRDefault="00896FDC" w:rsidP="00896FDC">
            <w:pPr>
              <w:tabs>
                <w:tab w:val="left" w:pos="1402"/>
              </w:tabs>
              <w:spacing w:after="300" w:line="280" w:lineRule="exact"/>
              <w:jc w:val="both"/>
              <w:rPr>
                <w:rFonts w:eastAsia="Segoe UI" w:cs="Segoe UI"/>
                <w:i/>
                <w:noProof/>
                <w:color w:val="000000"/>
                <w:sz w:val="20"/>
                <w:lang w:val="en" w:eastAsia="cs-CZ" w:bidi="cs-CZ"/>
              </w:rPr>
            </w:pPr>
            <w:r w:rsidRPr="004D3A46">
              <w:rPr>
                <w:i/>
                <w:noProof/>
                <w:sz w:val="20"/>
              </w:rPr>
              <w:t xml:space="preserve">The investment aims at supporting of up to </w:t>
            </w:r>
            <w:r w:rsidR="00251D03" w:rsidRPr="004D3A46">
              <w:rPr>
                <w:i/>
                <w:noProof/>
                <w:sz w:val="20"/>
              </w:rPr>
              <w:t>100</w:t>
            </w:r>
            <w:r w:rsidRPr="004D3A46">
              <w:rPr>
                <w:i/>
                <w:noProof/>
                <w:sz w:val="20"/>
              </w:rPr>
              <w:t xml:space="preserve"> building renovation projects including insulation of a buildings, </w:t>
            </w:r>
            <w:r w:rsidRPr="004D3A46">
              <w:rPr>
                <w:rFonts w:eastAsia="Segoe UI"/>
                <w:i/>
                <w:noProof/>
                <w:color w:val="000000" w:themeColor="text1"/>
                <w:sz w:val="20"/>
                <w:lang w:val="en"/>
              </w:rPr>
              <w:t xml:space="preserve">exchange and renovation of </w:t>
            </w:r>
            <w:r w:rsidRPr="004D3A46">
              <w:rPr>
                <w:i/>
                <w:noProof/>
                <w:sz w:val="20"/>
              </w:rPr>
              <w:t>windows and doors, installation of systems based on renewable energy sources or implementation of improvements of the indoor environment measures having a demonstrable impact on the energy performance of the buildings.</w:t>
            </w:r>
          </w:p>
          <w:p w14:paraId="1639477D" w14:textId="77777777" w:rsidR="00425C3D" w:rsidRPr="004D3A46" w:rsidRDefault="00896FDC" w:rsidP="00896FDC">
            <w:pPr>
              <w:jc w:val="both"/>
              <w:rPr>
                <w:rFonts w:ascii="Times New Roman" w:eastAsia="Calibri" w:hAnsi="Times New Roman" w:cs="Times New Roman"/>
                <w:noProof/>
                <w:sz w:val="20"/>
                <w:szCs w:val="20"/>
                <w:lang w:val="en-IE"/>
              </w:rPr>
            </w:pPr>
            <w:r w:rsidRPr="004D3A46">
              <w:rPr>
                <w:i/>
                <w:noProof/>
                <w:sz w:val="20"/>
              </w:rPr>
              <w:t>75 % of projects shall be contracted by 31 December 2024.</w:t>
            </w:r>
          </w:p>
        </w:tc>
      </w:tr>
      <w:tr w:rsidR="00425C3D" w:rsidRPr="004D3A46" w14:paraId="46A2C889" w14:textId="77777777" w:rsidTr="20793250">
        <w:tc>
          <w:tcPr>
            <w:tcW w:w="2235" w:type="dxa"/>
          </w:tcPr>
          <w:p w14:paraId="47B96840" w14:textId="77777777" w:rsidR="00425C3D" w:rsidRPr="004D3A46" w:rsidRDefault="00425C3D" w:rsidP="00897330">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Milestones and targets </w:t>
            </w:r>
          </w:p>
        </w:tc>
        <w:tc>
          <w:tcPr>
            <w:tcW w:w="3260" w:type="dxa"/>
          </w:tcPr>
          <w:p w14:paraId="4C66B2A5" w14:textId="77777777" w:rsidR="00425C3D" w:rsidRPr="004D3A46" w:rsidRDefault="00896FDC" w:rsidP="00897330">
            <w:pPr>
              <w:jc w:val="both"/>
              <w:rPr>
                <w:rFonts w:eastAsia="Calibri" w:cstheme="minorHAnsi"/>
                <w:i/>
                <w:noProof/>
                <w:sz w:val="20"/>
                <w:szCs w:val="20"/>
                <w:lang w:val="en-US"/>
              </w:rPr>
            </w:pPr>
            <w:r w:rsidRPr="004D3A46">
              <w:rPr>
                <w:rFonts w:eastAsia="Calibri" w:cstheme="minorHAnsi"/>
                <w:i/>
                <w:noProof/>
                <w:sz w:val="20"/>
                <w:szCs w:val="20"/>
                <w:lang w:val="en-US"/>
              </w:rPr>
              <w:t xml:space="preserve">In total at least 100 building renovation projects shall be supported under this measure. The target shall be achieved upon contracting 75% of them. Projects shall be submitted to the MIT within continuous call and evaluated based </w:t>
            </w:r>
            <w:r w:rsidRPr="004D3A46">
              <w:rPr>
                <w:rFonts w:eastAsia="Calibri" w:cstheme="minorHAnsi"/>
                <w:i/>
                <w:noProof/>
                <w:sz w:val="20"/>
                <w:szCs w:val="20"/>
                <w:lang w:val="en-US"/>
              </w:rPr>
              <w:lastRenderedPageBreak/>
              <w:t xml:space="preserve">on the established criteria, following a transparent selection procedure. </w:t>
            </w:r>
            <w:r w:rsidRPr="004D3A46">
              <w:rPr>
                <w:rFonts w:eastAsia="Calibri" w:cstheme="minorHAnsi"/>
                <w:i/>
                <w:noProof/>
                <w:sz w:val="20"/>
                <w:szCs w:val="20"/>
                <w:lang w:val="en-US"/>
              </w:rPr>
              <w:br/>
              <w:t>Only projects that achieve, on average, a reduction in primary energy consumption of at least 30 % or a reduction in CO2 emissions of 30 % shall be chosen for implementation. The 75 % target refers to projects with a grant agreement signed. Investments into boiler replacements including those with natural gas as an energy source shall be limited to maximum 20 % of the overall allocation.</w:t>
            </w:r>
          </w:p>
          <w:p w14:paraId="64224F34" w14:textId="77777777" w:rsidR="00896FDC" w:rsidRPr="004D3A46" w:rsidRDefault="00896FDC" w:rsidP="00897330">
            <w:pPr>
              <w:jc w:val="both"/>
              <w:rPr>
                <w:rFonts w:eastAsia="Calibri" w:cstheme="minorHAnsi"/>
                <w:i/>
                <w:noProof/>
                <w:sz w:val="20"/>
                <w:szCs w:val="20"/>
                <w:lang w:val="en-US"/>
              </w:rPr>
            </w:pPr>
            <w:r w:rsidRPr="004D3A46">
              <w:rPr>
                <w:rFonts w:eastAsia="Calibri" w:cstheme="minorHAnsi"/>
                <w:i/>
                <w:noProof/>
                <w:sz w:val="20"/>
                <w:szCs w:val="20"/>
                <w:lang w:val="en-US"/>
              </w:rPr>
              <w:t>Timeline for completion: Q4/2023</w:t>
            </w:r>
          </w:p>
        </w:tc>
        <w:tc>
          <w:tcPr>
            <w:tcW w:w="3747" w:type="dxa"/>
          </w:tcPr>
          <w:p w14:paraId="36F11E61" w14:textId="032B63DF" w:rsidR="00896FDC" w:rsidRPr="004D3A46" w:rsidRDefault="69F010B7" w:rsidP="20793250">
            <w:pPr>
              <w:jc w:val="both"/>
              <w:rPr>
                <w:rFonts w:eastAsia="Calibri"/>
                <w:i/>
                <w:iCs/>
                <w:noProof/>
                <w:sz w:val="20"/>
                <w:szCs w:val="20"/>
                <w:lang w:val="en-IE"/>
              </w:rPr>
            </w:pPr>
            <w:r w:rsidRPr="004D3A46">
              <w:rPr>
                <w:rFonts w:eastAsia="Calibri"/>
                <w:i/>
                <w:iCs/>
                <w:noProof/>
                <w:sz w:val="20"/>
                <w:szCs w:val="20"/>
                <w:lang w:val="en-US"/>
              </w:rPr>
              <w:lastRenderedPageBreak/>
              <w:t xml:space="preserve">In total at least 100 building renovation projects shall be supported under this measure. The target shall be achieved upon contracting 75% of them. Projects shall be submitted to the MIT within continuous call and evaluated based on the established criteria, following a transparent selection </w:t>
            </w:r>
            <w:r w:rsidRPr="004D3A46">
              <w:rPr>
                <w:rFonts w:eastAsia="Calibri"/>
                <w:i/>
                <w:iCs/>
                <w:noProof/>
                <w:sz w:val="20"/>
                <w:szCs w:val="20"/>
                <w:lang w:val="en-US"/>
              </w:rPr>
              <w:lastRenderedPageBreak/>
              <w:t xml:space="preserve">procedure. </w:t>
            </w:r>
            <w:r w:rsidR="00896FDC" w:rsidRPr="004D3A46">
              <w:br/>
            </w:r>
            <w:r w:rsidRPr="004D3A46">
              <w:rPr>
                <w:rFonts w:eastAsia="Calibri"/>
                <w:i/>
                <w:iCs/>
                <w:noProof/>
                <w:sz w:val="20"/>
                <w:szCs w:val="20"/>
                <w:lang w:val="en-US"/>
              </w:rPr>
              <w:t>Only projects that achieve, on average, a reduction in primary energy consumption of at least 30 % or a reduction in CO2 emissions of 30 % shall be chosen for implementation. The 75 % target refers to projects with a grant agreement signed. Investments into boiler replacements including those with natural gas as an energy source shall be limited to maximum 20 % of the overall allocation.</w:t>
            </w:r>
            <w:r w:rsidR="00896FDC" w:rsidRPr="004D3A46">
              <w:rPr>
                <w:rFonts w:eastAsia="Calibri"/>
                <w:i/>
                <w:iCs/>
                <w:noProof/>
                <w:sz w:val="20"/>
                <w:szCs w:val="20"/>
                <w:lang w:val="en-US"/>
              </w:rPr>
              <w:t>Timeline for completion: Q4/2024</w:t>
            </w:r>
          </w:p>
        </w:tc>
      </w:tr>
      <w:tr w:rsidR="00425C3D" w:rsidRPr="004D3A46" w14:paraId="5804A88F" w14:textId="77777777" w:rsidTr="20793250">
        <w:tc>
          <w:tcPr>
            <w:tcW w:w="2235" w:type="dxa"/>
          </w:tcPr>
          <w:p w14:paraId="33869212" w14:textId="77777777" w:rsidR="00425C3D" w:rsidRPr="004D3A46" w:rsidRDefault="00425C3D" w:rsidP="00897330">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lastRenderedPageBreak/>
              <w:t>Estimated cost</w:t>
            </w:r>
          </w:p>
        </w:tc>
        <w:tc>
          <w:tcPr>
            <w:tcW w:w="3260" w:type="dxa"/>
          </w:tcPr>
          <w:p w14:paraId="20CAF2C2"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69B04B6F"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425C3D" w:rsidRPr="004D3A46" w14:paraId="3C1BDB8A" w14:textId="77777777" w:rsidTr="20793250">
        <w:tc>
          <w:tcPr>
            <w:tcW w:w="2235" w:type="dxa"/>
          </w:tcPr>
          <w:p w14:paraId="7335E09B" w14:textId="77777777" w:rsidR="00425C3D" w:rsidRPr="004D3A46" w:rsidRDefault="00425C3D" w:rsidP="00897330">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Green and digital tagging</w:t>
            </w:r>
          </w:p>
        </w:tc>
        <w:tc>
          <w:tcPr>
            <w:tcW w:w="3260" w:type="dxa"/>
          </w:tcPr>
          <w:p w14:paraId="57D8E05C"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06EF2FE8"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425C3D" w:rsidRPr="004D3A46" w14:paraId="3D725563" w14:textId="77777777" w:rsidTr="20793250">
        <w:tc>
          <w:tcPr>
            <w:tcW w:w="2235" w:type="dxa"/>
          </w:tcPr>
          <w:p w14:paraId="60682A97" w14:textId="77777777" w:rsidR="00425C3D" w:rsidRPr="004D3A46" w:rsidRDefault="00425C3D" w:rsidP="00897330">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DNSH self-assessment</w:t>
            </w:r>
          </w:p>
        </w:tc>
        <w:tc>
          <w:tcPr>
            <w:tcW w:w="3260" w:type="dxa"/>
          </w:tcPr>
          <w:p w14:paraId="730BE561"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12E4381A" w14:textId="77777777" w:rsidR="00425C3D" w:rsidRPr="004D3A46" w:rsidRDefault="00896FDC" w:rsidP="00897330">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bl>
    <w:p w14:paraId="3461D779" w14:textId="77777777" w:rsidR="00425C3D" w:rsidRPr="004D3A46" w:rsidRDefault="00425C3D" w:rsidP="00605759"/>
    <w:p w14:paraId="38F2CA50" w14:textId="77777777" w:rsidR="00FB7874" w:rsidRPr="004D3A46" w:rsidRDefault="00896FDC" w:rsidP="00896FDC">
      <w:pPr>
        <w:jc w:val="both"/>
      </w:pPr>
      <w:r w:rsidRPr="004D3A46">
        <w:rPr>
          <w:rFonts w:cstheme="minorHAnsi"/>
          <w:i/>
          <w:iCs/>
          <w:sz w:val="20"/>
          <w:szCs w:val="20"/>
          <w:lang w:val="en-US"/>
        </w:rPr>
        <w:t>A sharp increase in investment costs and the resulting low interest of state institutions to apply for financial aid from 2.2. affects the achievement of target 103, which is supporting of 100 buildings and setting a minimum of 75% supported projects in Q1 2023. The results of the Elena grant preparatory projects show a possible number of projects in 2.2. Schedule should be moved 75% in 4Q 2024.</w:t>
      </w:r>
    </w:p>
    <w:p w14:paraId="3CF2D8B6" w14:textId="77777777" w:rsidR="00FB7874" w:rsidRPr="004D3A46" w:rsidRDefault="00FB7874" w:rsidP="00605759"/>
    <w:p w14:paraId="0FB78278" w14:textId="77777777" w:rsidR="00FB7874" w:rsidRPr="004D3A46" w:rsidRDefault="00FB7874" w:rsidP="00605759"/>
    <w:tbl>
      <w:tblPr>
        <w:tblStyle w:val="Mkatabulky"/>
        <w:tblW w:w="0" w:type="auto"/>
        <w:tblLook w:val="04A0" w:firstRow="1" w:lastRow="0" w:firstColumn="1" w:lastColumn="0" w:noHBand="0" w:noVBand="1"/>
      </w:tblPr>
      <w:tblGrid>
        <w:gridCol w:w="3227"/>
        <w:gridCol w:w="5939"/>
      </w:tblGrid>
      <w:tr w:rsidR="00FB7874" w:rsidRPr="004D3A46" w14:paraId="3E60E9DF" w14:textId="77777777" w:rsidTr="53E0C48C">
        <w:tc>
          <w:tcPr>
            <w:tcW w:w="9166" w:type="dxa"/>
            <w:gridSpan w:val="2"/>
            <w:shd w:val="clear" w:color="auto" w:fill="1F3864"/>
          </w:tcPr>
          <w:p w14:paraId="4F97C466" w14:textId="77777777" w:rsidR="00FB7874" w:rsidRPr="004D3A46" w:rsidRDefault="00C45B77" w:rsidP="00DB2E54">
            <w:pPr>
              <w:jc w:val="center"/>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Component 2.2: REDUCING ENERGY CONSUMPTION IN THE PUBLIC SECTOR</w:t>
            </w:r>
          </w:p>
        </w:tc>
      </w:tr>
      <w:tr w:rsidR="00FB7874" w:rsidRPr="004D3A46" w14:paraId="00035B68" w14:textId="77777777" w:rsidTr="53E0C48C">
        <w:tc>
          <w:tcPr>
            <w:tcW w:w="3227" w:type="dxa"/>
            <w:shd w:val="clear" w:color="auto" w:fill="00B0F0"/>
          </w:tcPr>
          <w:p w14:paraId="68A80667" w14:textId="77777777" w:rsidR="00FB7874" w:rsidRPr="004D3A46" w:rsidRDefault="00FB7874"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5204134" w14:textId="77777777" w:rsidR="00FB7874" w:rsidRPr="004D3A46" w:rsidRDefault="00317867"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Investment 1</w:t>
            </w:r>
          </w:p>
        </w:tc>
      </w:tr>
      <w:tr w:rsidR="00FB7874" w:rsidRPr="004D3A46" w14:paraId="702D3195" w14:textId="77777777" w:rsidTr="53E0C48C">
        <w:tc>
          <w:tcPr>
            <w:tcW w:w="3227" w:type="dxa"/>
            <w:shd w:val="clear" w:color="auto" w:fill="00B0F0"/>
          </w:tcPr>
          <w:p w14:paraId="6FD886DF" w14:textId="77777777" w:rsidR="00FB7874" w:rsidRPr="004D3A46" w:rsidRDefault="00FB7874"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1AE5B02D" w14:textId="1ECA9442" w:rsidR="00FB7874" w:rsidRPr="004D3A46" w:rsidRDefault="00317867" w:rsidP="00DB2E54">
            <w:pPr>
              <w:jc w:val="both"/>
              <w:rPr>
                <w:rFonts w:ascii="Times New Roman" w:eastAsia="Calibri" w:hAnsi="Times New Roman" w:cs="Times New Roman"/>
                <w:b/>
                <w:bCs/>
                <w:noProof/>
                <w:color w:val="FFFFFF"/>
                <w:sz w:val="20"/>
                <w:szCs w:val="20"/>
                <w:u w:val="single"/>
                <w:lang w:val="en-IE"/>
              </w:rPr>
            </w:pPr>
            <w:r w:rsidRPr="004D3A46">
              <w:rPr>
                <w:rFonts w:ascii="Times New Roman" w:eastAsia="Calibri" w:hAnsi="Times New Roman" w:cs="Times New Roman"/>
                <w:b/>
                <w:bCs/>
                <w:noProof/>
                <w:color w:val="FFFFFF" w:themeColor="background1"/>
                <w:sz w:val="20"/>
                <w:szCs w:val="20"/>
                <w:u w:val="single"/>
                <w:lang w:val="en-IE"/>
              </w:rPr>
              <w:t>Improving the energy performance of state buildings</w:t>
            </w:r>
          </w:p>
        </w:tc>
      </w:tr>
      <w:tr w:rsidR="00FB7874" w:rsidRPr="004D3A46" w14:paraId="05A21820" w14:textId="77777777" w:rsidTr="53E0C48C">
        <w:tc>
          <w:tcPr>
            <w:tcW w:w="3227" w:type="dxa"/>
            <w:shd w:val="clear" w:color="auto" w:fill="BDD6EE"/>
          </w:tcPr>
          <w:p w14:paraId="084A4CB2" w14:textId="77777777" w:rsidR="00FB7874" w:rsidRPr="004D3A46" w:rsidRDefault="00FB7874"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Type of change compared to CID</w:t>
            </w:r>
          </w:p>
        </w:tc>
        <w:tc>
          <w:tcPr>
            <w:tcW w:w="5939" w:type="dxa"/>
          </w:tcPr>
          <w:p w14:paraId="71401300" w14:textId="77777777" w:rsidR="00FB7874" w:rsidRPr="004D3A46" w:rsidRDefault="00FB7874"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noProof/>
                <w:sz w:val="20"/>
                <w:szCs w:val="20"/>
                <w:lang w:val="en-US"/>
              </w:rPr>
              <w:t>[modified]</w:t>
            </w:r>
          </w:p>
        </w:tc>
      </w:tr>
      <w:tr w:rsidR="00FB7874" w:rsidRPr="004D3A46" w14:paraId="32AC5403" w14:textId="77777777" w:rsidTr="53E0C48C">
        <w:tc>
          <w:tcPr>
            <w:tcW w:w="3227" w:type="dxa"/>
            <w:shd w:val="clear" w:color="auto" w:fill="BDD6EE"/>
          </w:tcPr>
          <w:p w14:paraId="494082A6" w14:textId="77777777" w:rsidR="00FB7874" w:rsidRPr="004D3A46" w:rsidRDefault="00FB7874"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Legal base of the change (select at least one)</w:t>
            </w:r>
          </w:p>
        </w:tc>
        <w:tc>
          <w:tcPr>
            <w:tcW w:w="5939" w:type="dxa"/>
          </w:tcPr>
          <w:p w14:paraId="7598DA0C" w14:textId="77777777" w:rsidR="00FB7874"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4117476"/>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Article 14(2) – loan request</w:t>
            </w:r>
          </w:p>
          <w:p w14:paraId="21D628DD" w14:textId="389D221F" w:rsidR="00FB7874" w:rsidRPr="004D3A46" w:rsidRDefault="00097F3D" w:rsidP="53E0C48C">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8507388"/>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Article 18(2) – update of the maximum financial contribution</w:t>
            </w:r>
            <w:sdt>
              <w:sdtPr>
                <w:rPr>
                  <w:rFonts w:ascii="Times New Roman" w:eastAsia="Calibri" w:hAnsi="Times New Roman" w:cs="Times New Roman"/>
                  <w:noProof/>
                  <w:color w:val="2B579A"/>
                  <w:sz w:val="20"/>
                  <w:szCs w:val="20"/>
                  <w:shd w:val="clear" w:color="auto" w:fill="E6E6E6"/>
                  <w:lang w:val="en-US"/>
                </w:rPr>
                <w:id w:val="-2058238214"/>
                <w:placeholder>
                  <w:docPart w:val="0C8610FC5E254D1E9C8ACCAAEB668E5C"/>
                </w:placeholder>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w:t>
            </w:r>
          </w:p>
          <w:p w14:paraId="1A90F895" w14:textId="0849C159" w:rsidR="00FB7874" w:rsidRPr="004D3A46" w:rsidRDefault="00097F3D" w:rsidP="53E0C48C">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lang w:val="en-US"/>
                </w:rPr>
                <w:id w:val="1004374499"/>
                <w:placeholder>
                  <w:docPart w:val="3414F3CFC9134070AFEFA09C99A5C75B"/>
                </w:placeholder>
                <w14:checkbox>
                  <w14:checked w14:val="0"/>
                  <w14:checkedState w14:val="2612" w14:font="MS Gothic"/>
                  <w14:uncheckedState w14:val="2610" w14:font="MS Gothic"/>
                </w14:checkbox>
              </w:sdtPr>
              <w:sdtEndPr/>
              <w:sdtContent>
                <w:r w:rsidR="4F9FBC62" w:rsidRPr="004D3A46">
                  <w:rPr>
                    <w:rFonts w:ascii="MS Gothic" w:eastAsia="MS Gothic" w:hAnsi="MS Gothic" w:cs="Times New Roman"/>
                    <w:noProof/>
                    <w:color w:val="2B579A"/>
                    <w:sz w:val="20"/>
                    <w:szCs w:val="20"/>
                    <w:lang w:val="en-US"/>
                  </w:rPr>
                  <w:t>☒</w:t>
                </w:r>
              </w:sdtContent>
            </w:sdt>
            <w:r w:rsidR="4F9FBC62" w:rsidRPr="004D3A46">
              <w:rPr>
                <w:rFonts w:ascii="Times New Roman" w:eastAsia="Calibri" w:hAnsi="Times New Roman" w:cs="Times New Roman"/>
                <w:noProof/>
                <w:sz w:val="20"/>
                <w:szCs w:val="20"/>
                <w:lang w:val="en-US"/>
              </w:rPr>
              <w:t xml:space="preserve"> </w:t>
            </w:r>
            <w:r w:rsidR="00FB7874" w:rsidRPr="004D3A46">
              <w:rPr>
                <w:rFonts w:ascii="Times New Roman" w:eastAsia="Calibri" w:hAnsi="Times New Roman" w:cs="Times New Roman"/>
                <w:noProof/>
                <w:sz w:val="20"/>
                <w:szCs w:val="20"/>
                <w:lang w:val="en-US"/>
              </w:rPr>
              <w:t>Article 21 – amendment due to objective circumstances</w:t>
            </w:r>
          </w:p>
          <w:p w14:paraId="60CE0D80" w14:textId="77777777" w:rsidR="00FB7874" w:rsidRPr="004D3A46" w:rsidRDefault="00097F3D" w:rsidP="00DB2E5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48545494"/>
                <w:placeholder>
                  <w:docPart w:val="0C8610FC5E254D1E9C8ACCAAEB668E5C"/>
                </w:placeholder>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fr-BE"/>
                  </w:rPr>
                  <w:t>☐</w:t>
                </w:r>
              </w:sdtContent>
            </w:sdt>
            <w:r w:rsidR="00FB7874" w:rsidRPr="004D3A46">
              <w:rPr>
                <w:rFonts w:ascii="Times New Roman" w:eastAsia="Calibri" w:hAnsi="Times New Roman" w:cs="Times New Roman"/>
                <w:noProof/>
                <w:sz w:val="20"/>
                <w:szCs w:val="20"/>
                <w:lang w:val="fr-BE"/>
              </w:rPr>
              <w:t xml:space="preserve"> Article 21a – REPowerEU non-repayable financial support (ETS revenue)</w:t>
            </w:r>
          </w:p>
          <w:p w14:paraId="37E02FE1" w14:textId="77777777" w:rsidR="00FB7874" w:rsidRPr="004D3A46" w:rsidRDefault="00097F3D" w:rsidP="00DB2E5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539033500"/>
                <w:placeholder>
                  <w:docPart w:val="0C8610FC5E254D1E9C8ACCAAEB668E5C"/>
                </w:placeholder>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IE"/>
                  </w:rPr>
                  <w:t>☐</w:t>
                </w:r>
              </w:sdtContent>
            </w:sdt>
            <w:r w:rsidR="00FB7874" w:rsidRPr="004D3A46">
              <w:rPr>
                <w:rFonts w:ascii="Times New Roman" w:eastAsia="Calibri" w:hAnsi="Times New Roman" w:cs="Times New Roman"/>
                <w:noProof/>
                <w:sz w:val="20"/>
                <w:szCs w:val="20"/>
                <w:lang w:val="en-IE"/>
              </w:rPr>
              <w:t xml:space="preserve"> Article 21b (2) – BAR transfers</w:t>
            </w:r>
          </w:p>
          <w:p w14:paraId="5EDD1C86" w14:textId="77777777" w:rsidR="00FB7874" w:rsidRPr="004D3A46" w:rsidRDefault="00FB7874" w:rsidP="00DB2E54">
            <w:pPr>
              <w:jc w:val="both"/>
              <w:rPr>
                <w:rFonts w:ascii="Times New Roman" w:eastAsia="Calibri" w:hAnsi="Times New Roman" w:cs="Times New Roman"/>
                <w:noProof/>
                <w:sz w:val="20"/>
                <w:szCs w:val="20"/>
                <w:lang w:val="en-US"/>
              </w:rPr>
            </w:pPr>
            <w:r w:rsidRPr="004D3A46">
              <w:rPr>
                <w:rFonts w:ascii="Segoe UI Symbol" w:eastAsia="MS Gothic" w:hAnsi="Segoe UI Symbol" w:cs="Segoe UI Symbol"/>
                <w:noProof/>
                <w:sz w:val="20"/>
                <w:szCs w:val="20"/>
                <w:lang w:val="en-US"/>
              </w:rPr>
              <w:t>☐</w:t>
            </w:r>
            <w:r w:rsidRPr="004D3A46">
              <w:rPr>
                <w:rFonts w:ascii="Times New Roman" w:eastAsia="Calibri" w:hAnsi="Times New Roman" w:cs="Times New Roman"/>
                <w:noProof/>
                <w:sz w:val="20"/>
                <w:szCs w:val="20"/>
                <w:lang w:val="en-US"/>
              </w:rPr>
              <w:t xml:space="preserve"> None of the above, correction of clerical error</w:t>
            </w:r>
          </w:p>
          <w:p w14:paraId="1FC39945" w14:textId="77777777" w:rsidR="00FB7874" w:rsidRPr="004D3A46" w:rsidRDefault="00FB7874" w:rsidP="00DB2E54">
            <w:pPr>
              <w:jc w:val="both"/>
              <w:rPr>
                <w:rFonts w:ascii="Times New Roman" w:eastAsia="Calibri" w:hAnsi="Times New Roman" w:cs="Times New Roman"/>
                <w:noProof/>
                <w:sz w:val="20"/>
                <w:szCs w:val="20"/>
                <w:lang w:val="en-IE"/>
              </w:rPr>
            </w:pPr>
          </w:p>
        </w:tc>
      </w:tr>
      <w:tr w:rsidR="00FB7874" w:rsidRPr="004D3A46" w14:paraId="6B51696A" w14:textId="77777777" w:rsidTr="53E0C48C">
        <w:tc>
          <w:tcPr>
            <w:tcW w:w="3227" w:type="dxa"/>
            <w:shd w:val="clear" w:color="auto" w:fill="BDD6EE"/>
          </w:tcPr>
          <w:p w14:paraId="2445FC61" w14:textId="77777777" w:rsidR="00FB7874" w:rsidRPr="004D3A46" w:rsidRDefault="00FB7874"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Elements modified (only for modified measures)</w:t>
            </w:r>
          </w:p>
          <w:p w14:paraId="0562CB0E" w14:textId="77777777" w:rsidR="00FB7874" w:rsidRPr="004D3A46" w:rsidRDefault="00FB7874" w:rsidP="00DB2E54">
            <w:pPr>
              <w:jc w:val="both"/>
              <w:rPr>
                <w:rFonts w:ascii="Times New Roman" w:eastAsia="Calibri" w:hAnsi="Times New Roman" w:cs="Times New Roman"/>
                <w:b/>
                <w:bCs/>
                <w:noProof/>
                <w:sz w:val="24"/>
                <w:szCs w:val="24"/>
                <w:u w:val="single"/>
                <w:lang w:val="en-IE"/>
              </w:rPr>
            </w:pPr>
          </w:p>
        </w:tc>
        <w:tc>
          <w:tcPr>
            <w:tcW w:w="5939" w:type="dxa"/>
          </w:tcPr>
          <w:p w14:paraId="7B26455B" w14:textId="77777777" w:rsidR="00FB7874"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936671"/>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Component / Measure description</w:t>
            </w:r>
          </w:p>
          <w:p w14:paraId="470AA5A1" w14:textId="77C8DEF3" w:rsidR="00FB7874"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65219915"/>
                <w:placeholder>
                  <w:docPart w:val="0C8610FC5E254D1E9C8ACCAAEB668E5C"/>
                </w:placeholder>
                <w14:checkbox>
                  <w14:checked w14:val="1"/>
                  <w14:checkedState w14:val="2612" w14:font="MS Gothic"/>
                  <w14:uncheckedState w14:val="2610" w14:font="MS Gothic"/>
                </w14:checkbox>
              </w:sdtPr>
              <w:sdtEndPr/>
              <w:sdtContent>
                <w:r w:rsidR="00A6566B" w:rsidRPr="004D3A46">
                  <w:rPr>
                    <w:rFonts w:ascii="MS Gothic" w:eastAsia="MS Gothic" w:hAnsi="MS Gothic" w:cs="Times New Roman" w:hint="eastAsia"/>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Milestones and targets</w:t>
            </w:r>
          </w:p>
          <w:p w14:paraId="50AA546D" w14:textId="77777777" w:rsidR="00FB7874"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26416877"/>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Estimated cost</w:t>
            </w:r>
          </w:p>
          <w:p w14:paraId="6549CE39" w14:textId="77777777" w:rsidR="00FB7874"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02139200"/>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7ED26B" w14:textId="77777777" w:rsidR="00FB7874" w:rsidRPr="004D3A46" w:rsidRDefault="00097F3D" w:rsidP="00DB2E5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80251488"/>
                <w14:checkbox>
                  <w14:checked w14:val="0"/>
                  <w14:checkedState w14:val="2612" w14:font="MS Gothic"/>
                  <w14:uncheckedState w14:val="2610" w14:font="MS Gothic"/>
                </w14:checkbox>
              </w:sdtPr>
              <w:sdtEndPr/>
              <w:sdtContent>
                <w:r w:rsidR="00FB7874" w:rsidRPr="004D3A46">
                  <w:rPr>
                    <w:rFonts w:ascii="Segoe UI Symbol" w:eastAsia="Calibri" w:hAnsi="Segoe UI Symbol" w:cs="Segoe UI Symbol"/>
                    <w:noProof/>
                    <w:color w:val="2B579A"/>
                    <w:sz w:val="20"/>
                    <w:szCs w:val="20"/>
                    <w:shd w:val="clear" w:color="auto" w:fill="E6E6E6"/>
                    <w:lang w:val="en-US"/>
                  </w:rPr>
                  <w:t>☐</w:t>
                </w:r>
              </w:sdtContent>
            </w:sdt>
            <w:r w:rsidR="00FB7874" w:rsidRPr="004D3A46">
              <w:rPr>
                <w:rFonts w:ascii="Times New Roman" w:eastAsia="Calibri" w:hAnsi="Times New Roman" w:cs="Times New Roman"/>
                <w:noProof/>
                <w:sz w:val="20"/>
                <w:szCs w:val="20"/>
                <w:lang w:val="en-US"/>
              </w:rPr>
              <w:t xml:space="preserve"> DNSH self-assessment</w:t>
            </w:r>
          </w:p>
        </w:tc>
      </w:tr>
    </w:tbl>
    <w:p w14:paraId="34CE0A41" w14:textId="77777777" w:rsidR="00FB7874" w:rsidRPr="004D3A46" w:rsidRDefault="00FB7874" w:rsidP="00FB7874"/>
    <w:tbl>
      <w:tblPr>
        <w:tblStyle w:val="Mkatabulky"/>
        <w:tblW w:w="0" w:type="auto"/>
        <w:tblLook w:val="04A0" w:firstRow="1" w:lastRow="0" w:firstColumn="1" w:lastColumn="0" w:noHBand="0" w:noVBand="1"/>
      </w:tblPr>
      <w:tblGrid>
        <w:gridCol w:w="2235"/>
        <w:gridCol w:w="3260"/>
        <w:gridCol w:w="3747"/>
      </w:tblGrid>
      <w:tr w:rsidR="00FB7874" w:rsidRPr="004D3A46" w14:paraId="7E151FAB" w14:textId="77777777" w:rsidTr="00DB2E54">
        <w:tc>
          <w:tcPr>
            <w:tcW w:w="9242" w:type="dxa"/>
            <w:gridSpan w:val="3"/>
            <w:shd w:val="clear" w:color="auto" w:fill="1F3864"/>
          </w:tcPr>
          <w:p w14:paraId="77E894A4" w14:textId="77777777" w:rsidR="00FB7874" w:rsidRPr="004D3A46" w:rsidRDefault="0093487C" w:rsidP="00DB2E54">
            <w:pPr>
              <w:jc w:val="center"/>
              <w:rPr>
                <w:rFonts w:ascii="Times New Roman" w:eastAsia="Calibri" w:hAnsi="Times New Roman" w:cs="Times New Roman"/>
                <w:b/>
                <w:bCs/>
                <w:noProof/>
                <w:sz w:val="20"/>
                <w:szCs w:val="20"/>
                <w:lang w:val="en-IE"/>
              </w:rPr>
            </w:pPr>
            <w:r w:rsidRPr="004D3A46">
              <w:rPr>
                <w:rFonts w:ascii="Times New Roman" w:eastAsia="Calibri" w:hAnsi="Times New Roman" w:cs="Times New Roman"/>
                <w:b/>
                <w:bCs/>
                <w:noProof/>
                <w:sz w:val="20"/>
                <w:szCs w:val="20"/>
                <w:lang w:val="en-IE"/>
              </w:rPr>
              <w:t>Investment 1: Improving the energy performance of state buildings</w:t>
            </w:r>
            <w:r w:rsidR="00896FDC" w:rsidRPr="004D3A46">
              <w:rPr>
                <w:rFonts w:ascii="Times New Roman" w:eastAsia="Calibri" w:hAnsi="Times New Roman" w:cs="Times New Roman"/>
                <w:b/>
                <w:bCs/>
                <w:noProof/>
                <w:sz w:val="20"/>
                <w:szCs w:val="20"/>
                <w:lang w:val="en-IE"/>
              </w:rPr>
              <w:t xml:space="preserve"> – Target 104</w:t>
            </w:r>
          </w:p>
        </w:tc>
      </w:tr>
      <w:tr w:rsidR="00FB7874" w:rsidRPr="004D3A46" w14:paraId="0483441C" w14:textId="77777777" w:rsidTr="00DB2E54">
        <w:tc>
          <w:tcPr>
            <w:tcW w:w="9242" w:type="dxa"/>
            <w:gridSpan w:val="3"/>
            <w:shd w:val="clear" w:color="auto" w:fill="auto"/>
          </w:tcPr>
          <w:p w14:paraId="22DC9105" w14:textId="77777777" w:rsidR="00FB7874" w:rsidRPr="004D3A46" w:rsidRDefault="00FB7874" w:rsidP="00DB2E54">
            <w:pPr>
              <w:jc w:val="both"/>
              <w:rPr>
                <w:rFonts w:ascii="Times New Roman" w:eastAsia="Calibri" w:hAnsi="Times New Roman" w:cs="Times New Roman"/>
                <w:i/>
                <w:iCs/>
                <w:noProof/>
                <w:sz w:val="20"/>
                <w:szCs w:val="20"/>
                <w:lang w:val="en-IE"/>
              </w:rPr>
            </w:pPr>
            <w:r w:rsidRPr="004D3A46">
              <w:rPr>
                <w:rFonts w:ascii="Times New Roman" w:eastAsia="Calibri" w:hAnsi="Times New Roman" w:cs="Times New Roman"/>
                <w:i/>
                <w:iCs/>
                <w:noProof/>
                <w:sz w:val="20"/>
                <w:szCs w:val="20"/>
                <w:lang w:val="en-IE"/>
              </w:rPr>
              <w:t>Description and justification of the change</w:t>
            </w:r>
          </w:p>
        </w:tc>
      </w:tr>
      <w:tr w:rsidR="00FB7874" w:rsidRPr="004D3A46" w14:paraId="21F11875" w14:textId="77777777" w:rsidTr="00DB2E54">
        <w:tc>
          <w:tcPr>
            <w:tcW w:w="2235" w:type="dxa"/>
            <w:shd w:val="clear" w:color="auto" w:fill="00B0F0"/>
          </w:tcPr>
          <w:p w14:paraId="0AF97473" w14:textId="77777777" w:rsidR="00FB7874" w:rsidRPr="004D3A46" w:rsidRDefault="00FB7874"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AE37CD7" w14:textId="77777777" w:rsidR="00FB7874" w:rsidRPr="004D3A46" w:rsidRDefault="00FB7874"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E7D49E" w14:textId="77777777" w:rsidR="00FB7874" w:rsidRPr="004D3A46" w:rsidRDefault="00FB7874"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Amended version</w:t>
            </w:r>
          </w:p>
        </w:tc>
      </w:tr>
      <w:tr w:rsidR="00896FDC" w:rsidRPr="004D3A46" w14:paraId="7A3DBBDE" w14:textId="77777777" w:rsidTr="00DB2E54">
        <w:tc>
          <w:tcPr>
            <w:tcW w:w="2235" w:type="dxa"/>
          </w:tcPr>
          <w:p w14:paraId="1F99A39C"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84DD915" w14:textId="77777777" w:rsidR="00896FDC" w:rsidRPr="004D3A46" w:rsidRDefault="00896FDC" w:rsidP="00896FDC">
            <w:pPr>
              <w:jc w:val="both"/>
              <w:rPr>
                <w:i/>
                <w:noProof/>
                <w:sz w:val="20"/>
                <w:szCs w:val="24"/>
              </w:rPr>
            </w:pPr>
            <w:r w:rsidRPr="004D3A46">
              <w:rPr>
                <w:i/>
                <w:noProof/>
                <w:sz w:val="20"/>
                <w:szCs w:val="24"/>
              </w:rPr>
              <w:t xml:space="preserve">This investment aims at reducing the final energy consumption in the buildings of the state administration that do not meet the minimum energy </w:t>
            </w:r>
            <w:r w:rsidRPr="004D3A46">
              <w:rPr>
                <w:i/>
                <w:noProof/>
                <w:sz w:val="20"/>
                <w:szCs w:val="24"/>
              </w:rPr>
              <w:lastRenderedPageBreak/>
              <w:t xml:space="preserve">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of at least 30 % or a reduction in CO2 emissions of 30 % shall be financed. </w:t>
            </w:r>
          </w:p>
          <w:p w14:paraId="080D68D3" w14:textId="77777777" w:rsidR="00896FDC" w:rsidRPr="004D3A46" w:rsidRDefault="00896FDC" w:rsidP="00896FDC">
            <w:pPr>
              <w:tabs>
                <w:tab w:val="left" w:pos="1402"/>
              </w:tabs>
              <w:spacing w:after="300" w:line="280" w:lineRule="exact"/>
              <w:jc w:val="both"/>
              <w:rPr>
                <w:i/>
                <w:noProof/>
                <w:sz w:val="20"/>
              </w:rPr>
            </w:pPr>
            <w:r w:rsidRPr="004D3A46">
              <w:rPr>
                <w:i/>
                <w:noProof/>
                <w:sz w:val="20"/>
              </w:rPr>
              <w:t xml:space="preserve">The investment aims at supporting of up to 100 building renovation projects including insulation of a buildings, </w:t>
            </w:r>
            <w:r w:rsidRPr="004D3A46">
              <w:rPr>
                <w:rFonts w:eastAsia="Segoe UI"/>
                <w:i/>
                <w:noProof/>
                <w:color w:val="000000" w:themeColor="text1"/>
                <w:sz w:val="20"/>
                <w:lang w:val="en"/>
              </w:rPr>
              <w:t xml:space="preserve">exchange and renovation of </w:t>
            </w:r>
            <w:r w:rsidRPr="004D3A46">
              <w:rPr>
                <w:i/>
                <w:noProof/>
                <w:sz w:val="20"/>
              </w:rPr>
              <w:t>windows and doors, installation of systems based on renewable energy sources or implementation of improvements of the indoor environment measures having a demonstrable impact on the energy performance of the buildings.</w:t>
            </w:r>
          </w:p>
          <w:p w14:paraId="3246834E" w14:textId="77777777" w:rsidR="00896FDC" w:rsidRPr="004D3A46" w:rsidRDefault="00896FDC" w:rsidP="00896FDC">
            <w:pPr>
              <w:tabs>
                <w:tab w:val="left" w:pos="1402"/>
              </w:tabs>
              <w:spacing w:after="300" w:line="280" w:lineRule="exact"/>
              <w:jc w:val="both"/>
              <w:rPr>
                <w:rFonts w:eastAsia="Segoe UI" w:cs="Segoe UI"/>
                <w:i/>
                <w:noProof/>
                <w:color w:val="000000"/>
                <w:sz w:val="20"/>
                <w:lang w:val="en" w:eastAsia="cs-CZ" w:bidi="cs-CZ"/>
              </w:rPr>
            </w:pPr>
            <w:r w:rsidRPr="004D3A46">
              <w:rPr>
                <w:i/>
                <w:noProof/>
                <w:sz w:val="20"/>
              </w:rPr>
              <w:t>75 % of projects shall be contracted by 31 December 2023.</w:t>
            </w:r>
          </w:p>
        </w:tc>
        <w:tc>
          <w:tcPr>
            <w:tcW w:w="3747" w:type="dxa"/>
          </w:tcPr>
          <w:p w14:paraId="24A9DF0B" w14:textId="77777777" w:rsidR="00896FDC" w:rsidRPr="004D3A46" w:rsidRDefault="00896FDC" w:rsidP="00896FDC">
            <w:pPr>
              <w:jc w:val="both"/>
              <w:rPr>
                <w:i/>
                <w:noProof/>
                <w:sz w:val="20"/>
                <w:szCs w:val="24"/>
              </w:rPr>
            </w:pPr>
            <w:r w:rsidRPr="004D3A46">
              <w:rPr>
                <w:i/>
                <w:noProof/>
                <w:sz w:val="20"/>
                <w:szCs w:val="24"/>
              </w:rPr>
              <w:lastRenderedPageBreak/>
              <w:t xml:space="preserve">This investment aims at reducing the final energy consumption in the buildings of the state administration that do not meet the minimum energy performance </w:t>
            </w:r>
            <w:r w:rsidRPr="004D3A46">
              <w:rPr>
                <w:i/>
                <w:noProof/>
                <w:sz w:val="20"/>
                <w:szCs w:val="24"/>
              </w:rPr>
              <w:lastRenderedPageBreak/>
              <w:t xml:space="preserve">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of at least 30 % or a reduction in CO2 emissions of 30 % shall be financed. </w:t>
            </w:r>
          </w:p>
          <w:p w14:paraId="1AC69BF8" w14:textId="77777777" w:rsidR="00896FDC" w:rsidRPr="004D3A46" w:rsidRDefault="00896FDC" w:rsidP="00896FDC">
            <w:pPr>
              <w:tabs>
                <w:tab w:val="left" w:pos="1402"/>
              </w:tabs>
              <w:spacing w:after="300" w:line="280" w:lineRule="exact"/>
              <w:jc w:val="both"/>
              <w:rPr>
                <w:rFonts w:eastAsia="Segoe UI" w:cs="Segoe UI"/>
                <w:i/>
                <w:noProof/>
                <w:color w:val="000000"/>
                <w:sz w:val="20"/>
                <w:lang w:val="en" w:eastAsia="cs-CZ" w:bidi="cs-CZ"/>
              </w:rPr>
            </w:pPr>
            <w:r w:rsidRPr="004D3A46">
              <w:rPr>
                <w:i/>
                <w:noProof/>
                <w:sz w:val="20"/>
              </w:rPr>
              <w:t xml:space="preserve">The investment aims at supporting of up to </w:t>
            </w:r>
            <w:r w:rsidR="00251D03" w:rsidRPr="004D3A46">
              <w:rPr>
                <w:i/>
                <w:noProof/>
                <w:sz w:val="20"/>
              </w:rPr>
              <w:t>100</w:t>
            </w:r>
            <w:r w:rsidRPr="004D3A46">
              <w:rPr>
                <w:i/>
                <w:noProof/>
                <w:sz w:val="20"/>
              </w:rPr>
              <w:t xml:space="preserve"> building renovation projects including insulation of a buildings, </w:t>
            </w:r>
            <w:r w:rsidRPr="004D3A46">
              <w:rPr>
                <w:rFonts w:eastAsia="Segoe UI"/>
                <w:i/>
                <w:noProof/>
                <w:color w:val="000000" w:themeColor="text1"/>
                <w:sz w:val="20"/>
                <w:lang w:val="en"/>
              </w:rPr>
              <w:t xml:space="preserve">exchange and renovation of </w:t>
            </w:r>
            <w:r w:rsidRPr="004D3A46">
              <w:rPr>
                <w:i/>
                <w:noProof/>
                <w:sz w:val="20"/>
              </w:rPr>
              <w:t>windows and doors, installation of systems based on renewable energy sources or implementation of improvements of the indoor environment measures having a demonstrable impact on the energy performance of the buildings.</w:t>
            </w:r>
          </w:p>
          <w:p w14:paraId="4FB306B3" w14:textId="77777777" w:rsidR="00896FDC" w:rsidRPr="004D3A46" w:rsidRDefault="00896FDC" w:rsidP="00896FDC">
            <w:pPr>
              <w:jc w:val="both"/>
              <w:rPr>
                <w:rFonts w:ascii="Times New Roman" w:eastAsia="Calibri" w:hAnsi="Times New Roman" w:cs="Times New Roman"/>
                <w:noProof/>
                <w:sz w:val="20"/>
                <w:szCs w:val="20"/>
                <w:lang w:val="en-IE"/>
              </w:rPr>
            </w:pPr>
            <w:r w:rsidRPr="004D3A46">
              <w:rPr>
                <w:i/>
                <w:noProof/>
                <w:sz w:val="20"/>
              </w:rPr>
              <w:t>75 % of projects shall be contracted by 31 December 2024.</w:t>
            </w:r>
          </w:p>
        </w:tc>
      </w:tr>
      <w:tr w:rsidR="00FB7874" w:rsidRPr="004D3A46" w14:paraId="34F20F7B" w14:textId="77777777" w:rsidTr="00DB2E54">
        <w:tc>
          <w:tcPr>
            <w:tcW w:w="2235" w:type="dxa"/>
          </w:tcPr>
          <w:p w14:paraId="0B12CB2B" w14:textId="77777777" w:rsidR="00FB7874" w:rsidRPr="004D3A46" w:rsidRDefault="00FB7874" w:rsidP="00DB2E54">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34B04711" w14:textId="77777777" w:rsidR="00FB7874" w:rsidRPr="004D3A46" w:rsidRDefault="00896FDC" w:rsidP="00DB2E54">
            <w:pPr>
              <w:jc w:val="both"/>
              <w:rPr>
                <w:rFonts w:eastAsia="Calibri" w:cstheme="minorHAnsi"/>
                <w:i/>
                <w:noProof/>
                <w:sz w:val="20"/>
                <w:szCs w:val="20"/>
                <w:lang w:val="en-US"/>
              </w:rPr>
            </w:pPr>
            <w:r w:rsidRPr="004D3A46">
              <w:rPr>
                <w:rFonts w:eastAsia="Calibri" w:cstheme="minorHAnsi"/>
                <w:i/>
                <w:noProof/>
                <w:sz w:val="20"/>
                <w:szCs w:val="20"/>
                <w:lang w:val="en-US"/>
              </w:rPr>
              <w:t>The target shall be achieved upon reducing energy consumption in state buildings by 216 TJ/per year by 31 March 2026 as an outcome of the renovation of buildings, which shall be demonstrated through energy performance certificates. Energy consumption shall be reduced in comparison to the business-as-usual scenario (that is the absence of support under Regulation (EU) 2021/241). Amount of saved energy is to be determined by measuring and/or estimating consumption before and after implementation of an energy efficiency improvement measure, whilst ensuring normalisation for external conditions that affect energy consumption.</w:t>
            </w:r>
          </w:p>
        </w:tc>
        <w:tc>
          <w:tcPr>
            <w:tcW w:w="3747" w:type="dxa"/>
          </w:tcPr>
          <w:p w14:paraId="5FD21FAF" w14:textId="77777777" w:rsidR="00FB7874" w:rsidRPr="004D3A46" w:rsidRDefault="00896FDC" w:rsidP="00DB2E54">
            <w:pPr>
              <w:jc w:val="both"/>
              <w:rPr>
                <w:rFonts w:eastAsia="Calibri" w:cstheme="minorHAnsi"/>
                <w:i/>
                <w:noProof/>
                <w:sz w:val="20"/>
                <w:szCs w:val="20"/>
                <w:lang w:val="en-IE"/>
              </w:rPr>
            </w:pPr>
            <w:r w:rsidRPr="004D3A46">
              <w:rPr>
                <w:rFonts w:eastAsia="Calibri" w:cstheme="minorHAnsi"/>
                <w:i/>
                <w:noProof/>
                <w:sz w:val="20"/>
                <w:szCs w:val="20"/>
                <w:lang w:val="en-US"/>
              </w:rPr>
              <w:t>The target shall be achieved upon reducing energy consumption in state buildings by 140 TJ/per year by 31 March 2026 as an outcome of the renovation of buildings, which shall be demonstrated through energy performance certificates. Energy consumption shall be reduced in comparison to the business-as-usual scenario (that is the absence of support under Regulation (EU) 2021/241). Amount of saved energy is to be determined by measuring and/or estimating consumption before and after implementation of an energy efficiency improvement measure, whilst ensuring normalisation for external conditions that affect energy consumption.</w:t>
            </w:r>
          </w:p>
        </w:tc>
      </w:tr>
      <w:tr w:rsidR="00896FDC" w:rsidRPr="004D3A46" w14:paraId="31455B63" w14:textId="77777777" w:rsidTr="00DB2E54">
        <w:tc>
          <w:tcPr>
            <w:tcW w:w="2235" w:type="dxa"/>
          </w:tcPr>
          <w:p w14:paraId="658800FF"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Estimated cost</w:t>
            </w:r>
          </w:p>
        </w:tc>
        <w:tc>
          <w:tcPr>
            <w:tcW w:w="3260" w:type="dxa"/>
          </w:tcPr>
          <w:p w14:paraId="59CA6CC8"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6F998E64"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4E7AF492" w14:textId="77777777" w:rsidTr="00DB2E54">
        <w:tc>
          <w:tcPr>
            <w:tcW w:w="2235" w:type="dxa"/>
          </w:tcPr>
          <w:p w14:paraId="7D7D9E29"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Green and digital tagging</w:t>
            </w:r>
          </w:p>
        </w:tc>
        <w:tc>
          <w:tcPr>
            <w:tcW w:w="3260" w:type="dxa"/>
          </w:tcPr>
          <w:p w14:paraId="60223D37"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3B8CCD2C"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080327D6" w14:textId="77777777" w:rsidTr="00DB2E54">
        <w:tc>
          <w:tcPr>
            <w:tcW w:w="2235" w:type="dxa"/>
          </w:tcPr>
          <w:p w14:paraId="517B8653"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DNSH self-assessment</w:t>
            </w:r>
          </w:p>
        </w:tc>
        <w:tc>
          <w:tcPr>
            <w:tcW w:w="3260" w:type="dxa"/>
          </w:tcPr>
          <w:p w14:paraId="45C364FB"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52F3F383"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bl>
    <w:p w14:paraId="62EBF3C5" w14:textId="77777777" w:rsidR="00FB7874" w:rsidRPr="004D3A46" w:rsidRDefault="00FB7874" w:rsidP="00FB7874"/>
    <w:p w14:paraId="7F716E6E" w14:textId="73A89FCC" w:rsidR="006143DD" w:rsidRPr="004D3A46" w:rsidRDefault="00F46C99" w:rsidP="2FC2DA91">
      <w:pPr>
        <w:jc w:val="both"/>
        <w:rPr>
          <w:i/>
          <w:iCs/>
          <w:sz w:val="20"/>
          <w:szCs w:val="20"/>
        </w:rPr>
      </w:pPr>
      <w:r w:rsidRPr="004D3A46">
        <w:rPr>
          <w:i/>
          <w:iCs/>
          <w:sz w:val="20"/>
          <w:szCs w:val="20"/>
          <w:lang w:val="en-US"/>
        </w:rPr>
        <w:t xml:space="preserve">The Czech Republic estimated on the basis of the latest data on the basis of the RRP processing that the cost of construction will increase by 10 %throughout the period of 2021-2025. In 2022 alone, however, in accordance with the latest data inflation increased by 14,8%. </w:t>
      </w:r>
      <w:r w:rsidRPr="004D3A46">
        <w:rPr>
          <w:i/>
          <w:iCs/>
          <w:sz w:val="20"/>
          <w:szCs w:val="20"/>
        </w:rPr>
        <w:t xml:space="preserve">For the calculation of a revised Target 104 reference costs from the above-mentioned reference projects from 2019 were used which equal to refence cost 15 173 CZK/GJ. The calculation was based on the uniform approach to the calculation of the inflation impacts on RRP targets from the Delivery Unit. The updated costs are based on the baseline used for the calculation of the original RRP, the real historic and foreseen inflation rate and the effect of the additional technical requirements for renovations in the Call for proposal which reflect the RRF and DNSH requirements. The effect of the additional technical requirements is based on a study on the cost-optimal levels of minimum energy performance requirements carried out in April 2023 in line with the Directive 2010/31/EU on Energy </w:t>
      </w:r>
      <w:r w:rsidRPr="004D3A46">
        <w:rPr>
          <w:i/>
          <w:iCs/>
          <w:sz w:val="20"/>
          <w:szCs w:val="20"/>
        </w:rPr>
        <w:lastRenderedPageBreak/>
        <w:t>Performance of Buildings. In comparison to the original costing from 2021, costs per GJ were calculated without the VAT, as VAT is currently non-eligible. The updated costs are equal to 21 137 CZK/GJ in 2025 (the year of estimated implementation of last projects)</w:t>
      </w:r>
      <w:r w:rsidR="57697AB6" w:rsidRPr="004D3A46">
        <w:rPr>
          <w:i/>
          <w:iCs/>
          <w:sz w:val="20"/>
          <w:szCs w:val="20"/>
        </w:rPr>
        <w:t>, which is more than 50% higher than the estimate in the original RRP</w:t>
      </w:r>
      <w:r w:rsidRPr="004D3A46">
        <w:rPr>
          <w:i/>
          <w:iCs/>
          <w:sz w:val="20"/>
          <w:szCs w:val="20"/>
        </w:rPr>
        <w:t xml:space="preserve">. </w:t>
      </w:r>
      <w:proofErr w:type="gramStart"/>
      <w:r w:rsidRPr="004D3A46">
        <w:rPr>
          <w:i/>
          <w:iCs/>
          <w:sz w:val="20"/>
          <w:szCs w:val="20"/>
        </w:rPr>
        <w:t>Taking into account</w:t>
      </w:r>
      <w:proofErr w:type="gramEnd"/>
      <w:r w:rsidRPr="004D3A46">
        <w:rPr>
          <w:i/>
          <w:iCs/>
          <w:sz w:val="20"/>
          <w:szCs w:val="20"/>
        </w:rPr>
        <w:t xml:space="preserve"> the total allocation of 2 893 mil. CZK and the estimated costs, the Czech Republic suggests to revise Target 104 from 216 TJ to 140 TJ.</w:t>
      </w:r>
    </w:p>
    <w:p w14:paraId="189B61FF" w14:textId="77777777" w:rsidR="00F46C99" w:rsidRPr="004D3A46" w:rsidRDefault="00F46C99" w:rsidP="00F46C99">
      <w:pPr>
        <w:jc w:val="both"/>
        <w:rPr>
          <w:rFonts w:cstheme="minorHAnsi"/>
          <w:sz w:val="20"/>
          <w:szCs w:val="20"/>
          <w:lang w:val="en-IE"/>
        </w:rPr>
      </w:pPr>
      <w:r w:rsidRPr="004D3A46">
        <w:rPr>
          <w:rFonts w:cstheme="minorHAnsi"/>
          <w:sz w:val="20"/>
          <w:szCs w:val="20"/>
          <w:lang w:val="en-IE"/>
        </w:rPr>
        <w:t xml:space="preserve">The call was announced in October 2021 and opened in November 2022. However, the ministry has so far received only 1 project, due to the above-mentioned maximum grant limit of CZK 16,500/GJ. The increase in construction costs is also evident from the state projects of building restoration, which received support from the grant of ELENA managed by the Ministry of Industry and Trade and EIB. 36 projects were supported in this technical assistance. Part of the support was wide technical assistance, including energy assessment and processing of project documentation, which contains estimates of investment costs for a specific reconstruction. However, it is clear from the ELENA report that these projects are highly exceeding the maximum limits of eligible expenditure set out in the current challenge of 2.2. </w:t>
      </w:r>
    </w:p>
    <w:p w14:paraId="3C30FB8B" w14:textId="77777777" w:rsidR="00F46C99" w:rsidRPr="004D3A46" w:rsidRDefault="00F46C99" w:rsidP="00F46C99">
      <w:pPr>
        <w:jc w:val="both"/>
        <w:rPr>
          <w:rFonts w:cstheme="minorHAnsi"/>
          <w:sz w:val="20"/>
          <w:szCs w:val="20"/>
        </w:rPr>
      </w:pPr>
      <w:r w:rsidRPr="004D3A46">
        <w:rPr>
          <w:rFonts w:cstheme="minorHAnsi"/>
          <w:sz w:val="20"/>
          <w:szCs w:val="20"/>
        </w:rPr>
        <w:t>The difference between the costs using the original reference costing and the costs of projects prepared in 2022 under the ELENA facility is mainly due to the fact that the original reference projects included wide variety of projects including shallow renovations with lower costs per achieved unit of energy savings. New conditions required by the RRF increased the marginal costs for renovations. These conditions are mainly:</w:t>
      </w:r>
    </w:p>
    <w:p w14:paraId="79D3E402" w14:textId="77777777" w:rsidR="00F46C99" w:rsidRPr="004D3A46" w:rsidRDefault="00F46C99" w:rsidP="00F46C99">
      <w:pPr>
        <w:numPr>
          <w:ilvl w:val="0"/>
          <w:numId w:val="40"/>
        </w:numPr>
        <w:spacing w:after="0" w:line="240" w:lineRule="auto"/>
        <w:jc w:val="both"/>
        <w:rPr>
          <w:rFonts w:cstheme="minorHAnsi"/>
          <w:sz w:val="20"/>
          <w:szCs w:val="20"/>
        </w:rPr>
      </w:pPr>
      <w:r w:rsidRPr="004D3A46">
        <w:rPr>
          <w:rFonts w:cstheme="minorHAnsi"/>
          <w:sz w:val="20"/>
          <w:szCs w:val="20"/>
        </w:rPr>
        <w:t>The requirement to achieve 30 % energy savings is associated with increased depth of renovation for new projects supported in the Call for proposals. In particular the value of the minimum Heat transfer coefficient (U) for the building envelope was increased in comparison to the reference projects which were set at the current minimum legal requirements and the recommended values from the technical norm (ČSN 730540-2) from U=0,25 to U=0,18, which is a value for a building in a moderate passive standard.</w:t>
      </w:r>
    </w:p>
    <w:p w14:paraId="37B3E260" w14:textId="77777777" w:rsidR="00F46C99" w:rsidRPr="004D3A46" w:rsidRDefault="00F46C99" w:rsidP="00F46C99">
      <w:pPr>
        <w:numPr>
          <w:ilvl w:val="0"/>
          <w:numId w:val="40"/>
        </w:numPr>
        <w:spacing w:after="0" w:line="240" w:lineRule="auto"/>
        <w:jc w:val="both"/>
        <w:rPr>
          <w:rFonts w:cstheme="minorHAnsi"/>
          <w:sz w:val="20"/>
          <w:szCs w:val="20"/>
        </w:rPr>
      </w:pPr>
      <w:r w:rsidRPr="004D3A46">
        <w:rPr>
          <w:rFonts w:cstheme="minorHAnsi"/>
          <w:sz w:val="20"/>
          <w:szCs w:val="20"/>
        </w:rPr>
        <w:t xml:space="preserve">Strict technical requirements linked with the requirement to comply with the DNSH requirement in Climate change adaptation for buildings, in particular the requirement to adapt buildings and ensure thermal comfort during potential heat waves require the installation of forced ventilation with heat recovery in the supported projects, which was not required for the reference projects. </w:t>
      </w:r>
    </w:p>
    <w:p w14:paraId="6EECF3AC" w14:textId="29411A82" w:rsidR="00F46C99" w:rsidRPr="004D3A46" w:rsidRDefault="00F46C99" w:rsidP="2FC2DA91">
      <w:pPr>
        <w:rPr>
          <w:sz w:val="20"/>
          <w:szCs w:val="20"/>
        </w:rPr>
      </w:pPr>
      <w:r w:rsidRPr="004D3A46">
        <w:rPr>
          <w:sz w:val="20"/>
          <w:szCs w:val="20"/>
        </w:rPr>
        <w:t xml:space="preserve">In line with the updated study on the cost-optimal levels of minimum energy performance requirements carried out in April 2023 in line with the Directive 2010/31/EU on Energy Performance of Buildings, the above-mentioned requirements are high above the cost-optimum levels for the Czech Republic. In line with this study the associated costs in comparison to the past renovations are </w:t>
      </w:r>
      <w:r w:rsidR="454DE447" w:rsidRPr="004D3A46">
        <w:rPr>
          <w:sz w:val="20"/>
          <w:szCs w:val="20"/>
        </w:rPr>
        <w:t xml:space="preserve">due to more stringent requirement </w:t>
      </w:r>
      <w:r w:rsidRPr="004D3A46">
        <w:rPr>
          <w:sz w:val="20"/>
          <w:szCs w:val="20"/>
        </w:rPr>
        <w:t>therefore approximately 24 % higher.</w:t>
      </w:r>
      <w:r w:rsidR="0B10F7E6" w:rsidRPr="004D3A46">
        <w:rPr>
          <w:sz w:val="20"/>
          <w:szCs w:val="20"/>
        </w:rPr>
        <w:t xml:space="preserve"> </w:t>
      </w:r>
    </w:p>
    <w:p w14:paraId="6EDEBD8B" w14:textId="0747E75F" w:rsidR="00F46C99" w:rsidRPr="004D3A46" w:rsidRDefault="0B10F7E6" w:rsidP="2FC2DA91">
      <w:pPr>
        <w:rPr>
          <w:sz w:val="20"/>
          <w:szCs w:val="20"/>
        </w:rPr>
      </w:pPr>
      <w:proofErr w:type="gramStart"/>
      <w:r w:rsidRPr="004D3A46">
        <w:rPr>
          <w:sz w:val="20"/>
          <w:szCs w:val="20"/>
        </w:rPr>
        <w:t>Taking into account</w:t>
      </w:r>
      <w:proofErr w:type="gramEnd"/>
      <w:r w:rsidRPr="004D3A46">
        <w:rPr>
          <w:sz w:val="20"/>
          <w:szCs w:val="20"/>
        </w:rPr>
        <w:t xml:space="preserve"> all the above-mentioned factors, the updated costs are more than 50% higher than the estimate in the original RRP.</w:t>
      </w:r>
    </w:p>
    <w:p w14:paraId="7B456D54" w14:textId="6E36E5F9" w:rsidR="00F46C99" w:rsidRPr="004D3A46" w:rsidRDefault="00F46C99" w:rsidP="2FC2DA91">
      <w:pPr>
        <w:rPr>
          <w:sz w:val="20"/>
          <w:szCs w:val="20"/>
        </w:rPr>
      </w:pPr>
    </w:p>
    <w:tbl>
      <w:tblPr>
        <w:tblStyle w:val="Mkatabulky"/>
        <w:tblW w:w="0" w:type="auto"/>
        <w:tblLook w:val="04A0" w:firstRow="1" w:lastRow="0" w:firstColumn="1" w:lastColumn="0" w:noHBand="0" w:noVBand="1"/>
      </w:tblPr>
      <w:tblGrid>
        <w:gridCol w:w="3227"/>
        <w:gridCol w:w="5939"/>
      </w:tblGrid>
      <w:tr w:rsidR="006143DD" w:rsidRPr="004D3A46" w14:paraId="02C9A468" w14:textId="77777777" w:rsidTr="00DB2E54">
        <w:tc>
          <w:tcPr>
            <w:tcW w:w="9166" w:type="dxa"/>
            <w:gridSpan w:val="2"/>
            <w:shd w:val="clear" w:color="auto" w:fill="1F3864"/>
          </w:tcPr>
          <w:p w14:paraId="6BD1B997" w14:textId="77777777" w:rsidR="006143DD" w:rsidRPr="004D3A46" w:rsidRDefault="00C45B77" w:rsidP="00DB2E54">
            <w:pPr>
              <w:jc w:val="center"/>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Component 2.2: REDUCING ENERGY CONSUMPTION IN THE PUBLIC SECTOR</w:t>
            </w:r>
          </w:p>
        </w:tc>
      </w:tr>
      <w:tr w:rsidR="006143DD" w:rsidRPr="004D3A46" w14:paraId="6A8D346B" w14:textId="77777777" w:rsidTr="00DB2E54">
        <w:tc>
          <w:tcPr>
            <w:tcW w:w="3227" w:type="dxa"/>
            <w:shd w:val="clear" w:color="auto" w:fill="00B0F0"/>
          </w:tcPr>
          <w:p w14:paraId="4AF91B68" w14:textId="77777777" w:rsidR="006143DD" w:rsidRPr="004D3A46" w:rsidRDefault="006143DD"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1FD52A0" w14:textId="77777777" w:rsidR="006143DD" w:rsidRPr="004D3A46" w:rsidRDefault="00441A3C"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Investment 2</w:t>
            </w:r>
          </w:p>
        </w:tc>
      </w:tr>
      <w:tr w:rsidR="006143DD" w:rsidRPr="004D3A46" w14:paraId="2F302947" w14:textId="77777777" w:rsidTr="00DB2E54">
        <w:tc>
          <w:tcPr>
            <w:tcW w:w="3227" w:type="dxa"/>
            <w:shd w:val="clear" w:color="auto" w:fill="00B0F0"/>
          </w:tcPr>
          <w:p w14:paraId="2FF32628" w14:textId="77777777" w:rsidR="006143DD" w:rsidRPr="004D3A46" w:rsidRDefault="006143DD"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925B82C" w14:textId="77777777" w:rsidR="006143DD" w:rsidRPr="004D3A46" w:rsidRDefault="00441A3C"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Improving the energy performance of public lighting systems</w:t>
            </w:r>
          </w:p>
        </w:tc>
      </w:tr>
      <w:tr w:rsidR="006143DD" w:rsidRPr="004D3A46" w14:paraId="1C40C4E3" w14:textId="77777777" w:rsidTr="00DB2E54">
        <w:tc>
          <w:tcPr>
            <w:tcW w:w="3227" w:type="dxa"/>
            <w:shd w:val="clear" w:color="auto" w:fill="BDD6EE"/>
          </w:tcPr>
          <w:p w14:paraId="28EAEEE9" w14:textId="77777777" w:rsidR="006143DD" w:rsidRPr="004D3A46" w:rsidRDefault="006143DD"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Type of change compared to CID</w:t>
            </w:r>
          </w:p>
        </w:tc>
        <w:tc>
          <w:tcPr>
            <w:tcW w:w="5939" w:type="dxa"/>
          </w:tcPr>
          <w:p w14:paraId="4D414011"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noProof/>
                <w:sz w:val="20"/>
                <w:szCs w:val="20"/>
                <w:lang w:val="en-US"/>
              </w:rPr>
              <w:t>[modified]</w:t>
            </w:r>
          </w:p>
        </w:tc>
      </w:tr>
      <w:tr w:rsidR="006143DD" w:rsidRPr="004D3A46" w14:paraId="79B85AF7" w14:textId="77777777" w:rsidTr="00DB2E54">
        <w:tc>
          <w:tcPr>
            <w:tcW w:w="3227" w:type="dxa"/>
            <w:shd w:val="clear" w:color="auto" w:fill="BDD6EE"/>
          </w:tcPr>
          <w:p w14:paraId="4827BC0C"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Legal base of the change (select at least one)</w:t>
            </w:r>
          </w:p>
        </w:tc>
        <w:tc>
          <w:tcPr>
            <w:tcW w:w="5939" w:type="dxa"/>
          </w:tcPr>
          <w:p w14:paraId="46B1DEC6"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09165275"/>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14(2) – loan request</w:t>
            </w:r>
          </w:p>
          <w:p w14:paraId="2169D057"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61352939"/>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18(2) – update of the maximum financial contribution</w:t>
            </w:r>
          </w:p>
          <w:p w14:paraId="6926099B" w14:textId="77777777" w:rsidR="006143DD" w:rsidRPr="004D3A46" w:rsidRDefault="00097F3D" w:rsidP="00DB2E5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41058564"/>
                <w:placeholder>
                  <w:docPart w:val="C2A9AD1919F54252B07B938327EF488F"/>
                </w:placeholder>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21 – amendment due to objective circumstances</w:t>
            </w:r>
          </w:p>
          <w:p w14:paraId="17E8FBB7" w14:textId="77777777" w:rsidR="006143DD" w:rsidRPr="004D3A46" w:rsidRDefault="00097F3D" w:rsidP="00DB2E5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310632884"/>
                <w:placeholder>
                  <w:docPart w:val="C2A9AD1919F54252B07B938327EF488F"/>
                </w:placeholder>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fr-BE"/>
                  </w:rPr>
                  <w:t>☐</w:t>
                </w:r>
              </w:sdtContent>
            </w:sdt>
            <w:r w:rsidR="006143DD" w:rsidRPr="004D3A46">
              <w:rPr>
                <w:rFonts w:ascii="Times New Roman" w:eastAsia="Calibri" w:hAnsi="Times New Roman" w:cs="Times New Roman"/>
                <w:noProof/>
                <w:sz w:val="20"/>
                <w:szCs w:val="20"/>
                <w:lang w:val="fr-BE"/>
              </w:rPr>
              <w:t xml:space="preserve"> Article 21a – REPowerEU non-repayable financial support (ETS revenue)</w:t>
            </w:r>
          </w:p>
          <w:p w14:paraId="2F0F92FB" w14:textId="77777777" w:rsidR="006143DD" w:rsidRPr="004D3A46" w:rsidRDefault="00097F3D" w:rsidP="00DB2E5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478606171"/>
                <w:placeholder>
                  <w:docPart w:val="C2A9AD1919F54252B07B938327EF488F"/>
                </w:placeholder>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IE"/>
                  </w:rPr>
                  <w:t>☐</w:t>
                </w:r>
              </w:sdtContent>
            </w:sdt>
            <w:r w:rsidR="006143DD" w:rsidRPr="004D3A46">
              <w:rPr>
                <w:rFonts w:ascii="Times New Roman" w:eastAsia="Calibri" w:hAnsi="Times New Roman" w:cs="Times New Roman"/>
                <w:noProof/>
                <w:sz w:val="20"/>
                <w:szCs w:val="20"/>
                <w:lang w:val="en-IE"/>
              </w:rPr>
              <w:t xml:space="preserve"> Article 21b (2) – BAR transfers</w:t>
            </w:r>
          </w:p>
          <w:p w14:paraId="3D4BD220" w14:textId="77777777" w:rsidR="006143DD" w:rsidRPr="004D3A46" w:rsidRDefault="006143DD" w:rsidP="00DB2E54">
            <w:pPr>
              <w:jc w:val="both"/>
              <w:rPr>
                <w:rFonts w:ascii="Times New Roman" w:eastAsia="Calibri" w:hAnsi="Times New Roman" w:cs="Times New Roman"/>
                <w:noProof/>
                <w:sz w:val="20"/>
                <w:szCs w:val="20"/>
                <w:lang w:val="en-US"/>
              </w:rPr>
            </w:pPr>
            <w:r w:rsidRPr="004D3A46">
              <w:rPr>
                <w:rFonts w:ascii="Segoe UI Symbol" w:eastAsia="MS Gothic" w:hAnsi="Segoe UI Symbol" w:cs="Segoe UI Symbol"/>
                <w:noProof/>
                <w:sz w:val="20"/>
                <w:szCs w:val="20"/>
                <w:lang w:val="en-US"/>
              </w:rPr>
              <w:t>☐</w:t>
            </w:r>
            <w:r w:rsidRPr="004D3A46">
              <w:rPr>
                <w:rFonts w:ascii="Times New Roman" w:eastAsia="Calibri" w:hAnsi="Times New Roman" w:cs="Times New Roman"/>
                <w:noProof/>
                <w:sz w:val="20"/>
                <w:szCs w:val="20"/>
                <w:lang w:val="en-US"/>
              </w:rPr>
              <w:t xml:space="preserve"> None of the above, correction of clerical error</w:t>
            </w:r>
          </w:p>
          <w:p w14:paraId="6D98A12B" w14:textId="77777777" w:rsidR="006143DD" w:rsidRPr="004D3A46" w:rsidRDefault="006143DD" w:rsidP="00DB2E54">
            <w:pPr>
              <w:jc w:val="both"/>
              <w:rPr>
                <w:rFonts w:ascii="Times New Roman" w:eastAsia="Calibri" w:hAnsi="Times New Roman" w:cs="Times New Roman"/>
                <w:noProof/>
                <w:sz w:val="20"/>
                <w:szCs w:val="20"/>
                <w:lang w:val="en-IE"/>
              </w:rPr>
            </w:pPr>
          </w:p>
        </w:tc>
      </w:tr>
      <w:tr w:rsidR="006143DD" w:rsidRPr="004D3A46" w14:paraId="02E83209" w14:textId="77777777" w:rsidTr="00DB2E54">
        <w:tc>
          <w:tcPr>
            <w:tcW w:w="3227" w:type="dxa"/>
            <w:shd w:val="clear" w:color="auto" w:fill="BDD6EE"/>
          </w:tcPr>
          <w:p w14:paraId="13233A2D" w14:textId="77777777" w:rsidR="006143DD" w:rsidRPr="004D3A46" w:rsidRDefault="006143DD"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Elements modified (only for modified measures)</w:t>
            </w:r>
          </w:p>
          <w:p w14:paraId="2946DB82"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p>
        </w:tc>
        <w:tc>
          <w:tcPr>
            <w:tcW w:w="5939" w:type="dxa"/>
          </w:tcPr>
          <w:p w14:paraId="0DAA0CFB" w14:textId="48ADDB92"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9949509"/>
                <w14:checkbox>
                  <w14:checked w14:val="1"/>
                  <w14:checkedState w14:val="2612" w14:font="MS Gothic"/>
                  <w14:uncheckedState w14:val="2610" w14:font="MS Gothic"/>
                </w14:checkbox>
              </w:sdtPr>
              <w:sdtEndPr/>
              <w:sdtContent>
                <w:r w:rsidR="00A6566B"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Component / Measure description</w:t>
            </w:r>
          </w:p>
          <w:p w14:paraId="56C42810"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21043003"/>
                <w:placeholder>
                  <w:docPart w:val="C2A9AD1919F54252B07B938327EF488F"/>
                </w:placeholder>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Milestones and targets</w:t>
            </w:r>
          </w:p>
          <w:p w14:paraId="05828A5C"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379688"/>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Estimated cost</w:t>
            </w:r>
          </w:p>
          <w:p w14:paraId="1B654E98"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7001407"/>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3DD9311" w14:textId="77777777" w:rsidR="006143DD" w:rsidRPr="004D3A46" w:rsidRDefault="00097F3D" w:rsidP="00DB2E5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59394035"/>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DNSH self-assessment</w:t>
            </w:r>
          </w:p>
        </w:tc>
      </w:tr>
    </w:tbl>
    <w:p w14:paraId="5997CC1D" w14:textId="77777777" w:rsidR="006143DD" w:rsidRPr="004D3A46" w:rsidRDefault="006143DD" w:rsidP="006143DD"/>
    <w:tbl>
      <w:tblPr>
        <w:tblStyle w:val="Mkatabulky"/>
        <w:tblW w:w="0" w:type="auto"/>
        <w:tblLook w:val="04A0" w:firstRow="1" w:lastRow="0" w:firstColumn="1" w:lastColumn="0" w:noHBand="0" w:noVBand="1"/>
      </w:tblPr>
      <w:tblGrid>
        <w:gridCol w:w="2235"/>
        <w:gridCol w:w="3260"/>
        <w:gridCol w:w="3747"/>
      </w:tblGrid>
      <w:tr w:rsidR="006143DD" w:rsidRPr="004D3A46" w14:paraId="2C9EE2B3" w14:textId="77777777" w:rsidTr="00DB2E54">
        <w:tc>
          <w:tcPr>
            <w:tcW w:w="9242" w:type="dxa"/>
            <w:gridSpan w:val="3"/>
            <w:shd w:val="clear" w:color="auto" w:fill="1F3864"/>
          </w:tcPr>
          <w:p w14:paraId="52304353" w14:textId="77777777" w:rsidR="006143DD" w:rsidRPr="004D3A46" w:rsidRDefault="00441A3C" w:rsidP="00DB2E54">
            <w:pPr>
              <w:jc w:val="center"/>
              <w:rPr>
                <w:rFonts w:ascii="Times New Roman" w:eastAsia="Calibri" w:hAnsi="Times New Roman" w:cs="Times New Roman"/>
                <w:b/>
                <w:bCs/>
                <w:noProof/>
                <w:sz w:val="20"/>
                <w:szCs w:val="20"/>
                <w:lang w:val="en-IE"/>
              </w:rPr>
            </w:pPr>
            <w:r w:rsidRPr="004D3A46">
              <w:rPr>
                <w:rFonts w:ascii="Times New Roman" w:eastAsia="Calibri" w:hAnsi="Times New Roman" w:cs="Times New Roman"/>
                <w:b/>
                <w:bCs/>
                <w:noProof/>
                <w:sz w:val="20"/>
                <w:szCs w:val="20"/>
                <w:lang w:val="en-IE"/>
              </w:rPr>
              <w:t>Investment 2: Improving the energy performance of public lighting systems</w:t>
            </w:r>
            <w:r w:rsidR="00896FDC" w:rsidRPr="004D3A46">
              <w:rPr>
                <w:rFonts w:ascii="Times New Roman" w:eastAsia="Calibri" w:hAnsi="Times New Roman" w:cs="Times New Roman"/>
                <w:b/>
                <w:bCs/>
                <w:noProof/>
                <w:sz w:val="20"/>
                <w:szCs w:val="20"/>
                <w:lang w:val="en-IE"/>
              </w:rPr>
              <w:t xml:space="preserve"> – Target 106</w:t>
            </w:r>
          </w:p>
        </w:tc>
      </w:tr>
      <w:tr w:rsidR="006143DD" w:rsidRPr="004D3A46" w14:paraId="654CEC41" w14:textId="77777777" w:rsidTr="00DB2E54">
        <w:tc>
          <w:tcPr>
            <w:tcW w:w="9242" w:type="dxa"/>
            <w:gridSpan w:val="3"/>
            <w:shd w:val="clear" w:color="auto" w:fill="auto"/>
          </w:tcPr>
          <w:p w14:paraId="20DC00A7" w14:textId="77777777" w:rsidR="006143DD" w:rsidRPr="004D3A46" w:rsidRDefault="006143DD" w:rsidP="00DB2E54">
            <w:pPr>
              <w:jc w:val="both"/>
              <w:rPr>
                <w:rFonts w:ascii="Times New Roman" w:eastAsia="Calibri" w:hAnsi="Times New Roman" w:cs="Times New Roman"/>
                <w:i/>
                <w:iCs/>
                <w:noProof/>
                <w:sz w:val="20"/>
                <w:szCs w:val="20"/>
                <w:lang w:val="en-IE"/>
              </w:rPr>
            </w:pPr>
            <w:r w:rsidRPr="004D3A46">
              <w:rPr>
                <w:rFonts w:ascii="Times New Roman" w:eastAsia="Calibri" w:hAnsi="Times New Roman" w:cs="Times New Roman"/>
                <w:i/>
                <w:iCs/>
                <w:noProof/>
                <w:sz w:val="20"/>
                <w:szCs w:val="20"/>
                <w:lang w:val="en-IE"/>
              </w:rPr>
              <w:t>Description and justification of the change</w:t>
            </w:r>
          </w:p>
        </w:tc>
      </w:tr>
      <w:tr w:rsidR="006143DD" w:rsidRPr="004D3A46" w14:paraId="20C9F1DE" w14:textId="77777777" w:rsidTr="00DB2E54">
        <w:tc>
          <w:tcPr>
            <w:tcW w:w="2235" w:type="dxa"/>
            <w:shd w:val="clear" w:color="auto" w:fill="00B0F0"/>
          </w:tcPr>
          <w:p w14:paraId="43A1ADEB"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CDD387D"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77E06F0"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Amended version</w:t>
            </w:r>
          </w:p>
        </w:tc>
      </w:tr>
      <w:tr w:rsidR="00896FDC" w:rsidRPr="004D3A46" w14:paraId="0BE3BCF1" w14:textId="77777777" w:rsidTr="00DB2E54">
        <w:tc>
          <w:tcPr>
            <w:tcW w:w="2235" w:type="dxa"/>
          </w:tcPr>
          <w:p w14:paraId="56084034"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23E5072" w14:textId="77777777" w:rsidR="00896FDC" w:rsidRPr="004D3A46" w:rsidRDefault="00896FDC" w:rsidP="00896FDC">
            <w:pPr>
              <w:jc w:val="both"/>
              <w:rPr>
                <w:i/>
                <w:noProof/>
                <w:sz w:val="20"/>
                <w:szCs w:val="24"/>
              </w:rPr>
            </w:pPr>
            <w:r w:rsidRPr="004D3A46">
              <w:rPr>
                <w:i/>
                <w:noProof/>
                <w:sz w:val="20"/>
                <w:szCs w:val="24"/>
              </w:rPr>
              <w:t xml:space="preserve">This investment aims at enabling the renovation of public lighting across different municipalities in the Czech Republic and at enabling these renovations to be linked to other smart elements such as supporting the development of electromobility. </w:t>
            </w:r>
          </w:p>
          <w:p w14:paraId="27CFC13D" w14:textId="77777777" w:rsidR="00896FDC" w:rsidRPr="004D3A46" w:rsidRDefault="00896FDC" w:rsidP="00896FDC">
            <w:pPr>
              <w:jc w:val="both"/>
              <w:rPr>
                <w:i/>
                <w:noProof/>
                <w:sz w:val="20"/>
                <w:szCs w:val="24"/>
              </w:rPr>
            </w:pPr>
            <w:r w:rsidRPr="004D3A46">
              <w:rPr>
                <w:i/>
                <w:noProof/>
                <w:sz w:val="20"/>
                <w:szCs w:val="24"/>
              </w:rPr>
              <w:t xml:space="preserve">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5DE56E2B" w14:textId="77777777" w:rsidR="00896FDC" w:rsidRPr="004D3A46" w:rsidRDefault="00896FDC" w:rsidP="00896FDC">
            <w:pPr>
              <w:jc w:val="both"/>
              <w:rPr>
                <w:i/>
                <w:noProof/>
                <w:sz w:val="20"/>
              </w:rPr>
            </w:pPr>
            <w:r w:rsidRPr="004D3A46">
              <w:rPr>
                <w:i/>
                <w:noProof/>
                <w:sz w:val="20"/>
              </w:rPr>
              <w:t>The investment includes supporting up to 2 000 projects of renovation of public lightning systems across different municipalities in Czechia, 80 % of which shall be contracted by 31 December 2024. The investment shall include renewal of lighting systems and the acquisition or optimisation of the management system.</w:t>
            </w:r>
          </w:p>
          <w:p w14:paraId="25DC1330" w14:textId="77777777" w:rsidR="00896FDC" w:rsidRPr="004D3A46" w:rsidRDefault="00896FDC" w:rsidP="00896FDC">
            <w:pPr>
              <w:jc w:val="both"/>
              <w:rPr>
                <w:i/>
                <w:noProof/>
                <w:sz w:val="20"/>
                <w:szCs w:val="24"/>
              </w:rPr>
            </w:pPr>
            <w:r w:rsidRPr="004D3A46">
              <w:rPr>
                <w:i/>
                <w:noProof/>
                <w:sz w:val="20"/>
                <w:szCs w:val="24"/>
              </w:rPr>
              <w:t>In order to better prepare this investment, a programme documentation shall be adopted and published by the Ministry of Industry and Trade by 31 December 2021. It shall establish the timetable and the conditions for support of the measures to renovate public lightning systems, including the smart elements.</w:t>
            </w:r>
          </w:p>
        </w:tc>
        <w:tc>
          <w:tcPr>
            <w:tcW w:w="3747" w:type="dxa"/>
          </w:tcPr>
          <w:p w14:paraId="137CADC7" w14:textId="77777777" w:rsidR="00896FDC" w:rsidRPr="004D3A46" w:rsidRDefault="00896FDC" w:rsidP="00896FDC">
            <w:pPr>
              <w:jc w:val="both"/>
              <w:rPr>
                <w:i/>
                <w:noProof/>
                <w:sz w:val="20"/>
                <w:szCs w:val="24"/>
              </w:rPr>
            </w:pPr>
            <w:r w:rsidRPr="004D3A46">
              <w:rPr>
                <w:i/>
                <w:noProof/>
                <w:sz w:val="20"/>
                <w:szCs w:val="24"/>
              </w:rPr>
              <w:t xml:space="preserve">This investment aims at enabling the renovation of public lighting across different municipalities in the Czech Republic and at enabling these renovations to be linked to other smart elements such as supporting the development of electromobility. </w:t>
            </w:r>
          </w:p>
          <w:p w14:paraId="20CCE4D1" w14:textId="77777777" w:rsidR="00896FDC" w:rsidRPr="004D3A46" w:rsidRDefault="00896FDC" w:rsidP="00896FDC">
            <w:pPr>
              <w:jc w:val="both"/>
              <w:rPr>
                <w:i/>
                <w:noProof/>
                <w:sz w:val="20"/>
                <w:szCs w:val="24"/>
              </w:rPr>
            </w:pPr>
            <w:r w:rsidRPr="004D3A46">
              <w:rPr>
                <w:i/>
                <w:noProof/>
                <w:sz w:val="20"/>
                <w:szCs w:val="24"/>
              </w:rPr>
              <w:t xml:space="preserve">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427018B7" w14:textId="77777777" w:rsidR="00896FDC" w:rsidRPr="004D3A46" w:rsidRDefault="00896FDC" w:rsidP="00896FDC">
            <w:pPr>
              <w:jc w:val="both"/>
              <w:rPr>
                <w:i/>
                <w:noProof/>
                <w:sz w:val="20"/>
              </w:rPr>
            </w:pPr>
            <w:r w:rsidRPr="004D3A46">
              <w:rPr>
                <w:i/>
                <w:noProof/>
                <w:sz w:val="20"/>
              </w:rPr>
              <w:t>The investment includes supporting up to 800 projects of renovation of public lightning systems across different municipalities in Czechia, 80 % of which shall be contracted by 31 December 2024. The investment shall include renewal of lighting systems and the acquisition or optimisation of the management system.</w:t>
            </w:r>
          </w:p>
          <w:p w14:paraId="1F3D6B3C" w14:textId="77777777" w:rsidR="00896FDC" w:rsidRPr="004D3A46" w:rsidRDefault="00896FDC" w:rsidP="00896FDC">
            <w:pPr>
              <w:jc w:val="both"/>
              <w:rPr>
                <w:i/>
                <w:noProof/>
                <w:sz w:val="20"/>
                <w:szCs w:val="24"/>
              </w:rPr>
            </w:pPr>
            <w:r w:rsidRPr="004D3A46">
              <w:rPr>
                <w:i/>
                <w:noProof/>
                <w:sz w:val="20"/>
                <w:szCs w:val="24"/>
              </w:rPr>
              <w:t>In order to better prepare this investment, a programme documentation shall be adopted and published by the Ministry of Industry and Trade by 31 December 2021. It shall establish the timetable and the conditions for support of the measures to renovate public lightning systems, including the smart elements.</w:t>
            </w:r>
          </w:p>
          <w:p w14:paraId="110FFD37" w14:textId="77777777" w:rsidR="00896FDC" w:rsidRPr="004D3A46" w:rsidRDefault="00896FDC" w:rsidP="00896FDC">
            <w:pPr>
              <w:jc w:val="both"/>
              <w:rPr>
                <w:rFonts w:ascii="Times New Roman" w:eastAsia="Calibri" w:hAnsi="Times New Roman" w:cs="Times New Roman"/>
                <w:i/>
                <w:noProof/>
                <w:sz w:val="20"/>
                <w:szCs w:val="20"/>
                <w:lang w:val="en-IE"/>
              </w:rPr>
            </w:pPr>
          </w:p>
        </w:tc>
      </w:tr>
      <w:tr w:rsidR="006143DD" w:rsidRPr="004D3A46" w14:paraId="1A53B8AE" w14:textId="77777777" w:rsidTr="00DB2E54">
        <w:tc>
          <w:tcPr>
            <w:tcW w:w="2235" w:type="dxa"/>
          </w:tcPr>
          <w:p w14:paraId="2C7B913C" w14:textId="77777777" w:rsidR="006143DD" w:rsidRPr="004D3A46" w:rsidRDefault="006143DD" w:rsidP="00DB2E54">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Milestones and targets </w:t>
            </w:r>
          </w:p>
        </w:tc>
        <w:tc>
          <w:tcPr>
            <w:tcW w:w="3260" w:type="dxa"/>
          </w:tcPr>
          <w:p w14:paraId="03790D1C" w14:textId="77777777" w:rsidR="006143DD" w:rsidRPr="004D3A46" w:rsidRDefault="00896FDC" w:rsidP="00DB2E54">
            <w:pPr>
              <w:jc w:val="both"/>
              <w:rPr>
                <w:rFonts w:eastAsia="Calibri" w:cstheme="minorHAnsi"/>
                <w:i/>
                <w:noProof/>
                <w:sz w:val="20"/>
                <w:szCs w:val="20"/>
                <w:lang w:val="en-US"/>
              </w:rPr>
            </w:pPr>
            <w:r w:rsidRPr="004D3A46">
              <w:rPr>
                <w:rFonts w:cstheme="minorHAnsi"/>
                <w:i/>
                <w:color w:val="004300"/>
                <w:sz w:val="20"/>
                <w:szCs w:val="20"/>
              </w:rPr>
              <w:t>I</w:t>
            </w:r>
            <w:r w:rsidRPr="004D3A46">
              <w:rPr>
                <w:rFonts w:eastAsia="Calibri" w:cstheme="minorHAnsi"/>
                <w:i/>
                <w:noProof/>
                <w:sz w:val="20"/>
                <w:szCs w:val="20"/>
                <w:lang w:val="en-US"/>
              </w:rPr>
              <w:t>n total at least 2000 projects of renovation of public lightning systems shall be supported under this measure. The target shall be achieved upon contracting 80 % of them (namely 1600) by 31 December 2024. Projects shall be evaluated and selected every year, based on the established criteria, following a transparent selection procedure.</w:t>
            </w:r>
            <w:r w:rsidRPr="004D3A46">
              <w:rPr>
                <w:rFonts w:eastAsia="Calibri" w:cstheme="minorHAnsi"/>
                <w:i/>
                <w:noProof/>
                <w:sz w:val="20"/>
                <w:szCs w:val="20"/>
                <w:lang w:val="en-US"/>
              </w:rPr>
              <w:br/>
              <w:t>Only projects that achieve, on average, a reduction in primary energy consumption of at least 30 % or a reduction in CO2 emissions of 30% shall be chosen for implementation. The 80 % target refers to projects with a grant agreement signed.</w:t>
            </w:r>
          </w:p>
        </w:tc>
        <w:tc>
          <w:tcPr>
            <w:tcW w:w="3747" w:type="dxa"/>
          </w:tcPr>
          <w:p w14:paraId="184F4240" w14:textId="77777777" w:rsidR="00896FDC" w:rsidRPr="004D3A46" w:rsidRDefault="00896FDC" w:rsidP="00896FDC">
            <w:pPr>
              <w:jc w:val="both"/>
              <w:rPr>
                <w:rFonts w:eastAsia="Calibri" w:cstheme="minorHAnsi"/>
                <w:i/>
                <w:noProof/>
                <w:sz w:val="20"/>
                <w:szCs w:val="20"/>
                <w:lang w:val="en-US"/>
              </w:rPr>
            </w:pPr>
            <w:r w:rsidRPr="004D3A46">
              <w:rPr>
                <w:rFonts w:cstheme="minorHAnsi"/>
                <w:i/>
                <w:color w:val="004300"/>
                <w:sz w:val="20"/>
                <w:szCs w:val="20"/>
              </w:rPr>
              <w:t>I</w:t>
            </w:r>
            <w:r w:rsidRPr="004D3A46">
              <w:rPr>
                <w:rFonts w:eastAsia="Calibri" w:cstheme="minorHAnsi"/>
                <w:i/>
                <w:noProof/>
                <w:sz w:val="20"/>
                <w:szCs w:val="20"/>
                <w:lang w:val="en-US"/>
              </w:rPr>
              <w:t xml:space="preserve">n total at least </w:t>
            </w:r>
            <w:r w:rsidRPr="004D3A46">
              <w:rPr>
                <w:rFonts w:eastAsia="Calibri" w:cstheme="minorHAnsi"/>
                <w:b/>
                <w:i/>
                <w:noProof/>
                <w:sz w:val="20"/>
                <w:szCs w:val="20"/>
                <w:lang w:val="en-US"/>
              </w:rPr>
              <w:t>800</w:t>
            </w:r>
            <w:r w:rsidRPr="004D3A46">
              <w:rPr>
                <w:rFonts w:eastAsia="Calibri" w:cstheme="minorHAnsi"/>
                <w:i/>
                <w:noProof/>
                <w:sz w:val="20"/>
                <w:szCs w:val="20"/>
                <w:lang w:val="en-US"/>
              </w:rPr>
              <w:t xml:space="preserve"> projects of renovation of public lightning systems shall be supported under this measure. The target shall be achieved upon contracting 80 % of them (namely </w:t>
            </w:r>
            <w:r w:rsidRPr="004D3A46">
              <w:rPr>
                <w:rFonts w:eastAsia="Calibri" w:cstheme="minorHAnsi"/>
                <w:b/>
                <w:i/>
                <w:noProof/>
                <w:sz w:val="20"/>
                <w:szCs w:val="20"/>
                <w:lang w:val="en-US"/>
              </w:rPr>
              <w:t>640</w:t>
            </w:r>
            <w:r w:rsidRPr="004D3A46">
              <w:rPr>
                <w:rFonts w:eastAsia="Calibri" w:cstheme="minorHAnsi"/>
                <w:i/>
                <w:noProof/>
                <w:sz w:val="20"/>
                <w:szCs w:val="20"/>
                <w:lang w:val="en-US"/>
              </w:rPr>
              <w:t>) by 31 December 2024. Projects shall be evaluated and selected every year, based on the established criteria, following a transparent selection procedure.</w:t>
            </w:r>
            <w:r w:rsidRPr="004D3A46">
              <w:rPr>
                <w:rFonts w:eastAsia="Calibri" w:cstheme="minorHAnsi"/>
                <w:i/>
                <w:noProof/>
                <w:sz w:val="20"/>
                <w:szCs w:val="20"/>
                <w:lang w:val="en-US"/>
              </w:rPr>
              <w:br/>
            </w:r>
            <w:r w:rsidRPr="004D3A46">
              <w:rPr>
                <w:rFonts w:eastAsia="Calibri" w:cstheme="minorHAnsi"/>
                <w:i/>
                <w:noProof/>
                <w:sz w:val="20"/>
                <w:szCs w:val="20"/>
                <w:lang w:val="en-US"/>
              </w:rPr>
              <w:br/>
              <w:t>Only projects that achieve, on average, a reduction in primary energy consumption of at least 30 % or a reduction in CO2 emissions of 30% shall be chosen for implementation. The 80 % target refers to projects with a grant agreement signed.</w:t>
            </w:r>
          </w:p>
          <w:p w14:paraId="6B699379" w14:textId="77777777" w:rsidR="006143DD" w:rsidRPr="004D3A46" w:rsidRDefault="006143DD" w:rsidP="00DB2E54">
            <w:pPr>
              <w:jc w:val="both"/>
              <w:rPr>
                <w:rFonts w:eastAsia="Calibri" w:cstheme="minorHAnsi"/>
                <w:i/>
                <w:noProof/>
                <w:sz w:val="20"/>
                <w:szCs w:val="20"/>
                <w:lang w:val="en-IE"/>
              </w:rPr>
            </w:pPr>
          </w:p>
        </w:tc>
      </w:tr>
      <w:tr w:rsidR="00896FDC" w:rsidRPr="004D3A46" w14:paraId="2080E118" w14:textId="77777777" w:rsidTr="00DB2E54">
        <w:tc>
          <w:tcPr>
            <w:tcW w:w="2235" w:type="dxa"/>
          </w:tcPr>
          <w:p w14:paraId="5FC6D6BF"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Estimated cost</w:t>
            </w:r>
          </w:p>
        </w:tc>
        <w:tc>
          <w:tcPr>
            <w:tcW w:w="3260" w:type="dxa"/>
          </w:tcPr>
          <w:p w14:paraId="1C387E1F"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1BB37503"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0D322B6D" w14:textId="77777777" w:rsidTr="00DB2E54">
        <w:tc>
          <w:tcPr>
            <w:tcW w:w="2235" w:type="dxa"/>
          </w:tcPr>
          <w:p w14:paraId="4090E7C9"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Green and digital tagging</w:t>
            </w:r>
          </w:p>
        </w:tc>
        <w:tc>
          <w:tcPr>
            <w:tcW w:w="3260" w:type="dxa"/>
          </w:tcPr>
          <w:p w14:paraId="5E3A8CF0"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5544765F"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60EB6A64" w14:textId="77777777" w:rsidTr="00DB2E54">
        <w:tc>
          <w:tcPr>
            <w:tcW w:w="2235" w:type="dxa"/>
          </w:tcPr>
          <w:p w14:paraId="756630D7"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DNSH self-assessment</w:t>
            </w:r>
          </w:p>
        </w:tc>
        <w:tc>
          <w:tcPr>
            <w:tcW w:w="3260" w:type="dxa"/>
          </w:tcPr>
          <w:p w14:paraId="0F27266C"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631CE84C"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bl>
    <w:p w14:paraId="3FE9F23F" w14:textId="77777777" w:rsidR="006143DD" w:rsidRPr="004D3A46" w:rsidRDefault="006143DD" w:rsidP="00896FDC">
      <w:pPr>
        <w:jc w:val="both"/>
      </w:pPr>
    </w:p>
    <w:p w14:paraId="0BAB9D91" w14:textId="77777777" w:rsidR="006143DD" w:rsidRPr="004D3A46" w:rsidRDefault="00896FDC" w:rsidP="00896FDC">
      <w:pPr>
        <w:tabs>
          <w:tab w:val="left" w:pos="1710"/>
        </w:tabs>
        <w:jc w:val="both"/>
      </w:pPr>
      <w:r w:rsidRPr="004D3A46">
        <w:rPr>
          <w:rFonts w:cstheme="minorHAnsi"/>
          <w:i/>
          <w:iCs/>
          <w:sz w:val="20"/>
          <w:szCs w:val="20"/>
          <w:lang w:val="en-US"/>
        </w:rPr>
        <w:t>Target No. 106 in the field of energy savings remains the same. Ministry of Industry and Trade decided to prioritize bigger projects over smaller ones. On the one hand, it is easier from an administrative point of view, and in addition, as already mentioned, this modification generates the same amount of energy savings. Therefore, minimum number of supported projects from 2,000 to 800 was proposed, with the goal to be achieved by contracting at least 80% of them (i.e. 640 projects) by 31 December 2024.</w:t>
      </w:r>
    </w:p>
    <w:p w14:paraId="1F72F646" w14:textId="77777777" w:rsidR="006143DD" w:rsidRPr="004D3A46" w:rsidRDefault="006143DD" w:rsidP="00605759"/>
    <w:p w14:paraId="08CE6F91" w14:textId="77777777" w:rsidR="00896FDC" w:rsidRPr="004D3A46" w:rsidRDefault="00896FDC" w:rsidP="00605759"/>
    <w:p w14:paraId="61CDCEAD" w14:textId="77777777" w:rsidR="00896FDC" w:rsidRPr="004D3A46" w:rsidRDefault="00896FDC" w:rsidP="00605759"/>
    <w:tbl>
      <w:tblPr>
        <w:tblStyle w:val="Mkatabulky"/>
        <w:tblW w:w="0" w:type="auto"/>
        <w:tblLook w:val="04A0" w:firstRow="1" w:lastRow="0" w:firstColumn="1" w:lastColumn="0" w:noHBand="0" w:noVBand="1"/>
      </w:tblPr>
      <w:tblGrid>
        <w:gridCol w:w="3227"/>
        <w:gridCol w:w="5939"/>
      </w:tblGrid>
      <w:tr w:rsidR="006143DD" w:rsidRPr="004D3A46" w14:paraId="6AAF9A76" w14:textId="77777777" w:rsidTr="00DB2E54">
        <w:tc>
          <w:tcPr>
            <w:tcW w:w="9166" w:type="dxa"/>
            <w:gridSpan w:val="2"/>
            <w:shd w:val="clear" w:color="auto" w:fill="1F3864"/>
          </w:tcPr>
          <w:p w14:paraId="0CF8369F" w14:textId="77777777" w:rsidR="006143DD" w:rsidRPr="004D3A46" w:rsidRDefault="00C45B77" w:rsidP="00DB2E54">
            <w:pPr>
              <w:jc w:val="center"/>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Component 2.2: REDUCING ENERGY CONSUMPTION IN THE PUBLIC SECTOR</w:t>
            </w:r>
          </w:p>
        </w:tc>
      </w:tr>
      <w:tr w:rsidR="006143DD" w:rsidRPr="004D3A46" w14:paraId="72B9106E" w14:textId="77777777" w:rsidTr="00DB2E54">
        <w:tc>
          <w:tcPr>
            <w:tcW w:w="3227" w:type="dxa"/>
            <w:shd w:val="clear" w:color="auto" w:fill="00B0F0"/>
          </w:tcPr>
          <w:p w14:paraId="7AA5A6BD" w14:textId="77777777" w:rsidR="006143DD" w:rsidRPr="004D3A46" w:rsidRDefault="006143DD"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9D47E2C" w14:textId="77777777" w:rsidR="006143DD" w:rsidRPr="004D3A46" w:rsidRDefault="007D52BD"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Investment 3</w:t>
            </w:r>
          </w:p>
        </w:tc>
      </w:tr>
      <w:tr w:rsidR="006143DD" w:rsidRPr="004D3A46" w14:paraId="562DE1D7" w14:textId="77777777" w:rsidTr="00DB2E54">
        <w:tc>
          <w:tcPr>
            <w:tcW w:w="3227" w:type="dxa"/>
            <w:shd w:val="clear" w:color="auto" w:fill="00B0F0"/>
          </w:tcPr>
          <w:p w14:paraId="5D0CAD3D" w14:textId="77777777" w:rsidR="006143DD" w:rsidRPr="004D3A46" w:rsidRDefault="006143DD"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4A2DD6A" w14:textId="77777777" w:rsidR="006143DD" w:rsidRPr="004D3A46" w:rsidRDefault="007D52BD"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Improving the energy performance of public buildings</w:t>
            </w:r>
          </w:p>
        </w:tc>
      </w:tr>
      <w:tr w:rsidR="006143DD" w:rsidRPr="004D3A46" w14:paraId="4FA59F72" w14:textId="77777777" w:rsidTr="00DB2E54">
        <w:tc>
          <w:tcPr>
            <w:tcW w:w="3227" w:type="dxa"/>
            <w:shd w:val="clear" w:color="auto" w:fill="BDD6EE"/>
          </w:tcPr>
          <w:p w14:paraId="74CD569F" w14:textId="77777777" w:rsidR="006143DD" w:rsidRPr="004D3A46" w:rsidRDefault="006143DD"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Type of change compared to CID</w:t>
            </w:r>
          </w:p>
        </w:tc>
        <w:tc>
          <w:tcPr>
            <w:tcW w:w="5939" w:type="dxa"/>
          </w:tcPr>
          <w:p w14:paraId="03F094D3"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noProof/>
                <w:sz w:val="20"/>
                <w:szCs w:val="20"/>
                <w:lang w:val="en-US"/>
              </w:rPr>
              <w:t>[modified]</w:t>
            </w:r>
          </w:p>
        </w:tc>
      </w:tr>
      <w:tr w:rsidR="006143DD" w:rsidRPr="004D3A46" w14:paraId="6866C6FF" w14:textId="77777777" w:rsidTr="00DB2E54">
        <w:tc>
          <w:tcPr>
            <w:tcW w:w="3227" w:type="dxa"/>
            <w:shd w:val="clear" w:color="auto" w:fill="BDD6EE"/>
          </w:tcPr>
          <w:p w14:paraId="7C8668B7"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Legal base of the change (select at least one)</w:t>
            </w:r>
          </w:p>
        </w:tc>
        <w:tc>
          <w:tcPr>
            <w:tcW w:w="5939" w:type="dxa"/>
          </w:tcPr>
          <w:p w14:paraId="053593B9"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51274079"/>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14(2) – loan request</w:t>
            </w:r>
          </w:p>
          <w:p w14:paraId="3877111E"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61798989"/>
                <w14:checkbox>
                  <w14:checked w14:val="1"/>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18(2) – update of the maximum financial contribution</w:t>
            </w:r>
          </w:p>
          <w:p w14:paraId="79293901" w14:textId="77777777" w:rsidR="006143DD" w:rsidRPr="004D3A46" w:rsidRDefault="00097F3D" w:rsidP="00DB2E5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62124407"/>
                <w:placeholder>
                  <w:docPart w:val="97E9754EEDAA4DDE85F17A0F1FF67916"/>
                </w:placeholder>
                <w14:checkbox>
                  <w14:checked w14:val="1"/>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Article 21 – amendment due to objective circumstances</w:t>
            </w:r>
          </w:p>
          <w:p w14:paraId="357A5114" w14:textId="77777777" w:rsidR="006143DD" w:rsidRPr="004D3A46" w:rsidRDefault="00097F3D" w:rsidP="00DB2E5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582296807"/>
                <w:placeholder>
                  <w:docPart w:val="97E9754EEDAA4DDE85F17A0F1FF67916"/>
                </w:placeholder>
                <w14:checkbox>
                  <w14:checked w14:val="0"/>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fr-BE"/>
                  </w:rPr>
                  <w:t>☐</w:t>
                </w:r>
              </w:sdtContent>
            </w:sdt>
            <w:r w:rsidR="006143DD" w:rsidRPr="004D3A46">
              <w:rPr>
                <w:rFonts w:ascii="Times New Roman" w:eastAsia="Calibri" w:hAnsi="Times New Roman" w:cs="Times New Roman"/>
                <w:noProof/>
                <w:sz w:val="20"/>
                <w:szCs w:val="20"/>
                <w:lang w:val="fr-BE"/>
              </w:rPr>
              <w:t xml:space="preserve"> Article 21a – REPowerEU non-repayable financial support (ETS revenue)</w:t>
            </w:r>
          </w:p>
          <w:p w14:paraId="48AB7CFF" w14:textId="77777777" w:rsidR="006143DD" w:rsidRPr="004D3A46" w:rsidRDefault="00097F3D" w:rsidP="00DB2E5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034959370"/>
                <w:placeholder>
                  <w:docPart w:val="97E9754EEDAA4DDE85F17A0F1FF67916"/>
                </w:placeholder>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IE"/>
                  </w:rPr>
                  <w:t>☐</w:t>
                </w:r>
              </w:sdtContent>
            </w:sdt>
            <w:r w:rsidR="006143DD" w:rsidRPr="004D3A46">
              <w:rPr>
                <w:rFonts w:ascii="Times New Roman" w:eastAsia="Calibri" w:hAnsi="Times New Roman" w:cs="Times New Roman"/>
                <w:noProof/>
                <w:sz w:val="20"/>
                <w:szCs w:val="20"/>
                <w:lang w:val="en-IE"/>
              </w:rPr>
              <w:t xml:space="preserve"> Article 21b (2) – BAR transfers</w:t>
            </w:r>
          </w:p>
          <w:p w14:paraId="6E995720" w14:textId="77777777" w:rsidR="006143DD" w:rsidRPr="004D3A46" w:rsidRDefault="006143DD" w:rsidP="00DB2E54">
            <w:pPr>
              <w:jc w:val="both"/>
              <w:rPr>
                <w:rFonts w:ascii="Times New Roman" w:eastAsia="Calibri" w:hAnsi="Times New Roman" w:cs="Times New Roman"/>
                <w:noProof/>
                <w:sz w:val="20"/>
                <w:szCs w:val="20"/>
                <w:lang w:val="en-US"/>
              </w:rPr>
            </w:pPr>
            <w:r w:rsidRPr="004D3A46">
              <w:rPr>
                <w:rFonts w:ascii="Segoe UI Symbol" w:eastAsia="MS Gothic" w:hAnsi="Segoe UI Symbol" w:cs="Segoe UI Symbol"/>
                <w:noProof/>
                <w:sz w:val="20"/>
                <w:szCs w:val="20"/>
                <w:lang w:val="en-US"/>
              </w:rPr>
              <w:t>☐</w:t>
            </w:r>
            <w:r w:rsidRPr="004D3A46">
              <w:rPr>
                <w:rFonts w:ascii="Times New Roman" w:eastAsia="Calibri" w:hAnsi="Times New Roman" w:cs="Times New Roman"/>
                <w:noProof/>
                <w:sz w:val="20"/>
                <w:szCs w:val="20"/>
                <w:lang w:val="en-US"/>
              </w:rPr>
              <w:t xml:space="preserve"> None of the above, correction of clerical error</w:t>
            </w:r>
          </w:p>
          <w:p w14:paraId="6BB9E253" w14:textId="77777777" w:rsidR="006143DD" w:rsidRPr="004D3A46" w:rsidRDefault="006143DD" w:rsidP="00DB2E54">
            <w:pPr>
              <w:jc w:val="both"/>
              <w:rPr>
                <w:rFonts w:ascii="Times New Roman" w:eastAsia="Calibri" w:hAnsi="Times New Roman" w:cs="Times New Roman"/>
                <w:noProof/>
                <w:sz w:val="20"/>
                <w:szCs w:val="20"/>
                <w:lang w:val="en-IE"/>
              </w:rPr>
            </w:pPr>
          </w:p>
        </w:tc>
      </w:tr>
      <w:tr w:rsidR="006143DD" w:rsidRPr="004D3A46" w14:paraId="7F1D407F" w14:textId="77777777" w:rsidTr="00DB2E54">
        <w:tc>
          <w:tcPr>
            <w:tcW w:w="3227" w:type="dxa"/>
            <w:shd w:val="clear" w:color="auto" w:fill="BDD6EE"/>
          </w:tcPr>
          <w:p w14:paraId="72301374" w14:textId="77777777" w:rsidR="006143DD" w:rsidRPr="004D3A46" w:rsidRDefault="006143DD"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Elements modified (only for modified measures)</w:t>
            </w:r>
          </w:p>
          <w:p w14:paraId="23DE523C" w14:textId="77777777" w:rsidR="006143DD" w:rsidRPr="004D3A46" w:rsidRDefault="006143DD" w:rsidP="00DB2E54">
            <w:pPr>
              <w:jc w:val="both"/>
              <w:rPr>
                <w:rFonts w:ascii="Times New Roman" w:eastAsia="Calibri" w:hAnsi="Times New Roman" w:cs="Times New Roman"/>
                <w:b/>
                <w:bCs/>
                <w:noProof/>
                <w:sz w:val="24"/>
                <w:szCs w:val="24"/>
                <w:u w:val="single"/>
                <w:lang w:val="en-IE"/>
              </w:rPr>
            </w:pPr>
          </w:p>
        </w:tc>
        <w:tc>
          <w:tcPr>
            <w:tcW w:w="5939" w:type="dxa"/>
          </w:tcPr>
          <w:p w14:paraId="23D34F89"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92285199"/>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Component / Measure description</w:t>
            </w:r>
          </w:p>
          <w:p w14:paraId="5CF75659"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08800918"/>
                <w:placeholder>
                  <w:docPart w:val="97E9754EEDAA4DDE85F17A0F1FF67916"/>
                </w:placeholder>
                <w14:checkbox>
                  <w14:checked w14:val="1"/>
                  <w14:checkedState w14:val="2612" w14:font="MS Gothic"/>
                  <w14:uncheckedState w14:val="2610" w14:font="MS Gothic"/>
                </w14:checkbox>
              </w:sdtPr>
              <w:sdtEndPr/>
              <w:sdtContent>
                <w:r w:rsidR="00896FDC"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Milestones and targets</w:t>
            </w:r>
          </w:p>
          <w:p w14:paraId="0AB1821A"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99899049"/>
                <w14:checkbox>
                  <w14:checked w14:val="1"/>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Estimated cost</w:t>
            </w:r>
          </w:p>
          <w:p w14:paraId="174EB7E5" w14:textId="77777777" w:rsidR="006143DD"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32768816"/>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C99B2DD" w14:textId="77777777" w:rsidR="006143DD" w:rsidRPr="004D3A46" w:rsidRDefault="00097F3D" w:rsidP="00DB2E5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192965511"/>
                <w14:checkbox>
                  <w14:checked w14:val="0"/>
                  <w14:checkedState w14:val="2612" w14:font="MS Gothic"/>
                  <w14:uncheckedState w14:val="2610" w14:font="MS Gothic"/>
                </w14:checkbox>
              </w:sdtPr>
              <w:sdtEndPr/>
              <w:sdtContent>
                <w:r w:rsidR="006143DD" w:rsidRPr="004D3A46">
                  <w:rPr>
                    <w:rFonts w:ascii="Segoe UI Symbol" w:eastAsia="Calibri" w:hAnsi="Segoe UI Symbol" w:cs="Segoe UI Symbol"/>
                    <w:noProof/>
                    <w:color w:val="2B579A"/>
                    <w:sz w:val="20"/>
                    <w:szCs w:val="20"/>
                    <w:shd w:val="clear" w:color="auto" w:fill="E6E6E6"/>
                    <w:lang w:val="en-US"/>
                  </w:rPr>
                  <w:t>☐</w:t>
                </w:r>
              </w:sdtContent>
            </w:sdt>
            <w:r w:rsidR="006143DD" w:rsidRPr="004D3A46">
              <w:rPr>
                <w:rFonts w:ascii="Times New Roman" w:eastAsia="Calibri" w:hAnsi="Times New Roman" w:cs="Times New Roman"/>
                <w:noProof/>
                <w:sz w:val="20"/>
                <w:szCs w:val="20"/>
                <w:lang w:val="en-US"/>
              </w:rPr>
              <w:t xml:space="preserve"> DNSH self-assessment</w:t>
            </w:r>
          </w:p>
        </w:tc>
      </w:tr>
    </w:tbl>
    <w:p w14:paraId="52E56223" w14:textId="77777777" w:rsidR="006143DD" w:rsidRPr="004D3A46" w:rsidRDefault="006143DD" w:rsidP="006143DD"/>
    <w:tbl>
      <w:tblPr>
        <w:tblStyle w:val="Mkatabulky"/>
        <w:tblW w:w="0" w:type="auto"/>
        <w:tblLook w:val="04A0" w:firstRow="1" w:lastRow="0" w:firstColumn="1" w:lastColumn="0" w:noHBand="0" w:noVBand="1"/>
      </w:tblPr>
      <w:tblGrid>
        <w:gridCol w:w="2235"/>
        <w:gridCol w:w="3260"/>
        <w:gridCol w:w="3747"/>
      </w:tblGrid>
      <w:tr w:rsidR="006143DD" w:rsidRPr="004D3A46" w14:paraId="3D8286F3" w14:textId="77777777" w:rsidTr="00DB2E54">
        <w:tc>
          <w:tcPr>
            <w:tcW w:w="9242" w:type="dxa"/>
            <w:gridSpan w:val="3"/>
            <w:shd w:val="clear" w:color="auto" w:fill="1F3864"/>
          </w:tcPr>
          <w:p w14:paraId="2A26E409" w14:textId="77777777" w:rsidR="006143DD" w:rsidRPr="004D3A46" w:rsidRDefault="007D52BD" w:rsidP="00DB2E54">
            <w:pPr>
              <w:jc w:val="center"/>
              <w:rPr>
                <w:rFonts w:ascii="Times New Roman" w:eastAsia="Calibri" w:hAnsi="Times New Roman" w:cs="Times New Roman"/>
                <w:b/>
                <w:bCs/>
                <w:noProof/>
                <w:sz w:val="20"/>
                <w:szCs w:val="20"/>
                <w:lang w:val="en-IE"/>
              </w:rPr>
            </w:pPr>
            <w:r w:rsidRPr="004D3A46">
              <w:rPr>
                <w:rFonts w:ascii="Times New Roman" w:eastAsia="Calibri" w:hAnsi="Times New Roman" w:cs="Times New Roman"/>
                <w:b/>
                <w:bCs/>
                <w:noProof/>
                <w:sz w:val="20"/>
                <w:szCs w:val="20"/>
                <w:lang w:val="en-IE"/>
              </w:rPr>
              <w:t xml:space="preserve">Investment 3: </w:t>
            </w:r>
            <w:r w:rsidR="0049113C" w:rsidRPr="004D3A46">
              <w:rPr>
                <w:rFonts w:ascii="Times New Roman" w:eastAsia="Calibri" w:hAnsi="Times New Roman" w:cs="Times New Roman"/>
                <w:b/>
                <w:bCs/>
                <w:noProof/>
                <w:sz w:val="20"/>
                <w:szCs w:val="20"/>
                <w:lang w:val="en-IE"/>
              </w:rPr>
              <w:t>Improving the energy performance of public buildings</w:t>
            </w:r>
            <w:r w:rsidR="00896FDC" w:rsidRPr="004D3A46">
              <w:rPr>
                <w:rFonts w:ascii="Times New Roman" w:eastAsia="Calibri" w:hAnsi="Times New Roman" w:cs="Times New Roman"/>
                <w:b/>
                <w:bCs/>
                <w:noProof/>
                <w:sz w:val="20"/>
                <w:szCs w:val="20"/>
                <w:lang w:val="en-IE"/>
              </w:rPr>
              <w:t xml:space="preserve"> – Target 108</w:t>
            </w:r>
          </w:p>
        </w:tc>
      </w:tr>
      <w:tr w:rsidR="006143DD" w:rsidRPr="004D3A46" w14:paraId="7710561D" w14:textId="77777777" w:rsidTr="00DB2E54">
        <w:tc>
          <w:tcPr>
            <w:tcW w:w="9242" w:type="dxa"/>
            <w:gridSpan w:val="3"/>
            <w:shd w:val="clear" w:color="auto" w:fill="auto"/>
          </w:tcPr>
          <w:p w14:paraId="32F9EE0C" w14:textId="77777777" w:rsidR="006143DD" w:rsidRPr="004D3A46" w:rsidRDefault="006143DD" w:rsidP="00DB2E54">
            <w:pPr>
              <w:jc w:val="both"/>
              <w:rPr>
                <w:rFonts w:ascii="Times New Roman" w:eastAsia="Calibri" w:hAnsi="Times New Roman" w:cs="Times New Roman"/>
                <w:i/>
                <w:iCs/>
                <w:noProof/>
                <w:sz w:val="20"/>
                <w:szCs w:val="20"/>
                <w:lang w:val="en-IE"/>
              </w:rPr>
            </w:pPr>
            <w:r w:rsidRPr="004D3A46">
              <w:rPr>
                <w:rFonts w:ascii="Times New Roman" w:eastAsia="Calibri" w:hAnsi="Times New Roman" w:cs="Times New Roman"/>
                <w:i/>
                <w:iCs/>
                <w:noProof/>
                <w:sz w:val="20"/>
                <w:szCs w:val="20"/>
                <w:lang w:val="en-IE"/>
              </w:rPr>
              <w:t>Description and justification of the change</w:t>
            </w:r>
          </w:p>
        </w:tc>
      </w:tr>
      <w:tr w:rsidR="006143DD" w:rsidRPr="004D3A46" w14:paraId="4DCC193F" w14:textId="77777777" w:rsidTr="00DB2E54">
        <w:tc>
          <w:tcPr>
            <w:tcW w:w="2235" w:type="dxa"/>
            <w:shd w:val="clear" w:color="auto" w:fill="00B0F0"/>
          </w:tcPr>
          <w:p w14:paraId="380BE253"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19A2BDB"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CECFD43" w14:textId="77777777" w:rsidR="006143DD" w:rsidRPr="004D3A46" w:rsidRDefault="006143DD"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Amended version</w:t>
            </w:r>
          </w:p>
        </w:tc>
      </w:tr>
      <w:tr w:rsidR="006143DD" w:rsidRPr="004D3A46" w14:paraId="5F1ED2AE" w14:textId="77777777" w:rsidTr="00DB2E54">
        <w:tc>
          <w:tcPr>
            <w:tcW w:w="2235" w:type="dxa"/>
          </w:tcPr>
          <w:p w14:paraId="121A27B5" w14:textId="77777777" w:rsidR="006143DD" w:rsidRPr="004D3A46" w:rsidRDefault="006143DD" w:rsidP="00DB2E54">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A8EE3D3" w14:textId="77777777" w:rsidR="00896FDC" w:rsidRPr="004D3A46" w:rsidRDefault="00896FDC" w:rsidP="00896FDC">
            <w:pPr>
              <w:jc w:val="both"/>
              <w:rPr>
                <w:i/>
                <w:noProof/>
                <w:sz w:val="20"/>
                <w:szCs w:val="24"/>
              </w:rPr>
            </w:pPr>
            <w:r w:rsidRPr="004D3A46">
              <w:rPr>
                <w:i/>
                <w:noProof/>
                <w:sz w:val="20"/>
                <w:szCs w:val="24"/>
              </w:rPr>
              <w:t xml:space="preserve">This investment aims at reducing final energy consumption in the public buildings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281643EE" w14:textId="77777777" w:rsidR="006143DD" w:rsidRPr="004D3A46" w:rsidRDefault="00896FDC" w:rsidP="00896FDC">
            <w:pPr>
              <w:tabs>
                <w:tab w:val="left" w:pos="1402"/>
              </w:tabs>
              <w:spacing w:after="300" w:line="280" w:lineRule="exact"/>
              <w:jc w:val="both"/>
              <w:rPr>
                <w:rFonts w:eastAsia="Segoe UI" w:cs="Segoe UI"/>
                <w:i/>
                <w:noProof/>
                <w:color w:val="000000"/>
                <w:sz w:val="20"/>
                <w:szCs w:val="24"/>
                <w:lang w:val="en" w:eastAsia="cs-CZ" w:bidi="cs-CZ"/>
              </w:rPr>
            </w:pPr>
            <w:r w:rsidRPr="004D3A46">
              <w:rPr>
                <w:i/>
                <w:noProof/>
                <w:sz w:val="20"/>
                <w:szCs w:val="24"/>
              </w:rPr>
              <w:t xml:space="preserve">The investment aims at supporting up to 400 building renovation projects including insulation of a buildings, exchange and renovation of windows and doors, installation of systems based on renewable energy sources or implementation of improvements of </w:t>
            </w:r>
            <w:r w:rsidRPr="004D3A46">
              <w:rPr>
                <w:i/>
                <w:noProof/>
                <w:sz w:val="20"/>
                <w:szCs w:val="24"/>
              </w:rPr>
              <w:lastRenderedPageBreak/>
              <w:t>the indoor environment measures having a demonstrable impact on the energy performance of the buildings.</w:t>
            </w:r>
          </w:p>
        </w:tc>
        <w:tc>
          <w:tcPr>
            <w:tcW w:w="3747" w:type="dxa"/>
          </w:tcPr>
          <w:p w14:paraId="23506248" w14:textId="77777777" w:rsidR="00896FDC" w:rsidRPr="004D3A46" w:rsidRDefault="00896FDC" w:rsidP="00896FDC">
            <w:pPr>
              <w:jc w:val="both"/>
              <w:rPr>
                <w:i/>
                <w:noProof/>
                <w:sz w:val="20"/>
                <w:szCs w:val="24"/>
              </w:rPr>
            </w:pPr>
            <w:r w:rsidRPr="004D3A46">
              <w:rPr>
                <w:i/>
                <w:noProof/>
                <w:sz w:val="20"/>
                <w:szCs w:val="24"/>
              </w:rPr>
              <w:lastRenderedPageBreak/>
              <w:t xml:space="preserve">This investment aims at reducing final energy consumption in the public buildings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7CC9F401" w14:textId="77777777" w:rsidR="006143DD" w:rsidRPr="004D3A46" w:rsidRDefault="00896FDC" w:rsidP="00896FDC">
            <w:pPr>
              <w:tabs>
                <w:tab w:val="left" w:pos="1402"/>
              </w:tabs>
              <w:spacing w:after="300" w:line="280" w:lineRule="exact"/>
              <w:jc w:val="both"/>
              <w:rPr>
                <w:rFonts w:eastAsia="Segoe UI" w:cs="Segoe UI"/>
                <w:i/>
                <w:noProof/>
                <w:color w:val="000000"/>
                <w:sz w:val="20"/>
                <w:szCs w:val="24"/>
                <w:lang w:val="en" w:eastAsia="cs-CZ" w:bidi="cs-CZ"/>
              </w:rPr>
            </w:pPr>
            <w:r w:rsidRPr="004D3A46">
              <w:rPr>
                <w:i/>
                <w:noProof/>
                <w:sz w:val="20"/>
                <w:szCs w:val="24"/>
              </w:rPr>
              <w:t xml:space="preserve">The investment aims at supporting up to 220 building renovation projects including insulation of a buildings, exchange and renovation of windows and doors, installation of systems based on renewable energy sources or implementation of improvements of the indoor environment </w:t>
            </w:r>
            <w:r w:rsidRPr="004D3A46">
              <w:rPr>
                <w:i/>
                <w:noProof/>
                <w:sz w:val="20"/>
                <w:szCs w:val="24"/>
              </w:rPr>
              <w:lastRenderedPageBreak/>
              <w:t>measures having a demonstrable impact on the energy performance of the buildings.</w:t>
            </w:r>
          </w:p>
        </w:tc>
      </w:tr>
      <w:tr w:rsidR="006143DD" w:rsidRPr="004D3A46" w14:paraId="616D7CEE" w14:textId="77777777" w:rsidTr="00DB2E54">
        <w:tc>
          <w:tcPr>
            <w:tcW w:w="2235" w:type="dxa"/>
          </w:tcPr>
          <w:p w14:paraId="2FB67A22" w14:textId="77777777" w:rsidR="006143DD" w:rsidRPr="004D3A46" w:rsidRDefault="006143DD" w:rsidP="00DB2E54">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096BBAA3" w14:textId="77777777" w:rsidR="006143DD" w:rsidRPr="004D3A46" w:rsidRDefault="00896FDC" w:rsidP="00DB2E54">
            <w:pPr>
              <w:jc w:val="both"/>
              <w:rPr>
                <w:rFonts w:eastAsia="Calibri" w:cstheme="minorHAnsi"/>
                <w:i/>
                <w:noProof/>
                <w:sz w:val="20"/>
                <w:szCs w:val="20"/>
                <w:lang w:val="en-US"/>
              </w:rPr>
            </w:pPr>
            <w:r w:rsidRPr="004D3A46">
              <w:rPr>
                <w:rFonts w:cstheme="minorHAnsi"/>
                <w:i/>
                <w:color w:val="004300"/>
                <w:sz w:val="20"/>
                <w:szCs w:val="20"/>
              </w:rPr>
              <w:t>I</w:t>
            </w:r>
            <w:r w:rsidRPr="004D3A46">
              <w:rPr>
                <w:rFonts w:eastAsia="Calibri" w:cstheme="minorHAnsi"/>
                <w:i/>
                <w:noProof/>
                <w:sz w:val="20"/>
                <w:szCs w:val="20"/>
                <w:lang w:val="en-US"/>
              </w:rPr>
              <w:t xml:space="preserve">n total at least 400 building renovation projects) shall be supported under this measure. The target shall be achieved upon contracting 75 % of them. Projects shall be submitted to the State Environmental Fund within continuous call and evaluated based on the established criteria, following a transparent selection procedure. </w:t>
            </w:r>
            <w:r w:rsidRPr="004D3A46">
              <w:rPr>
                <w:rFonts w:eastAsia="Calibri" w:cstheme="minorHAnsi"/>
                <w:i/>
                <w:noProof/>
                <w:sz w:val="20"/>
                <w:szCs w:val="20"/>
                <w:lang w:val="en-US"/>
              </w:rPr>
              <w:br/>
              <w:t>Only projects that achieve, on average, a reduction in primary energy consumption of at least 30 % or a reduction in CO2 emissions of 30% shall be chosen for implementation. The 75 % target refers to projects with a grant agreement signed. Investments into boiler replacements including those with natural gas as an energy source shall be limited to maximum 20 % of the overall allocation.</w:t>
            </w:r>
          </w:p>
        </w:tc>
        <w:tc>
          <w:tcPr>
            <w:tcW w:w="3747" w:type="dxa"/>
          </w:tcPr>
          <w:p w14:paraId="5817F768" w14:textId="1E4CDB84" w:rsidR="006143DD" w:rsidRPr="004D3A46" w:rsidRDefault="00896FDC" w:rsidP="00DB2E54">
            <w:pPr>
              <w:jc w:val="both"/>
              <w:rPr>
                <w:rFonts w:eastAsia="Calibri" w:cstheme="minorHAnsi"/>
                <w:i/>
                <w:noProof/>
                <w:sz w:val="20"/>
                <w:szCs w:val="20"/>
                <w:lang w:val="en-IE"/>
              </w:rPr>
            </w:pPr>
            <w:r w:rsidRPr="004D3A46">
              <w:rPr>
                <w:rFonts w:cstheme="minorHAnsi"/>
                <w:i/>
                <w:color w:val="004300"/>
                <w:sz w:val="20"/>
                <w:szCs w:val="20"/>
              </w:rPr>
              <w:t>I</w:t>
            </w:r>
            <w:r w:rsidRPr="004D3A46">
              <w:rPr>
                <w:rFonts w:eastAsia="Calibri" w:cstheme="minorHAnsi"/>
                <w:i/>
                <w:noProof/>
                <w:sz w:val="20"/>
                <w:szCs w:val="20"/>
                <w:lang w:val="en-US"/>
              </w:rPr>
              <w:t xml:space="preserve">n total at least 220 building renovation projects shall be supported under this measure. The target shall be achieved upon contracting 75 % of them. Projects shall be submitted to the State Environmental Fund within continuous call and evaluated based on the established criteria, following a transparent selection procedure. </w:t>
            </w:r>
            <w:r w:rsidRPr="004D3A46">
              <w:rPr>
                <w:rFonts w:eastAsia="Calibri" w:cstheme="minorHAnsi"/>
                <w:i/>
                <w:noProof/>
                <w:sz w:val="20"/>
                <w:szCs w:val="20"/>
                <w:lang w:val="en-US"/>
              </w:rPr>
              <w:br/>
              <w:t>Only projects that achieve, on average, a reduction in primary energy consumption of at least 30 % or a reduction in CO2 emissions of 30% shall be chosen for implementation. The 75 % target refers to projects with a grant agreement signed. Investments into boiler replacements including those with natural gas as an energy source shall be limited to maximum 20 % of the overall allocation.</w:t>
            </w:r>
          </w:p>
        </w:tc>
      </w:tr>
      <w:tr w:rsidR="00FE6363" w:rsidRPr="004D3A46" w14:paraId="15EC70C1" w14:textId="77777777" w:rsidTr="00DB2E54">
        <w:tc>
          <w:tcPr>
            <w:tcW w:w="2235" w:type="dxa"/>
          </w:tcPr>
          <w:p w14:paraId="1C080150" w14:textId="77777777" w:rsidR="00FE6363" w:rsidRPr="004D3A46" w:rsidRDefault="00FE6363" w:rsidP="00FE6363">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Estimated cost</w:t>
            </w:r>
          </w:p>
        </w:tc>
        <w:tc>
          <w:tcPr>
            <w:tcW w:w="3260" w:type="dxa"/>
          </w:tcPr>
          <w:p w14:paraId="4F305DA5"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3.285 mil CZK</w:t>
            </w:r>
          </w:p>
        </w:tc>
        <w:tc>
          <w:tcPr>
            <w:tcW w:w="3747" w:type="dxa"/>
          </w:tcPr>
          <w:p w14:paraId="0819BB97"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4,785 mil. CZK</w:t>
            </w:r>
          </w:p>
        </w:tc>
      </w:tr>
      <w:tr w:rsidR="00896FDC" w:rsidRPr="004D3A46" w14:paraId="20689AB8" w14:textId="77777777" w:rsidTr="00DB2E54">
        <w:tc>
          <w:tcPr>
            <w:tcW w:w="2235" w:type="dxa"/>
          </w:tcPr>
          <w:p w14:paraId="19747CEE"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Green and digital tagging</w:t>
            </w:r>
          </w:p>
        </w:tc>
        <w:tc>
          <w:tcPr>
            <w:tcW w:w="3260" w:type="dxa"/>
          </w:tcPr>
          <w:p w14:paraId="49B773EE"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0000A41C"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47F5F568" w14:textId="77777777" w:rsidTr="00DB2E54">
        <w:tc>
          <w:tcPr>
            <w:tcW w:w="2235" w:type="dxa"/>
          </w:tcPr>
          <w:p w14:paraId="2087B01D"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DNSH self-assessment</w:t>
            </w:r>
          </w:p>
        </w:tc>
        <w:tc>
          <w:tcPr>
            <w:tcW w:w="3260" w:type="dxa"/>
          </w:tcPr>
          <w:p w14:paraId="422B5B79"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78AD6CF1"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bl>
    <w:p w14:paraId="07547A01" w14:textId="77777777" w:rsidR="006143DD" w:rsidRPr="004D3A46" w:rsidRDefault="006143DD" w:rsidP="006143DD"/>
    <w:p w14:paraId="5043CB0F" w14:textId="77777777" w:rsidR="006143DD" w:rsidRPr="004D3A46" w:rsidRDefault="006143DD" w:rsidP="006143DD"/>
    <w:p w14:paraId="07459315" w14:textId="77777777" w:rsidR="006143DD" w:rsidRPr="004D3A46" w:rsidRDefault="006143DD" w:rsidP="00605759"/>
    <w:p w14:paraId="6537F28F" w14:textId="77777777" w:rsidR="006143DD" w:rsidRPr="004D3A46" w:rsidRDefault="006143DD" w:rsidP="00605759"/>
    <w:tbl>
      <w:tblPr>
        <w:tblStyle w:val="Mkatabulky"/>
        <w:tblW w:w="0" w:type="auto"/>
        <w:tblLook w:val="04A0" w:firstRow="1" w:lastRow="0" w:firstColumn="1" w:lastColumn="0" w:noHBand="0" w:noVBand="1"/>
      </w:tblPr>
      <w:tblGrid>
        <w:gridCol w:w="3227"/>
        <w:gridCol w:w="5939"/>
      </w:tblGrid>
      <w:tr w:rsidR="00684946" w:rsidRPr="004D3A46" w14:paraId="31528D7B" w14:textId="77777777" w:rsidTr="00DB2E54">
        <w:tc>
          <w:tcPr>
            <w:tcW w:w="9166" w:type="dxa"/>
            <w:gridSpan w:val="2"/>
            <w:shd w:val="clear" w:color="auto" w:fill="1F3864"/>
          </w:tcPr>
          <w:p w14:paraId="6D7BEBA7" w14:textId="77777777" w:rsidR="00684946" w:rsidRPr="004D3A46" w:rsidRDefault="00C45B77" w:rsidP="00DB2E54">
            <w:pPr>
              <w:jc w:val="center"/>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Component 2.2: REDUCING ENERGY CONSUMPTION IN THE PUBLIC SECTOR</w:t>
            </w:r>
          </w:p>
        </w:tc>
      </w:tr>
      <w:tr w:rsidR="00684946" w:rsidRPr="004D3A46" w14:paraId="64DA173D" w14:textId="77777777" w:rsidTr="00DB2E54">
        <w:tc>
          <w:tcPr>
            <w:tcW w:w="3227" w:type="dxa"/>
            <w:shd w:val="clear" w:color="auto" w:fill="00B0F0"/>
          </w:tcPr>
          <w:p w14:paraId="212C17D1" w14:textId="77777777" w:rsidR="00684946" w:rsidRPr="004D3A46" w:rsidRDefault="00684946"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E103041" w14:textId="77777777" w:rsidR="00684946" w:rsidRPr="004D3A46" w:rsidRDefault="0057382B"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Investment 3</w:t>
            </w:r>
          </w:p>
        </w:tc>
      </w:tr>
      <w:tr w:rsidR="00684946" w:rsidRPr="004D3A46" w14:paraId="7525119C" w14:textId="77777777" w:rsidTr="00DB2E54">
        <w:tc>
          <w:tcPr>
            <w:tcW w:w="3227" w:type="dxa"/>
            <w:shd w:val="clear" w:color="auto" w:fill="00B0F0"/>
          </w:tcPr>
          <w:p w14:paraId="23A77F1C" w14:textId="77777777" w:rsidR="00684946" w:rsidRPr="004D3A46" w:rsidRDefault="00684946" w:rsidP="00DB2E54">
            <w:pPr>
              <w:jc w:val="both"/>
              <w:rPr>
                <w:rFonts w:ascii="Times New Roman" w:eastAsia="Calibri" w:hAnsi="Times New Roman" w:cs="Times New Roman"/>
                <w:b/>
                <w:bCs/>
                <w:noProof/>
                <w:color w:val="FFFFFF"/>
                <w:sz w:val="24"/>
                <w:szCs w:val="24"/>
                <w:u w:val="single"/>
                <w:lang w:val="en-IE"/>
              </w:rPr>
            </w:pPr>
            <w:r w:rsidRPr="004D3A4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A0ECF24" w14:textId="77777777" w:rsidR="00684946" w:rsidRPr="004D3A46" w:rsidRDefault="0057382B" w:rsidP="00DB2E54">
            <w:pPr>
              <w:jc w:val="both"/>
              <w:rPr>
                <w:rFonts w:ascii="Times New Roman" w:eastAsia="Calibri" w:hAnsi="Times New Roman" w:cs="Times New Roman"/>
                <w:b/>
                <w:bCs/>
                <w:noProof/>
                <w:color w:val="FFFFFF"/>
                <w:sz w:val="20"/>
                <w:szCs w:val="24"/>
                <w:u w:val="single"/>
                <w:lang w:val="en-IE"/>
              </w:rPr>
            </w:pPr>
            <w:r w:rsidRPr="004D3A46">
              <w:rPr>
                <w:rFonts w:ascii="Times New Roman" w:eastAsia="Calibri" w:hAnsi="Times New Roman" w:cs="Times New Roman"/>
                <w:b/>
                <w:bCs/>
                <w:noProof/>
                <w:color w:val="FFFFFF"/>
                <w:sz w:val="20"/>
                <w:szCs w:val="24"/>
                <w:u w:val="single"/>
                <w:lang w:val="en-IE"/>
              </w:rPr>
              <w:t>Improving the energy performance of public buildings</w:t>
            </w:r>
          </w:p>
        </w:tc>
      </w:tr>
      <w:tr w:rsidR="00684946" w:rsidRPr="004D3A46" w14:paraId="6F642FCA" w14:textId="77777777" w:rsidTr="00DB2E54">
        <w:tc>
          <w:tcPr>
            <w:tcW w:w="3227" w:type="dxa"/>
            <w:shd w:val="clear" w:color="auto" w:fill="BDD6EE"/>
          </w:tcPr>
          <w:p w14:paraId="6C407F79" w14:textId="77777777" w:rsidR="00684946" w:rsidRPr="004D3A46" w:rsidRDefault="00684946"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Type of change compared to CID</w:t>
            </w:r>
          </w:p>
        </w:tc>
        <w:tc>
          <w:tcPr>
            <w:tcW w:w="5939" w:type="dxa"/>
          </w:tcPr>
          <w:p w14:paraId="1E19531D" w14:textId="77777777" w:rsidR="00684946" w:rsidRPr="004D3A46" w:rsidRDefault="00684946"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noProof/>
                <w:sz w:val="20"/>
                <w:szCs w:val="20"/>
                <w:lang w:val="en-US"/>
              </w:rPr>
              <w:t>[modified]</w:t>
            </w:r>
          </w:p>
        </w:tc>
      </w:tr>
      <w:tr w:rsidR="00684946" w:rsidRPr="004D3A46" w14:paraId="76580123" w14:textId="77777777" w:rsidTr="00DB2E54">
        <w:tc>
          <w:tcPr>
            <w:tcW w:w="3227" w:type="dxa"/>
            <w:shd w:val="clear" w:color="auto" w:fill="BDD6EE"/>
          </w:tcPr>
          <w:p w14:paraId="682D26A3" w14:textId="77777777" w:rsidR="00684946" w:rsidRPr="004D3A46" w:rsidRDefault="00684946" w:rsidP="00DB2E54">
            <w:pPr>
              <w:jc w:val="both"/>
              <w:rPr>
                <w:rFonts w:ascii="Times New Roman" w:eastAsia="Calibri" w:hAnsi="Times New Roman" w:cs="Times New Roman"/>
                <w:b/>
                <w:bCs/>
                <w:noProof/>
                <w:sz w:val="24"/>
                <w:szCs w:val="24"/>
                <w:u w:val="single"/>
                <w:lang w:val="en-IE"/>
              </w:rPr>
            </w:pPr>
            <w:r w:rsidRPr="004D3A46">
              <w:rPr>
                <w:rFonts w:ascii="Times New Roman" w:eastAsia="Calibri" w:hAnsi="Times New Roman" w:cs="Times New Roman"/>
                <w:b/>
                <w:bCs/>
                <w:noProof/>
                <w:sz w:val="20"/>
                <w:szCs w:val="20"/>
                <w:lang w:val="en-US"/>
              </w:rPr>
              <w:t>Legal base of the change (select at least one)</w:t>
            </w:r>
          </w:p>
        </w:tc>
        <w:tc>
          <w:tcPr>
            <w:tcW w:w="5939" w:type="dxa"/>
          </w:tcPr>
          <w:p w14:paraId="0B853AE4"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4631285"/>
                <w14:checkbox>
                  <w14:checked w14:val="0"/>
                  <w14:checkedState w14:val="2612" w14:font="MS Gothic"/>
                  <w14:uncheckedState w14:val="2610" w14:font="MS Gothic"/>
                </w14:checkbox>
              </w:sdtPr>
              <w:sdtEndPr/>
              <w:sdtContent>
                <w:r w:rsidR="00684946" w:rsidRPr="004D3A46">
                  <w:rPr>
                    <w:rFonts w:ascii="Segoe UI Symbol" w:eastAsia="Calibri" w:hAnsi="Segoe UI Symbol" w:cs="Segoe UI Symbol"/>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Article 14(2) – loan request</w:t>
            </w:r>
          </w:p>
          <w:p w14:paraId="44497976"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20188796"/>
                <w14:checkbox>
                  <w14:checked w14:val="1"/>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Article 18(2) – update of the maximum financial contribution</w:t>
            </w:r>
          </w:p>
          <w:p w14:paraId="40F0C155" w14:textId="77777777" w:rsidR="00684946" w:rsidRPr="004D3A46" w:rsidRDefault="00097F3D" w:rsidP="00DB2E5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57293626"/>
                <w:placeholder>
                  <w:docPart w:val="D44BBDCE9B264FE783A133D3F6D893E1"/>
                </w:placeholder>
                <w14:checkbox>
                  <w14:checked w14:val="1"/>
                  <w14:checkedState w14:val="2612" w14:font="MS Gothic"/>
                  <w14:uncheckedState w14:val="2610" w14:font="MS Gothic"/>
                </w14:checkbox>
              </w:sdtPr>
              <w:sdtEndPr/>
              <w:sdtContent>
                <w:r w:rsidR="00EE0609" w:rsidRPr="004D3A46">
                  <w:rPr>
                    <w:rFonts w:ascii="MS Gothic" w:eastAsia="MS Gothic" w:hAnsi="MS Gothic" w:cs="Times New Roman" w:hint="eastAsia"/>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Article 21 – amendment due to objective circumstances</w:t>
            </w:r>
          </w:p>
          <w:p w14:paraId="754CCC46" w14:textId="77777777" w:rsidR="00684946" w:rsidRPr="004D3A46" w:rsidRDefault="00097F3D" w:rsidP="00DB2E5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51707310"/>
                <w:placeholder>
                  <w:docPart w:val="D44BBDCE9B264FE783A133D3F6D893E1"/>
                </w:placeholder>
                <w14:checkbox>
                  <w14:checked w14:val="0"/>
                  <w14:checkedState w14:val="2612" w14:font="MS Gothic"/>
                  <w14:uncheckedState w14:val="2610" w14:font="MS Gothic"/>
                </w14:checkbox>
              </w:sdtPr>
              <w:sdtEndPr/>
              <w:sdtContent>
                <w:r w:rsidR="00684946" w:rsidRPr="004D3A46">
                  <w:rPr>
                    <w:rFonts w:ascii="Segoe UI Symbol" w:eastAsia="Calibri" w:hAnsi="Segoe UI Symbol" w:cs="Segoe UI Symbol"/>
                    <w:noProof/>
                    <w:color w:val="2B579A"/>
                    <w:sz w:val="20"/>
                    <w:szCs w:val="20"/>
                    <w:shd w:val="clear" w:color="auto" w:fill="E6E6E6"/>
                    <w:lang w:val="fr-BE"/>
                  </w:rPr>
                  <w:t>☐</w:t>
                </w:r>
              </w:sdtContent>
            </w:sdt>
            <w:r w:rsidR="00684946" w:rsidRPr="004D3A46">
              <w:rPr>
                <w:rFonts w:ascii="Times New Roman" w:eastAsia="Calibri" w:hAnsi="Times New Roman" w:cs="Times New Roman"/>
                <w:noProof/>
                <w:sz w:val="20"/>
                <w:szCs w:val="20"/>
                <w:lang w:val="fr-BE"/>
              </w:rPr>
              <w:t xml:space="preserve"> Article 21a – REPowerEU non-repayable financial support (ETS revenue)</w:t>
            </w:r>
          </w:p>
          <w:p w14:paraId="7B58A9F8" w14:textId="77777777" w:rsidR="00684946" w:rsidRPr="004D3A46" w:rsidRDefault="00097F3D" w:rsidP="00DB2E5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441993631"/>
                <w:placeholder>
                  <w:docPart w:val="D44BBDCE9B264FE783A133D3F6D893E1"/>
                </w:placeholder>
                <w14:checkbox>
                  <w14:checked w14:val="0"/>
                  <w14:checkedState w14:val="2612" w14:font="MS Gothic"/>
                  <w14:uncheckedState w14:val="2610" w14:font="MS Gothic"/>
                </w14:checkbox>
              </w:sdtPr>
              <w:sdtEndPr/>
              <w:sdtContent>
                <w:r w:rsidR="00684946" w:rsidRPr="004D3A46">
                  <w:rPr>
                    <w:rFonts w:ascii="Segoe UI Symbol" w:eastAsia="Calibri" w:hAnsi="Segoe UI Symbol" w:cs="Segoe UI Symbol"/>
                    <w:noProof/>
                    <w:color w:val="2B579A"/>
                    <w:sz w:val="20"/>
                    <w:szCs w:val="20"/>
                    <w:shd w:val="clear" w:color="auto" w:fill="E6E6E6"/>
                    <w:lang w:val="en-IE"/>
                  </w:rPr>
                  <w:t>☐</w:t>
                </w:r>
              </w:sdtContent>
            </w:sdt>
            <w:r w:rsidR="00684946" w:rsidRPr="004D3A46">
              <w:rPr>
                <w:rFonts w:ascii="Times New Roman" w:eastAsia="Calibri" w:hAnsi="Times New Roman" w:cs="Times New Roman"/>
                <w:noProof/>
                <w:sz w:val="20"/>
                <w:szCs w:val="20"/>
                <w:lang w:val="en-IE"/>
              </w:rPr>
              <w:t xml:space="preserve"> Article 21b (2) – BAR transfers</w:t>
            </w:r>
          </w:p>
          <w:p w14:paraId="551536DD" w14:textId="77777777" w:rsidR="00684946" w:rsidRPr="004D3A46" w:rsidRDefault="00684946" w:rsidP="00DB2E54">
            <w:pPr>
              <w:jc w:val="both"/>
              <w:rPr>
                <w:rFonts w:ascii="Times New Roman" w:eastAsia="Calibri" w:hAnsi="Times New Roman" w:cs="Times New Roman"/>
                <w:noProof/>
                <w:sz w:val="20"/>
                <w:szCs w:val="20"/>
                <w:lang w:val="en-US"/>
              </w:rPr>
            </w:pPr>
            <w:r w:rsidRPr="004D3A46">
              <w:rPr>
                <w:rFonts w:ascii="Segoe UI Symbol" w:eastAsia="MS Gothic" w:hAnsi="Segoe UI Symbol" w:cs="Segoe UI Symbol"/>
                <w:noProof/>
                <w:sz w:val="20"/>
                <w:szCs w:val="20"/>
                <w:lang w:val="en-US"/>
              </w:rPr>
              <w:t>☐</w:t>
            </w:r>
            <w:r w:rsidRPr="004D3A46">
              <w:rPr>
                <w:rFonts w:ascii="Times New Roman" w:eastAsia="Calibri" w:hAnsi="Times New Roman" w:cs="Times New Roman"/>
                <w:noProof/>
                <w:sz w:val="20"/>
                <w:szCs w:val="20"/>
                <w:lang w:val="en-US"/>
              </w:rPr>
              <w:t xml:space="preserve"> None of the above, correction of clerical error</w:t>
            </w:r>
          </w:p>
          <w:p w14:paraId="6DFB9E20" w14:textId="77777777" w:rsidR="00684946" w:rsidRPr="004D3A46" w:rsidRDefault="00684946" w:rsidP="00DB2E54">
            <w:pPr>
              <w:jc w:val="both"/>
              <w:rPr>
                <w:rFonts w:ascii="Times New Roman" w:eastAsia="Calibri" w:hAnsi="Times New Roman" w:cs="Times New Roman"/>
                <w:noProof/>
                <w:sz w:val="20"/>
                <w:szCs w:val="20"/>
                <w:lang w:val="en-IE"/>
              </w:rPr>
            </w:pPr>
          </w:p>
        </w:tc>
      </w:tr>
      <w:tr w:rsidR="00684946" w:rsidRPr="004D3A46" w14:paraId="1C77F8AD" w14:textId="77777777" w:rsidTr="00DB2E54">
        <w:tc>
          <w:tcPr>
            <w:tcW w:w="3227" w:type="dxa"/>
            <w:shd w:val="clear" w:color="auto" w:fill="BDD6EE"/>
          </w:tcPr>
          <w:p w14:paraId="2FB6FB80" w14:textId="77777777" w:rsidR="00684946" w:rsidRPr="004D3A46" w:rsidRDefault="00684946" w:rsidP="00DB2E54">
            <w:pPr>
              <w:rPr>
                <w:rFonts w:ascii="Times New Roman" w:eastAsia="Calibri" w:hAnsi="Times New Roman" w:cs="Times New Roman"/>
                <w:b/>
                <w:bCs/>
                <w:noProof/>
                <w:sz w:val="20"/>
                <w:szCs w:val="20"/>
                <w:lang w:val="en-US"/>
              </w:rPr>
            </w:pPr>
            <w:r w:rsidRPr="004D3A46">
              <w:rPr>
                <w:rFonts w:ascii="Times New Roman" w:eastAsia="Calibri" w:hAnsi="Times New Roman" w:cs="Times New Roman"/>
                <w:b/>
                <w:bCs/>
                <w:noProof/>
                <w:sz w:val="20"/>
                <w:szCs w:val="20"/>
                <w:lang w:val="en-US"/>
              </w:rPr>
              <w:t>Elements modified (only for modified measures)</w:t>
            </w:r>
          </w:p>
          <w:p w14:paraId="70DF9E56" w14:textId="77777777" w:rsidR="00684946" w:rsidRPr="004D3A46" w:rsidRDefault="00684946" w:rsidP="00DB2E54">
            <w:pPr>
              <w:jc w:val="both"/>
              <w:rPr>
                <w:rFonts w:ascii="Times New Roman" w:eastAsia="Calibri" w:hAnsi="Times New Roman" w:cs="Times New Roman"/>
                <w:b/>
                <w:bCs/>
                <w:noProof/>
                <w:sz w:val="24"/>
                <w:szCs w:val="24"/>
                <w:u w:val="single"/>
                <w:lang w:val="en-IE"/>
              </w:rPr>
            </w:pPr>
          </w:p>
        </w:tc>
        <w:tc>
          <w:tcPr>
            <w:tcW w:w="5939" w:type="dxa"/>
          </w:tcPr>
          <w:p w14:paraId="0E3013F7"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398290"/>
                <w14:checkbox>
                  <w14:checked w14:val="1"/>
                  <w14:checkedState w14:val="2612" w14:font="MS Gothic"/>
                  <w14:uncheckedState w14:val="2610" w14:font="MS Gothic"/>
                </w14:checkbox>
              </w:sdtPr>
              <w:sdtEndPr/>
              <w:sdtContent>
                <w:r w:rsidR="00FE6363" w:rsidRPr="004D3A46">
                  <w:rPr>
                    <w:rFonts w:ascii="MS Gothic" w:eastAsia="MS Gothic" w:hAnsi="MS Gothic" w:cs="Times New Roman" w:hint="eastAsia"/>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Component / Measure description</w:t>
            </w:r>
          </w:p>
          <w:p w14:paraId="2018DB44"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39152179"/>
                <w:placeholder>
                  <w:docPart w:val="D44BBDCE9B264FE783A133D3F6D893E1"/>
                </w:placeholder>
                <w14:checkbox>
                  <w14:checked w14:val="1"/>
                  <w14:checkedState w14:val="2612" w14:font="MS Gothic"/>
                  <w14:uncheckedState w14:val="2610" w14:font="MS Gothic"/>
                </w14:checkbox>
              </w:sdtPr>
              <w:sdtEndPr/>
              <w:sdtContent>
                <w:r w:rsidR="00FE6363" w:rsidRPr="004D3A46">
                  <w:rPr>
                    <w:rFonts w:ascii="MS Gothic" w:eastAsia="MS Gothic" w:hAnsi="MS Gothic" w:cs="Times New Roman" w:hint="eastAsia"/>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Milestones and targets</w:t>
            </w:r>
          </w:p>
          <w:p w14:paraId="7A38D480"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49237040"/>
                <w14:checkbox>
                  <w14:checked w14:val="1"/>
                  <w14:checkedState w14:val="2612" w14:font="MS Gothic"/>
                  <w14:uncheckedState w14:val="2610" w14:font="MS Gothic"/>
                </w14:checkbox>
              </w:sdtPr>
              <w:sdtEndPr/>
              <w:sdtContent>
                <w:r w:rsidR="00FE6363" w:rsidRPr="004D3A46">
                  <w:rPr>
                    <w:rFonts w:ascii="MS Gothic" w:eastAsia="MS Gothic" w:hAnsi="MS Gothic" w:cs="Times New Roman" w:hint="eastAsia"/>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Estimated cost</w:t>
            </w:r>
          </w:p>
          <w:p w14:paraId="3A31E4DD" w14:textId="77777777" w:rsidR="00684946" w:rsidRPr="004D3A46" w:rsidRDefault="00097F3D" w:rsidP="00DB2E5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05955775"/>
                <w14:checkbox>
                  <w14:checked w14:val="0"/>
                  <w14:checkedState w14:val="2612" w14:font="MS Gothic"/>
                  <w14:uncheckedState w14:val="2610" w14:font="MS Gothic"/>
                </w14:checkbox>
              </w:sdtPr>
              <w:sdtEndPr/>
              <w:sdtContent>
                <w:r w:rsidR="00684946" w:rsidRPr="004D3A46">
                  <w:rPr>
                    <w:rFonts w:ascii="Segoe UI Symbol" w:eastAsia="Calibri" w:hAnsi="Segoe UI Symbol" w:cs="Segoe UI Symbol"/>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8304E93" w14:textId="77777777" w:rsidR="00684946" w:rsidRPr="004D3A46" w:rsidRDefault="00097F3D" w:rsidP="00DB2E5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767698664"/>
                <w14:checkbox>
                  <w14:checked w14:val="0"/>
                  <w14:checkedState w14:val="2612" w14:font="MS Gothic"/>
                  <w14:uncheckedState w14:val="2610" w14:font="MS Gothic"/>
                </w14:checkbox>
              </w:sdtPr>
              <w:sdtEndPr/>
              <w:sdtContent>
                <w:r w:rsidR="00684946" w:rsidRPr="004D3A46">
                  <w:rPr>
                    <w:rFonts w:ascii="Segoe UI Symbol" w:eastAsia="Calibri" w:hAnsi="Segoe UI Symbol" w:cs="Segoe UI Symbol"/>
                    <w:noProof/>
                    <w:color w:val="2B579A"/>
                    <w:sz w:val="20"/>
                    <w:szCs w:val="20"/>
                    <w:shd w:val="clear" w:color="auto" w:fill="E6E6E6"/>
                    <w:lang w:val="en-US"/>
                  </w:rPr>
                  <w:t>☐</w:t>
                </w:r>
              </w:sdtContent>
            </w:sdt>
            <w:r w:rsidR="00684946" w:rsidRPr="004D3A46">
              <w:rPr>
                <w:rFonts w:ascii="Times New Roman" w:eastAsia="Calibri" w:hAnsi="Times New Roman" w:cs="Times New Roman"/>
                <w:noProof/>
                <w:sz w:val="20"/>
                <w:szCs w:val="20"/>
                <w:lang w:val="en-US"/>
              </w:rPr>
              <w:t xml:space="preserve"> DNSH self-assessment</w:t>
            </w:r>
          </w:p>
        </w:tc>
      </w:tr>
    </w:tbl>
    <w:p w14:paraId="44E871BC" w14:textId="77777777" w:rsidR="00684946" w:rsidRPr="004D3A46" w:rsidRDefault="00684946" w:rsidP="00684946"/>
    <w:tbl>
      <w:tblPr>
        <w:tblStyle w:val="Mkatabulky"/>
        <w:tblW w:w="0" w:type="auto"/>
        <w:tblLook w:val="04A0" w:firstRow="1" w:lastRow="0" w:firstColumn="1" w:lastColumn="0" w:noHBand="0" w:noVBand="1"/>
      </w:tblPr>
      <w:tblGrid>
        <w:gridCol w:w="2235"/>
        <w:gridCol w:w="3260"/>
        <w:gridCol w:w="3747"/>
      </w:tblGrid>
      <w:tr w:rsidR="00684946" w:rsidRPr="004D3A46" w14:paraId="1A295CDE" w14:textId="77777777" w:rsidTr="00DB2E54">
        <w:tc>
          <w:tcPr>
            <w:tcW w:w="9242" w:type="dxa"/>
            <w:gridSpan w:val="3"/>
            <w:shd w:val="clear" w:color="auto" w:fill="1F3864"/>
          </w:tcPr>
          <w:p w14:paraId="151C438A" w14:textId="77777777" w:rsidR="00684946" w:rsidRPr="004D3A46" w:rsidRDefault="005C2BB0" w:rsidP="00DB2E54">
            <w:pPr>
              <w:jc w:val="center"/>
              <w:rPr>
                <w:rFonts w:ascii="Times New Roman" w:eastAsia="Calibri" w:hAnsi="Times New Roman" w:cs="Times New Roman"/>
                <w:b/>
                <w:bCs/>
                <w:noProof/>
                <w:sz w:val="20"/>
                <w:szCs w:val="20"/>
                <w:lang w:val="en-IE"/>
              </w:rPr>
            </w:pPr>
            <w:r w:rsidRPr="004D3A46">
              <w:rPr>
                <w:rFonts w:ascii="Times New Roman" w:eastAsia="Calibri" w:hAnsi="Times New Roman" w:cs="Times New Roman"/>
                <w:b/>
                <w:bCs/>
                <w:noProof/>
                <w:sz w:val="20"/>
                <w:szCs w:val="20"/>
                <w:lang w:val="en-IE"/>
              </w:rPr>
              <w:lastRenderedPageBreak/>
              <w:t>Investment 3: Improving the energy performance of public buildings</w:t>
            </w:r>
            <w:r w:rsidR="00896FDC" w:rsidRPr="004D3A46">
              <w:rPr>
                <w:rFonts w:ascii="Times New Roman" w:eastAsia="Calibri" w:hAnsi="Times New Roman" w:cs="Times New Roman"/>
                <w:b/>
                <w:bCs/>
                <w:noProof/>
                <w:sz w:val="20"/>
                <w:szCs w:val="20"/>
                <w:lang w:val="en-IE"/>
              </w:rPr>
              <w:t xml:space="preserve"> – Target 109</w:t>
            </w:r>
          </w:p>
        </w:tc>
      </w:tr>
      <w:tr w:rsidR="00684946" w:rsidRPr="004D3A46" w14:paraId="5F8006E4" w14:textId="77777777" w:rsidTr="00DB2E54">
        <w:tc>
          <w:tcPr>
            <w:tcW w:w="9242" w:type="dxa"/>
            <w:gridSpan w:val="3"/>
            <w:shd w:val="clear" w:color="auto" w:fill="auto"/>
          </w:tcPr>
          <w:p w14:paraId="49ABA813" w14:textId="77777777" w:rsidR="00684946" w:rsidRPr="004D3A46" w:rsidRDefault="00684946" w:rsidP="00DB2E54">
            <w:pPr>
              <w:jc w:val="both"/>
              <w:rPr>
                <w:rFonts w:ascii="Times New Roman" w:eastAsia="Calibri" w:hAnsi="Times New Roman" w:cs="Times New Roman"/>
                <w:i/>
                <w:iCs/>
                <w:noProof/>
                <w:sz w:val="20"/>
                <w:szCs w:val="20"/>
                <w:lang w:val="en-IE"/>
              </w:rPr>
            </w:pPr>
            <w:r w:rsidRPr="004D3A46">
              <w:rPr>
                <w:rFonts w:ascii="Times New Roman" w:eastAsia="Calibri" w:hAnsi="Times New Roman" w:cs="Times New Roman"/>
                <w:i/>
                <w:iCs/>
                <w:noProof/>
                <w:sz w:val="20"/>
                <w:szCs w:val="20"/>
                <w:lang w:val="en-IE"/>
              </w:rPr>
              <w:t>Description and justification of the change</w:t>
            </w:r>
          </w:p>
        </w:tc>
      </w:tr>
      <w:tr w:rsidR="00684946" w:rsidRPr="004D3A46" w14:paraId="1F17B968" w14:textId="77777777" w:rsidTr="00DB2E54">
        <w:tc>
          <w:tcPr>
            <w:tcW w:w="2235" w:type="dxa"/>
            <w:shd w:val="clear" w:color="auto" w:fill="00B0F0"/>
          </w:tcPr>
          <w:p w14:paraId="15A86A67" w14:textId="77777777" w:rsidR="00684946" w:rsidRPr="004D3A46" w:rsidRDefault="00684946"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BCCBF25" w14:textId="77777777" w:rsidR="00684946" w:rsidRPr="004D3A46" w:rsidRDefault="00684946"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55C6EC9" w14:textId="77777777" w:rsidR="00684946" w:rsidRPr="004D3A46" w:rsidRDefault="00684946" w:rsidP="00DB2E54">
            <w:pPr>
              <w:jc w:val="center"/>
              <w:rPr>
                <w:rFonts w:ascii="Times New Roman" w:eastAsia="Calibri" w:hAnsi="Times New Roman" w:cs="Times New Roman"/>
                <w:b/>
                <w:bCs/>
                <w:noProof/>
                <w:color w:val="FFFFFF"/>
                <w:sz w:val="20"/>
                <w:szCs w:val="20"/>
                <w:lang w:val="en-IE"/>
              </w:rPr>
            </w:pPr>
            <w:r w:rsidRPr="004D3A46">
              <w:rPr>
                <w:rFonts w:ascii="Times New Roman" w:eastAsia="Calibri" w:hAnsi="Times New Roman" w:cs="Times New Roman"/>
                <w:b/>
                <w:bCs/>
                <w:noProof/>
                <w:color w:val="FFFFFF"/>
                <w:sz w:val="20"/>
                <w:szCs w:val="20"/>
                <w:lang w:val="en-IE"/>
              </w:rPr>
              <w:t>Amended version</w:t>
            </w:r>
          </w:p>
        </w:tc>
      </w:tr>
      <w:tr w:rsidR="00896FDC" w:rsidRPr="004D3A46" w14:paraId="519D606D" w14:textId="77777777" w:rsidTr="00DB2E54">
        <w:tc>
          <w:tcPr>
            <w:tcW w:w="2235" w:type="dxa"/>
          </w:tcPr>
          <w:p w14:paraId="212331AD"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BED4BA8" w14:textId="77777777" w:rsidR="00896FDC" w:rsidRPr="004D3A46" w:rsidRDefault="00896FDC" w:rsidP="00896FDC">
            <w:pPr>
              <w:jc w:val="both"/>
              <w:rPr>
                <w:i/>
                <w:noProof/>
                <w:sz w:val="20"/>
                <w:szCs w:val="24"/>
              </w:rPr>
            </w:pPr>
            <w:r w:rsidRPr="004D3A46">
              <w:rPr>
                <w:i/>
                <w:noProof/>
                <w:sz w:val="20"/>
                <w:szCs w:val="24"/>
              </w:rPr>
              <w:t xml:space="preserve">This investment aims at reducing final energy consumption in the public buildings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7AF23B5A" w14:textId="77777777" w:rsidR="00896FDC" w:rsidRPr="004D3A46" w:rsidRDefault="00896FDC" w:rsidP="00896FDC">
            <w:pPr>
              <w:tabs>
                <w:tab w:val="left" w:pos="1402"/>
              </w:tabs>
              <w:spacing w:after="300" w:line="280" w:lineRule="exact"/>
              <w:jc w:val="both"/>
              <w:rPr>
                <w:rFonts w:eastAsia="Segoe UI" w:cs="Segoe UI"/>
                <w:i/>
                <w:noProof/>
                <w:color w:val="000000"/>
                <w:sz w:val="20"/>
                <w:szCs w:val="24"/>
                <w:lang w:val="en" w:eastAsia="cs-CZ" w:bidi="cs-CZ"/>
              </w:rPr>
            </w:pPr>
            <w:r w:rsidRPr="004D3A46">
              <w:rPr>
                <w:i/>
                <w:noProof/>
                <w:sz w:val="20"/>
                <w:szCs w:val="24"/>
              </w:rPr>
              <w:t>The investment aims at supporting up to 400 building renovation projects including insulation of a buildings, exchange and renovation of windows and doors, installation of systems based on renewable energy sources or implementation of improvements of the indoor environment measures having a demonstrable impact on the energy performance of the buildings.</w:t>
            </w:r>
          </w:p>
        </w:tc>
        <w:tc>
          <w:tcPr>
            <w:tcW w:w="3747" w:type="dxa"/>
          </w:tcPr>
          <w:p w14:paraId="2847D933" w14:textId="77777777" w:rsidR="00896FDC" w:rsidRPr="004D3A46" w:rsidRDefault="00896FDC" w:rsidP="00896FDC">
            <w:pPr>
              <w:jc w:val="both"/>
              <w:rPr>
                <w:i/>
                <w:noProof/>
                <w:sz w:val="20"/>
                <w:szCs w:val="24"/>
              </w:rPr>
            </w:pPr>
            <w:r w:rsidRPr="004D3A46">
              <w:rPr>
                <w:i/>
                <w:noProof/>
                <w:sz w:val="20"/>
                <w:szCs w:val="24"/>
              </w:rPr>
              <w:t xml:space="preserve">This investment aims at reducing final energy consumption in the public buildings that do not meet the minimum energy performance requirements in the long term, and at increasing the number of high-quality and moderately deep or deep renovations. Only projects that achieve, </w:t>
            </w:r>
            <w:r w:rsidRPr="004D3A46">
              <w:rPr>
                <w:rFonts w:eastAsia="Times New Roman"/>
                <w:bCs/>
                <w:i/>
                <w:noProof/>
                <w:sz w:val="20"/>
                <w:szCs w:val="24"/>
                <w:lang w:val="en-IE"/>
              </w:rPr>
              <w:t>on average,</w:t>
            </w:r>
            <w:r w:rsidRPr="004D3A46">
              <w:rPr>
                <w:i/>
                <w:noProof/>
                <w:sz w:val="20"/>
                <w:szCs w:val="24"/>
              </w:rPr>
              <w:t xml:space="preserve"> a reduction of primary energy consumption by at least 30 % or a reduction in CO2 emissions of 30 % shall be financed.</w:t>
            </w:r>
          </w:p>
          <w:p w14:paraId="5BCDD90B" w14:textId="77777777" w:rsidR="00896FDC" w:rsidRPr="004D3A46" w:rsidRDefault="00896FDC" w:rsidP="00896FDC">
            <w:pPr>
              <w:tabs>
                <w:tab w:val="left" w:pos="1402"/>
              </w:tabs>
              <w:spacing w:after="300" w:line="280" w:lineRule="exact"/>
              <w:jc w:val="both"/>
              <w:rPr>
                <w:rFonts w:eastAsia="Segoe UI" w:cs="Segoe UI"/>
                <w:i/>
                <w:noProof/>
                <w:color w:val="000000"/>
                <w:sz w:val="20"/>
                <w:szCs w:val="24"/>
                <w:lang w:val="en" w:eastAsia="cs-CZ" w:bidi="cs-CZ"/>
              </w:rPr>
            </w:pPr>
            <w:r w:rsidRPr="004D3A46">
              <w:rPr>
                <w:i/>
                <w:noProof/>
                <w:sz w:val="20"/>
                <w:szCs w:val="24"/>
              </w:rPr>
              <w:t>The investment aims at supporting up to 220 building renovation projects including insulation of a buildings, exchange and renovation of windows and doors, installation of systems based on renewable energy sources or implementation of improvements of the indoor environment measures having a demonstrable impact on the energy performance of the buildings.</w:t>
            </w:r>
          </w:p>
        </w:tc>
      </w:tr>
      <w:tr w:rsidR="00684946" w:rsidRPr="004D3A46" w14:paraId="49DAC1FA" w14:textId="77777777" w:rsidTr="00DB2E54">
        <w:tc>
          <w:tcPr>
            <w:tcW w:w="2235" w:type="dxa"/>
          </w:tcPr>
          <w:p w14:paraId="4773A267" w14:textId="77777777" w:rsidR="00684946" w:rsidRPr="004D3A46" w:rsidRDefault="00684946" w:rsidP="00DB2E54">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 xml:space="preserve">Milestones and targets </w:t>
            </w:r>
          </w:p>
        </w:tc>
        <w:tc>
          <w:tcPr>
            <w:tcW w:w="3260" w:type="dxa"/>
          </w:tcPr>
          <w:p w14:paraId="10177435" w14:textId="77777777" w:rsidR="00684946" w:rsidRPr="004D3A46" w:rsidRDefault="00896FDC" w:rsidP="00DB2E54">
            <w:pPr>
              <w:jc w:val="both"/>
              <w:rPr>
                <w:rFonts w:eastAsia="Calibri" w:cstheme="minorHAnsi"/>
                <w:i/>
                <w:noProof/>
                <w:sz w:val="20"/>
                <w:szCs w:val="20"/>
                <w:lang w:val="en-US"/>
              </w:rPr>
            </w:pPr>
            <w:r w:rsidRPr="004D3A46">
              <w:rPr>
                <w:rFonts w:eastAsia="Calibri" w:cstheme="minorHAnsi"/>
                <w:i/>
                <w:noProof/>
                <w:sz w:val="20"/>
                <w:szCs w:val="20"/>
                <w:lang w:val="en-US"/>
              </w:rPr>
              <w:t>The target shall be achieved upon reducing energy consumption in state buildings by 390 TJ /per year by 31 March 2026, as an outcome of the renovation of buildings, which shall be demonstrated through energy performance certificates. Energy consumption shall be reduced in comparison to the business-as-usual scenario (that is the absence of support under Regulation (EU) 2021/241). Amount of saved energy is to be determined by measuring and/or estimating consumption before and after implementation of an energy efficiency improvement measure, whilst ensuring normalisation for external conditions that affect energy consumption.</w:t>
            </w:r>
          </w:p>
        </w:tc>
        <w:tc>
          <w:tcPr>
            <w:tcW w:w="3747" w:type="dxa"/>
          </w:tcPr>
          <w:p w14:paraId="573252ED" w14:textId="77777777" w:rsidR="00684946" w:rsidRPr="004D3A46" w:rsidRDefault="00896FDC" w:rsidP="00DB2E54">
            <w:pPr>
              <w:jc w:val="both"/>
              <w:rPr>
                <w:rFonts w:eastAsia="Calibri" w:cstheme="minorHAnsi"/>
                <w:i/>
                <w:noProof/>
                <w:sz w:val="20"/>
                <w:szCs w:val="20"/>
                <w:lang w:val="en-IE"/>
              </w:rPr>
            </w:pPr>
            <w:r w:rsidRPr="004D3A46">
              <w:rPr>
                <w:rFonts w:eastAsia="Calibri" w:cstheme="minorHAnsi"/>
                <w:i/>
                <w:noProof/>
                <w:sz w:val="20"/>
                <w:szCs w:val="20"/>
                <w:lang w:val="en-US"/>
              </w:rPr>
              <w:t>The target shall be achieved upon reducing energy consumption in state buildings by 410 TJ /per year by 31 March 2026, as an outcome of the renovation of buildings, which shall be demonstrated through energy performance certificates. Energy consumption shall be reduced in comparison to the business-as-usual scenario (that is the absence of support under Regulation (EU) 2021/241). Amount of saved energy is to be determined by measuring and/or estimating consumption before and after implementation of an energy efficiency improvement measure, whilst ensuring normalisation for external conditions that affect energy consumption.</w:t>
            </w:r>
          </w:p>
        </w:tc>
      </w:tr>
      <w:tr w:rsidR="00FE6363" w:rsidRPr="004D3A46" w14:paraId="0315F01E" w14:textId="77777777" w:rsidTr="00DB2E54">
        <w:tc>
          <w:tcPr>
            <w:tcW w:w="2235" w:type="dxa"/>
          </w:tcPr>
          <w:p w14:paraId="2D737A09" w14:textId="77777777" w:rsidR="00FE6363" w:rsidRPr="004D3A46" w:rsidRDefault="00FE6363" w:rsidP="00FE6363">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Estimated cost</w:t>
            </w:r>
          </w:p>
        </w:tc>
        <w:tc>
          <w:tcPr>
            <w:tcW w:w="3260" w:type="dxa"/>
          </w:tcPr>
          <w:p w14:paraId="48D830CF"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3.285 mil CZK</w:t>
            </w:r>
          </w:p>
        </w:tc>
        <w:tc>
          <w:tcPr>
            <w:tcW w:w="3747" w:type="dxa"/>
          </w:tcPr>
          <w:p w14:paraId="238D73AF"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4,785 mil. CZK</w:t>
            </w:r>
          </w:p>
        </w:tc>
      </w:tr>
      <w:tr w:rsidR="00896FDC" w:rsidRPr="004D3A46" w14:paraId="6C56A201" w14:textId="77777777" w:rsidTr="00DB2E54">
        <w:tc>
          <w:tcPr>
            <w:tcW w:w="2235" w:type="dxa"/>
          </w:tcPr>
          <w:p w14:paraId="2A0464AF"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Green and digital tagging</w:t>
            </w:r>
          </w:p>
        </w:tc>
        <w:tc>
          <w:tcPr>
            <w:tcW w:w="3260" w:type="dxa"/>
          </w:tcPr>
          <w:p w14:paraId="46D16BD4"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21DA83F7"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r w:rsidR="00896FDC" w:rsidRPr="004D3A46" w14:paraId="27F1DA04" w14:textId="77777777" w:rsidTr="00DB2E54">
        <w:tc>
          <w:tcPr>
            <w:tcW w:w="2235" w:type="dxa"/>
          </w:tcPr>
          <w:p w14:paraId="7B54A643" w14:textId="77777777" w:rsidR="00896FDC" w:rsidRPr="004D3A46" w:rsidRDefault="00896FDC" w:rsidP="00896FDC">
            <w:pPr>
              <w:jc w:val="both"/>
              <w:rPr>
                <w:rFonts w:ascii="Times New Roman" w:eastAsia="Calibri" w:hAnsi="Times New Roman" w:cs="Times New Roman"/>
                <w:b/>
                <w:bCs/>
                <w:i/>
                <w:iCs/>
                <w:noProof/>
                <w:sz w:val="20"/>
                <w:szCs w:val="20"/>
                <w:lang w:val="en-IE"/>
              </w:rPr>
            </w:pPr>
            <w:r w:rsidRPr="004D3A46">
              <w:rPr>
                <w:rFonts w:ascii="Times New Roman" w:eastAsia="Calibri" w:hAnsi="Times New Roman" w:cs="Times New Roman"/>
                <w:b/>
                <w:bCs/>
                <w:i/>
                <w:iCs/>
                <w:noProof/>
                <w:sz w:val="20"/>
                <w:szCs w:val="20"/>
                <w:lang w:val="en-IE"/>
              </w:rPr>
              <w:t>DNSH self-assessment</w:t>
            </w:r>
          </w:p>
        </w:tc>
        <w:tc>
          <w:tcPr>
            <w:tcW w:w="3260" w:type="dxa"/>
          </w:tcPr>
          <w:p w14:paraId="5FCEBA78"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c>
          <w:tcPr>
            <w:tcW w:w="3747" w:type="dxa"/>
          </w:tcPr>
          <w:p w14:paraId="378A8999" w14:textId="77777777" w:rsidR="00896FDC" w:rsidRPr="004D3A46" w:rsidRDefault="00896FDC" w:rsidP="00896FDC">
            <w:pPr>
              <w:jc w:val="both"/>
              <w:rPr>
                <w:rFonts w:eastAsia="Calibri" w:cstheme="minorHAnsi"/>
                <w:i/>
                <w:noProof/>
                <w:sz w:val="20"/>
                <w:szCs w:val="20"/>
                <w:lang w:val="en-IE"/>
              </w:rPr>
            </w:pPr>
            <w:r w:rsidRPr="004D3A46">
              <w:rPr>
                <w:rFonts w:eastAsia="Calibri" w:cstheme="minorHAnsi"/>
                <w:i/>
                <w:noProof/>
                <w:sz w:val="20"/>
                <w:szCs w:val="20"/>
                <w:lang w:val="en-IE"/>
              </w:rPr>
              <w:t>No changes</w:t>
            </w:r>
          </w:p>
        </w:tc>
      </w:tr>
    </w:tbl>
    <w:p w14:paraId="144A5D23" w14:textId="77777777" w:rsidR="00684946" w:rsidRPr="004D3A46" w:rsidRDefault="00684946" w:rsidP="00684946"/>
    <w:p w14:paraId="2701670E" w14:textId="77777777" w:rsidR="004820D8" w:rsidRPr="004D3A46" w:rsidRDefault="004820D8" w:rsidP="00684946">
      <w:r w:rsidRPr="004D3A46">
        <w:t>Explanation note for 108/109</w:t>
      </w:r>
    </w:p>
    <w:p w14:paraId="76A2011B"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In view of increasing the envelope, the targets were revised in two steps. First, in relation to the current grant envelope of CZK 3.285 billion. Subsequently, with regard to the increase of the grant envelope by CZK 1.5 billion.</w:t>
      </w:r>
    </w:p>
    <w:p w14:paraId="1970F4A0" w14:textId="77777777" w:rsidR="00FE6363" w:rsidRPr="004D3A46" w:rsidRDefault="00FE6363" w:rsidP="00FE6363">
      <w:pPr>
        <w:pStyle w:val="Odstavecseseznamem"/>
        <w:numPr>
          <w:ilvl w:val="0"/>
          <w:numId w:val="39"/>
        </w:numPr>
        <w:spacing w:after="0" w:line="240" w:lineRule="auto"/>
        <w:jc w:val="both"/>
        <w:rPr>
          <w:rFonts w:eastAsia="Times New Roman"/>
          <w:b/>
          <w:i/>
          <w:iCs/>
          <w:sz w:val="20"/>
          <w:szCs w:val="20"/>
          <w:lang w:val="en-GB"/>
        </w:rPr>
      </w:pPr>
      <w:r w:rsidRPr="004D3A46">
        <w:rPr>
          <w:rFonts w:eastAsia="Times New Roman"/>
          <w:b/>
          <w:i/>
          <w:iCs/>
          <w:sz w:val="20"/>
          <w:szCs w:val="20"/>
          <w:lang w:val="en-GB"/>
        </w:rPr>
        <w:t>Adjustment of goals in relation to the current grant envelope in the amount of CZK 3.285 billion</w:t>
      </w:r>
    </w:p>
    <w:p w14:paraId="02DD16FF"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lastRenderedPageBreak/>
        <w:t>The original setting of the goals resulted from the analysis of submitted projects within the framework of OP Environment 2014-2020 (not supported due to exhaustion of the allocation), which were assumed to be forwarded to call No. 12/2021. However, due to changes in some parameters in National Recovery Plan compared to OPE, it was not possible (without major modifications to the project) to resubmit a large part of the projects:</w:t>
      </w:r>
    </w:p>
    <w:p w14:paraId="5602A329" w14:textId="77777777" w:rsidR="00FE6363" w:rsidRPr="004D3A46" w:rsidRDefault="00FE6363" w:rsidP="00FE6363">
      <w:pPr>
        <w:pStyle w:val="Odstavecseseznamem"/>
        <w:numPr>
          <w:ilvl w:val="0"/>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Original assumption built at the OPE 2014-2020 was supported by approximately 3.2 billion CZK a total of 400 projects, that is approximately CZK 8 million subsidies from EU sources on one project. However, the real cost of support is roughly 2.5 times, </w:t>
      </w:r>
      <w:proofErr w:type="gramStart"/>
      <w:r w:rsidRPr="004D3A46">
        <w:rPr>
          <w:rFonts w:eastAsia="Times New Roman"/>
          <w:i/>
          <w:iCs/>
          <w:sz w:val="20"/>
          <w:szCs w:val="20"/>
          <w:lang w:val="en-GB"/>
        </w:rPr>
        <w:t>taking into account</w:t>
      </w:r>
      <w:proofErr w:type="gramEnd"/>
      <w:r w:rsidRPr="004D3A46">
        <w:rPr>
          <w:rFonts w:eastAsia="Times New Roman"/>
          <w:i/>
          <w:iCs/>
          <w:sz w:val="20"/>
          <w:szCs w:val="20"/>
          <w:lang w:val="en-GB"/>
        </w:rPr>
        <w:t xml:space="preserve"> the reasons described below</w:t>
      </w:r>
      <w:r w:rsidRPr="004D3A46">
        <w:rPr>
          <w:rFonts w:eastAsia="Times New Roman"/>
          <w:i/>
          <w:iCs/>
          <w:color w:val="FF0000"/>
          <w:sz w:val="20"/>
          <w:szCs w:val="20"/>
          <w:lang w:val="en-GB"/>
        </w:rPr>
        <w:t xml:space="preserve">. </w:t>
      </w:r>
      <w:r w:rsidRPr="004D3A46">
        <w:rPr>
          <w:rFonts w:eastAsia="Times New Roman"/>
          <w:i/>
          <w:iCs/>
          <w:sz w:val="20"/>
          <w:szCs w:val="20"/>
          <w:lang w:val="en-GB"/>
        </w:rPr>
        <w:t xml:space="preserve">Considering the amount of allocation, with respect to real unit costs and the resulting roughly </w:t>
      </w:r>
      <w:r w:rsidRPr="004D3A46">
        <w:rPr>
          <w:rFonts w:eastAsia="Times New Roman"/>
          <w:b/>
          <w:i/>
          <w:iCs/>
          <w:sz w:val="20"/>
          <w:szCs w:val="20"/>
          <w:lang w:val="en-GB"/>
        </w:rPr>
        <w:t>160 projects</w:t>
      </w:r>
      <w:r w:rsidRPr="004D3A46">
        <w:rPr>
          <w:rFonts w:eastAsia="Times New Roman"/>
          <w:i/>
          <w:iCs/>
          <w:sz w:val="20"/>
          <w:szCs w:val="20"/>
          <w:lang w:val="en-GB"/>
        </w:rPr>
        <w:t xml:space="preserve"> (which we actually have at NRP with the allocation of </w:t>
      </w:r>
      <w:r w:rsidRPr="004D3A46">
        <w:rPr>
          <w:rFonts w:eastAsia="Times New Roman"/>
          <w:b/>
          <w:i/>
          <w:iCs/>
          <w:sz w:val="20"/>
          <w:szCs w:val="20"/>
          <w:lang w:val="en-GB"/>
        </w:rPr>
        <w:t>CZK 3,2 billion</w:t>
      </w:r>
      <w:r w:rsidRPr="004D3A46">
        <w:rPr>
          <w:rFonts w:eastAsia="Times New Roman"/>
          <w:i/>
          <w:iCs/>
          <w:sz w:val="20"/>
          <w:szCs w:val="20"/>
          <w:lang w:val="en-GB"/>
        </w:rPr>
        <w:t>), the indicator of the number of projects needs to be lowered adequately.</w:t>
      </w:r>
    </w:p>
    <w:p w14:paraId="5BC152F7"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One of the reasons is for example the different structure of the projects presented in the NRP, compared to the OPE, where these are rather more complex and investment-intensive projects, which in some cases include the implementation of measures on multiple buildings within one application.</w:t>
      </w:r>
    </w:p>
    <w:p w14:paraId="0C29162C" w14:textId="77777777" w:rsidR="00FE6363" w:rsidRPr="004D3A46" w:rsidRDefault="00FE6363" w:rsidP="00FE6363">
      <w:pPr>
        <w:pStyle w:val="Odstavecseseznamem"/>
        <w:numPr>
          <w:ilvl w:val="0"/>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Regarding the target of 390 TJ, it is necessary to point out that it was built on data from OPE 2014-2020 and there are several objective changes in this regard:</w:t>
      </w:r>
    </w:p>
    <w:p w14:paraId="3C0EDBA5"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An average support per project of 50% of the eligible expenses was also calculated, but in the end this support reached 100% of the eligible expenses for the projects of State Subsidized Organizations (mostly investment-intensive projects).</w:t>
      </w:r>
      <w:r w:rsidRPr="004D3A46">
        <w:t xml:space="preserve"> </w:t>
      </w:r>
      <w:r w:rsidRPr="004D3A46">
        <w:rPr>
          <w:rFonts w:eastAsia="Times New Roman"/>
          <w:i/>
          <w:iCs/>
          <w:sz w:val="20"/>
          <w:szCs w:val="20"/>
          <w:lang w:val="en-GB"/>
        </w:rPr>
        <w:t xml:space="preserve">With regard to the importance of the given projects for the </w:t>
      </w:r>
      <w:proofErr w:type="spellStart"/>
      <w:r w:rsidRPr="004D3A46">
        <w:rPr>
          <w:rFonts w:eastAsia="Times New Roman"/>
          <w:i/>
          <w:iCs/>
          <w:sz w:val="20"/>
          <w:szCs w:val="20"/>
          <w:lang w:val="en-GB"/>
        </w:rPr>
        <w:t>fulfillment</w:t>
      </w:r>
      <w:proofErr w:type="spellEnd"/>
      <w:r w:rsidRPr="004D3A46">
        <w:rPr>
          <w:rFonts w:eastAsia="Times New Roman"/>
          <w:i/>
          <w:iCs/>
          <w:sz w:val="20"/>
          <w:szCs w:val="20"/>
          <w:lang w:val="en-GB"/>
        </w:rPr>
        <w:t xml:space="preserve"> of the Czech Republic in the field of energy efficiency, the significant representation of these projects and the higher level of support, the achieved effects on the spent funds partially decrease compared to the original estimates based on data from the OPE.</w:t>
      </w:r>
    </w:p>
    <w:p w14:paraId="5F1D753A"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Another fact that has already been mentioned above in the first bullet about the number of the projects is the different structure of the projects presented in the NRP, compared to the OPE, where these are rather more complex and investment-intensive projects</w:t>
      </w:r>
    </w:p>
    <w:p w14:paraId="7B7B19DC"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To determine the adjusted goal, we based the data Appendix No. 1, but we do not yet have the necessary data on how many applicants will not implement the project and withdraw at the contract signing phase, considering the current economic situation.</w:t>
      </w:r>
    </w:p>
    <w:p w14:paraId="069E488C"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Last but not least, the increase in industrial prices should be mentioned (the PPI of the Czech Republic increased by 25.8% year-on-year), when the prices of materials and products in the construction industry increased by 18.3% compared to last September. As of September 2022, the annual growth of consumer prices in the Czech Republic was 18%, the annual growth of construction works was 12%, the annual growth of prices of construction materials was 17.6%. Such rapid growth could not have been assumed when setting the targets. Annual growth of consumer goods in the Czech Republic was around 3% in the previous periods.</w:t>
      </w:r>
    </w:p>
    <w:p w14:paraId="7E3C2E7B" w14:textId="77777777" w:rsidR="00FE6363" w:rsidRPr="004D3A46" w:rsidRDefault="00FE6363" w:rsidP="00FE6363">
      <w:pPr>
        <w:pStyle w:val="Odstavecseseznamem"/>
        <w:numPr>
          <w:ilvl w:val="0"/>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Therefore, for accepted and administered projects in the NRP, we arrive at the actualization of allocations in the amount of </w:t>
      </w:r>
      <w:r w:rsidRPr="004D3A46">
        <w:rPr>
          <w:rFonts w:eastAsia="Times New Roman"/>
          <w:b/>
          <w:i/>
          <w:iCs/>
          <w:sz w:val="20"/>
          <w:szCs w:val="20"/>
          <w:lang w:val="en-GB"/>
        </w:rPr>
        <w:t>3.285 million CZK</w:t>
      </w:r>
      <w:r w:rsidRPr="004D3A46">
        <w:rPr>
          <w:rFonts w:eastAsia="Times New Roman"/>
          <w:i/>
          <w:iCs/>
          <w:sz w:val="20"/>
          <w:szCs w:val="20"/>
          <w:lang w:val="en-GB"/>
        </w:rPr>
        <w:t xml:space="preserve"> for an effect of approximately </w:t>
      </w:r>
      <w:r w:rsidRPr="004D3A46">
        <w:rPr>
          <w:rFonts w:eastAsia="Times New Roman"/>
          <w:b/>
          <w:i/>
          <w:iCs/>
          <w:sz w:val="20"/>
          <w:szCs w:val="20"/>
          <w:lang w:val="en-GB"/>
        </w:rPr>
        <w:t>280 TJ</w:t>
      </w:r>
      <w:r w:rsidRPr="004D3A46">
        <w:rPr>
          <w:rFonts w:eastAsia="Times New Roman"/>
          <w:i/>
          <w:iCs/>
          <w:sz w:val="20"/>
          <w:szCs w:val="20"/>
          <w:lang w:val="en-GB"/>
        </w:rPr>
        <w:t>. It is necessary to add a certain comparison with OPE to said reduction, although a direct comparison is not possible due to the different rules and the time shift in which the projects in both subsidy titles are mostly implemented (cost difference, etc.):</w:t>
      </w:r>
    </w:p>
    <w:p w14:paraId="6D87B486"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In the </w:t>
      </w:r>
      <w:r w:rsidRPr="004D3A46">
        <w:rPr>
          <w:rFonts w:eastAsia="Times New Roman"/>
          <w:b/>
          <w:i/>
          <w:iCs/>
          <w:sz w:val="20"/>
          <w:szCs w:val="20"/>
          <w:lang w:val="en-GB"/>
        </w:rPr>
        <w:t>OPE 2014-2020</w:t>
      </w:r>
      <w:r w:rsidRPr="004D3A46">
        <w:rPr>
          <w:rFonts w:eastAsia="Times New Roman"/>
          <w:i/>
          <w:iCs/>
          <w:sz w:val="20"/>
          <w:szCs w:val="20"/>
          <w:lang w:val="en-GB"/>
        </w:rPr>
        <w:t xml:space="preserve">, effects on the spent funds are expected to be roughly </w:t>
      </w:r>
      <w:r w:rsidRPr="004D3A46">
        <w:rPr>
          <w:rFonts w:eastAsia="Times New Roman"/>
          <w:b/>
          <w:i/>
          <w:iCs/>
          <w:sz w:val="20"/>
          <w:szCs w:val="20"/>
          <w:lang w:val="en-GB"/>
        </w:rPr>
        <w:t>120 TJ per CZK 1 billion</w:t>
      </w:r>
      <w:r w:rsidRPr="004D3A46">
        <w:rPr>
          <w:rFonts w:eastAsia="Times New Roman"/>
          <w:i/>
          <w:iCs/>
          <w:sz w:val="20"/>
          <w:szCs w:val="20"/>
          <w:lang w:val="en-GB"/>
        </w:rPr>
        <w:t xml:space="preserve"> of spent EU resources</w:t>
      </w:r>
    </w:p>
    <w:p w14:paraId="05C16ED2" w14:textId="77777777" w:rsidR="00FE6363" w:rsidRPr="004D3A46" w:rsidRDefault="00FE6363" w:rsidP="00FE6363">
      <w:pPr>
        <w:pStyle w:val="Odstavecseseznamem"/>
        <w:numPr>
          <w:ilvl w:val="1"/>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In the NRP, according to the currently approved projects - which, as mentioned, are generally more complex and must meet stricter conditions (min. 30% energy savings on average) and thus are logically more expensive - we are at the level of approximately </w:t>
      </w:r>
      <w:r w:rsidRPr="004D3A46">
        <w:rPr>
          <w:rFonts w:eastAsia="Times New Roman"/>
          <w:b/>
          <w:i/>
          <w:iCs/>
          <w:sz w:val="20"/>
          <w:szCs w:val="20"/>
          <w:lang w:val="en-GB"/>
        </w:rPr>
        <w:t>88 TJ per 1 billion CZK</w:t>
      </w:r>
      <w:r w:rsidRPr="004D3A46">
        <w:rPr>
          <w:rFonts w:eastAsia="Times New Roman"/>
          <w:i/>
          <w:iCs/>
          <w:sz w:val="20"/>
          <w:szCs w:val="20"/>
          <w:lang w:val="en-GB"/>
        </w:rPr>
        <w:t xml:space="preserve"> spent funds - if we realize that the </w:t>
      </w:r>
      <w:proofErr w:type="spellStart"/>
      <w:r w:rsidRPr="004D3A46">
        <w:rPr>
          <w:rFonts w:eastAsia="Times New Roman"/>
          <w:i/>
          <w:iCs/>
          <w:sz w:val="20"/>
          <w:szCs w:val="20"/>
          <w:lang w:val="en-GB"/>
        </w:rPr>
        <w:t>mantioned</w:t>
      </w:r>
      <w:proofErr w:type="spellEnd"/>
      <w:r w:rsidRPr="004D3A46">
        <w:rPr>
          <w:rFonts w:eastAsia="Times New Roman"/>
          <w:i/>
          <w:iCs/>
          <w:sz w:val="20"/>
          <w:szCs w:val="20"/>
          <w:lang w:val="en-GB"/>
        </w:rPr>
        <w:t xml:space="preserve"> reduction affects </w:t>
      </w:r>
    </w:p>
    <w:p w14:paraId="15DD9449" w14:textId="77777777" w:rsidR="00FE6363" w:rsidRPr="004D3A46" w:rsidRDefault="00FE6363" w:rsidP="00FE6363">
      <w:pPr>
        <w:pStyle w:val="Odstavecseseznamem"/>
        <w:numPr>
          <w:ilvl w:val="2"/>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not only the above indicated inflation of the last year and</w:t>
      </w:r>
    </w:p>
    <w:p w14:paraId="503937EB" w14:textId="77777777" w:rsidR="00FE6363" w:rsidRPr="004D3A46" w:rsidRDefault="00FE6363" w:rsidP="00FE6363">
      <w:pPr>
        <w:pStyle w:val="Odstavecseseznamem"/>
        <w:numPr>
          <w:ilvl w:val="2"/>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an effort to motivate and support buildings that are perceived as key even according to European legislation, while these are often old buildings with very demanding reconstructions</w:t>
      </w:r>
    </w:p>
    <w:p w14:paraId="002D29B2" w14:textId="77777777" w:rsidR="00FE6363" w:rsidRPr="004D3A46" w:rsidRDefault="00FE6363" w:rsidP="00FE6363">
      <w:pPr>
        <w:ind w:left="1519"/>
        <w:jc w:val="both"/>
        <w:rPr>
          <w:rFonts w:eastAsia="Times New Roman"/>
          <w:i/>
          <w:iCs/>
          <w:sz w:val="20"/>
          <w:szCs w:val="20"/>
        </w:rPr>
      </w:pPr>
      <w:r w:rsidRPr="004D3A46">
        <w:rPr>
          <w:rFonts w:eastAsia="Times New Roman"/>
          <w:i/>
          <w:iCs/>
          <w:sz w:val="20"/>
          <w:szCs w:val="20"/>
        </w:rPr>
        <w:t xml:space="preserve"> we perceive the above as an excellent result</w:t>
      </w:r>
    </w:p>
    <w:p w14:paraId="26B52BE7" w14:textId="77777777" w:rsidR="00FE6363" w:rsidRPr="004D3A46" w:rsidRDefault="00FE6363" w:rsidP="00FE6363">
      <w:pPr>
        <w:pStyle w:val="Odstavecseseznamem"/>
        <w:numPr>
          <w:ilvl w:val="0"/>
          <w:numId w:val="39"/>
        </w:numPr>
        <w:spacing w:after="0" w:line="240" w:lineRule="auto"/>
        <w:jc w:val="both"/>
        <w:rPr>
          <w:rFonts w:eastAsia="Times New Roman"/>
          <w:b/>
          <w:i/>
          <w:iCs/>
          <w:sz w:val="20"/>
          <w:szCs w:val="20"/>
          <w:lang w:val="en-GB"/>
        </w:rPr>
      </w:pPr>
      <w:r w:rsidRPr="004D3A46">
        <w:rPr>
          <w:rFonts w:eastAsia="Times New Roman"/>
          <w:b/>
          <w:i/>
          <w:iCs/>
          <w:sz w:val="20"/>
          <w:szCs w:val="20"/>
          <w:lang w:val="en-GB"/>
        </w:rPr>
        <w:t>Adjustment of objectives in relation to the increased grant envelope by CZK 1.5 billion</w:t>
      </w:r>
    </w:p>
    <w:p w14:paraId="6B2DD7CB" w14:textId="77777777" w:rsidR="00FE6363" w:rsidRPr="004D3A46" w:rsidRDefault="00FE6363" w:rsidP="00FE6363">
      <w:pPr>
        <w:jc w:val="both"/>
        <w:rPr>
          <w:rFonts w:eastAsia="Times New Roman"/>
          <w:i/>
          <w:iCs/>
          <w:sz w:val="20"/>
          <w:szCs w:val="20"/>
        </w:rPr>
      </w:pPr>
      <w:r w:rsidRPr="004D3A46">
        <w:rPr>
          <w:rFonts w:eastAsia="Times New Roman"/>
          <w:i/>
          <w:iCs/>
          <w:sz w:val="20"/>
          <w:szCs w:val="20"/>
        </w:rPr>
        <w:t>With regard to the increase of the grant envelope by CZK 1.5 billion, it is necessary to adjust the above objectives adequately. The goals were adjusted based on the interim results of the 12/2021 call.</w:t>
      </w:r>
    </w:p>
    <w:p w14:paraId="4A9314A1" w14:textId="77777777" w:rsidR="00FE6363" w:rsidRPr="004D3A46" w:rsidRDefault="00FE6363" w:rsidP="00FE6363">
      <w:pPr>
        <w:pStyle w:val="Odstavecseseznamem"/>
        <w:numPr>
          <w:ilvl w:val="0"/>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The target of </w:t>
      </w:r>
      <w:r w:rsidRPr="004D3A46">
        <w:rPr>
          <w:rFonts w:eastAsia="Times New Roman"/>
          <w:b/>
          <w:i/>
          <w:iCs/>
          <w:sz w:val="20"/>
          <w:szCs w:val="20"/>
          <w:lang w:val="en-GB"/>
        </w:rPr>
        <w:t>160 projects</w:t>
      </w:r>
      <w:r w:rsidRPr="004D3A46">
        <w:rPr>
          <w:rFonts w:eastAsia="Times New Roman"/>
          <w:i/>
          <w:iCs/>
          <w:sz w:val="20"/>
          <w:szCs w:val="20"/>
          <w:lang w:val="en-GB"/>
        </w:rPr>
        <w:t xml:space="preserve"> was increased to </w:t>
      </w:r>
      <w:r w:rsidRPr="004D3A46">
        <w:rPr>
          <w:rFonts w:eastAsia="Times New Roman"/>
          <w:b/>
          <w:i/>
          <w:iCs/>
          <w:sz w:val="20"/>
          <w:szCs w:val="20"/>
          <w:lang w:val="en-GB"/>
        </w:rPr>
        <w:t>220 projects</w:t>
      </w:r>
      <w:r w:rsidRPr="004D3A46">
        <w:rPr>
          <w:rFonts w:eastAsia="Times New Roman"/>
          <w:i/>
          <w:iCs/>
          <w:sz w:val="20"/>
          <w:szCs w:val="20"/>
          <w:lang w:val="en-GB"/>
        </w:rPr>
        <w:t xml:space="preserve">, </w:t>
      </w:r>
      <w:proofErr w:type="gramStart"/>
      <w:r w:rsidRPr="004D3A46">
        <w:rPr>
          <w:rFonts w:eastAsia="Times New Roman"/>
          <w:i/>
          <w:iCs/>
          <w:sz w:val="20"/>
          <w:szCs w:val="20"/>
          <w:lang w:val="en-GB"/>
        </w:rPr>
        <w:t>taking into account</w:t>
      </w:r>
      <w:proofErr w:type="gramEnd"/>
      <w:r w:rsidRPr="004D3A46">
        <w:rPr>
          <w:rFonts w:eastAsia="Times New Roman"/>
          <w:i/>
          <w:iCs/>
          <w:sz w:val="20"/>
          <w:szCs w:val="20"/>
          <w:lang w:val="en-GB"/>
        </w:rPr>
        <w:t xml:space="preserve"> the current unit costs per project and the increased allocation of CZK 4.785 billion.</w:t>
      </w:r>
    </w:p>
    <w:p w14:paraId="572CCEBC" w14:textId="77777777" w:rsidR="00684946" w:rsidRPr="004D3A46" w:rsidRDefault="00FE6363" w:rsidP="00684946">
      <w:pPr>
        <w:pStyle w:val="Odstavecseseznamem"/>
        <w:numPr>
          <w:ilvl w:val="0"/>
          <w:numId w:val="38"/>
        </w:numPr>
        <w:spacing w:after="0" w:line="240" w:lineRule="auto"/>
        <w:jc w:val="both"/>
        <w:rPr>
          <w:rFonts w:eastAsia="Times New Roman"/>
          <w:i/>
          <w:iCs/>
          <w:sz w:val="20"/>
          <w:szCs w:val="20"/>
          <w:lang w:val="en-GB"/>
        </w:rPr>
      </w:pPr>
      <w:r w:rsidRPr="004D3A46">
        <w:rPr>
          <w:rFonts w:eastAsia="Times New Roman"/>
          <w:i/>
          <w:iCs/>
          <w:sz w:val="20"/>
          <w:szCs w:val="20"/>
          <w:lang w:val="en-GB"/>
        </w:rPr>
        <w:t xml:space="preserve">The target of </w:t>
      </w:r>
      <w:r w:rsidRPr="004D3A46">
        <w:rPr>
          <w:rFonts w:eastAsia="Times New Roman"/>
          <w:b/>
          <w:i/>
          <w:iCs/>
          <w:sz w:val="20"/>
          <w:szCs w:val="20"/>
          <w:lang w:val="en-GB"/>
        </w:rPr>
        <w:t>280 TJ</w:t>
      </w:r>
      <w:r w:rsidRPr="004D3A46">
        <w:rPr>
          <w:rFonts w:eastAsia="Times New Roman"/>
          <w:i/>
          <w:iCs/>
          <w:sz w:val="20"/>
          <w:szCs w:val="20"/>
          <w:lang w:val="en-GB"/>
        </w:rPr>
        <w:t xml:space="preserve"> was increased </w:t>
      </w:r>
      <w:r w:rsidRPr="004D3A46">
        <w:rPr>
          <w:rFonts w:eastAsia="Times New Roman"/>
          <w:b/>
          <w:i/>
          <w:iCs/>
          <w:sz w:val="20"/>
          <w:szCs w:val="20"/>
          <w:lang w:val="en-GB"/>
        </w:rPr>
        <w:t>to 410 TJ,</w:t>
      </w:r>
      <w:r w:rsidRPr="004D3A46">
        <w:rPr>
          <w:rFonts w:eastAsia="Times New Roman"/>
          <w:i/>
          <w:iCs/>
          <w:sz w:val="20"/>
          <w:szCs w:val="20"/>
          <w:lang w:val="en-GB"/>
        </w:rPr>
        <w:t xml:space="preserve"> </w:t>
      </w:r>
      <w:proofErr w:type="gramStart"/>
      <w:r w:rsidRPr="004D3A46">
        <w:rPr>
          <w:rFonts w:eastAsia="Times New Roman"/>
          <w:i/>
          <w:iCs/>
          <w:sz w:val="20"/>
          <w:szCs w:val="20"/>
          <w:lang w:val="en-GB"/>
        </w:rPr>
        <w:t>taking into account</w:t>
      </w:r>
      <w:proofErr w:type="gramEnd"/>
      <w:r w:rsidRPr="004D3A46">
        <w:rPr>
          <w:rFonts w:eastAsia="Times New Roman"/>
          <w:i/>
          <w:iCs/>
          <w:sz w:val="20"/>
          <w:szCs w:val="20"/>
          <w:lang w:val="en-GB"/>
        </w:rPr>
        <w:t xml:space="preserve"> the unit costs of approved projects in the amount of 88 TJ/1 billion CZK and the unit costs of other accepted projects in the amount of 78 TJ/1 billion CZK.</w:t>
      </w:r>
    </w:p>
    <w:p w14:paraId="3B7B4B86" w14:textId="77777777" w:rsidR="00684946" w:rsidRPr="00605759" w:rsidRDefault="00684946" w:rsidP="00605759"/>
    <w:sectPr w:rsidR="00684946"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226A1" w14:textId="77777777" w:rsidR="00425C3D" w:rsidRDefault="00425C3D" w:rsidP="00677FE0">
      <w:pPr>
        <w:spacing w:after="0" w:line="240" w:lineRule="auto"/>
      </w:pPr>
      <w:r>
        <w:separator/>
      </w:r>
    </w:p>
  </w:endnote>
  <w:endnote w:type="continuationSeparator" w:id="0">
    <w:p w14:paraId="17AD93B2" w14:textId="77777777" w:rsidR="00425C3D" w:rsidRDefault="00425C3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2C34E"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2F1B3"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29076"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204FF1" w14:textId="77777777" w:rsidR="00425C3D" w:rsidRDefault="00425C3D" w:rsidP="00677FE0">
      <w:pPr>
        <w:spacing w:after="0" w:line="240" w:lineRule="auto"/>
      </w:pPr>
      <w:r>
        <w:separator/>
      </w:r>
    </w:p>
  </w:footnote>
  <w:footnote w:type="continuationSeparator" w:id="0">
    <w:p w14:paraId="2DBF0D7D" w14:textId="77777777" w:rsidR="00425C3D" w:rsidRDefault="00425C3D"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0AD66"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FF5F2"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4B5B7"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55131EF"/>
    <w:multiLevelType w:val="multilevel"/>
    <w:tmpl w:val="E8A48D7C"/>
    <w:numStyleLink w:val="VariantaA-sla"/>
  </w:abstractNum>
  <w:abstractNum w:abstractNumId="27" w15:restartNumberingAfterBreak="0">
    <w:nsid w:val="35937AE8"/>
    <w:multiLevelType w:val="hybridMultilevel"/>
    <w:tmpl w:val="75908C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A8C5B0B"/>
    <w:multiLevelType w:val="hybridMultilevel"/>
    <w:tmpl w:val="ACD4E3B0"/>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4A306389"/>
    <w:multiLevelType w:val="multilevel"/>
    <w:tmpl w:val="E8BAE50A"/>
    <w:numStyleLink w:val="VariantaA-odrky"/>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3290926"/>
    <w:multiLevelType w:val="multilevel"/>
    <w:tmpl w:val="E8BAE50A"/>
    <w:numStyleLink w:val="VariantaA-odrky"/>
  </w:abstractNum>
  <w:abstractNum w:abstractNumId="32" w15:restartNumberingAfterBreak="0">
    <w:nsid w:val="533902EA"/>
    <w:multiLevelType w:val="multilevel"/>
    <w:tmpl w:val="E8BAE50A"/>
    <w:numStyleLink w:val="VariantaA-odrky"/>
  </w:abstractNum>
  <w:abstractNum w:abstractNumId="33" w15:restartNumberingAfterBreak="0">
    <w:nsid w:val="571C11E2"/>
    <w:multiLevelType w:val="multilevel"/>
    <w:tmpl w:val="E8A48D7C"/>
    <w:numStyleLink w:val="VariantaA-sla"/>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F35F43"/>
    <w:multiLevelType w:val="multilevel"/>
    <w:tmpl w:val="0D8ABE32"/>
    <w:numStyleLink w:val="VariantaB-sla"/>
  </w:abstractNum>
  <w:abstractNum w:abstractNumId="36" w15:restartNumberingAfterBreak="0">
    <w:nsid w:val="75631AA5"/>
    <w:multiLevelType w:val="hybridMultilevel"/>
    <w:tmpl w:val="F7D89B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C4866"/>
    <w:multiLevelType w:val="hybridMultilevel"/>
    <w:tmpl w:val="7E282480"/>
    <w:lvl w:ilvl="0" w:tplc="04050011">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4"/>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0"/>
  </w:num>
  <w:num w:numId="7">
    <w:abstractNumId w:val="7"/>
  </w:num>
  <w:num w:numId="8">
    <w:abstractNumId w:val="33"/>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2"/>
  </w:num>
  <w:num w:numId="14">
    <w:abstractNumId w:val="4"/>
  </w:num>
  <w:num w:numId="15">
    <w:abstractNumId w:val="3"/>
  </w:num>
  <w:num w:numId="16">
    <w:abstractNumId w:val="30"/>
  </w:num>
  <w:num w:numId="17">
    <w:abstractNumId w:val="20"/>
  </w:num>
  <w:num w:numId="18">
    <w:abstractNumId w:val="6"/>
  </w:num>
  <w:num w:numId="19">
    <w:abstractNumId w:val="12"/>
  </w:num>
  <w:num w:numId="20">
    <w:abstractNumId w:val="8"/>
  </w:num>
  <w:num w:numId="21">
    <w:abstractNumId w:val="26"/>
  </w:num>
  <w:num w:numId="22">
    <w:abstractNumId w:val="10"/>
  </w:num>
  <w:num w:numId="23">
    <w:abstractNumId w:val="21"/>
  </w:num>
  <w:num w:numId="24">
    <w:abstractNumId w:val="11"/>
  </w:num>
  <w:num w:numId="25">
    <w:abstractNumId w:val="15"/>
  </w:num>
  <w:num w:numId="26">
    <w:abstractNumId w:val="29"/>
  </w:num>
  <w:num w:numId="27">
    <w:abstractNumId w:val="25"/>
  </w:num>
  <w:num w:numId="28">
    <w:abstractNumId w:val="24"/>
  </w:num>
  <w:num w:numId="29">
    <w:abstractNumId w:val="18"/>
  </w:num>
  <w:num w:numId="30">
    <w:abstractNumId w:val="31"/>
  </w:num>
  <w:num w:numId="31">
    <w:abstractNumId w:val="35"/>
  </w:num>
  <w:num w:numId="32">
    <w:abstractNumId w:val="22"/>
  </w:num>
  <w:num w:numId="33">
    <w:abstractNumId w:val="17"/>
  </w:num>
  <w:num w:numId="34">
    <w:abstractNumId w:val="9"/>
  </w:num>
  <w:num w:numId="35">
    <w:abstractNumId w:val="23"/>
  </w:num>
  <w:num w:numId="36">
    <w:abstractNumId w:val="13"/>
  </w:num>
  <w:num w:numId="37">
    <w:abstractNumId w:val="37"/>
  </w:num>
  <w:num w:numId="38">
    <w:abstractNumId w:val="27"/>
  </w:num>
  <w:num w:numId="39">
    <w:abstractNumId w:val="36"/>
  </w:num>
  <w:num w:numId="40">
    <w:abstractNumId w:val="28"/>
    <w:lvlOverride w:ilvl="0">
      <w:startOverride w:val="1"/>
    </w:lvlOverride>
    <w:lvlOverride w:ilvl="1"/>
    <w:lvlOverride w:ilvl="2"/>
    <w:lvlOverride w:ilvl="3"/>
    <w:lvlOverride w:ilvl="4"/>
    <w:lvlOverride w:ilvl="5"/>
    <w:lvlOverride w:ilvl="6"/>
    <w:lvlOverride w:ilvl="7"/>
    <w:lvlOverride w:ilv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3072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2411"/>
    <w:rsid w:val="00015306"/>
    <w:rsid w:val="00023A79"/>
    <w:rsid w:val="0002674B"/>
    <w:rsid w:val="0004162E"/>
    <w:rsid w:val="0004786B"/>
    <w:rsid w:val="00063405"/>
    <w:rsid w:val="000809B9"/>
    <w:rsid w:val="00090B40"/>
    <w:rsid w:val="00095A0A"/>
    <w:rsid w:val="00097F3D"/>
    <w:rsid w:val="000B1B3D"/>
    <w:rsid w:val="000C4CAF"/>
    <w:rsid w:val="000C533F"/>
    <w:rsid w:val="00121485"/>
    <w:rsid w:val="0012359C"/>
    <w:rsid w:val="001268B0"/>
    <w:rsid w:val="0018051B"/>
    <w:rsid w:val="001B1E4A"/>
    <w:rsid w:val="001B3F47"/>
    <w:rsid w:val="001D27C0"/>
    <w:rsid w:val="001E74C3"/>
    <w:rsid w:val="001F6937"/>
    <w:rsid w:val="0021576B"/>
    <w:rsid w:val="00220DE3"/>
    <w:rsid w:val="00251D03"/>
    <w:rsid w:val="0025290D"/>
    <w:rsid w:val="00255E0B"/>
    <w:rsid w:val="00260372"/>
    <w:rsid w:val="00262DAF"/>
    <w:rsid w:val="00264AD7"/>
    <w:rsid w:val="00285AED"/>
    <w:rsid w:val="00297539"/>
    <w:rsid w:val="002A3E9A"/>
    <w:rsid w:val="002E2442"/>
    <w:rsid w:val="002F0E8C"/>
    <w:rsid w:val="00310FA0"/>
    <w:rsid w:val="00317867"/>
    <w:rsid w:val="00320481"/>
    <w:rsid w:val="003250CB"/>
    <w:rsid w:val="00363201"/>
    <w:rsid w:val="0039063C"/>
    <w:rsid w:val="003A46A8"/>
    <w:rsid w:val="003A51AA"/>
    <w:rsid w:val="003B565A"/>
    <w:rsid w:val="003D00A1"/>
    <w:rsid w:val="00404E0D"/>
    <w:rsid w:val="004074F1"/>
    <w:rsid w:val="0041427F"/>
    <w:rsid w:val="00425C3D"/>
    <w:rsid w:val="00441A3C"/>
    <w:rsid w:val="004509E5"/>
    <w:rsid w:val="004820D8"/>
    <w:rsid w:val="00486FB9"/>
    <w:rsid w:val="0049113C"/>
    <w:rsid w:val="004B1920"/>
    <w:rsid w:val="004B22C5"/>
    <w:rsid w:val="004C212A"/>
    <w:rsid w:val="004D3A46"/>
    <w:rsid w:val="004E3042"/>
    <w:rsid w:val="004F69CE"/>
    <w:rsid w:val="00500232"/>
    <w:rsid w:val="00504668"/>
    <w:rsid w:val="005455E1"/>
    <w:rsid w:val="005502BD"/>
    <w:rsid w:val="00556787"/>
    <w:rsid w:val="0057382B"/>
    <w:rsid w:val="00582276"/>
    <w:rsid w:val="005C2560"/>
    <w:rsid w:val="005C2BB0"/>
    <w:rsid w:val="005F7585"/>
    <w:rsid w:val="00605759"/>
    <w:rsid w:val="006143DD"/>
    <w:rsid w:val="006353BB"/>
    <w:rsid w:val="00650C6C"/>
    <w:rsid w:val="00652FE6"/>
    <w:rsid w:val="00667898"/>
    <w:rsid w:val="00677FE0"/>
    <w:rsid w:val="00684946"/>
    <w:rsid w:val="006D04EF"/>
    <w:rsid w:val="006E2FB0"/>
    <w:rsid w:val="006F6850"/>
    <w:rsid w:val="007102D2"/>
    <w:rsid w:val="00711008"/>
    <w:rsid w:val="00713948"/>
    <w:rsid w:val="007363B5"/>
    <w:rsid w:val="00753A27"/>
    <w:rsid w:val="0079342A"/>
    <w:rsid w:val="0079636A"/>
    <w:rsid w:val="007B21CC"/>
    <w:rsid w:val="007B4949"/>
    <w:rsid w:val="007D52BD"/>
    <w:rsid w:val="007F0BC6"/>
    <w:rsid w:val="008118E4"/>
    <w:rsid w:val="00831374"/>
    <w:rsid w:val="00857580"/>
    <w:rsid w:val="00860628"/>
    <w:rsid w:val="00865238"/>
    <w:rsid w:val="008667BF"/>
    <w:rsid w:val="00895645"/>
    <w:rsid w:val="00896FDC"/>
    <w:rsid w:val="008A7851"/>
    <w:rsid w:val="008C3782"/>
    <w:rsid w:val="008D4A32"/>
    <w:rsid w:val="008D5155"/>
    <w:rsid w:val="008D593A"/>
    <w:rsid w:val="008E7760"/>
    <w:rsid w:val="008F65A8"/>
    <w:rsid w:val="00922001"/>
    <w:rsid w:val="00922C17"/>
    <w:rsid w:val="0093487C"/>
    <w:rsid w:val="00937853"/>
    <w:rsid w:val="00942DDD"/>
    <w:rsid w:val="009516A8"/>
    <w:rsid w:val="0097705C"/>
    <w:rsid w:val="009F0E5F"/>
    <w:rsid w:val="009F393D"/>
    <w:rsid w:val="009F7F46"/>
    <w:rsid w:val="00A000BF"/>
    <w:rsid w:val="00A0587E"/>
    <w:rsid w:val="00A275BC"/>
    <w:rsid w:val="00A464B4"/>
    <w:rsid w:val="00A63D6B"/>
    <w:rsid w:val="00A6566B"/>
    <w:rsid w:val="00A84B52"/>
    <w:rsid w:val="00A8660F"/>
    <w:rsid w:val="00A95C48"/>
    <w:rsid w:val="00AA13D1"/>
    <w:rsid w:val="00AA32C2"/>
    <w:rsid w:val="00AA7056"/>
    <w:rsid w:val="00AB31C6"/>
    <w:rsid w:val="00AB523B"/>
    <w:rsid w:val="00AD7E40"/>
    <w:rsid w:val="00B1477A"/>
    <w:rsid w:val="00B2085D"/>
    <w:rsid w:val="00B20993"/>
    <w:rsid w:val="00B42E96"/>
    <w:rsid w:val="00B50EE6"/>
    <w:rsid w:val="00B52185"/>
    <w:rsid w:val="00B73E5C"/>
    <w:rsid w:val="00B9753A"/>
    <w:rsid w:val="00BB479C"/>
    <w:rsid w:val="00BC4720"/>
    <w:rsid w:val="00BD75A2"/>
    <w:rsid w:val="00C2017A"/>
    <w:rsid w:val="00C2026B"/>
    <w:rsid w:val="00C20470"/>
    <w:rsid w:val="00C34B2F"/>
    <w:rsid w:val="00C45B77"/>
    <w:rsid w:val="00C4641B"/>
    <w:rsid w:val="00C52144"/>
    <w:rsid w:val="00C56698"/>
    <w:rsid w:val="00C6690E"/>
    <w:rsid w:val="00C703C5"/>
    <w:rsid w:val="00C805F2"/>
    <w:rsid w:val="00C83AB8"/>
    <w:rsid w:val="00C96EFE"/>
    <w:rsid w:val="00CA7AB1"/>
    <w:rsid w:val="00CC5E40"/>
    <w:rsid w:val="00CF0D79"/>
    <w:rsid w:val="00D1569F"/>
    <w:rsid w:val="00D20B1E"/>
    <w:rsid w:val="00D22462"/>
    <w:rsid w:val="00D230AC"/>
    <w:rsid w:val="00D32489"/>
    <w:rsid w:val="00D3349E"/>
    <w:rsid w:val="00D47085"/>
    <w:rsid w:val="00D73CB8"/>
    <w:rsid w:val="00D971D9"/>
    <w:rsid w:val="00DA7591"/>
    <w:rsid w:val="00DB43F1"/>
    <w:rsid w:val="00E32798"/>
    <w:rsid w:val="00E33CC8"/>
    <w:rsid w:val="00E51C91"/>
    <w:rsid w:val="00E667C1"/>
    <w:rsid w:val="00EC3F88"/>
    <w:rsid w:val="00ED36D8"/>
    <w:rsid w:val="00EE0609"/>
    <w:rsid w:val="00EE6BD7"/>
    <w:rsid w:val="00F0689D"/>
    <w:rsid w:val="00F3032D"/>
    <w:rsid w:val="00F46C99"/>
    <w:rsid w:val="00F54214"/>
    <w:rsid w:val="00F80058"/>
    <w:rsid w:val="00FB01B5"/>
    <w:rsid w:val="00FB116D"/>
    <w:rsid w:val="00FB7874"/>
    <w:rsid w:val="00FC7A14"/>
    <w:rsid w:val="00FE6363"/>
    <w:rsid w:val="0688600B"/>
    <w:rsid w:val="09F1EE6F"/>
    <w:rsid w:val="0B10F7E6"/>
    <w:rsid w:val="0B5BD12E"/>
    <w:rsid w:val="20793250"/>
    <w:rsid w:val="2FC2DA91"/>
    <w:rsid w:val="3174DDF7"/>
    <w:rsid w:val="37AD5385"/>
    <w:rsid w:val="3A5757E0"/>
    <w:rsid w:val="40E2F453"/>
    <w:rsid w:val="413B0D6E"/>
    <w:rsid w:val="454DE447"/>
    <w:rsid w:val="4F9FBC62"/>
    <w:rsid w:val="53E0C48C"/>
    <w:rsid w:val="5652159C"/>
    <w:rsid w:val="57697AB6"/>
    <w:rsid w:val="58D6943C"/>
    <w:rsid w:val="5AB2C25F"/>
    <w:rsid w:val="653DB5E1"/>
    <w:rsid w:val="69F010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5E2261C"/>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FE6363"/>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423208">
      <w:bodyDiv w:val="1"/>
      <w:marLeft w:val="0"/>
      <w:marRight w:val="0"/>
      <w:marTop w:val="0"/>
      <w:marBottom w:val="0"/>
      <w:divBdr>
        <w:top w:val="none" w:sz="0" w:space="0" w:color="auto"/>
        <w:left w:val="none" w:sz="0" w:space="0" w:color="auto"/>
        <w:bottom w:val="none" w:sz="0" w:space="0" w:color="auto"/>
        <w:right w:val="none" w:sz="0" w:space="0" w:color="auto"/>
      </w:divBdr>
    </w:div>
    <w:div w:id="891693149">
      <w:bodyDiv w:val="1"/>
      <w:marLeft w:val="0"/>
      <w:marRight w:val="0"/>
      <w:marTop w:val="0"/>
      <w:marBottom w:val="0"/>
      <w:divBdr>
        <w:top w:val="none" w:sz="0" w:space="0" w:color="auto"/>
        <w:left w:val="none" w:sz="0" w:space="0" w:color="auto"/>
        <w:bottom w:val="none" w:sz="0" w:space="0" w:color="auto"/>
        <w:right w:val="none" w:sz="0" w:space="0" w:color="auto"/>
      </w:divBdr>
    </w:div>
    <w:div w:id="1064639780">
      <w:bodyDiv w:val="1"/>
      <w:marLeft w:val="0"/>
      <w:marRight w:val="0"/>
      <w:marTop w:val="0"/>
      <w:marBottom w:val="0"/>
      <w:divBdr>
        <w:top w:val="none" w:sz="0" w:space="0" w:color="auto"/>
        <w:left w:val="none" w:sz="0" w:space="0" w:color="auto"/>
        <w:bottom w:val="none" w:sz="0" w:space="0" w:color="auto"/>
        <w:right w:val="none" w:sz="0" w:space="0" w:color="auto"/>
      </w:divBdr>
    </w:div>
    <w:div w:id="1627932938">
      <w:bodyDiv w:val="1"/>
      <w:marLeft w:val="0"/>
      <w:marRight w:val="0"/>
      <w:marTop w:val="0"/>
      <w:marBottom w:val="0"/>
      <w:divBdr>
        <w:top w:val="none" w:sz="0" w:space="0" w:color="auto"/>
        <w:left w:val="none" w:sz="0" w:space="0" w:color="auto"/>
        <w:bottom w:val="none" w:sz="0" w:space="0" w:color="auto"/>
        <w:right w:val="none" w:sz="0" w:space="0" w:color="auto"/>
      </w:divBdr>
    </w:div>
    <w:div w:id="1688485889">
      <w:bodyDiv w:val="1"/>
      <w:marLeft w:val="0"/>
      <w:marRight w:val="0"/>
      <w:marTop w:val="0"/>
      <w:marBottom w:val="0"/>
      <w:divBdr>
        <w:top w:val="none" w:sz="0" w:space="0" w:color="auto"/>
        <w:left w:val="none" w:sz="0" w:space="0" w:color="auto"/>
        <w:bottom w:val="none" w:sz="0" w:space="0" w:color="auto"/>
        <w:right w:val="none" w:sz="0" w:space="0" w:color="auto"/>
      </w:divBdr>
    </w:div>
    <w:div w:id="200050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D729D5" w:rsidRDefault="00D729D5"/>
      </w:docPartBody>
    </w:docPart>
    <w:docPart>
      <w:docPartPr>
        <w:name w:val="0C8610FC5E254D1E9C8ACCAAEB668E5C"/>
        <w:category>
          <w:name w:val="Obecné"/>
          <w:gallery w:val="placeholder"/>
        </w:category>
        <w:types>
          <w:type w:val="bbPlcHdr"/>
        </w:types>
        <w:behaviors>
          <w:behavior w:val="content"/>
        </w:behaviors>
        <w:guid w:val="{89DDFD27-3D96-4853-8772-8F5209BB7B89}"/>
      </w:docPartPr>
      <w:docPartBody>
        <w:p w:rsidR="00045045" w:rsidRDefault="00045045"/>
      </w:docPartBody>
    </w:docPart>
    <w:docPart>
      <w:docPartPr>
        <w:name w:val="C2A9AD1919F54252B07B938327EF488F"/>
        <w:category>
          <w:name w:val="Obecné"/>
          <w:gallery w:val="placeholder"/>
        </w:category>
        <w:types>
          <w:type w:val="bbPlcHdr"/>
        </w:types>
        <w:behaviors>
          <w:behavior w:val="content"/>
        </w:behaviors>
        <w:guid w:val="{60CD4B22-262B-4A74-B026-D3B009377982}"/>
      </w:docPartPr>
      <w:docPartBody>
        <w:p w:rsidR="00045045" w:rsidRDefault="00045045"/>
      </w:docPartBody>
    </w:docPart>
    <w:docPart>
      <w:docPartPr>
        <w:name w:val="97E9754EEDAA4DDE85F17A0F1FF67916"/>
        <w:category>
          <w:name w:val="Obecné"/>
          <w:gallery w:val="placeholder"/>
        </w:category>
        <w:types>
          <w:type w:val="bbPlcHdr"/>
        </w:types>
        <w:behaviors>
          <w:behavior w:val="content"/>
        </w:behaviors>
        <w:guid w:val="{8AF9AE65-1A4C-4DCF-B897-9B8356D777E9}"/>
      </w:docPartPr>
      <w:docPartBody>
        <w:p w:rsidR="00045045" w:rsidRDefault="00045045"/>
      </w:docPartBody>
    </w:docPart>
    <w:docPart>
      <w:docPartPr>
        <w:name w:val="D44BBDCE9B264FE783A133D3F6D893E1"/>
        <w:category>
          <w:name w:val="Obecné"/>
          <w:gallery w:val="placeholder"/>
        </w:category>
        <w:types>
          <w:type w:val="bbPlcHdr"/>
        </w:types>
        <w:behaviors>
          <w:behavior w:val="content"/>
        </w:behaviors>
        <w:guid w:val="{F7F551EA-30E0-49DA-91A2-63CDF2496119}"/>
      </w:docPartPr>
      <w:docPartBody>
        <w:p w:rsidR="00045045" w:rsidRDefault="0004504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9D5"/>
    <w:rsid w:val="00045045"/>
    <w:rsid w:val="00D729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938DF8-74DA-456E-99CC-FC1A2FC8738D}">
  <ds:schemaRefs>
    <ds:schemaRef ds:uri="http://purl.org/dc/terms/"/>
    <ds:schemaRef ds:uri="11544cef-d40f-40e0-9fb2-ea3e47b346f0"/>
    <ds:schemaRef ds:uri="http://purl.org/dc/dcmitype/"/>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b4346392-9490-4ec2-979c-afa8507021a9"/>
    <ds:schemaRef ds:uri="http://www.w3.org/XML/1998/namespace"/>
  </ds:schemaRefs>
</ds:datastoreItem>
</file>

<file path=customXml/itemProps2.xml><?xml version="1.0" encoding="utf-8"?>
<ds:datastoreItem xmlns:ds="http://schemas.openxmlformats.org/officeDocument/2006/customXml" ds:itemID="{1152B540-784C-47C6-97D1-048EDD043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9240DD-7FA7-4F0E-8314-557C9B63EE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7A363D68.dotm</Template>
  <TotalTime>0</TotalTime>
  <Pages>9</Pages>
  <Words>4626</Words>
  <Characters>27294</Characters>
  <Application>Microsoft Office Word</Application>
  <DocSecurity>0</DocSecurity>
  <Lines>227</Lines>
  <Paragraphs>63</Paragraphs>
  <ScaleCrop>false</ScaleCrop>
  <Company>Ministerstvo průmyslu a obchodu</Company>
  <LinksUpToDate>false</LinksUpToDate>
  <CharactersWithSpaces>31857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10</cp:revision>
  <dcterms:created xsi:type="dcterms:W3CDTF">2023-06-12T07:19:00Z</dcterms:created>
  <dcterms:modified xsi:type="dcterms:W3CDTF">2023-11-22T07:12:00Z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