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6F7ED4" w14:textId="77777777" w:rsidR="00081252" w:rsidRPr="00751110" w:rsidRDefault="00081252" w:rsidP="00081252">
      <w:pPr>
        <w:pStyle w:val="K-Nadpis2"/>
        <w:spacing w:before="120"/>
        <w:rPr>
          <w:rFonts w:asciiTheme="minorHAnsi" w:eastAsiaTheme="minorEastAsia" w:hAnsiTheme="minorHAnsi" w:cstheme="minorHAnsi"/>
          <w:sz w:val="22"/>
          <w:szCs w:val="22"/>
        </w:rPr>
      </w:pPr>
      <w:bookmarkStart w:id="0" w:name="_Hlk135221618"/>
      <w:bookmarkStart w:id="1" w:name="_GoBack"/>
      <w:bookmarkEnd w:id="1"/>
    </w:p>
    <w:p w14:paraId="4D614409" w14:textId="77777777" w:rsidR="00081252" w:rsidRPr="00751110" w:rsidRDefault="00081252" w:rsidP="00081252">
      <w:pPr>
        <w:pStyle w:val="K-Nadpis1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51110">
        <w:rPr>
          <w:rFonts w:asciiTheme="minorHAnsi" w:hAnsiTheme="minorHAnsi" w:cstheme="minorHAnsi"/>
          <w:sz w:val="22"/>
          <w:szCs w:val="22"/>
        </w:rPr>
        <w:t>Nová investice „Kybernetická bezpečnost II“</w:t>
      </w:r>
    </w:p>
    <w:p w14:paraId="277BEFE1" w14:textId="77777777" w:rsidR="00081252" w:rsidRPr="00751110" w:rsidRDefault="00081252" w:rsidP="00081252">
      <w:pPr>
        <w:pStyle w:val="K-Nadpis1"/>
        <w:rPr>
          <w:rStyle w:val="K-Nadpis2Char"/>
          <w:rFonts w:asciiTheme="minorHAnsi" w:hAnsiTheme="minorHAnsi" w:cstheme="minorHAnsi"/>
          <w:b/>
          <w:sz w:val="22"/>
          <w:szCs w:val="22"/>
        </w:rPr>
      </w:pPr>
      <w:r w:rsidRPr="00751110">
        <w:rPr>
          <w:rStyle w:val="K-Nadpis2Char"/>
          <w:rFonts w:asciiTheme="minorHAnsi" w:hAnsiTheme="minorHAnsi" w:cstheme="minorHAnsi"/>
          <w:sz w:val="22"/>
          <w:szCs w:val="22"/>
        </w:rPr>
        <w:t>1. Popis komponenty</w:t>
      </w:r>
    </w:p>
    <w:tbl>
      <w:tblPr>
        <w:tblStyle w:val="Mkatabulky"/>
        <w:tblW w:w="9630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081252" w:rsidRPr="00751110" w14:paraId="3049028F" w14:textId="77777777" w:rsidTr="06E4230C">
        <w:tc>
          <w:tcPr>
            <w:tcW w:w="9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8AE3FB6" w14:textId="77777777" w:rsidR="00081252" w:rsidRPr="00751110" w:rsidRDefault="00081252">
            <w:pPr>
              <w:pStyle w:val="Default"/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1110">
              <w:rPr>
                <w:rFonts w:asciiTheme="minorHAnsi" w:hAnsiTheme="minorHAnsi" w:cstheme="minorHAnsi"/>
                <w:b/>
                <w:sz w:val="22"/>
                <w:szCs w:val="22"/>
              </w:rPr>
              <w:t>Nová investice - „Kybernetická bezpečnost II“</w:t>
            </w:r>
          </w:p>
          <w:p w14:paraId="2FCF1311" w14:textId="77777777" w:rsidR="00081252" w:rsidRPr="00751110" w:rsidRDefault="00081252">
            <w:pPr>
              <w:pStyle w:val="Default"/>
              <w:spacing w:before="120" w:after="120"/>
              <w:jc w:val="both"/>
              <w:rPr>
                <w:rStyle w:val="K-TextChar"/>
                <w:rFonts w:asciiTheme="minorHAnsi" w:eastAsiaTheme="minorEastAsia" w:hAnsiTheme="minorHAnsi" w:cstheme="minorHAnsi"/>
                <w:i/>
                <w:noProof/>
                <w:color w:val="000000" w:themeColor="text1"/>
                <w:sz w:val="22"/>
                <w:szCs w:val="22"/>
              </w:rPr>
            </w:pPr>
            <w:r w:rsidRPr="00751110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Oblast politiky: </w:t>
            </w:r>
            <w:r w:rsidRPr="00751110">
              <w:rPr>
                <w:rStyle w:val="K-TextChar"/>
                <w:rFonts w:asciiTheme="minorHAnsi" w:eastAsiaTheme="minorEastAsia" w:hAnsiTheme="minorHAnsi" w:cstheme="minorHAnsi"/>
                <w:i/>
                <w:noProof/>
                <w:color w:val="000000" w:themeColor="text1"/>
                <w:sz w:val="22"/>
                <w:szCs w:val="22"/>
              </w:rPr>
              <w:t>eGovernment, digitalizace veřejné správy</w:t>
            </w:r>
          </w:p>
          <w:p w14:paraId="361B46DF" w14:textId="77777777" w:rsidR="00081252" w:rsidRPr="00751110" w:rsidRDefault="00081252">
            <w:pPr>
              <w:pStyle w:val="Default"/>
              <w:spacing w:before="120" w:after="120"/>
              <w:jc w:val="both"/>
              <w:rPr>
                <w:rStyle w:val="K-TextChar"/>
                <w:rFonts w:asciiTheme="minorHAnsi" w:eastAsiaTheme="minorEastAsia" w:hAnsiTheme="minorHAnsi" w:cstheme="minorHAnsi"/>
                <w:b/>
                <w:bCs/>
                <w:iCs w:val="0"/>
                <w:noProof/>
                <w:sz w:val="22"/>
                <w:szCs w:val="22"/>
              </w:rPr>
            </w:pPr>
            <w:r w:rsidRPr="00751110">
              <w:rPr>
                <w:rStyle w:val="K-TextChar"/>
                <w:rFonts w:asciiTheme="minorHAnsi" w:eastAsiaTheme="minorEastAsia" w:hAnsiTheme="minorHAnsi" w:cstheme="minorHAnsi"/>
                <w:b/>
                <w:bCs/>
                <w:noProof/>
                <w:color w:val="000000" w:themeColor="text1"/>
                <w:sz w:val="22"/>
                <w:szCs w:val="22"/>
              </w:rPr>
              <w:t>Komponenta: 1.2 – Digital public administration systems</w:t>
            </w:r>
          </w:p>
          <w:p w14:paraId="4F7AAEBB" w14:textId="77777777" w:rsidR="00081252" w:rsidRPr="00751110" w:rsidRDefault="00081252">
            <w:pPr>
              <w:spacing w:after="120" w:line="240" w:lineRule="auto"/>
              <w:jc w:val="both"/>
              <w:rPr>
                <w:rFonts w:cstheme="minorHAnsi"/>
              </w:rPr>
            </w:pPr>
            <w:r w:rsidRPr="00751110">
              <w:rPr>
                <w:rFonts w:eastAsiaTheme="minorEastAsia" w:cstheme="minorHAnsi"/>
                <w:b/>
                <w:bCs/>
              </w:rPr>
              <w:t xml:space="preserve">Cíl: </w:t>
            </w:r>
          </w:p>
          <w:p w14:paraId="308E0DFB" w14:textId="2A45FD34" w:rsidR="00081252" w:rsidRPr="00751110" w:rsidRDefault="415B4BE0" w:rsidP="7C83C49A">
            <w:pPr>
              <w:spacing w:after="120" w:line="240" w:lineRule="auto"/>
              <w:jc w:val="both"/>
              <w:rPr>
                <w:rFonts w:eastAsiaTheme="minorEastAsia"/>
              </w:rPr>
            </w:pPr>
            <w:r w:rsidRPr="06E4230C">
              <w:rPr>
                <w:rFonts w:eastAsiaTheme="minorEastAsia"/>
              </w:rPr>
              <w:t>Cílem je posílení kybernetické bezpečnosti subjektů působících v</w:t>
            </w:r>
            <w:r w:rsidR="003C06FA">
              <w:rPr>
                <w:rFonts w:eastAsiaTheme="minorEastAsia"/>
              </w:rPr>
              <w:t> </w:t>
            </w:r>
            <w:r w:rsidRPr="06E4230C">
              <w:rPr>
                <w:rFonts w:eastAsiaTheme="minorEastAsia"/>
              </w:rPr>
              <w:t>oblasti dopravy, IZS, veřejné správy a</w:t>
            </w:r>
            <w:r w:rsidR="003C06FA">
              <w:rPr>
                <w:rFonts w:eastAsiaTheme="minorEastAsia"/>
              </w:rPr>
              <w:t> </w:t>
            </w:r>
            <w:r w:rsidRPr="06E4230C">
              <w:rPr>
                <w:rFonts w:eastAsiaTheme="minorEastAsia"/>
              </w:rPr>
              <w:t>zdravotnictví.</w:t>
            </w:r>
          </w:p>
          <w:p w14:paraId="54BB2C0D" w14:textId="2010C3E1" w:rsidR="00081252" w:rsidRPr="00751110" w:rsidRDefault="00081252">
            <w:pPr>
              <w:spacing w:after="120" w:line="240" w:lineRule="auto"/>
              <w:jc w:val="both"/>
              <w:rPr>
                <w:rFonts w:eastAsiaTheme="minorEastAsia" w:cstheme="minorHAnsi"/>
                <w:b/>
                <w:bCs/>
              </w:rPr>
            </w:pPr>
            <w:r w:rsidRPr="00751110">
              <w:rPr>
                <w:rFonts w:eastAsiaTheme="minorEastAsia" w:cstheme="minorHAnsi"/>
                <w:b/>
                <w:bCs/>
              </w:rPr>
              <w:t>Reformy a</w:t>
            </w:r>
            <w:r w:rsidR="003C06FA">
              <w:rPr>
                <w:rFonts w:eastAsiaTheme="minorEastAsia" w:cstheme="minorHAnsi"/>
                <w:b/>
                <w:bCs/>
              </w:rPr>
              <w:t> </w:t>
            </w:r>
            <w:r w:rsidRPr="00751110">
              <w:rPr>
                <w:rFonts w:eastAsiaTheme="minorEastAsia" w:cstheme="minorHAnsi"/>
                <w:b/>
                <w:bCs/>
              </w:rPr>
              <w:t xml:space="preserve">investice: </w:t>
            </w:r>
          </w:p>
          <w:p w14:paraId="2B95CEB5" w14:textId="77777777" w:rsidR="00081252" w:rsidRPr="00751110" w:rsidRDefault="00081252">
            <w:pPr>
              <w:pStyle w:val="Default"/>
              <w:spacing w:before="120" w:after="60"/>
              <w:jc w:val="both"/>
              <w:rPr>
                <w:rStyle w:val="K-TextChar"/>
                <w:rFonts w:asciiTheme="minorHAnsi" w:hAnsiTheme="minorHAnsi" w:cstheme="minorHAnsi"/>
                <w:sz w:val="22"/>
                <w:szCs w:val="22"/>
              </w:rPr>
            </w:pPr>
            <w:r w:rsidRPr="00751110">
              <w:rPr>
                <w:rStyle w:val="K-TextChar"/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Investice</w:t>
            </w:r>
          </w:p>
          <w:p w14:paraId="2D27C362" w14:textId="77777777" w:rsidR="00081252" w:rsidRPr="00070912" w:rsidRDefault="00081252" w:rsidP="00070912">
            <w:pPr>
              <w:spacing w:after="120" w:line="240" w:lineRule="auto"/>
              <w:jc w:val="both"/>
              <w:rPr>
                <w:rFonts w:eastAsiaTheme="minorEastAsia"/>
              </w:rPr>
            </w:pPr>
            <w:r w:rsidRPr="00070912">
              <w:rPr>
                <w:rFonts w:eastAsiaTheme="minorEastAsia"/>
              </w:rPr>
              <w:t>Nová investice „Kybernetická bezpečnost II“</w:t>
            </w:r>
          </w:p>
          <w:p w14:paraId="0A979600" w14:textId="566C8E11" w:rsidR="415B4BE0" w:rsidRPr="00070912" w:rsidRDefault="3B40A3DE" w:rsidP="00070912">
            <w:pPr>
              <w:spacing w:after="120" w:line="240" w:lineRule="auto"/>
              <w:jc w:val="both"/>
              <w:rPr>
                <w:rFonts w:eastAsiaTheme="minorEastAsia"/>
              </w:rPr>
            </w:pPr>
            <w:r w:rsidRPr="00070912">
              <w:rPr>
                <w:rFonts w:eastAsiaTheme="minorEastAsia"/>
              </w:rPr>
              <w:t xml:space="preserve"> Cílem investice je další posílení investice do kybernetické bezpečnosti v</w:t>
            </w:r>
            <w:r w:rsidR="003C06FA" w:rsidRPr="00070912">
              <w:rPr>
                <w:rFonts w:eastAsiaTheme="minorEastAsia"/>
              </w:rPr>
              <w:t> </w:t>
            </w:r>
            <w:r w:rsidRPr="00070912">
              <w:rPr>
                <w:rFonts w:eastAsiaTheme="minorEastAsia"/>
              </w:rPr>
              <w:t>rámci nenávratné finanční podpory navýšením počtu informačních systémů, jejichž kybernetická bezpečnost byla posílena v</w:t>
            </w:r>
            <w:r w:rsidR="003C06FA" w:rsidRPr="00070912">
              <w:rPr>
                <w:rFonts w:eastAsiaTheme="minorEastAsia"/>
              </w:rPr>
              <w:t> </w:t>
            </w:r>
            <w:r w:rsidRPr="00070912">
              <w:rPr>
                <w:rFonts w:eastAsiaTheme="minorEastAsia"/>
              </w:rPr>
              <w:t>souladu se zákonem č. 181/2014 Sb. na 244 veřejných informačních systémů.</w:t>
            </w:r>
          </w:p>
          <w:p w14:paraId="7FDE2AF8" w14:textId="77777777" w:rsidR="00081252" w:rsidRPr="00751110" w:rsidRDefault="00081252">
            <w:pPr>
              <w:spacing w:after="60" w:line="240" w:lineRule="auto"/>
              <w:jc w:val="both"/>
              <w:rPr>
                <w:rFonts w:cstheme="minorHAnsi"/>
                <w:b/>
                <w:bCs/>
              </w:rPr>
            </w:pPr>
            <w:r w:rsidRPr="00751110">
              <w:rPr>
                <w:rFonts w:eastAsiaTheme="minorEastAsia" w:cstheme="minorHAnsi"/>
                <w:b/>
                <w:bCs/>
              </w:rPr>
              <w:t xml:space="preserve">Odhadované náklady: </w:t>
            </w:r>
          </w:p>
          <w:p w14:paraId="092374EB" w14:textId="38AD6DB1" w:rsidR="00081252" w:rsidRPr="00751110" w:rsidRDefault="595E0B60" w:rsidP="0FB71215">
            <w:pPr>
              <w:pStyle w:val="Default"/>
              <w:spacing w:after="60"/>
              <w:jc w:val="both"/>
              <w:rPr>
                <w:rStyle w:val="K-TextChar"/>
                <w:rFonts w:asciiTheme="minorHAnsi" w:hAnsiTheme="minorHAnsi" w:cstheme="minorBidi"/>
                <w:color w:val="000000" w:themeColor="text1"/>
                <w:sz w:val="22"/>
                <w:szCs w:val="22"/>
              </w:rPr>
            </w:pPr>
            <w:r w:rsidRPr="0FB71215">
              <w:rPr>
                <w:rStyle w:val="K-TextChar"/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>6</w:t>
            </w:r>
            <w:r w:rsidR="00DA4544" w:rsidRPr="0FB71215">
              <w:rPr>
                <w:rStyle w:val="K-TextChar"/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>,</w:t>
            </w:r>
            <w:r w:rsidR="6D360ED9" w:rsidRPr="0FB71215">
              <w:rPr>
                <w:rStyle w:val="K-TextChar"/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>6</w:t>
            </w:r>
            <w:r w:rsidR="00081252" w:rsidRPr="0FB71215">
              <w:rPr>
                <w:rStyle w:val="K-TextChar"/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 xml:space="preserve"> mld. Kč </w:t>
            </w:r>
            <w:r w:rsidR="00081252" w:rsidRPr="0FB71215">
              <w:rPr>
                <w:rStyle w:val="K-TextChar"/>
                <w:rFonts w:asciiTheme="minorHAnsi" w:hAnsiTheme="minorHAnsi" w:cstheme="minorBidi"/>
                <w:color w:val="auto"/>
                <w:sz w:val="22"/>
                <w:szCs w:val="22"/>
              </w:rPr>
              <w:t>(plně zahrnuto do RRF)</w:t>
            </w:r>
            <w:r w:rsidR="00081252" w:rsidRPr="0FB71215">
              <w:rPr>
                <w:rStyle w:val="K-TextChar"/>
                <w:rFonts w:asciiTheme="minorHAnsi" w:eastAsiaTheme="minorEastAsia" w:hAnsiTheme="minorHAnsi" w:cstheme="minorBidi"/>
                <w:color w:val="auto"/>
                <w:sz w:val="22"/>
                <w:szCs w:val="22"/>
              </w:rPr>
              <w:t xml:space="preserve"> </w:t>
            </w:r>
          </w:p>
        </w:tc>
      </w:tr>
    </w:tbl>
    <w:p w14:paraId="7BF401B6" w14:textId="2A53DD34" w:rsidR="00081252" w:rsidRPr="00751110" w:rsidRDefault="00081252" w:rsidP="00081252">
      <w:pPr>
        <w:pStyle w:val="K-Nadpis1"/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</w:pPr>
      <w:r w:rsidRPr="00751110">
        <w:rPr>
          <w:rFonts w:asciiTheme="minorHAnsi" w:eastAsiaTheme="minorEastAsia" w:hAnsiTheme="minorHAnsi" w:cstheme="minorHAnsi"/>
          <w:sz w:val="22"/>
          <w:szCs w:val="22"/>
        </w:rPr>
        <w:t xml:space="preserve">2. </w:t>
      </w:r>
      <w:r w:rsidRPr="00751110">
        <w:rPr>
          <w:rFonts w:asciiTheme="minorHAnsi" w:hAnsiTheme="minorHAnsi" w:cstheme="minorHAnsi"/>
          <w:sz w:val="22"/>
          <w:szCs w:val="22"/>
        </w:rPr>
        <w:t>Hlavní výzvy a</w:t>
      </w:r>
      <w:r w:rsidR="003C06FA">
        <w:rPr>
          <w:rFonts w:asciiTheme="minorHAnsi" w:hAnsiTheme="minorHAnsi" w:cstheme="minorHAnsi"/>
          <w:sz w:val="22"/>
          <w:szCs w:val="22"/>
        </w:rPr>
        <w:t> </w:t>
      </w:r>
      <w:r w:rsidRPr="00751110">
        <w:rPr>
          <w:rFonts w:asciiTheme="minorHAnsi" w:hAnsiTheme="minorHAnsi" w:cstheme="minorHAnsi"/>
          <w:sz w:val="22"/>
          <w:szCs w:val="22"/>
        </w:rPr>
        <w:t>cíle</w:t>
      </w:r>
    </w:p>
    <w:p w14:paraId="5AF2942F" w14:textId="77777777" w:rsidR="00081252" w:rsidRPr="00751110" w:rsidRDefault="00081252" w:rsidP="00081252">
      <w:pPr>
        <w:pStyle w:val="K-Nadpis2"/>
        <w:numPr>
          <w:ilvl w:val="0"/>
          <w:numId w:val="9"/>
        </w:numPr>
        <w:spacing w:before="80" w:after="0" w:line="292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751110">
        <w:rPr>
          <w:rFonts w:asciiTheme="minorHAnsi" w:eastAsiaTheme="minorEastAsia" w:hAnsiTheme="minorHAnsi" w:cstheme="minorHAnsi"/>
          <w:sz w:val="22"/>
          <w:szCs w:val="22"/>
        </w:rPr>
        <w:t>Hlavní výzvy</w:t>
      </w:r>
    </w:p>
    <w:p w14:paraId="272BACA9" w14:textId="0B388E27" w:rsidR="00081252" w:rsidRPr="00751110" w:rsidRDefault="00081252" w:rsidP="00070912">
      <w:pPr>
        <w:spacing w:after="120" w:line="240" w:lineRule="auto"/>
        <w:jc w:val="both"/>
        <w:rPr>
          <w:rFonts w:cstheme="minorHAnsi"/>
        </w:rPr>
      </w:pPr>
      <w:r w:rsidRPr="00751110">
        <w:rPr>
          <w:rFonts w:cstheme="minorHAnsi"/>
        </w:rPr>
        <w:t>S ohledem na aktuální situaci, značně ovlivněnou ruskou agresí na Ukrajinu a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s tím přidružených okolností, je vhodné přidat novou investici „Kybernetická bezpečnost II“ do komponenty 1.2 stávajícího Národního plánu obnovy.</w:t>
      </w:r>
    </w:p>
    <w:p w14:paraId="518BA436" w14:textId="77777777" w:rsidR="00081252" w:rsidRPr="00751110" w:rsidRDefault="00081252" w:rsidP="00081252">
      <w:pPr>
        <w:spacing w:before="120"/>
        <w:contextualSpacing/>
        <w:jc w:val="both"/>
        <w:rPr>
          <w:rFonts w:cstheme="minorHAnsi"/>
        </w:rPr>
      </w:pPr>
    </w:p>
    <w:p w14:paraId="75279D21" w14:textId="77777777" w:rsidR="00081252" w:rsidRPr="00751110" w:rsidRDefault="00081252" w:rsidP="00081252">
      <w:pPr>
        <w:spacing w:before="120"/>
        <w:contextualSpacing/>
        <w:jc w:val="both"/>
        <w:rPr>
          <w:rFonts w:cstheme="minorHAnsi"/>
        </w:rPr>
      </w:pPr>
      <w:r w:rsidRPr="00751110">
        <w:rPr>
          <w:rFonts w:cstheme="minorHAnsi"/>
        </w:rPr>
        <w:t>Konkrétní důvody pro přidání nové investice:</w:t>
      </w:r>
    </w:p>
    <w:p w14:paraId="0BC40250" w14:textId="77777777" w:rsidR="00081252" w:rsidRPr="00751110" w:rsidRDefault="00081252" w:rsidP="00081252">
      <w:pPr>
        <w:pStyle w:val="Odstavecseseznamem"/>
        <w:numPr>
          <w:ilvl w:val="0"/>
          <w:numId w:val="10"/>
        </w:numPr>
        <w:spacing w:before="120" w:after="200" w:line="276" w:lineRule="auto"/>
        <w:jc w:val="both"/>
        <w:rPr>
          <w:rFonts w:cstheme="minorHAnsi"/>
          <w:b/>
        </w:rPr>
      </w:pPr>
      <w:r w:rsidRPr="00751110">
        <w:rPr>
          <w:rFonts w:cstheme="minorHAnsi"/>
          <w:b/>
        </w:rPr>
        <w:t>Kybernetické útoky na Českou republiku</w:t>
      </w:r>
    </w:p>
    <w:p w14:paraId="79996C55" w14:textId="67637BB1" w:rsidR="00081252" w:rsidRPr="00751110" w:rsidRDefault="00081252" w:rsidP="00081252">
      <w:pPr>
        <w:pStyle w:val="Odstavecseseznamem"/>
        <w:numPr>
          <w:ilvl w:val="0"/>
          <w:numId w:val="13"/>
        </w:numPr>
        <w:spacing w:before="120" w:after="200" w:line="276" w:lineRule="auto"/>
        <w:jc w:val="both"/>
        <w:rPr>
          <w:rFonts w:cstheme="minorHAnsi"/>
        </w:rPr>
      </w:pPr>
      <w:r w:rsidRPr="00751110">
        <w:rPr>
          <w:rFonts w:cstheme="minorHAnsi"/>
        </w:rPr>
        <w:t>Dle Výroční zprávy NUKIB (Národní úřad pro kybernetickou a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informační bezpečnost</w:t>
      </w:r>
      <w:r w:rsidRPr="00751110">
        <w:rPr>
          <w:rStyle w:val="Znakapoznpodarou"/>
          <w:rFonts w:cstheme="minorHAnsi"/>
        </w:rPr>
        <w:footnoteReference w:id="2"/>
      </w:r>
      <w:r w:rsidRPr="00751110">
        <w:rPr>
          <w:rFonts w:cstheme="minorHAnsi"/>
        </w:rPr>
        <w:t>) – Zprávy o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stavu kybernetické bezpečnosti České republika za rok 2021 – došlo v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roce 2021 oproti roku 2020 k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cca 50% nárůstu v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 xml:space="preserve">počtu bezpečnostních incidentů.  </w:t>
      </w:r>
    </w:p>
    <w:p w14:paraId="0DDDFEB4" w14:textId="54E33B8F" w:rsidR="00081252" w:rsidRPr="00751110" w:rsidRDefault="00081252" w:rsidP="00081252">
      <w:pPr>
        <w:pStyle w:val="Odstavecseseznamem"/>
        <w:numPr>
          <w:ilvl w:val="0"/>
          <w:numId w:val="13"/>
        </w:numPr>
        <w:spacing w:before="120" w:after="200" w:line="276" w:lineRule="auto"/>
        <w:jc w:val="both"/>
        <w:rPr>
          <w:rFonts w:cstheme="minorHAnsi"/>
        </w:rPr>
      </w:pPr>
      <w:r w:rsidRPr="00751110">
        <w:rPr>
          <w:rFonts w:cstheme="minorHAnsi"/>
        </w:rPr>
        <w:t>Pravidelný měsíční materiál „Kybernetické incidenty pohledem NÚKIB“ ukazuje klasifikaci incidentů a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nejčastější cíle kybernetických útoků. Data z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ledna 2023</w:t>
      </w:r>
      <w:r w:rsidRPr="00751110">
        <w:rPr>
          <w:rStyle w:val="Znakapoznpodarou"/>
          <w:rFonts w:cstheme="minorHAnsi"/>
        </w:rPr>
        <w:footnoteReference w:id="3"/>
      </w:r>
      <w:r w:rsidRPr="00751110">
        <w:rPr>
          <w:rFonts w:cstheme="minorHAnsi"/>
        </w:rPr>
        <w:t xml:space="preserve"> ukazují dvojnásobný nárůst kybernetických útoků oproti minulému měsíci, meziročně se jedná také o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dvojnásobný nárůst. I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nadále zůstávají hlavními útočníky hackerské skupiny z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Ruska. V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absolutních číslech se jedná o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desítky kybernetických útoků měsíčně.</w:t>
      </w:r>
    </w:p>
    <w:p w14:paraId="188102C1" w14:textId="4DD785AE" w:rsidR="00081252" w:rsidRPr="00751110" w:rsidRDefault="00081252" w:rsidP="00081252">
      <w:pPr>
        <w:pStyle w:val="Odstavecseseznamem"/>
        <w:numPr>
          <w:ilvl w:val="0"/>
          <w:numId w:val="13"/>
        </w:numPr>
        <w:spacing w:before="120" w:after="200" w:line="276" w:lineRule="auto"/>
        <w:jc w:val="both"/>
        <w:rPr>
          <w:rFonts w:cstheme="minorHAnsi"/>
        </w:rPr>
      </w:pPr>
      <w:r w:rsidRPr="00751110">
        <w:rPr>
          <w:rFonts w:cstheme="minorHAnsi"/>
        </w:rPr>
        <w:t xml:space="preserve">Oblast veřejné správy je nejčastěji zasaženým sektorem, přičemž během větších útočných kampaní (např. </w:t>
      </w:r>
      <w:proofErr w:type="spellStart"/>
      <w:r w:rsidRPr="00751110">
        <w:rPr>
          <w:rFonts w:cstheme="minorHAnsi"/>
        </w:rPr>
        <w:t>DDoS</w:t>
      </w:r>
      <w:proofErr w:type="spellEnd"/>
      <w:r w:rsidRPr="00751110">
        <w:rPr>
          <w:rFonts w:cstheme="minorHAnsi"/>
        </w:rPr>
        <w:t xml:space="preserve"> útoky ruskojazyčné skupiny </w:t>
      </w:r>
      <w:proofErr w:type="spellStart"/>
      <w:r w:rsidRPr="00751110">
        <w:rPr>
          <w:rFonts w:cstheme="minorHAnsi"/>
        </w:rPr>
        <w:t>Killnet</w:t>
      </w:r>
      <w:proofErr w:type="spellEnd"/>
      <w:r w:rsidRPr="00751110">
        <w:rPr>
          <w:rFonts w:cstheme="minorHAnsi"/>
        </w:rPr>
        <w:t>) je vždy mezi hlavními napadenými. V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 xml:space="preserve">minulosti byly evidovány významné incidenty, kdy se subjekty veřejné správy staly terčem </w:t>
      </w:r>
      <w:proofErr w:type="spellStart"/>
      <w:r w:rsidRPr="00751110">
        <w:rPr>
          <w:rFonts w:cstheme="minorHAnsi"/>
        </w:rPr>
        <w:t>kyber</w:t>
      </w:r>
      <w:proofErr w:type="spellEnd"/>
      <w:r w:rsidRPr="00751110">
        <w:rPr>
          <w:rFonts w:cstheme="minorHAnsi"/>
        </w:rPr>
        <w:t xml:space="preserve">-špionáže nebo </w:t>
      </w:r>
      <w:proofErr w:type="spellStart"/>
      <w:r w:rsidRPr="00751110">
        <w:rPr>
          <w:rFonts w:cstheme="minorHAnsi"/>
        </w:rPr>
        <w:lastRenderedPageBreak/>
        <w:t>ransomwaru</w:t>
      </w:r>
      <w:proofErr w:type="spellEnd"/>
      <w:r w:rsidRPr="00751110">
        <w:rPr>
          <w:rFonts w:cstheme="minorHAnsi"/>
        </w:rPr>
        <w:t>, přičemž se jednalo jak o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celostátní organizace, tak o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ty působící na lokální úrovni (např. samosprávy).</w:t>
      </w:r>
    </w:p>
    <w:p w14:paraId="1FFC6C87" w14:textId="2D0D79B1" w:rsidR="00446120" w:rsidRPr="007675BC" w:rsidRDefault="00081252" w:rsidP="007675BC">
      <w:pPr>
        <w:spacing w:before="120" w:after="200" w:line="276" w:lineRule="auto"/>
        <w:ind w:left="360"/>
        <w:jc w:val="both"/>
        <w:rPr>
          <w:rFonts w:cstheme="minorHAnsi"/>
        </w:rPr>
      </w:pPr>
      <w:r w:rsidRPr="00751110">
        <w:rPr>
          <w:rFonts w:cstheme="minorHAnsi"/>
        </w:rPr>
        <w:t>Mezi další hlavní cíle útoku patří subjekty z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 xml:space="preserve">oblasti </w:t>
      </w:r>
      <w:r w:rsidR="004C711B" w:rsidRPr="00751110">
        <w:rPr>
          <w:rFonts w:cstheme="minorHAnsi"/>
        </w:rPr>
        <w:t>dopravy. Oblast dopravy se stala významným terčem v</w:t>
      </w:r>
      <w:r w:rsidR="003C06FA">
        <w:rPr>
          <w:rFonts w:cstheme="minorHAnsi"/>
        </w:rPr>
        <w:t> </w:t>
      </w:r>
      <w:r w:rsidR="004C711B" w:rsidRPr="00751110">
        <w:rPr>
          <w:rFonts w:cstheme="minorHAnsi"/>
        </w:rPr>
        <w:t>roce 2022, kdy došlo nad rámec kybernetických útoků, technických zranitelností a</w:t>
      </w:r>
      <w:r w:rsidR="003C06FA">
        <w:rPr>
          <w:rFonts w:cstheme="minorHAnsi"/>
        </w:rPr>
        <w:t> </w:t>
      </w:r>
      <w:r w:rsidR="004C711B" w:rsidRPr="00751110">
        <w:rPr>
          <w:rFonts w:cstheme="minorHAnsi"/>
        </w:rPr>
        <w:t>chyb, k</w:t>
      </w:r>
      <w:r w:rsidR="003C06FA">
        <w:rPr>
          <w:rFonts w:cstheme="minorHAnsi"/>
        </w:rPr>
        <w:t> </w:t>
      </w:r>
      <w:r w:rsidR="004C711B" w:rsidRPr="00751110">
        <w:rPr>
          <w:rFonts w:cstheme="minorHAnsi"/>
        </w:rPr>
        <w:t xml:space="preserve">několika </w:t>
      </w:r>
      <w:proofErr w:type="spellStart"/>
      <w:r w:rsidR="004C711B" w:rsidRPr="00751110">
        <w:rPr>
          <w:rFonts w:cstheme="minorHAnsi"/>
        </w:rPr>
        <w:t>DDoS</w:t>
      </w:r>
      <w:proofErr w:type="spellEnd"/>
      <w:r w:rsidR="004C711B" w:rsidRPr="00751110">
        <w:rPr>
          <w:rFonts w:cstheme="minorHAnsi"/>
        </w:rPr>
        <w:t xml:space="preserve"> útokům proti letištím. V</w:t>
      </w:r>
      <w:r w:rsidR="003C06FA">
        <w:rPr>
          <w:rFonts w:cstheme="minorHAnsi"/>
        </w:rPr>
        <w:t> </w:t>
      </w:r>
      <w:r w:rsidR="004C711B" w:rsidRPr="00751110">
        <w:rPr>
          <w:rFonts w:cstheme="minorHAnsi"/>
        </w:rPr>
        <w:t>kontextu ruské agrese proti Ukrajině se pravděpodobnost kybernetického útoku na dopravní infrastrukturu navyšuje, a</w:t>
      </w:r>
      <w:r w:rsidR="003C06FA">
        <w:rPr>
          <w:rFonts w:cstheme="minorHAnsi"/>
        </w:rPr>
        <w:t> </w:t>
      </w:r>
      <w:r w:rsidR="004C711B" w:rsidRPr="00751110">
        <w:rPr>
          <w:rFonts w:cstheme="minorHAnsi"/>
        </w:rPr>
        <w:t>to vzhledem ke skutečnosti logistického významu ČR v</w:t>
      </w:r>
      <w:r w:rsidR="003C06FA">
        <w:rPr>
          <w:rFonts w:cstheme="minorHAnsi"/>
        </w:rPr>
        <w:t> </w:t>
      </w:r>
      <w:r w:rsidR="004C711B" w:rsidRPr="00751110">
        <w:rPr>
          <w:rFonts w:cstheme="minorHAnsi"/>
        </w:rPr>
        <w:t>době případného válečného konfliktu.</w:t>
      </w:r>
      <w:r w:rsidR="003C06FA">
        <w:rPr>
          <w:rFonts w:cstheme="minorHAnsi"/>
        </w:rPr>
        <w:t xml:space="preserve"> </w:t>
      </w:r>
      <w:r w:rsidR="00446120" w:rsidRPr="007675BC">
        <w:rPr>
          <w:rFonts w:cstheme="minorHAnsi"/>
        </w:rPr>
        <w:t>Zdravotnictví - je často terčem útoků s</w:t>
      </w:r>
      <w:r w:rsidR="003C06FA">
        <w:rPr>
          <w:rFonts w:cstheme="minorHAnsi"/>
        </w:rPr>
        <w:t> </w:t>
      </w:r>
      <w:r w:rsidR="00446120" w:rsidRPr="007675BC">
        <w:rPr>
          <w:rFonts w:cstheme="minorHAnsi"/>
        </w:rPr>
        <w:t>důsledkem velmi významných incidentů (např. ransomware). Přestože pominula největší zátěž, jež na zdravotnictví směřovala během pandemie covid-19, tak úspěšný kybernetický útok může mít dalekosáhlé dopady. Ty se mohou projevit v</w:t>
      </w:r>
      <w:r w:rsidR="003C06FA">
        <w:rPr>
          <w:rFonts w:cstheme="minorHAnsi"/>
        </w:rPr>
        <w:t> </w:t>
      </w:r>
      <w:r w:rsidR="00446120" w:rsidRPr="007675BC">
        <w:rPr>
          <w:rFonts w:cstheme="minorHAnsi"/>
        </w:rPr>
        <w:t>zašifrování systémů a</w:t>
      </w:r>
      <w:r w:rsidR="003C06FA">
        <w:rPr>
          <w:rFonts w:cstheme="minorHAnsi"/>
        </w:rPr>
        <w:t> </w:t>
      </w:r>
      <w:r w:rsidR="00446120" w:rsidRPr="007675BC">
        <w:rPr>
          <w:rFonts w:cstheme="minorHAnsi"/>
        </w:rPr>
        <w:t>navazující nemožnosti poskytovat lékařskou péči. I</w:t>
      </w:r>
      <w:r w:rsidR="003C06FA">
        <w:rPr>
          <w:rFonts w:cstheme="minorHAnsi"/>
        </w:rPr>
        <w:t> </w:t>
      </w:r>
      <w:r w:rsidR="00446120" w:rsidRPr="007675BC">
        <w:rPr>
          <w:rFonts w:cstheme="minorHAnsi"/>
        </w:rPr>
        <w:t>přes již realizované investice do kybernetické bezpečnosti prostřednictvím nemocnic v</w:t>
      </w:r>
      <w:r w:rsidR="003C06FA">
        <w:rPr>
          <w:rFonts w:cstheme="minorHAnsi"/>
        </w:rPr>
        <w:t> </w:t>
      </w:r>
      <w:r w:rsidR="00446120" w:rsidRPr="007675BC">
        <w:rPr>
          <w:rFonts w:cstheme="minorHAnsi"/>
        </w:rPr>
        <w:t>Praze (které jsou vyjmuty z</w:t>
      </w:r>
      <w:r w:rsidR="003C06FA">
        <w:rPr>
          <w:rFonts w:cstheme="minorHAnsi"/>
        </w:rPr>
        <w:t> </w:t>
      </w:r>
      <w:r w:rsidR="00446120" w:rsidRPr="007675BC">
        <w:rPr>
          <w:rFonts w:cstheme="minorHAnsi"/>
        </w:rPr>
        <w:t>možnosti financování kybernetických opatření prostřednictvím kohezních fondů) se jedná o</w:t>
      </w:r>
      <w:r w:rsidR="003C06FA">
        <w:rPr>
          <w:rFonts w:cstheme="minorHAnsi"/>
        </w:rPr>
        <w:t> </w:t>
      </w:r>
      <w:r w:rsidR="00446120" w:rsidRPr="007675BC">
        <w:rPr>
          <w:rFonts w:cstheme="minorHAnsi"/>
        </w:rPr>
        <w:t>oblast s</w:t>
      </w:r>
      <w:r w:rsidR="003C06FA">
        <w:rPr>
          <w:rFonts w:cstheme="minorHAnsi"/>
        </w:rPr>
        <w:t> </w:t>
      </w:r>
      <w:r w:rsidR="00446120" w:rsidRPr="007675BC">
        <w:rPr>
          <w:rFonts w:cstheme="minorHAnsi"/>
        </w:rPr>
        <w:t>velkým deficitem financování. Oblast zdravotnictví rovněž disponuje v</w:t>
      </w:r>
      <w:r w:rsidR="003C06FA">
        <w:rPr>
          <w:rFonts w:cstheme="minorHAnsi"/>
        </w:rPr>
        <w:t> </w:t>
      </w:r>
      <w:r w:rsidR="00446120" w:rsidRPr="007675BC">
        <w:rPr>
          <w:rFonts w:cstheme="minorHAnsi"/>
        </w:rPr>
        <w:t>rámci veřejných služeb největším objemem zvláštních kategorií osobních údajů, jejichž kompromitace může významně poškodit zdravotnické zařízení i</w:t>
      </w:r>
      <w:r w:rsidR="003C06FA">
        <w:rPr>
          <w:rFonts w:cstheme="minorHAnsi"/>
        </w:rPr>
        <w:t> </w:t>
      </w:r>
      <w:r w:rsidR="00446120" w:rsidRPr="007675BC">
        <w:rPr>
          <w:rFonts w:cstheme="minorHAnsi"/>
        </w:rPr>
        <w:t>pacienty.</w:t>
      </w:r>
    </w:p>
    <w:p w14:paraId="285364E8" w14:textId="5E95D150" w:rsidR="00081252" w:rsidRPr="00751110" w:rsidRDefault="00081252" w:rsidP="00751110">
      <w:pPr>
        <w:pStyle w:val="Odstavecseseznamem"/>
        <w:spacing w:before="120" w:after="200" w:line="276" w:lineRule="auto"/>
        <w:jc w:val="both"/>
        <w:rPr>
          <w:rFonts w:cstheme="minorHAnsi"/>
        </w:rPr>
      </w:pPr>
    </w:p>
    <w:p w14:paraId="2252D400" w14:textId="2251DCBE" w:rsidR="00081252" w:rsidRPr="00751110" w:rsidRDefault="00081252" w:rsidP="00751110">
      <w:pPr>
        <w:spacing w:before="120" w:after="200" w:line="276" w:lineRule="auto"/>
        <w:jc w:val="both"/>
        <w:rPr>
          <w:rFonts w:cstheme="minorHAnsi"/>
        </w:rPr>
      </w:pPr>
    </w:p>
    <w:p w14:paraId="584440AB" w14:textId="77777777" w:rsidR="00081252" w:rsidRPr="00751110" w:rsidRDefault="00081252" w:rsidP="00081252">
      <w:pPr>
        <w:pStyle w:val="Odstavecseseznamem"/>
        <w:spacing w:before="120" w:after="200" w:line="276" w:lineRule="auto"/>
        <w:jc w:val="both"/>
        <w:rPr>
          <w:rFonts w:cstheme="minorHAnsi"/>
        </w:rPr>
      </w:pPr>
    </w:p>
    <w:p w14:paraId="4D71CF50" w14:textId="77777777" w:rsidR="00081252" w:rsidRPr="00751110" w:rsidRDefault="00081252" w:rsidP="00081252">
      <w:pPr>
        <w:pStyle w:val="Odstavecseseznamem"/>
        <w:numPr>
          <w:ilvl w:val="0"/>
          <w:numId w:val="10"/>
        </w:numPr>
        <w:spacing w:before="120" w:after="200" w:line="276" w:lineRule="auto"/>
        <w:jc w:val="both"/>
        <w:rPr>
          <w:rFonts w:cstheme="minorHAnsi"/>
          <w:b/>
        </w:rPr>
      </w:pPr>
      <w:r w:rsidRPr="00751110">
        <w:rPr>
          <w:rFonts w:cstheme="minorHAnsi"/>
          <w:b/>
        </w:rPr>
        <w:t>Implementace směrnice NIS2</w:t>
      </w:r>
    </w:p>
    <w:p w14:paraId="222B1F2F" w14:textId="4F268D0D" w:rsidR="00081252" w:rsidRPr="00751110" w:rsidRDefault="00081252" w:rsidP="00081252">
      <w:pPr>
        <w:pStyle w:val="Odstavecseseznamem"/>
        <w:numPr>
          <w:ilvl w:val="0"/>
          <w:numId w:val="13"/>
        </w:numPr>
        <w:spacing w:before="120" w:after="200" w:line="276" w:lineRule="auto"/>
        <w:jc w:val="both"/>
        <w:rPr>
          <w:rFonts w:cstheme="minorHAnsi"/>
        </w:rPr>
      </w:pPr>
      <w:r w:rsidRPr="00751110">
        <w:rPr>
          <w:rFonts w:cstheme="minorHAnsi"/>
        </w:rPr>
        <w:t>V průběhu následujících let musí ČR transponovat a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také implementovat požadavky směrnice NIS2, která přináší mnoho změn v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oblasti zajišťování kybernetické bezpečnosti a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týká se nejen organizací, které jsou již dnes ze zákona o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kybernetické bezpečnosti povinny své systémy zabezpečovat, ale i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velkého množství organizací, které budou do regulace spadat nově a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do dnešního dne žádné povinnosti plnit nemusely. Nově tak bude požadavkům a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změnám specifikovaným ve směrnici NIS2 podléhat více než 6000 subjektů v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ČR namísto nynějších několika málo stovek.</w:t>
      </w:r>
    </w:p>
    <w:p w14:paraId="6B580FDC" w14:textId="77777777" w:rsidR="00081252" w:rsidRPr="00751110" w:rsidRDefault="00081252" w:rsidP="00081252">
      <w:pPr>
        <w:pStyle w:val="Odstavecseseznamem"/>
        <w:spacing w:before="120" w:after="200" w:line="276" w:lineRule="auto"/>
        <w:jc w:val="both"/>
        <w:rPr>
          <w:rFonts w:cstheme="minorHAnsi"/>
        </w:rPr>
      </w:pPr>
    </w:p>
    <w:p w14:paraId="2C655732" w14:textId="77777777" w:rsidR="00081252" w:rsidRPr="00751110" w:rsidRDefault="00081252" w:rsidP="00081252">
      <w:pPr>
        <w:pStyle w:val="Odstavecseseznamem"/>
        <w:numPr>
          <w:ilvl w:val="0"/>
          <w:numId w:val="10"/>
        </w:numPr>
        <w:spacing w:before="120" w:after="200" w:line="276" w:lineRule="auto"/>
        <w:jc w:val="both"/>
        <w:rPr>
          <w:rFonts w:cstheme="minorHAnsi"/>
          <w:b/>
        </w:rPr>
      </w:pPr>
      <w:r w:rsidRPr="00751110">
        <w:rPr>
          <w:rFonts w:cstheme="minorHAnsi"/>
          <w:b/>
        </w:rPr>
        <w:t xml:space="preserve">Vysoká poptávka po finančních zdrojích </w:t>
      </w:r>
    </w:p>
    <w:p w14:paraId="46CEDEC6" w14:textId="4A9CDE9A" w:rsidR="00081252" w:rsidRPr="00751110" w:rsidRDefault="00081252" w:rsidP="00081252">
      <w:pPr>
        <w:pStyle w:val="Odstavecseseznamem"/>
        <w:numPr>
          <w:ilvl w:val="0"/>
          <w:numId w:val="13"/>
        </w:numPr>
        <w:spacing w:before="120" w:after="200" w:line="276" w:lineRule="auto"/>
        <w:jc w:val="both"/>
        <w:rPr>
          <w:rFonts w:cstheme="minorHAnsi"/>
        </w:rPr>
      </w:pPr>
      <w:r w:rsidRPr="00751110">
        <w:rPr>
          <w:rFonts w:cstheme="minorHAnsi"/>
        </w:rPr>
        <w:t>Vedle investice „Kybernetická bezpečnost“ v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Národním plánu obnovy je k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dispozici i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další finanční zdroj – konkrétně Integrovaný regionální operační program+ (IROP+), který je v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gesci Ministerstva pro místní rozvoj. IROP+ vyhlásil celkem 3 výzvy na zajištění kybernetické bezpečnosti, přičemž 2 z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nich mají převis poptávky po finančních zdrojích oproti disponibilním prostředkům ve výši 3 mld. Kč</w:t>
      </w:r>
      <w:r w:rsidRPr="00751110">
        <w:rPr>
          <w:rStyle w:val="Znakapoznpodarou"/>
          <w:rFonts w:cstheme="minorHAnsi"/>
        </w:rPr>
        <w:footnoteReference w:id="4"/>
      </w:r>
      <w:r w:rsidRPr="00751110">
        <w:rPr>
          <w:rFonts w:cstheme="minorHAnsi"/>
        </w:rPr>
        <w:t xml:space="preserve"> Existuje zde tedy značná potřeba finančního posílení dané oblasti.</w:t>
      </w:r>
    </w:p>
    <w:p w14:paraId="094521F5" w14:textId="77777777" w:rsidR="00081252" w:rsidRPr="00751110" w:rsidRDefault="00081252" w:rsidP="00081252">
      <w:pPr>
        <w:pStyle w:val="Odstavecseseznamem"/>
        <w:spacing w:before="120" w:after="200" w:line="276" w:lineRule="auto"/>
        <w:jc w:val="both"/>
        <w:rPr>
          <w:rFonts w:cstheme="minorHAnsi"/>
        </w:rPr>
      </w:pPr>
    </w:p>
    <w:p w14:paraId="3C34672E" w14:textId="77777777" w:rsidR="00081252" w:rsidRPr="00751110" w:rsidRDefault="00081252" w:rsidP="00081252">
      <w:pPr>
        <w:pStyle w:val="K-Nadpis2"/>
        <w:numPr>
          <w:ilvl w:val="0"/>
          <w:numId w:val="9"/>
        </w:numPr>
        <w:spacing w:before="80" w:after="0" w:line="292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751110">
        <w:rPr>
          <w:rFonts w:asciiTheme="minorHAnsi" w:eastAsiaTheme="minorEastAsia" w:hAnsiTheme="minorHAnsi" w:cstheme="minorHAnsi"/>
          <w:sz w:val="22"/>
          <w:szCs w:val="22"/>
        </w:rPr>
        <w:t xml:space="preserve">Cíle </w:t>
      </w:r>
    </w:p>
    <w:p w14:paraId="41672BDF" w14:textId="56B009B6" w:rsidR="00081252" w:rsidRPr="00751110" w:rsidRDefault="00081252" w:rsidP="00081252">
      <w:pPr>
        <w:spacing w:before="120" w:after="0" w:line="240" w:lineRule="auto"/>
        <w:jc w:val="both"/>
        <w:rPr>
          <w:rFonts w:eastAsiaTheme="minorEastAsia" w:cstheme="minorHAnsi"/>
        </w:rPr>
      </w:pPr>
      <w:r w:rsidRPr="00751110">
        <w:rPr>
          <w:rFonts w:eastAsiaTheme="minorEastAsia" w:cstheme="minorHAnsi"/>
        </w:rPr>
        <w:t>Hlavním cílem je zvýšit úroveň kybernetické bezpečnosti u</w:t>
      </w:r>
      <w:r w:rsidR="003C06FA">
        <w:rPr>
          <w:rFonts w:eastAsiaTheme="minorEastAsia" w:cstheme="minorHAnsi"/>
        </w:rPr>
        <w:t> </w:t>
      </w:r>
      <w:r w:rsidRPr="00751110">
        <w:rPr>
          <w:rFonts w:eastAsiaTheme="minorEastAsia" w:cstheme="minorHAnsi"/>
        </w:rPr>
        <w:t xml:space="preserve">vybraných centrálních úřadů, institucí, </w:t>
      </w:r>
      <w:r w:rsidR="00CC3D60" w:rsidRPr="00751110">
        <w:rPr>
          <w:rFonts w:eastAsiaTheme="minorEastAsia" w:cstheme="minorHAnsi"/>
        </w:rPr>
        <w:t>a</w:t>
      </w:r>
      <w:r w:rsidR="003C06FA">
        <w:rPr>
          <w:rFonts w:eastAsiaTheme="minorEastAsia" w:cstheme="minorHAnsi"/>
        </w:rPr>
        <w:t> </w:t>
      </w:r>
      <w:r w:rsidR="00CC3D60" w:rsidRPr="00751110">
        <w:rPr>
          <w:rFonts w:eastAsiaTheme="minorEastAsia" w:cstheme="minorHAnsi"/>
        </w:rPr>
        <w:t>subjektů v</w:t>
      </w:r>
      <w:r w:rsidR="003C06FA">
        <w:rPr>
          <w:rFonts w:eastAsiaTheme="minorEastAsia" w:cstheme="minorHAnsi"/>
        </w:rPr>
        <w:t> </w:t>
      </w:r>
      <w:r w:rsidR="00CC3D60" w:rsidRPr="00751110">
        <w:rPr>
          <w:rFonts w:eastAsiaTheme="minorEastAsia" w:cstheme="minorHAnsi"/>
        </w:rPr>
        <w:t>oblasti</w:t>
      </w:r>
      <w:r w:rsidRPr="00751110">
        <w:rPr>
          <w:rFonts w:eastAsiaTheme="minorEastAsia" w:cstheme="minorHAnsi"/>
        </w:rPr>
        <w:t xml:space="preserve"> dopravy dle zákona o</w:t>
      </w:r>
      <w:r w:rsidR="003C06FA">
        <w:rPr>
          <w:rFonts w:eastAsiaTheme="minorEastAsia" w:cstheme="minorHAnsi"/>
        </w:rPr>
        <w:t> </w:t>
      </w:r>
      <w:r w:rsidRPr="00751110">
        <w:rPr>
          <w:rFonts w:eastAsiaTheme="minorEastAsia" w:cstheme="minorHAnsi"/>
        </w:rPr>
        <w:t>kybernetické bezpečnosti a</w:t>
      </w:r>
      <w:r w:rsidR="003C06FA">
        <w:rPr>
          <w:rFonts w:eastAsiaTheme="minorEastAsia" w:cstheme="minorHAnsi"/>
        </w:rPr>
        <w:t> </w:t>
      </w:r>
      <w:r w:rsidRPr="00751110">
        <w:rPr>
          <w:rFonts w:eastAsiaTheme="minorEastAsia" w:cstheme="minorHAnsi"/>
        </w:rPr>
        <w:t xml:space="preserve">souvisejících předpisů. Primárním cílem bude </w:t>
      </w:r>
    </w:p>
    <w:p w14:paraId="753B1830" w14:textId="556B2EDD" w:rsidR="00081252" w:rsidRDefault="00081252" w:rsidP="00081252">
      <w:pPr>
        <w:pStyle w:val="Odstavecseseznamem"/>
        <w:numPr>
          <w:ilvl w:val="0"/>
          <w:numId w:val="14"/>
        </w:numPr>
        <w:spacing w:before="120" w:after="0" w:line="240" w:lineRule="auto"/>
        <w:jc w:val="both"/>
        <w:rPr>
          <w:rFonts w:eastAsiaTheme="minorEastAsia" w:cstheme="minorHAnsi"/>
        </w:rPr>
      </w:pPr>
      <w:r w:rsidRPr="00751110">
        <w:rPr>
          <w:rFonts w:eastAsiaTheme="minorEastAsia" w:cstheme="minorHAnsi"/>
        </w:rPr>
        <w:t>podpora subjektů z</w:t>
      </w:r>
      <w:r w:rsidR="003C06FA">
        <w:rPr>
          <w:rFonts w:eastAsiaTheme="minorEastAsia" w:cstheme="minorHAnsi"/>
        </w:rPr>
        <w:t> </w:t>
      </w:r>
      <w:r w:rsidRPr="00751110">
        <w:rPr>
          <w:rFonts w:eastAsiaTheme="minorEastAsia" w:cstheme="minorHAnsi"/>
        </w:rPr>
        <w:t>oblasti dopravy spadající pod směrnici NIS2, a</w:t>
      </w:r>
      <w:r w:rsidR="003C06FA">
        <w:rPr>
          <w:rFonts w:eastAsiaTheme="minorEastAsia" w:cstheme="minorHAnsi"/>
        </w:rPr>
        <w:t> </w:t>
      </w:r>
      <w:r w:rsidRPr="00751110">
        <w:rPr>
          <w:rFonts w:eastAsiaTheme="minorEastAsia" w:cstheme="minorHAnsi"/>
        </w:rPr>
        <w:t>to z</w:t>
      </w:r>
      <w:r w:rsidR="003C06FA">
        <w:rPr>
          <w:rFonts w:eastAsiaTheme="minorEastAsia" w:cstheme="minorHAnsi"/>
        </w:rPr>
        <w:t> </w:t>
      </w:r>
      <w:r w:rsidRPr="00751110">
        <w:rPr>
          <w:rFonts w:eastAsiaTheme="minorEastAsia" w:cstheme="minorHAnsi"/>
        </w:rPr>
        <w:t>důvodu navýšené četnosti kyberútoků do této oblasti v</w:t>
      </w:r>
      <w:r w:rsidR="003C06FA">
        <w:rPr>
          <w:rFonts w:eastAsiaTheme="minorEastAsia" w:cstheme="minorHAnsi"/>
        </w:rPr>
        <w:t> </w:t>
      </w:r>
      <w:r w:rsidRPr="00751110">
        <w:rPr>
          <w:rFonts w:eastAsiaTheme="minorEastAsia" w:cstheme="minorHAnsi"/>
        </w:rPr>
        <w:t>posledních měsících</w:t>
      </w:r>
    </w:p>
    <w:p w14:paraId="5AD077FA" w14:textId="21A379BD" w:rsidR="006E5646" w:rsidRPr="007675BC" w:rsidRDefault="006E5646" w:rsidP="007675BC">
      <w:pPr>
        <w:pStyle w:val="Odstavecseseznamem"/>
        <w:numPr>
          <w:ilvl w:val="0"/>
          <w:numId w:val="14"/>
        </w:numPr>
        <w:rPr>
          <w:rFonts w:eastAsiaTheme="minorEastAsia" w:cstheme="minorHAnsi"/>
        </w:rPr>
      </w:pPr>
      <w:r w:rsidRPr="006E5646">
        <w:rPr>
          <w:rFonts w:eastAsiaTheme="minorEastAsia" w:cstheme="minorHAnsi"/>
        </w:rPr>
        <w:t>podpora subjektů z</w:t>
      </w:r>
      <w:r w:rsidR="003C06FA">
        <w:rPr>
          <w:rFonts w:eastAsiaTheme="minorEastAsia" w:cstheme="minorHAnsi"/>
        </w:rPr>
        <w:t> </w:t>
      </w:r>
      <w:r w:rsidRPr="006E5646">
        <w:rPr>
          <w:rFonts w:eastAsiaTheme="minorEastAsia" w:cstheme="minorHAnsi"/>
        </w:rPr>
        <w:t>oblasti zdravotnictví, a</w:t>
      </w:r>
      <w:r w:rsidR="003C06FA">
        <w:rPr>
          <w:rFonts w:eastAsiaTheme="minorEastAsia" w:cstheme="minorHAnsi"/>
        </w:rPr>
        <w:t> </w:t>
      </w:r>
      <w:r w:rsidRPr="006E5646">
        <w:rPr>
          <w:rFonts w:eastAsiaTheme="minorEastAsia" w:cstheme="minorHAnsi"/>
        </w:rPr>
        <w:t>to subjekty spadající pod kategorii „</w:t>
      </w:r>
      <w:proofErr w:type="spellStart"/>
      <w:r w:rsidRPr="006E5646">
        <w:rPr>
          <w:rFonts w:eastAsiaTheme="minorEastAsia" w:cstheme="minorHAnsi"/>
        </w:rPr>
        <w:t>essential</w:t>
      </w:r>
      <w:proofErr w:type="spellEnd"/>
      <w:r w:rsidRPr="006E5646">
        <w:rPr>
          <w:rFonts w:eastAsiaTheme="minorEastAsia" w:cstheme="minorHAnsi"/>
        </w:rPr>
        <w:t>“ dle směrnice NIS2 a</w:t>
      </w:r>
      <w:r w:rsidR="003C06FA">
        <w:rPr>
          <w:rFonts w:eastAsiaTheme="minorEastAsia" w:cstheme="minorHAnsi"/>
        </w:rPr>
        <w:t> </w:t>
      </w:r>
      <w:r w:rsidRPr="006E5646">
        <w:rPr>
          <w:rFonts w:eastAsiaTheme="minorEastAsia" w:cstheme="minorHAnsi"/>
        </w:rPr>
        <w:t>ve vybraných případech rovněž „</w:t>
      </w:r>
      <w:proofErr w:type="spellStart"/>
      <w:r w:rsidRPr="006E5646">
        <w:rPr>
          <w:rFonts w:eastAsiaTheme="minorEastAsia" w:cstheme="minorHAnsi"/>
        </w:rPr>
        <w:t>essentials</w:t>
      </w:r>
      <w:proofErr w:type="spellEnd"/>
      <w:r w:rsidRPr="006E5646">
        <w:rPr>
          <w:rFonts w:eastAsiaTheme="minorEastAsia" w:cstheme="minorHAnsi"/>
        </w:rPr>
        <w:t>“</w:t>
      </w:r>
    </w:p>
    <w:p w14:paraId="771BE9A3" w14:textId="7191D39E" w:rsidR="00081252" w:rsidRPr="00751110" w:rsidRDefault="00081252" w:rsidP="00081252">
      <w:pPr>
        <w:pStyle w:val="Odstavecseseznamem"/>
        <w:numPr>
          <w:ilvl w:val="0"/>
          <w:numId w:val="14"/>
        </w:numPr>
        <w:spacing w:before="120" w:after="0" w:line="240" w:lineRule="auto"/>
        <w:jc w:val="both"/>
        <w:rPr>
          <w:rFonts w:eastAsiaTheme="minorEastAsia" w:cstheme="minorHAnsi"/>
        </w:rPr>
      </w:pPr>
      <w:r w:rsidRPr="00751110">
        <w:rPr>
          <w:rFonts w:eastAsiaTheme="minorEastAsia" w:cstheme="minorHAnsi"/>
        </w:rPr>
        <w:t>podpora dalších subjektů z</w:t>
      </w:r>
      <w:r w:rsidR="003C06FA">
        <w:rPr>
          <w:rFonts w:eastAsiaTheme="minorEastAsia" w:cstheme="minorHAnsi"/>
        </w:rPr>
        <w:t> </w:t>
      </w:r>
      <w:r w:rsidRPr="00751110">
        <w:rPr>
          <w:rFonts w:eastAsiaTheme="minorEastAsia" w:cstheme="minorHAnsi"/>
        </w:rPr>
        <w:t xml:space="preserve">oblasti veřejné správy </w:t>
      </w:r>
    </w:p>
    <w:p w14:paraId="04DF0A54" w14:textId="06770998" w:rsidR="00081252" w:rsidRPr="00751110" w:rsidRDefault="00081252" w:rsidP="00081252">
      <w:pPr>
        <w:spacing w:before="120" w:after="0" w:line="240" w:lineRule="auto"/>
        <w:jc w:val="both"/>
        <w:rPr>
          <w:rFonts w:eastAsiaTheme="minorEastAsia" w:cstheme="minorHAnsi"/>
        </w:rPr>
      </w:pPr>
      <w:r w:rsidRPr="00751110">
        <w:rPr>
          <w:rFonts w:eastAsiaTheme="minorEastAsia" w:cstheme="minorHAnsi"/>
        </w:rPr>
        <w:lastRenderedPageBreak/>
        <w:t>Předpokládá se poskytnutí podpory pro několik stovek subjektů, z</w:t>
      </w:r>
      <w:r w:rsidR="003C06FA">
        <w:rPr>
          <w:rFonts w:eastAsiaTheme="minorEastAsia" w:cstheme="minorHAnsi"/>
        </w:rPr>
        <w:t> </w:t>
      </w:r>
      <w:r w:rsidRPr="00751110">
        <w:rPr>
          <w:rFonts w:eastAsiaTheme="minorEastAsia" w:cstheme="minorHAnsi"/>
        </w:rPr>
        <w:t>toho primárně z</w:t>
      </w:r>
      <w:r w:rsidR="003C06FA">
        <w:rPr>
          <w:rFonts w:eastAsiaTheme="minorEastAsia" w:cstheme="minorHAnsi"/>
        </w:rPr>
        <w:t> </w:t>
      </w:r>
      <w:r w:rsidRPr="00751110">
        <w:rPr>
          <w:rFonts w:eastAsiaTheme="minorEastAsia" w:cstheme="minorHAnsi"/>
        </w:rPr>
        <w:t>oblasti dopravy a</w:t>
      </w:r>
      <w:r w:rsidR="003C06FA">
        <w:rPr>
          <w:rFonts w:eastAsiaTheme="minorEastAsia" w:cstheme="minorHAnsi"/>
        </w:rPr>
        <w:t> </w:t>
      </w:r>
      <w:r w:rsidRPr="00751110">
        <w:rPr>
          <w:rFonts w:eastAsiaTheme="minorEastAsia" w:cstheme="minorHAnsi"/>
        </w:rPr>
        <w:t>oblasti veřejné správy. Průměrná výše finanční podpory na projekt je odhadována na 30 mil. Kč (uvedená hodnota odpovídá průměrné výši žádosti o</w:t>
      </w:r>
      <w:r w:rsidR="003C06FA">
        <w:rPr>
          <w:rFonts w:eastAsiaTheme="minorEastAsia" w:cstheme="minorHAnsi"/>
        </w:rPr>
        <w:t> </w:t>
      </w:r>
      <w:r w:rsidRPr="00751110">
        <w:rPr>
          <w:rFonts w:eastAsiaTheme="minorEastAsia" w:cstheme="minorHAnsi"/>
        </w:rPr>
        <w:t>finanční podporu v</w:t>
      </w:r>
      <w:r w:rsidR="003C06FA">
        <w:rPr>
          <w:rFonts w:eastAsiaTheme="minorEastAsia" w:cstheme="minorHAnsi"/>
        </w:rPr>
        <w:t> </w:t>
      </w:r>
      <w:r w:rsidRPr="00751110">
        <w:rPr>
          <w:rFonts w:eastAsiaTheme="minorEastAsia" w:cstheme="minorHAnsi"/>
        </w:rPr>
        <w:t>rámci Integrovaného regionálního operačního programu).</w:t>
      </w:r>
    </w:p>
    <w:p w14:paraId="7B9BF295" w14:textId="77777777" w:rsidR="00081252" w:rsidRPr="00751110" w:rsidRDefault="00081252" w:rsidP="00081252">
      <w:pPr>
        <w:spacing w:before="120" w:after="0" w:line="240" w:lineRule="auto"/>
        <w:jc w:val="both"/>
        <w:rPr>
          <w:rFonts w:eastAsiaTheme="minorEastAsia" w:cstheme="minorHAnsi"/>
        </w:rPr>
      </w:pPr>
      <w:r w:rsidRPr="00751110">
        <w:rPr>
          <w:rFonts w:eastAsiaTheme="minorEastAsia" w:cstheme="minorHAnsi"/>
        </w:rPr>
        <w:t>Navýšení kybernetické bezpečnosti bude provedeno realizací následujících činností:</w:t>
      </w:r>
    </w:p>
    <w:p w14:paraId="28B63591" w14:textId="77777777" w:rsidR="00081252" w:rsidRPr="00751110" w:rsidRDefault="00081252" w:rsidP="00081252">
      <w:pPr>
        <w:pStyle w:val="Odstavecseseznamem"/>
        <w:numPr>
          <w:ilvl w:val="0"/>
          <w:numId w:val="14"/>
        </w:numPr>
        <w:spacing w:before="120" w:after="0" w:line="240" w:lineRule="auto"/>
        <w:jc w:val="both"/>
        <w:rPr>
          <w:rFonts w:eastAsiaTheme="minorEastAsia" w:cstheme="minorHAnsi"/>
        </w:rPr>
      </w:pPr>
      <w:r w:rsidRPr="00751110">
        <w:rPr>
          <w:rFonts w:eastAsiaTheme="minorEastAsia" w:cstheme="minorHAnsi"/>
        </w:rPr>
        <w:t>analýzy rizik</w:t>
      </w:r>
    </w:p>
    <w:p w14:paraId="7131C3D4" w14:textId="6705840D" w:rsidR="00081252" w:rsidRPr="00751110" w:rsidRDefault="00081252" w:rsidP="00081252">
      <w:pPr>
        <w:pStyle w:val="Odstavecseseznamem"/>
        <w:numPr>
          <w:ilvl w:val="0"/>
          <w:numId w:val="14"/>
        </w:numPr>
        <w:spacing w:before="120" w:after="0" w:line="240" w:lineRule="auto"/>
        <w:jc w:val="both"/>
        <w:rPr>
          <w:rFonts w:eastAsiaTheme="minorEastAsia" w:cstheme="minorHAnsi"/>
        </w:rPr>
      </w:pPr>
      <w:r w:rsidRPr="00751110">
        <w:rPr>
          <w:rFonts w:eastAsiaTheme="minorEastAsia" w:cstheme="minorHAnsi"/>
        </w:rPr>
        <w:t>implementací bezpečnostních opatření vzešlých z</w:t>
      </w:r>
      <w:r w:rsidR="003C06FA">
        <w:rPr>
          <w:rFonts w:eastAsiaTheme="minorEastAsia" w:cstheme="minorHAnsi"/>
        </w:rPr>
        <w:t> </w:t>
      </w:r>
      <w:r w:rsidRPr="00751110">
        <w:rPr>
          <w:rFonts w:eastAsiaTheme="minorEastAsia" w:cstheme="minorHAnsi"/>
        </w:rPr>
        <w:t>analýzy rizik</w:t>
      </w:r>
    </w:p>
    <w:p w14:paraId="1D329926" w14:textId="14FA75D2" w:rsidR="00081252" w:rsidRPr="00751110" w:rsidRDefault="00081252" w:rsidP="00081252">
      <w:pPr>
        <w:pStyle w:val="Odstavecseseznamem"/>
        <w:numPr>
          <w:ilvl w:val="0"/>
          <w:numId w:val="14"/>
        </w:numPr>
        <w:spacing w:before="120" w:after="0" w:line="240" w:lineRule="auto"/>
        <w:jc w:val="both"/>
        <w:rPr>
          <w:rFonts w:eastAsiaTheme="minorEastAsia" w:cstheme="minorHAnsi"/>
        </w:rPr>
      </w:pPr>
      <w:r w:rsidRPr="00751110">
        <w:rPr>
          <w:rFonts w:eastAsiaTheme="minorEastAsia" w:cstheme="minorHAnsi"/>
        </w:rPr>
        <w:t>provedením auditu kybernetické bezpečnosti potvrzující soulad s</w:t>
      </w:r>
      <w:r w:rsidR="003C06FA">
        <w:rPr>
          <w:rFonts w:eastAsiaTheme="minorEastAsia" w:cstheme="minorHAnsi"/>
        </w:rPr>
        <w:t> </w:t>
      </w:r>
      <w:r w:rsidRPr="00751110">
        <w:rPr>
          <w:rFonts w:eastAsiaTheme="minorEastAsia" w:cstheme="minorHAnsi"/>
        </w:rPr>
        <w:t>legislativou</w:t>
      </w:r>
    </w:p>
    <w:p w14:paraId="392A0778" w14:textId="77777777" w:rsidR="00081252" w:rsidRPr="00751110" w:rsidRDefault="00081252" w:rsidP="00081252">
      <w:pPr>
        <w:spacing w:before="120" w:after="0" w:line="240" w:lineRule="auto"/>
        <w:jc w:val="both"/>
        <w:rPr>
          <w:rFonts w:eastAsiaTheme="minorEastAsia" w:cstheme="minorHAnsi"/>
        </w:rPr>
      </w:pPr>
      <w:r w:rsidRPr="00751110">
        <w:rPr>
          <w:rFonts w:eastAsiaTheme="minorEastAsia" w:cstheme="minorHAnsi"/>
        </w:rPr>
        <w:t>Podporovanými aktivitami budou například:</w:t>
      </w:r>
    </w:p>
    <w:p w14:paraId="1C6D5712" w14:textId="77777777" w:rsidR="00081252" w:rsidRPr="00751110" w:rsidRDefault="00081252" w:rsidP="00081252">
      <w:pPr>
        <w:pStyle w:val="Odstavecseseznamem"/>
        <w:numPr>
          <w:ilvl w:val="0"/>
          <w:numId w:val="15"/>
        </w:numPr>
        <w:spacing w:line="256" w:lineRule="auto"/>
        <w:rPr>
          <w:rFonts w:cstheme="minorHAnsi"/>
        </w:rPr>
      </w:pPr>
      <w:r w:rsidRPr="00751110">
        <w:rPr>
          <w:rFonts w:cstheme="minorHAnsi"/>
        </w:rPr>
        <w:t>Zajištění služeb auditu kybernetické bezpečnosti včetně penetračních či jiných bezpečnostních testů</w:t>
      </w:r>
    </w:p>
    <w:p w14:paraId="29B2042A" w14:textId="53DFB26A" w:rsidR="00081252" w:rsidRPr="00751110" w:rsidRDefault="00081252" w:rsidP="00081252">
      <w:pPr>
        <w:pStyle w:val="Odstavecseseznamem"/>
        <w:numPr>
          <w:ilvl w:val="0"/>
          <w:numId w:val="15"/>
        </w:numPr>
        <w:spacing w:line="256" w:lineRule="auto"/>
        <w:rPr>
          <w:rFonts w:cstheme="minorHAnsi"/>
        </w:rPr>
      </w:pPr>
      <w:r w:rsidRPr="00751110">
        <w:rPr>
          <w:rFonts w:cstheme="minorHAnsi"/>
        </w:rPr>
        <w:t>Návrh a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zavedení systému řízení bezpečnosti informací a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báze znalostí v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oblasti kybernetické bezpečnosti včetně souvisejících procesů a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dokumentace</w:t>
      </w:r>
    </w:p>
    <w:p w14:paraId="2D5682B2" w14:textId="5EA601BC" w:rsidR="00081252" w:rsidRPr="00751110" w:rsidRDefault="00081252" w:rsidP="00081252">
      <w:pPr>
        <w:pStyle w:val="Odstavecseseznamem"/>
        <w:numPr>
          <w:ilvl w:val="0"/>
          <w:numId w:val="15"/>
        </w:numPr>
        <w:spacing w:line="256" w:lineRule="auto"/>
        <w:rPr>
          <w:rFonts w:cstheme="minorHAnsi"/>
        </w:rPr>
      </w:pPr>
      <w:r w:rsidRPr="00751110">
        <w:rPr>
          <w:rFonts w:cstheme="minorHAnsi"/>
        </w:rPr>
        <w:t>Pořízení a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implementace nástroje pro zálohování a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archivaci</w:t>
      </w:r>
    </w:p>
    <w:p w14:paraId="6AE0AC6C" w14:textId="1022FF40" w:rsidR="00081252" w:rsidRPr="00751110" w:rsidRDefault="00081252" w:rsidP="00081252">
      <w:pPr>
        <w:pStyle w:val="Odstavecseseznamem"/>
        <w:numPr>
          <w:ilvl w:val="0"/>
          <w:numId w:val="15"/>
        </w:numPr>
        <w:spacing w:line="256" w:lineRule="auto"/>
        <w:rPr>
          <w:rFonts w:cstheme="minorHAnsi"/>
        </w:rPr>
      </w:pPr>
      <w:r w:rsidRPr="00751110">
        <w:rPr>
          <w:rFonts w:cstheme="minorHAnsi"/>
        </w:rPr>
        <w:t>Zabezpečení komunikační sítě v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rozsahu L2/L3 switche a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nástroje pro segmentaci datové komunikační sítě, NAC, 802.1X</w:t>
      </w:r>
    </w:p>
    <w:p w14:paraId="48438932" w14:textId="053CBBC3" w:rsidR="00081252" w:rsidRPr="00751110" w:rsidRDefault="00081252" w:rsidP="00081252">
      <w:pPr>
        <w:pStyle w:val="Odstavecseseznamem"/>
        <w:numPr>
          <w:ilvl w:val="0"/>
          <w:numId w:val="15"/>
        </w:numPr>
        <w:spacing w:line="256" w:lineRule="auto"/>
        <w:rPr>
          <w:rFonts w:cstheme="minorHAnsi"/>
        </w:rPr>
      </w:pPr>
      <w:r w:rsidRPr="00751110">
        <w:rPr>
          <w:rFonts w:cstheme="minorHAnsi"/>
        </w:rPr>
        <w:t>Pořízení a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 xml:space="preserve">implementace NGFW vč. IPS/IDS </w:t>
      </w:r>
    </w:p>
    <w:p w14:paraId="61F3149C" w14:textId="29DA46F2" w:rsidR="00081252" w:rsidRPr="00751110" w:rsidRDefault="00081252" w:rsidP="00081252">
      <w:pPr>
        <w:pStyle w:val="Odstavecseseznamem"/>
        <w:numPr>
          <w:ilvl w:val="0"/>
          <w:numId w:val="15"/>
        </w:numPr>
        <w:spacing w:line="256" w:lineRule="auto"/>
        <w:rPr>
          <w:rFonts w:cstheme="minorHAnsi"/>
        </w:rPr>
      </w:pPr>
      <w:r w:rsidRPr="00751110">
        <w:rPr>
          <w:rFonts w:cstheme="minorHAnsi"/>
        </w:rPr>
        <w:t>Pořízení a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 xml:space="preserve">implementace </w:t>
      </w:r>
      <w:proofErr w:type="spellStart"/>
      <w:r w:rsidRPr="00751110">
        <w:rPr>
          <w:rFonts w:cstheme="minorHAnsi"/>
        </w:rPr>
        <w:t>Endpoint</w:t>
      </w:r>
      <w:proofErr w:type="spellEnd"/>
      <w:r w:rsidRPr="00751110">
        <w:rPr>
          <w:rFonts w:cstheme="minorHAnsi"/>
        </w:rPr>
        <w:t xml:space="preserve"> </w:t>
      </w:r>
      <w:proofErr w:type="spellStart"/>
      <w:r w:rsidRPr="00751110">
        <w:rPr>
          <w:rFonts w:cstheme="minorHAnsi"/>
        </w:rPr>
        <w:t>protection</w:t>
      </w:r>
      <w:proofErr w:type="spellEnd"/>
      <w:r w:rsidRPr="00751110">
        <w:rPr>
          <w:rFonts w:cstheme="minorHAnsi"/>
        </w:rPr>
        <w:t xml:space="preserve"> řešení</w:t>
      </w:r>
    </w:p>
    <w:p w14:paraId="456A8F85" w14:textId="7EA3E7B8" w:rsidR="00081252" w:rsidRPr="00751110" w:rsidRDefault="00081252" w:rsidP="00081252">
      <w:pPr>
        <w:pStyle w:val="Odstavecseseznamem"/>
        <w:numPr>
          <w:ilvl w:val="0"/>
          <w:numId w:val="15"/>
        </w:numPr>
        <w:spacing w:line="256" w:lineRule="auto"/>
        <w:rPr>
          <w:rFonts w:cstheme="minorHAnsi"/>
        </w:rPr>
      </w:pPr>
      <w:r w:rsidRPr="00751110">
        <w:rPr>
          <w:rFonts w:cstheme="minorHAnsi"/>
        </w:rPr>
        <w:t>Pořízení a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 xml:space="preserve">implementace nástroje pro </w:t>
      </w:r>
      <w:proofErr w:type="spellStart"/>
      <w:r w:rsidRPr="00751110">
        <w:rPr>
          <w:rFonts w:cstheme="minorHAnsi"/>
        </w:rPr>
        <w:t>load</w:t>
      </w:r>
      <w:proofErr w:type="spellEnd"/>
      <w:r w:rsidRPr="00751110">
        <w:rPr>
          <w:rFonts w:cstheme="minorHAnsi"/>
        </w:rPr>
        <w:t xml:space="preserve"> </w:t>
      </w:r>
      <w:proofErr w:type="spellStart"/>
      <w:r w:rsidRPr="00751110">
        <w:rPr>
          <w:rFonts w:cstheme="minorHAnsi"/>
        </w:rPr>
        <w:t>balancing</w:t>
      </w:r>
      <w:proofErr w:type="spellEnd"/>
    </w:p>
    <w:p w14:paraId="2410BBE8" w14:textId="2CB79781" w:rsidR="00081252" w:rsidRPr="00751110" w:rsidRDefault="00081252" w:rsidP="00081252">
      <w:pPr>
        <w:pStyle w:val="Odstavecseseznamem"/>
        <w:numPr>
          <w:ilvl w:val="0"/>
          <w:numId w:val="15"/>
        </w:numPr>
        <w:spacing w:line="256" w:lineRule="auto"/>
        <w:rPr>
          <w:rFonts w:cstheme="minorHAnsi"/>
        </w:rPr>
      </w:pPr>
      <w:r w:rsidRPr="00751110">
        <w:rPr>
          <w:rFonts w:cstheme="minorHAnsi"/>
        </w:rPr>
        <w:t>Pořízení a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implementace nástroje pro analýzu a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monitoring síťového provozu</w:t>
      </w:r>
    </w:p>
    <w:p w14:paraId="31057DE9" w14:textId="0B951858" w:rsidR="00081252" w:rsidRPr="00751110" w:rsidRDefault="00081252" w:rsidP="00081252">
      <w:pPr>
        <w:pStyle w:val="Odstavecseseznamem"/>
        <w:numPr>
          <w:ilvl w:val="0"/>
          <w:numId w:val="15"/>
        </w:numPr>
        <w:spacing w:line="256" w:lineRule="auto"/>
        <w:rPr>
          <w:rFonts w:cstheme="minorHAnsi"/>
        </w:rPr>
      </w:pPr>
      <w:r w:rsidRPr="00751110">
        <w:rPr>
          <w:rFonts w:cstheme="minorHAnsi"/>
        </w:rPr>
        <w:t>Pořízení a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 xml:space="preserve">implementace nástroje pro </w:t>
      </w:r>
      <w:proofErr w:type="spellStart"/>
      <w:r w:rsidRPr="00751110">
        <w:rPr>
          <w:rFonts w:cstheme="minorHAnsi"/>
        </w:rPr>
        <w:t>multifaktorovou</w:t>
      </w:r>
      <w:proofErr w:type="spellEnd"/>
      <w:r w:rsidRPr="00751110">
        <w:rPr>
          <w:rFonts w:cstheme="minorHAnsi"/>
        </w:rPr>
        <w:t xml:space="preserve"> autentizaci</w:t>
      </w:r>
    </w:p>
    <w:p w14:paraId="3ABC2A30" w14:textId="5D35FF23" w:rsidR="00081252" w:rsidRPr="00751110" w:rsidRDefault="00081252" w:rsidP="00081252">
      <w:pPr>
        <w:pStyle w:val="Odstavecseseznamem"/>
        <w:numPr>
          <w:ilvl w:val="0"/>
          <w:numId w:val="15"/>
        </w:numPr>
        <w:spacing w:line="256" w:lineRule="auto"/>
        <w:rPr>
          <w:rFonts w:cstheme="minorHAnsi"/>
        </w:rPr>
      </w:pPr>
      <w:r w:rsidRPr="00751110">
        <w:rPr>
          <w:rFonts w:cstheme="minorHAnsi"/>
        </w:rPr>
        <w:t>Pořízení a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implementace nástroje pro log management</w:t>
      </w:r>
    </w:p>
    <w:p w14:paraId="5FAB4568" w14:textId="70D866A1" w:rsidR="00081252" w:rsidRPr="00751110" w:rsidRDefault="00081252" w:rsidP="00081252">
      <w:pPr>
        <w:pStyle w:val="Odstavecseseznamem"/>
        <w:numPr>
          <w:ilvl w:val="0"/>
          <w:numId w:val="15"/>
        </w:numPr>
        <w:spacing w:line="256" w:lineRule="auto"/>
        <w:rPr>
          <w:rFonts w:cstheme="minorHAnsi"/>
        </w:rPr>
      </w:pPr>
      <w:r w:rsidRPr="00751110">
        <w:rPr>
          <w:rFonts w:cstheme="minorHAnsi"/>
        </w:rPr>
        <w:t>Pořízení a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 xml:space="preserve">implementace nástroje pro </w:t>
      </w:r>
      <w:proofErr w:type="spellStart"/>
      <w:r w:rsidRPr="00751110">
        <w:rPr>
          <w:rFonts w:cstheme="minorHAnsi"/>
        </w:rPr>
        <w:t>SandBoxing</w:t>
      </w:r>
      <w:proofErr w:type="spellEnd"/>
    </w:p>
    <w:p w14:paraId="48929C0B" w14:textId="71F609E8" w:rsidR="00081252" w:rsidRPr="00751110" w:rsidRDefault="00081252" w:rsidP="00081252">
      <w:pPr>
        <w:pStyle w:val="Odstavecseseznamem"/>
        <w:numPr>
          <w:ilvl w:val="0"/>
          <w:numId w:val="15"/>
        </w:numPr>
        <w:spacing w:line="256" w:lineRule="auto"/>
        <w:rPr>
          <w:rFonts w:cstheme="minorHAnsi"/>
        </w:rPr>
      </w:pPr>
      <w:r w:rsidRPr="00751110">
        <w:rPr>
          <w:rFonts w:cstheme="minorHAnsi"/>
        </w:rPr>
        <w:t>Dodávka a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implementace SIEM, služby SOC</w:t>
      </w:r>
    </w:p>
    <w:p w14:paraId="3B79361A" w14:textId="32033307" w:rsidR="00081252" w:rsidRPr="00751110" w:rsidRDefault="00081252" w:rsidP="00081252">
      <w:pPr>
        <w:pStyle w:val="Odstavecseseznamem"/>
        <w:numPr>
          <w:ilvl w:val="0"/>
          <w:numId w:val="15"/>
        </w:numPr>
        <w:spacing w:line="256" w:lineRule="auto"/>
        <w:rPr>
          <w:rFonts w:cstheme="minorHAnsi"/>
        </w:rPr>
      </w:pPr>
      <w:r w:rsidRPr="00751110">
        <w:rPr>
          <w:rFonts w:cstheme="minorHAnsi"/>
        </w:rPr>
        <w:t>Dodávka a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implementace nástroje z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 xml:space="preserve">kategorie </w:t>
      </w:r>
      <w:proofErr w:type="spellStart"/>
      <w:r w:rsidRPr="00751110">
        <w:rPr>
          <w:rFonts w:cstheme="minorHAnsi"/>
        </w:rPr>
        <w:t>Advanced</w:t>
      </w:r>
      <w:proofErr w:type="spellEnd"/>
      <w:r w:rsidRPr="00751110">
        <w:rPr>
          <w:rFonts w:cstheme="minorHAnsi"/>
        </w:rPr>
        <w:t xml:space="preserve"> </w:t>
      </w:r>
      <w:proofErr w:type="spellStart"/>
      <w:r w:rsidRPr="00751110">
        <w:rPr>
          <w:rFonts w:cstheme="minorHAnsi"/>
        </w:rPr>
        <w:t>Threat</w:t>
      </w:r>
      <w:proofErr w:type="spellEnd"/>
      <w:r w:rsidRPr="00751110">
        <w:rPr>
          <w:rFonts w:cstheme="minorHAnsi"/>
        </w:rPr>
        <w:t xml:space="preserve"> </w:t>
      </w:r>
      <w:proofErr w:type="spellStart"/>
      <w:r w:rsidRPr="00751110">
        <w:rPr>
          <w:rFonts w:cstheme="minorHAnsi"/>
        </w:rPr>
        <w:t>Protection</w:t>
      </w:r>
      <w:proofErr w:type="spellEnd"/>
    </w:p>
    <w:p w14:paraId="341D50B3" w14:textId="1B972E6D" w:rsidR="00081252" w:rsidRPr="00751110" w:rsidRDefault="00081252" w:rsidP="00081252">
      <w:pPr>
        <w:pStyle w:val="Odstavecseseznamem"/>
        <w:numPr>
          <w:ilvl w:val="0"/>
          <w:numId w:val="15"/>
        </w:numPr>
        <w:spacing w:line="256" w:lineRule="auto"/>
        <w:rPr>
          <w:rFonts w:cstheme="minorHAnsi"/>
        </w:rPr>
      </w:pPr>
      <w:r w:rsidRPr="00751110">
        <w:rPr>
          <w:rFonts w:cstheme="minorHAnsi"/>
        </w:rPr>
        <w:t>Dodávka a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implementace nástroje pro řízení přístupů a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identit (PIM/PAM, atp.)</w:t>
      </w:r>
    </w:p>
    <w:p w14:paraId="63ADA0EB" w14:textId="5BFD0312" w:rsidR="00081252" w:rsidRPr="00751110" w:rsidRDefault="00081252" w:rsidP="00081252">
      <w:pPr>
        <w:pStyle w:val="Odstavecseseznamem"/>
        <w:numPr>
          <w:ilvl w:val="0"/>
          <w:numId w:val="15"/>
        </w:numPr>
        <w:spacing w:line="256" w:lineRule="auto"/>
        <w:rPr>
          <w:rFonts w:cstheme="minorHAnsi"/>
        </w:rPr>
      </w:pPr>
      <w:r w:rsidRPr="00751110">
        <w:rPr>
          <w:rFonts w:cstheme="minorHAnsi"/>
        </w:rPr>
        <w:t>Pořízení a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 xml:space="preserve">implementace nástroje pro Mobile/Enterprise </w:t>
      </w:r>
      <w:proofErr w:type="spellStart"/>
      <w:r w:rsidRPr="00751110">
        <w:rPr>
          <w:rFonts w:cstheme="minorHAnsi"/>
        </w:rPr>
        <w:t>device</w:t>
      </w:r>
      <w:proofErr w:type="spellEnd"/>
      <w:r w:rsidRPr="00751110">
        <w:rPr>
          <w:rFonts w:cstheme="minorHAnsi"/>
        </w:rPr>
        <w:t xml:space="preserve"> management</w:t>
      </w:r>
    </w:p>
    <w:p w14:paraId="17033290" w14:textId="33B4ADDA" w:rsidR="00081252" w:rsidRPr="00751110" w:rsidRDefault="00081252" w:rsidP="00081252">
      <w:pPr>
        <w:pStyle w:val="Odstavecseseznamem"/>
        <w:numPr>
          <w:ilvl w:val="0"/>
          <w:numId w:val="15"/>
        </w:numPr>
        <w:spacing w:line="256" w:lineRule="auto"/>
        <w:rPr>
          <w:rFonts w:cstheme="minorHAnsi"/>
        </w:rPr>
      </w:pPr>
      <w:r w:rsidRPr="00751110">
        <w:rPr>
          <w:rFonts w:cstheme="minorHAnsi"/>
        </w:rPr>
        <w:t>Pořízení a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implementace nástroje pro správu aktiv a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řízení rizik a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zranitelností</w:t>
      </w:r>
    </w:p>
    <w:p w14:paraId="70B773F5" w14:textId="0ABE32D4" w:rsidR="00081252" w:rsidRPr="00751110" w:rsidRDefault="00081252" w:rsidP="00081252">
      <w:pPr>
        <w:pStyle w:val="Odstavecseseznamem"/>
        <w:numPr>
          <w:ilvl w:val="0"/>
          <w:numId w:val="15"/>
        </w:numPr>
        <w:spacing w:line="256" w:lineRule="auto"/>
        <w:jc w:val="both"/>
        <w:rPr>
          <w:rFonts w:cstheme="minorHAnsi"/>
        </w:rPr>
      </w:pPr>
      <w:r w:rsidRPr="00751110">
        <w:rPr>
          <w:rFonts w:cstheme="minorHAnsi"/>
        </w:rPr>
        <w:t>Servery a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disková úložiště, která budou přímo využita v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rámci zajištění kybernetické bezpečnosti (virtualizace, ukládání logů aj.)</w:t>
      </w:r>
    </w:p>
    <w:p w14:paraId="48E8804E" w14:textId="3C3A9CFC" w:rsidR="00081252" w:rsidRPr="00751110" w:rsidRDefault="00081252" w:rsidP="00081252">
      <w:pPr>
        <w:pStyle w:val="Odstavecseseznamem"/>
        <w:numPr>
          <w:ilvl w:val="0"/>
          <w:numId w:val="15"/>
        </w:numPr>
        <w:spacing w:line="256" w:lineRule="auto"/>
        <w:jc w:val="both"/>
        <w:rPr>
          <w:rFonts w:cstheme="minorHAnsi"/>
        </w:rPr>
      </w:pPr>
      <w:r w:rsidRPr="00751110">
        <w:rPr>
          <w:rFonts w:cstheme="minorHAnsi"/>
        </w:rPr>
        <w:t>Pořízení kryptografického systému zajišťující ochranu informací mezi datovými centry a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uživatelskými pracovními stanicemi přenášených po nezabezpečeném komunikačním prostředí různých poskytovatelů a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současně zajistí kybernetickou bezpečnost provozovaných aplikací.</w:t>
      </w:r>
    </w:p>
    <w:p w14:paraId="1A8F0562" w14:textId="77777777" w:rsidR="00081252" w:rsidRPr="00751110" w:rsidRDefault="00081252" w:rsidP="00081252">
      <w:pPr>
        <w:pStyle w:val="Odstavecseseznamem"/>
        <w:numPr>
          <w:ilvl w:val="0"/>
          <w:numId w:val="15"/>
        </w:numPr>
        <w:spacing w:line="256" w:lineRule="auto"/>
        <w:jc w:val="both"/>
        <w:rPr>
          <w:rFonts w:cstheme="minorHAnsi"/>
        </w:rPr>
      </w:pPr>
      <w:r w:rsidRPr="00751110">
        <w:rPr>
          <w:rFonts w:cstheme="minorHAnsi"/>
        </w:rPr>
        <w:t>Další dle objektivní potřeby</w:t>
      </w:r>
    </w:p>
    <w:p w14:paraId="7BCE3A4B" w14:textId="77777777" w:rsidR="00081252" w:rsidRPr="00751110" w:rsidRDefault="00081252" w:rsidP="00081252">
      <w:pPr>
        <w:spacing w:before="120" w:after="0" w:line="240" w:lineRule="auto"/>
        <w:jc w:val="both"/>
        <w:rPr>
          <w:rFonts w:eastAsiaTheme="minorEastAsia" w:cstheme="minorHAnsi"/>
        </w:rPr>
      </w:pPr>
    </w:p>
    <w:p w14:paraId="319F4A34" w14:textId="77777777" w:rsidR="00081252" w:rsidRPr="00751110" w:rsidRDefault="00081252" w:rsidP="00081252">
      <w:pPr>
        <w:pStyle w:val="K-Nadpis2"/>
        <w:numPr>
          <w:ilvl w:val="0"/>
          <w:numId w:val="9"/>
        </w:numPr>
        <w:spacing w:before="80" w:after="0" w:line="292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751110">
        <w:rPr>
          <w:rFonts w:asciiTheme="minorHAnsi" w:eastAsiaTheme="minorEastAsia" w:hAnsiTheme="minorHAnsi" w:cstheme="minorHAnsi"/>
          <w:sz w:val="22"/>
          <w:szCs w:val="22"/>
        </w:rPr>
        <w:t>Národní strategický kontext</w:t>
      </w:r>
    </w:p>
    <w:p w14:paraId="46EE8994" w14:textId="77777777" w:rsidR="00081252" w:rsidRPr="003C06FA" w:rsidRDefault="00081252" w:rsidP="00081252">
      <w:pPr>
        <w:pStyle w:val="00Body"/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</w:pPr>
      <w:r w:rsidRPr="003C06FA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Zajištění kybernetické bezpečnosti vychází z:</w:t>
      </w:r>
    </w:p>
    <w:p w14:paraId="4820C0B1" w14:textId="77777777" w:rsidR="00081252" w:rsidRPr="003C06FA" w:rsidRDefault="00081252" w:rsidP="00081252">
      <w:pPr>
        <w:pStyle w:val="00Body"/>
        <w:numPr>
          <w:ilvl w:val="0"/>
          <w:numId w:val="16"/>
        </w:numPr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</w:pPr>
      <w:r w:rsidRPr="003C06FA">
        <w:rPr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t>Národní strategie kybernetické bezpečnosti na období 2021 – 2025</w:t>
      </w:r>
      <w:r w:rsidRPr="003C06FA">
        <w:rPr>
          <w:rStyle w:val="Znakapoznpodarou"/>
          <w:rFonts w:asciiTheme="minorHAnsi" w:eastAsiaTheme="minorEastAsia" w:hAnsiTheme="minorHAnsi" w:cstheme="minorHAnsi"/>
          <w:color w:val="000000" w:themeColor="text1"/>
          <w:szCs w:val="22"/>
          <w:lang w:val="cs-CZ"/>
        </w:rPr>
        <w:footnoteReference w:id="5"/>
      </w:r>
    </w:p>
    <w:p w14:paraId="5F8CDCF5" w14:textId="77777777" w:rsidR="00081252" w:rsidRPr="00751110" w:rsidRDefault="00081252" w:rsidP="00081252">
      <w:pPr>
        <w:pStyle w:val="K-Nadpis2"/>
        <w:numPr>
          <w:ilvl w:val="0"/>
          <w:numId w:val="9"/>
        </w:numPr>
        <w:spacing w:before="80" w:after="0" w:line="292" w:lineRule="auto"/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</w:pPr>
      <w:r w:rsidRPr="00751110">
        <w:rPr>
          <w:rFonts w:asciiTheme="minorHAnsi" w:eastAsiaTheme="minorEastAsia" w:hAnsiTheme="minorHAnsi" w:cstheme="minorHAnsi"/>
          <w:sz w:val="22"/>
          <w:szCs w:val="22"/>
        </w:rPr>
        <w:t>Předchozí snahy</w:t>
      </w:r>
    </w:p>
    <w:p w14:paraId="3A058263" w14:textId="77777777" w:rsidR="00081252" w:rsidRPr="00751110" w:rsidRDefault="00081252" w:rsidP="00081252">
      <w:pPr>
        <w:pStyle w:val="K-Text"/>
        <w:spacing w:before="120" w:after="0" w:line="240" w:lineRule="auto"/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</w:pPr>
      <w:r w:rsidRPr="00751110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>Financování oblasti kybernetické bezpečnosti je podporováno na několika úrovních:</w:t>
      </w:r>
    </w:p>
    <w:p w14:paraId="0067F293" w14:textId="77777777" w:rsidR="00081252" w:rsidRPr="00751110" w:rsidRDefault="00081252" w:rsidP="00081252">
      <w:pPr>
        <w:pStyle w:val="K-Text"/>
        <w:numPr>
          <w:ilvl w:val="0"/>
          <w:numId w:val="11"/>
        </w:numPr>
        <w:spacing w:before="120" w:after="0" w:line="240" w:lineRule="auto"/>
        <w:ind w:left="720"/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</w:pPr>
      <w:r w:rsidRPr="00751110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>Integrovaný regionální operační program – období 2014 – 2020 – celková alokace 1,1 mld. Kč</w:t>
      </w:r>
    </w:p>
    <w:p w14:paraId="2ED1A661" w14:textId="77777777" w:rsidR="00081252" w:rsidRPr="00751110" w:rsidRDefault="00081252" w:rsidP="00081252">
      <w:pPr>
        <w:pStyle w:val="K-Text"/>
        <w:numPr>
          <w:ilvl w:val="0"/>
          <w:numId w:val="11"/>
        </w:numPr>
        <w:spacing w:before="120" w:after="0" w:line="240" w:lineRule="auto"/>
        <w:ind w:left="720"/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</w:pPr>
      <w:r w:rsidRPr="00751110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>Integrovaný regionální operační program - období 2021 – 2027 – celková alokace 3,3 mld. Kč</w:t>
      </w:r>
    </w:p>
    <w:p w14:paraId="3BE89AD3" w14:textId="77777777" w:rsidR="00081252" w:rsidRPr="00751110" w:rsidRDefault="00081252" w:rsidP="00081252">
      <w:pPr>
        <w:pStyle w:val="K-Text"/>
        <w:numPr>
          <w:ilvl w:val="0"/>
          <w:numId w:val="11"/>
        </w:numPr>
        <w:spacing w:before="120" w:after="0" w:line="240" w:lineRule="auto"/>
        <w:ind w:left="720"/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</w:pPr>
      <w:r w:rsidRPr="00751110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lastRenderedPageBreak/>
        <w:t>Národní plán obnovy – investice „Kybernetická bezpečnost“ – celková alokace 2,7 mld. Kč</w:t>
      </w:r>
    </w:p>
    <w:p w14:paraId="658872BB" w14:textId="711D223B" w:rsidR="00081252" w:rsidRPr="00751110" w:rsidRDefault="00081252" w:rsidP="00081252">
      <w:pPr>
        <w:pStyle w:val="K-Text"/>
        <w:spacing w:before="120" w:after="0" w:line="240" w:lineRule="auto"/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</w:pPr>
      <w:r w:rsidRPr="00751110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>V návaznosti na aktuální finanční hodnoty podaných projektových žádostí v</w:t>
      </w:r>
      <w:r w:rsidR="003C06FA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> </w:t>
      </w:r>
      <w:r w:rsidRPr="00751110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>IROP oproti disponibilním finančním prostředkům IROP (až 300%)</w:t>
      </w:r>
      <w:r w:rsidRPr="00751110">
        <w:rPr>
          <w:rStyle w:val="Znakapoznpodarou"/>
          <w:rFonts w:asciiTheme="minorHAnsi" w:eastAsiaTheme="minorEastAsia" w:hAnsiTheme="minorHAnsi" w:cstheme="minorHAnsi"/>
          <w:color w:val="000000" w:themeColor="text1"/>
          <w:sz w:val="22"/>
          <w:szCs w:val="22"/>
        </w:rPr>
        <w:footnoteReference w:id="6"/>
      </w:r>
      <w:r w:rsidRPr="00751110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 xml:space="preserve"> je viditelná vysoká poptávka po posílení kybernetické bezpečnosti</w:t>
      </w:r>
      <w:r w:rsidR="00CC3D60" w:rsidRPr="00751110"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  <w:t>.</w:t>
      </w:r>
    </w:p>
    <w:p w14:paraId="3EA66738" w14:textId="5F8DB0D2" w:rsidR="00081252" w:rsidRPr="00751110" w:rsidRDefault="00081252" w:rsidP="00081252">
      <w:pPr>
        <w:pStyle w:val="K-Nadpis1"/>
        <w:jc w:val="both"/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</w:pPr>
      <w:r w:rsidRPr="00751110">
        <w:rPr>
          <w:rFonts w:asciiTheme="minorHAnsi" w:eastAsiaTheme="minorEastAsia" w:hAnsiTheme="minorHAnsi" w:cstheme="minorHAnsi"/>
          <w:sz w:val="22"/>
          <w:szCs w:val="22"/>
        </w:rPr>
        <w:t>3. Popis reforem a</w:t>
      </w:r>
      <w:r w:rsidR="003C06FA">
        <w:rPr>
          <w:rFonts w:asciiTheme="minorHAnsi" w:eastAsiaTheme="minorEastAsia" w:hAnsiTheme="minorHAnsi" w:cstheme="minorHAnsi"/>
          <w:sz w:val="22"/>
          <w:szCs w:val="22"/>
        </w:rPr>
        <w:t> </w:t>
      </w:r>
      <w:r w:rsidRPr="00751110">
        <w:rPr>
          <w:rFonts w:asciiTheme="minorHAnsi" w:eastAsiaTheme="minorEastAsia" w:hAnsiTheme="minorHAnsi" w:cstheme="minorHAnsi"/>
          <w:sz w:val="22"/>
          <w:szCs w:val="22"/>
        </w:rPr>
        <w:t xml:space="preserve">investic komponenty </w:t>
      </w:r>
    </w:p>
    <w:p w14:paraId="10D2AFC8" w14:textId="77777777" w:rsidR="00081252" w:rsidRPr="00751110" w:rsidRDefault="00081252" w:rsidP="00081252">
      <w:pPr>
        <w:pStyle w:val="K-Nadpis2"/>
        <w:numPr>
          <w:ilvl w:val="0"/>
          <w:numId w:val="12"/>
        </w:numPr>
        <w:spacing w:before="80" w:after="0" w:line="292" w:lineRule="auto"/>
        <w:rPr>
          <w:rFonts w:asciiTheme="minorHAnsi" w:eastAsiaTheme="minorEastAsia" w:hAnsiTheme="minorHAnsi" w:cstheme="minorHAnsi"/>
          <w:sz w:val="22"/>
          <w:szCs w:val="22"/>
        </w:rPr>
      </w:pPr>
      <w:r w:rsidRPr="00751110">
        <w:rPr>
          <w:rFonts w:asciiTheme="minorHAnsi" w:eastAsiaTheme="minorEastAsia" w:hAnsiTheme="minorHAnsi" w:cstheme="minorHAnsi"/>
          <w:sz w:val="22"/>
          <w:szCs w:val="22"/>
        </w:rPr>
        <w:t xml:space="preserve">Popis reforem </w:t>
      </w:r>
    </w:p>
    <w:p w14:paraId="7DAE365D" w14:textId="77777777" w:rsidR="00081252" w:rsidRPr="00751110" w:rsidRDefault="00081252" w:rsidP="00081252">
      <w:pPr>
        <w:pStyle w:val="K-TextInfo"/>
        <w:spacing w:before="120" w:after="0"/>
        <w:rPr>
          <w:rFonts w:asciiTheme="minorHAnsi" w:hAnsiTheme="minorHAnsi" w:cstheme="minorHAnsi"/>
          <w:sz w:val="22"/>
          <w:szCs w:val="22"/>
        </w:rPr>
      </w:pPr>
      <w:r w:rsidRPr="00751110">
        <w:rPr>
          <w:rFonts w:asciiTheme="minorHAnsi" w:hAnsiTheme="minorHAnsi" w:cstheme="minorHAnsi"/>
          <w:i/>
          <w:iCs/>
          <w:sz w:val="22"/>
          <w:szCs w:val="22"/>
        </w:rPr>
        <w:t>Není relevantní, podpora zahrnuje pouze investiční opatření</w:t>
      </w:r>
    </w:p>
    <w:p w14:paraId="1F687C28" w14:textId="77777777" w:rsidR="00081252" w:rsidRPr="00751110" w:rsidRDefault="00081252" w:rsidP="00081252">
      <w:pPr>
        <w:pStyle w:val="K-Nadpis3"/>
        <w:spacing w:before="120" w:after="0"/>
        <w:rPr>
          <w:rFonts w:asciiTheme="minorHAnsi" w:eastAsiaTheme="minorEastAsia" w:hAnsiTheme="minorHAnsi" w:cstheme="minorHAnsi"/>
          <w:i/>
          <w:iCs/>
          <w:color w:val="auto"/>
          <w:sz w:val="22"/>
          <w:szCs w:val="22"/>
        </w:rPr>
      </w:pPr>
    </w:p>
    <w:p w14:paraId="066FD371" w14:textId="77777777" w:rsidR="00081252" w:rsidRPr="00751110" w:rsidRDefault="00081252" w:rsidP="00081252">
      <w:pPr>
        <w:pStyle w:val="K-Nadpis2"/>
        <w:numPr>
          <w:ilvl w:val="0"/>
          <w:numId w:val="12"/>
        </w:numPr>
        <w:spacing w:before="80" w:after="0" w:line="292" w:lineRule="auto"/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</w:pPr>
      <w:r w:rsidRPr="00751110">
        <w:rPr>
          <w:rFonts w:asciiTheme="minorHAnsi" w:eastAsiaTheme="minorEastAsia" w:hAnsiTheme="minorHAnsi" w:cstheme="minorHAnsi"/>
          <w:sz w:val="22"/>
          <w:szCs w:val="22"/>
        </w:rPr>
        <w:t>Popis investic</w:t>
      </w:r>
    </w:p>
    <w:p w14:paraId="0B0F3F6A" w14:textId="77777777" w:rsidR="00081252" w:rsidRPr="00751110" w:rsidRDefault="00081252" w:rsidP="00081252">
      <w:pPr>
        <w:pStyle w:val="K-Text"/>
        <w:spacing w:before="120" w:line="240" w:lineRule="auto"/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081252" w:rsidRPr="00751110" w14:paraId="2FF1D7DD" w14:textId="77777777" w:rsidTr="0FB7121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0832C" w14:textId="77777777" w:rsidR="00081252" w:rsidRPr="00751110" w:rsidRDefault="00081252">
            <w:pPr>
              <w:pStyle w:val="K-Text"/>
              <w:spacing w:after="0" w:line="240" w:lineRule="auto"/>
              <w:jc w:val="lef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751110">
              <w:rPr>
                <w:rFonts w:asciiTheme="minorHAnsi" w:eastAsiaTheme="minorEastAsia" w:hAnsiTheme="minorHAnsi" w:cstheme="minorHAnsi"/>
                <w:sz w:val="22"/>
                <w:szCs w:val="22"/>
              </w:rPr>
              <w:t>Výzva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51BA2" w14:textId="77777777" w:rsidR="00081252" w:rsidRPr="00751110" w:rsidRDefault="00081252">
            <w:pPr>
              <w:pStyle w:val="K-TextInfo"/>
              <w:spacing w:before="60" w:after="6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51110">
              <w:rPr>
                <w:rFonts w:asciiTheme="minorHAnsi" w:hAnsiTheme="minorHAnsi" w:cstheme="minorHAnsi"/>
                <w:i/>
                <w:sz w:val="22"/>
                <w:szCs w:val="22"/>
              </w:rPr>
              <w:t>Zajištění kybernetické bezpečnosti</w:t>
            </w:r>
          </w:p>
        </w:tc>
      </w:tr>
      <w:tr w:rsidR="00081252" w:rsidRPr="00751110" w14:paraId="0B4091A8" w14:textId="77777777" w:rsidTr="0FB7121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31419" w14:textId="77777777" w:rsidR="00081252" w:rsidRPr="00751110" w:rsidRDefault="00081252">
            <w:pPr>
              <w:pStyle w:val="K-Text"/>
              <w:spacing w:after="0" w:line="240" w:lineRule="auto"/>
              <w:jc w:val="lef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751110">
              <w:rPr>
                <w:rFonts w:asciiTheme="minorHAnsi" w:eastAsiaTheme="minorEastAsia" w:hAnsiTheme="minorHAnsi" w:cstheme="minorHAnsi"/>
                <w:sz w:val="22"/>
                <w:szCs w:val="22"/>
              </w:rPr>
              <w:t>Cíl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6E29D" w14:textId="5FDC864B" w:rsidR="00081252" w:rsidRPr="00751110" w:rsidRDefault="00081252">
            <w:pPr>
              <w:spacing w:before="120" w:after="0" w:line="240" w:lineRule="auto"/>
              <w:jc w:val="both"/>
              <w:rPr>
                <w:rFonts w:eastAsiaTheme="minorEastAsia" w:cstheme="minorHAnsi"/>
              </w:rPr>
            </w:pPr>
            <w:r w:rsidRPr="00751110">
              <w:rPr>
                <w:rFonts w:eastAsiaTheme="minorEastAsia" w:cstheme="minorHAnsi"/>
              </w:rPr>
              <w:t>Zvýšit úroveň kybernetické bezpečnosti u</w:t>
            </w:r>
            <w:r w:rsidR="003C06FA">
              <w:rPr>
                <w:rFonts w:eastAsiaTheme="minorEastAsia" w:cstheme="minorHAnsi"/>
              </w:rPr>
              <w:t> </w:t>
            </w:r>
            <w:r w:rsidRPr="00751110">
              <w:rPr>
                <w:rFonts w:eastAsiaTheme="minorEastAsia" w:cstheme="minorHAnsi"/>
              </w:rPr>
              <w:t>centrálních úřadů, institucí a</w:t>
            </w:r>
            <w:r w:rsidR="003C06FA">
              <w:rPr>
                <w:rFonts w:eastAsiaTheme="minorEastAsia" w:cstheme="minorHAnsi"/>
              </w:rPr>
              <w:t> </w:t>
            </w:r>
            <w:r w:rsidRPr="00751110">
              <w:rPr>
                <w:rFonts w:eastAsiaTheme="minorEastAsia" w:cstheme="minorHAnsi"/>
              </w:rPr>
              <w:t>dalších subjektů dle zákona o</w:t>
            </w:r>
            <w:r w:rsidR="003C06FA">
              <w:rPr>
                <w:rFonts w:eastAsiaTheme="minorEastAsia" w:cstheme="minorHAnsi"/>
              </w:rPr>
              <w:t> </w:t>
            </w:r>
            <w:r w:rsidRPr="00751110">
              <w:rPr>
                <w:rFonts w:eastAsiaTheme="minorEastAsia" w:cstheme="minorHAnsi"/>
              </w:rPr>
              <w:t>kybernetické bezpečnosti a</w:t>
            </w:r>
            <w:r w:rsidR="003C06FA">
              <w:rPr>
                <w:rFonts w:eastAsiaTheme="minorEastAsia" w:cstheme="minorHAnsi"/>
              </w:rPr>
              <w:t> </w:t>
            </w:r>
            <w:r w:rsidRPr="00751110">
              <w:rPr>
                <w:rFonts w:eastAsiaTheme="minorEastAsia" w:cstheme="minorHAnsi"/>
              </w:rPr>
              <w:t>souvisejících předpisů.</w:t>
            </w:r>
          </w:p>
        </w:tc>
      </w:tr>
      <w:tr w:rsidR="00081252" w:rsidRPr="00751110" w14:paraId="1FADDF9E" w14:textId="77777777" w:rsidTr="0FB7121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08DBB" w14:textId="77777777" w:rsidR="00081252" w:rsidRPr="00751110" w:rsidRDefault="00081252">
            <w:pPr>
              <w:pStyle w:val="K-Text"/>
              <w:spacing w:after="0" w:line="240" w:lineRule="auto"/>
              <w:jc w:val="lef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751110">
              <w:rPr>
                <w:rFonts w:asciiTheme="minorHAnsi" w:eastAsiaTheme="minorEastAsia" w:hAnsiTheme="minorHAnsi" w:cstheme="minorHAnsi"/>
                <w:sz w:val="22"/>
                <w:szCs w:val="22"/>
              </w:rPr>
              <w:t>Implementace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A2583" w14:textId="5A9DEA56" w:rsidR="00081252" w:rsidRPr="00751110" w:rsidRDefault="7C83C49A" w:rsidP="7C83C49A">
            <w:pPr>
              <w:pStyle w:val="K-TextInfo"/>
              <w:spacing w:before="60" w:after="60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7C83C49A">
              <w:rPr>
                <w:rFonts w:asciiTheme="minorHAnsi" w:hAnsiTheme="minorHAnsi" w:cstheme="minorBidi"/>
                <w:i/>
                <w:iCs/>
                <w:color w:val="auto"/>
                <w:sz w:val="22"/>
                <w:szCs w:val="22"/>
              </w:rPr>
              <w:t>Ministerstvo vnitra, příjemci z</w:t>
            </w:r>
            <w:r w:rsidR="003C06FA">
              <w:rPr>
                <w:rFonts w:asciiTheme="minorHAnsi" w:hAnsiTheme="minorHAnsi" w:cstheme="minorBidi"/>
                <w:i/>
                <w:iCs/>
                <w:color w:val="auto"/>
                <w:sz w:val="22"/>
                <w:szCs w:val="22"/>
              </w:rPr>
              <w:t> </w:t>
            </w:r>
            <w:r w:rsidRPr="7C83C49A">
              <w:rPr>
                <w:rFonts w:asciiTheme="minorHAnsi" w:hAnsiTheme="minorHAnsi" w:cstheme="minorBidi"/>
                <w:i/>
                <w:iCs/>
                <w:color w:val="auto"/>
                <w:sz w:val="22"/>
                <w:szCs w:val="22"/>
              </w:rPr>
              <w:t>řad subjektů veřejné správy (doprava, IZS, zdravotnictví a</w:t>
            </w:r>
            <w:r w:rsidR="003C06FA">
              <w:rPr>
                <w:rFonts w:asciiTheme="minorHAnsi" w:hAnsiTheme="minorHAnsi" w:cstheme="minorBidi"/>
                <w:i/>
                <w:iCs/>
                <w:color w:val="auto"/>
                <w:sz w:val="22"/>
                <w:szCs w:val="22"/>
              </w:rPr>
              <w:t> </w:t>
            </w:r>
            <w:r w:rsidRPr="7C83C49A">
              <w:rPr>
                <w:rFonts w:asciiTheme="minorHAnsi" w:hAnsiTheme="minorHAnsi" w:cstheme="minorBidi"/>
                <w:i/>
                <w:iCs/>
                <w:color w:val="auto"/>
                <w:sz w:val="22"/>
                <w:szCs w:val="22"/>
              </w:rPr>
              <w:t xml:space="preserve">ostatní) </w:t>
            </w:r>
          </w:p>
        </w:tc>
      </w:tr>
      <w:tr w:rsidR="00081252" w:rsidRPr="00751110" w14:paraId="27F9373A" w14:textId="77777777" w:rsidTr="0FB71215">
        <w:trPr>
          <w:trHeight w:val="7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87FBF" w14:textId="1B7AA929" w:rsidR="00081252" w:rsidRPr="00751110" w:rsidRDefault="00081252">
            <w:pPr>
              <w:pStyle w:val="K-Text"/>
              <w:spacing w:after="0" w:line="240" w:lineRule="auto"/>
              <w:jc w:val="lef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751110">
              <w:rPr>
                <w:rFonts w:asciiTheme="minorHAnsi" w:eastAsiaTheme="minorEastAsia" w:hAnsiTheme="minorHAnsi" w:cstheme="minorHAnsi"/>
                <w:sz w:val="22"/>
                <w:szCs w:val="22"/>
              </w:rPr>
              <w:t>Spolupráce a</w:t>
            </w:r>
            <w:r w:rsidR="003C06FA">
              <w:rPr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  <w:r w:rsidRPr="00751110">
              <w:rPr>
                <w:rFonts w:asciiTheme="minorHAnsi" w:eastAsiaTheme="minorEastAsia" w:hAnsiTheme="minorHAnsi" w:cstheme="minorHAnsi"/>
                <w:sz w:val="22"/>
                <w:szCs w:val="22"/>
              </w:rPr>
              <w:t>zapojení zúčastněných stran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9A9EF" w14:textId="5E63D043" w:rsidR="00081252" w:rsidRPr="00751110" w:rsidRDefault="00081252">
            <w:pPr>
              <w:pStyle w:val="K-TextInfo"/>
              <w:spacing w:before="60" w:after="60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751110">
              <w:rPr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Ministerstvo vnitra</w:t>
            </w:r>
            <w:r w:rsidR="006E5646">
              <w:rPr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, Ministerstvo zdravotnictví</w:t>
            </w:r>
            <w:r w:rsidR="00251DE1">
              <w:rPr>
                <w:rFonts w:asciiTheme="minorHAnsi" w:hAnsiTheme="minorHAnsi" w:cstheme="minorHAnsi"/>
                <w:i/>
                <w:color w:val="auto"/>
                <w:sz w:val="22"/>
                <w:szCs w:val="22"/>
              </w:rPr>
              <w:t>, Ministerstvo dopravy</w:t>
            </w:r>
          </w:p>
        </w:tc>
      </w:tr>
      <w:tr w:rsidR="00081252" w:rsidRPr="00751110" w14:paraId="7CD9DFF0" w14:textId="77777777" w:rsidTr="0FB7121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87A39" w14:textId="77142BCD" w:rsidR="00081252" w:rsidRPr="00751110" w:rsidRDefault="00081252">
            <w:pPr>
              <w:pStyle w:val="K-Text"/>
              <w:spacing w:after="0" w:line="240" w:lineRule="auto"/>
              <w:jc w:val="lef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751110">
              <w:rPr>
                <w:rFonts w:asciiTheme="minorHAnsi" w:eastAsiaTheme="minorEastAsia" w:hAnsiTheme="minorHAnsi" w:cstheme="minorHAnsi"/>
                <w:sz w:val="22"/>
                <w:szCs w:val="22"/>
              </w:rPr>
              <w:t>Překážky a</w:t>
            </w:r>
            <w:r w:rsidR="003C06FA">
              <w:rPr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  <w:r w:rsidRPr="00751110">
              <w:rPr>
                <w:rFonts w:asciiTheme="minorHAnsi" w:eastAsiaTheme="minorEastAsia" w:hAnsiTheme="minorHAnsi" w:cstheme="minorHAnsi"/>
                <w:sz w:val="22"/>
                <w:szCs w:val="22"/>
              </w:rPr>
              <w:t>rizika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A17F" w14:textId="6C41385F" w:rsidR="00081252" w:rsidRPr="00751110" w:rsidRDefault="00081252">
            <w:pPr>
              <w:pStyle w:val="K-TextInf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5111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Zpoždění v</w:t>
            </w:r>
            <w:r w:rsidR="003C06FA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 </w:t>
            </w:r>
            <w:r w:rsidRPr="0075111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přípravě jednotlivých zadávacích dokumentací</w:t>
            </w:r>
          </w:p>
          <w:p w14:paraId="4F112EDF" w14:textId="6AFDF39C" w:rsidR="00081252" w:rsidRPr="00751110" w:rsidRDefault="00081252" w:rsidP="00081252">
            <w:pPr>
              <w:pStyle w:val="K-TextInfo"/>
              <w:numPr>
                <w:ilvl w:val="0"/>
                <w:numId w:val="17"/>
              </w:num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511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 dosavadních aktivit podpory kybernetické bezpečnosti existují na straně příjemců již značně připravené projektové dokumentace v</w:t>
            </w:r>
            <w:r w:rsidR="003C06F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 </w:t>
            </w:r>
            <w:r w:rsidRPr="007511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rámci programů IROP.</w:t>
            </w:r>
          </w:p>
          <w:p w14:paraId="61400185" w14:textId="18633082" w:rsidR="00081252" w:rsidRPr="00751110" w:rsidRDefault="00081252" w:rsidP="00081252">
            <w:pPr>
              <w:pStyle w:val="K-TextInfo"/>
              <w:numPr>
                <w:ilvl w:val="0"/>
                <w:numId w:val="17"/>
              </w:num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511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Pro eliminaci rizika budou při hrozícím zpoždění v</w:t>
            </w:r>
            <w:r w:rsidR="003C06F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 </w:t>
            </w:r>
            <w:r w:rsidRPr="007511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přípravě zadávacích dokumentací využity eskalační procedury a</w:t>
            </w:r>
            <w:r w:rsidR="003C06F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 </w:t>
            </w:r>
            <w:r w:rsidRPr="007511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následně využity personální kapacity Digitální informační agentury, případně dalších subjektů a</w:t>
            </w:r>
            <w:r w:rsidR="003C06F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 </w:t>
            </w:r>
            <w:r w:rsidRPr="007511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příp. dalších kompetenčních center v</w:t>
            </w:r>
            <w:r w:rsidR="003C06F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 </w:t>
            </w:r>
            <w:r w:rsidRPr="007511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závislosti na potřebných odbornostech.</w:t>
            </w:r>
          </w:p>
          <w:p w14:paraId="6F87235B" w14:textId="71417FEA" w:rsidR="00081252" w:rsidRPr="00751110" w:rsidRDefault="00081252">
            <w:pPr>
              <w:pStyle w:val="K-TextInfo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75111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Zahlcení OHA při vydávání stanovisek a</w:t>
            </w:r>
            <w:r w:rsidR="003C06FA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 </w:t>
            </w:r>
            <w:r w:rsidRPr="0075111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 xml:space="preserve">s tím související delší vydávání souhlasných stanovisek </w:t>
            </w:r>
          </w:p>
          <w:p w14:paraId="2E64444F" w14:textId="5C109485" w:rsidR="00081252" w:rsidRPr="00751110" w:rsidRDefault="00081252" w:rsidP="00081252">
            <w:pPr>
              <w:pStyle w:val="K-TextInfo"/>
              <w:numPr>
                <w:ilvl w:val="0"/>
                <w:numId w:val="17"/>
              </w:num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511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Pro eliminaci rizika budou při hrozícím zpoždění v</w:t>
            </w:r>
            <w:r w:rsidR="003C06F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 </w:t>
            </w:r>
            <w:r w:rsidRPr="007511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přípravě vydávání stanovisek OHA budou využity eskalační procedury na Digitální informační agenturu a</w:t>
            </w:r>
            <w:r w:rsidR="003C06F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 </w:t>
            </w:r>
            <w:r w:rsidRPr="007511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Radu vlády pro informační společnost s</w:t>
            </w:r>
            <w:r w:rsidR="003C06F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 </w:t>
            </w:r>
            <w:r w:rsidRPr="007511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požadavkem na doplnění kapacit OHA.</w:t>
            </w:r>
          </w:p>
          <w:p w14:paraId="579D540E" w14:textId="77777777" w:rsidR="00081252" w:rsidRPr="00751110" w:rsidRDefault="00081252">
            <w:pPr>
              <w:pStyle w:val="K-TextInfo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75111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Nekvalitní architektonické návrhy, které si vyžádají opakované projednávání</w:t>
            </w:r>
          </w:p>
          <w:p w14:paraId="49AE7042" w14:textId="4A4EFA06" w:rsidR="00081252" w:rsidRPr="00751110" w:rsidRDefault="00081252" w:rsidP="00081252">
            <w:pPr>
              <w:pStyle w:val="K-TextInfo"/>
              <w:numPr>
                <w:ilvl w:val="0"/>
                <w:numId w:val="17"/>
              </w:num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511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Pro eliminaci rizika budou využívány konzultace architektonických návrhů s</w:t>
            </w:r>
            <w:r w:rsidR="003C06F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 </w:t>
            </w:r>
            <w:r w:rsidRPr="007511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pracovníky kompetenčních center </w:t>
            </w:r>
          </w:p>
          <w:p w14:paraId="44155F48" w14:textId="27E6DE0F" w:rsidR="00081252" w:rsidRPr="00751110" w:rsidRDefault="00081252">
            <w:pPr>
              <w:pStyle w:val="K-TextInfo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75111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Posun v</w:t>
            </w:r>
            <w:r w:rsidR="003C06FA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 </w:t>
            </w:r>
            <w:r w:rsidRPr="0075111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 xml:space="preserve">realizaci zadávacích řízení vč. rozhodování ÚOHS </w:t>
            </w:r>
          </w:p>
          <w:p w14:paraId="02F515B1" w14:textId="77777777" w:rsidR="00081252" w:rsidRPr="00751110" w:rsidRDefault="00081252" w:rsidP="00081252">
            <w:pPr>
              <w:pStyle w:val="K-TextInfo"/>
              <w:numPr>
                <w:ilvl w:val="0"/>
                <w:numId w:val="17"/>
              </w:num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511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Riziko je nutné akceptovat. </w:t>
            </w:r>
          </w:p>
          <w:p w14:paraId="0F4DD430" w14:textId="3B566122" w:rsidR="00081252" w:rsidRPr="00751110" w:rsidRDefault="00081252">
            <w:pPr>
              <w:pStyle w:val="K-TextInfo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75111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Zpoždění v</w:t>
            </w:r>
            <w:r w:rsidR="003C06FA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 </w:t>
            </w:r>
            <w:r w:rsidRPr="0075111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implementaci jednotlivých systémů a</w:t>
            </w:r>
            <w:r w:rsidR="003C06FA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 </w:t>
            </w:r>
            <w:r w:rsidRPr="00751110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služeb</w:t>
            </w:r>
            <w:r w:rsidRPr="00751110">
              <w:rPr>
                <w:rFonts w:asciiTheme="minorHAnsi" w:hAnsiTheme="minorHAnsi" w:cstheme="minorHAnsi"/>
                <w:i/>
                <w:sz w:val="22"/>
                <w:szCs w:val="22"/>
              </w:rPr>
              <w:t>.</w:t>
            </w:r>
          </w:p>
          <w:p w14:paraId="37D1E159" w14:textId="55FFBBF4" w:rsidR="00081252" w:rsidRPr="00751110" w:rsidRDefault="00081252" w:rsidP="00081252">
            <w:pPr>
              <w:pStyle w:val="K-TextInfo"/>
              <w:numPr>
                <w:ilvl w:val="0"/>
                <w:numId w:val="17"/>
              </w:numPr>
              <w:spacing w:before="60" w:after="6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7511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 eliminaci rizika slouží vícestupňový dohled nad realizací jednotlivých projektů a</w:t>
            </w:r>
            <w:r w:rsidR="003C06F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 </w:t>
            </w:r>
            <w:r w:rsidRPr="007511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současně personální kapacity příjemců, příp. dalších </w:t>
            </w:r>
            <w:r w:rsidRPr="007511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kompetenčních center, která budou moci poskytnout specialisty pro řešení situace.</w:t>
            </w:r>
          </w:p>
          <w:p w14:paraId="09BEEEC0" w14:textId="77777777" w:rsidR="00081252" w:rsidRPr="00751110" w:rsidRDefault="00081252">
            <w:pPr>
              <w:pStyle w:val="K-TextInfo"/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</w:tr>
      <w:tr w:rsidR="00081252" w:rsidRPr="00751110" w14:paraId="6B0CE059" w14:textId="77777777" w:rsidTr="0FB7121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0F020" w14:textId="2CE3701C" w:rsidR="00081252" w:rsidRPr="00751110" w:rsidRDefault="00081252">
            <w:pPr>
              <w:pStyle w:val="K-Text"/>
              <w:spacing w:after="0" w:line="240" w:lineRule="auto"/>
              <w:jc w:val="lef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751110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Cílové skupiny populace a</w:t>
            </w:r>
            <w:r w:rsidR="003C06FA">
              <w:rPr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  <w:r w:rsidRPr="00751110">
              <w:rPr>
                <w:rFonts w:asciiTheme="minorHAnsi" w:eastAsiaTheme="minorEastAsia" w:hAnsiTheme="minorHAnsi" w:cstheme="minorHAnsi"/>
                <w:sz w:val="22"/>
                <w:szCs w:val="22"/>
              </w:rPr>
              <w:t>ekonomické subjekty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8D1DF" w14:textId="36DC64EE" w:rsidR="00081252" w:rsidRPr="00751110" w:rsidRDefault="00081252">
            <w:pPr>
              <w:pStyle w:val="K-TextInfo"/>
              <w:rPr>
                <w:rFonts w:asciiTheme="minorHAnsi" w:hAnsiTheme="minorHAnsi" w:cstheme="minorHAnsi"/>
                <w:sz w:val="22"/>
                <w:szCs w:val="22"/>
              </w:rPr>
            </w:pPr>
            <w:r w:rsidRPr="007511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Primární cílovou skupinou jsou hlavní nositelé projektů, neboť se jedná především o</w:t>
            </w:r>
            <w:r w:rsidR="003C06F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 </w:t>
            </w:r>
            <w:r w:rsidRPr="007511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systémy zaměřené na digitalizaci vnitřního chodu úřadu, příp. výkonu agend vykonávaných v</w:t>
            </w:r>
            <w:r w:rsidR="003C06F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 </w:t>
            </w:r>
            <w:r w:rsidRPr="007511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rámci přenesené působnosti. </w:t>
            </w:r>
          </w:p>
          <w:p w14:paraId="4D580E1C" w14:textId="77777777" w:rsidR="00081252" w:rsidRPr="00751110" w:rsidRDefault="00081252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Theme="minorEastAsia" w:cstheme="minorHAnsi"/>
                <w:color w:val="000000" w:themeColor="text1"/>
              </w:rPr>
            </w:pPr>
            <w:r w:rsidRPr="00751110">
              <w:rPr>
                <w:rFonts w:eastAsiaTheme="minorEastAsia" w:cstheme="minorHAnsi"/>
              </w:rPr>
              <w:t>Sekundární cílovou skupinou je široká veřejnost využívající služby hlavních nositelů projektů.</w:t>
            </w:r>
          </w:p>
          <w:p w14:paraId="4622278F" w14:textId="77777777" w:rsidR="00081252" w:rsidRPr="00751110" w:rsidRDefault="00081252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Theme="minorEastAsia" w:cstheme="minorHAnsi"/>
              </w:rPr>
            </w:pPr>
          </w:p>
          <w:p w14:paraId="275460A8" w14:textId="37634355" w:rsidR="00081252" w:rsidRPr="00751110" w:rsidRDefault="7C83C49A" w:rsidP="7C83C49A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eastAsiaTheme="minorEastAsia"/>
              </w:rPr>
            </w:pPr>
            <w:r w:rsidRPr="0FB71215">
              <w:rPr>
                <w:rFonts w:eastAsia="Arial"/>
              </w:rPr>
              <w:t>Realizace nových projektů bude probíhat prostřednictvím otevřených výzev, případně předem definovaných projektů směřujících do oblastí veřejné správy, IZS, zdravotnictví a</w:t>
            </w:r>
            <w:r w:rsidR="003C06FA">
              <w:rPr>
                <w:rFonts w:eastAsia="Arial"/>
              </w:rPr>
              <w:t> </w:t>
            </w:r>
            <w:r w:rsidRPr="0FB71215">
              <w:rPr>
                <w:rFonts w:eastAsia="Arial"/>
              </w:rPr>
              <w:t>dopravy. Disponibilní finanční alokace, pokud nebude k</w:t>
            </w:r>
            <w:r w:rsidR="003C06FA">
              <w:rPr>
                <w:rFonts w:eastAsia="Arial"/>
              </w:rPr>
              <w:t> </w:t>
            </w:r>
            <w:r w:rsidRPr="0FB71215">
              <w:rPr>
                <w:rFonts w:eastAsia="Arial"/>
              </w:rPr>
              <w:t xml:space="preserve">dispozici celá částka </w:t>
            </w:r>
            <w:r w:rsidR="6615CEB0" w:rsidRPr="0FB71215">
              <w:rPr>
                <w:rFonts w:eastAsia="Arial"/>
              </w:rPr>
              <w:t>6</w:t>
            </w:r>
            <w:r w:rsidRPr="0FB71215">
              <w:rPr>
                <w:rFonts w:eastAsia="Arial"/>
              </w:rPr>
              <w:t>,</w:t>
            </w:r>
            <w:r w:rsidR="0F568E0C" w:rsidRPr="0FB71215">
              <w:rPr>
                <w:rFonts w:eastAsia="Arial"/>
              </w:rPr>
              <w:t>6</w:t>
            </w:r>
            <w:r w:rsidRPr="0FB71215">
              <w:rPr>
                <w:rFonts w:eastAsia="Arial"/>
              </w:rPr>
              <w:t xml:space="preserve"> mld. Kč, bude rozdělena poměrově s</w:t>
            </w:r>
            <w:r w:rsidR="003C06FA">
              <w:rPr>
                <w:rFonts w:eastAsia="Arial"/>
              </w:rPr>
              <w:t> </w:t>
            </w:r>
            <w:r w:rsidRPr="0FB71215">
              <w:rPr>
                <w:rFonts w:eastAsia="Arial"/>
              </w:rPr>
              <w:t>důrazem na oblast veřejné správy, přičemž poměr se může měnit na základě aktuální potřeby v</w:t>
            </w:r>
            <w:r w:rsidR="003C06FA">
              <w:rPr>
                <w:rFonts w:eastAsia="Arial"/>
              </w:rPr>
              <w:t> </w:t>
            </w:r>
            <w:r w:rsidRPr="0FB71215">
              <w:rPr>
                <w:rFonts w:eastAsia="Arial"/>
              </w:rPr>
              <w:t>oblasti kybernetických hrozeb.</w:t>
            </w:r>
          </w:p>
        </w:tc>
      </w:tr>
      <w:tr w:rsidR="00081252" w:rsidRPr="00751110" w14:paraId="20AC9430" w14:textId="77777777" w:rsidTr="0FB7121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7B5EF" w14:textId="7F725C4B" w:rsidR="00081252" w:rsidRPr="00751110" w:rsidRDefault="00081252">
            <w:pPr>
              <w:pStyle w:val="K-Text"/>
              <w:spacing w:after="0" w:line="240" w:lineRule="auto"/>
              <w:jc w:val="lef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751110">
              <w:rPr>
                <w:rFonts w:asciiTheme="minorHAnsi" w:eastAsiaTheme="minorEastAsia" w:hAnsiTheme="minorHAnsi" w:cstheme="minorHAnsi"/>
                <w:sz w:val="22"/>
                <w:szCs w:val="22"/>
              </w:rPr>
              <w:t>Souhrnné náklady realizace financované z</w:t>
            </w:r>
            <w:r w:rsidR="003C06FA">
              <w:rPr>
                <w:rFonts w:asciiTheme="minorHAnsi" w:eastAsiaTheme="minorEastAsia" w:hAnsiTheme="minorHAnsi" w:cstheme="minorHAnsi"/>
                <w:sz w:val="22"/>
                <w:szCs w:val="22"/>
              </w:rPr>
              <w:t> </w:t>
            </w:r>
            <w:r w:rsidRPr="00751110">
              <w:rPr>
                <w:rFonts w:asciiTheme="minorHAnsi" w:eastAsiaTheme="minorEastAsia" w:hAnsiTheme="minorHAnsi" w:cstheme="minorHAnsi"/>
                <w:sz w:val="22"/>
                <w:szCs w:val="22"/>
              </w:rPr>
              <w:t>RRF za celé období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B788E" w14:textId="6C6362AD" w:rsidR="00081252" w:rsidRPr="00751110" w:rsidRDefault="00081252" w:rsidP="0FB71215">
            <w:pPr>
              <w:pStyle w:val="K-TextInfo"/>
              <w:spacing w:before="60" w:after="60"/>
              <w:rPr>
                <w:rFonts w:asciiTheme="minorHAnsi" w:hAnsiTheme="minorHAnsi" w:cstheme="minorBidi"/>
                <w:sz w:val="22"/>
                <w:szCs w:val="22"/>
              </w:rPr>
            </w:pPr>
            <w:r w:rsidRPr="0FB71215">
              <w:rPr>
                <w:rFonts w:asciiTheme="minorHAnsi" w:hAnsiTheme="minorHAnsi" w:cstheme="minorBidi"/>
                <w:i/>
                <w:iCs/>
                <w:color w:val="auto"/>
                <w:sz w:val="22"/>
                <w:szCs w:val="22"/>
              </w:rPr>
              <w:t xml:space="preserve"> </w:t>
            </w:r>
            <w:r w:rsidR="75478284" w:rsidRPr="0FB71215">
              <w:rPr>
                <w:rFonts w:asciiTheme="minorHAnsi" w:hAnsiTheme="minorHAnsi" w:cstheme="minorBidi"/>
                <w:i/>
                <w:iCs/>
                <w:color w:val="auto"/>
                <w:sz w:val="22"/>
                <w:szCs w:val="22"/>
              </w:rPr>
              <w:t>6</w:t>
            </w:r>
            <w:r w:rsidR="00DA4544" w:rsidRPr="0FB71215">
              <w:rPr>
                <w:rFonts w:asciiTheme="minorHAnsi" w:hAnsiTheme="minorHAnsi" w:cstheme="minorBidi"/>
                <w:i/>
                <w:iCs/>
                <w:color w:val="auto"/>
                <w:sz w:val="22"/>
                <w:szCs w:val="22"/>
              </w:rPr>
              <w:t>,</w:t>
            </w:r>
            <w:r w:rsidR="79E73BF6" w:rsidRPr="0FB71215">
              <w:rPr>
                <w:rFonts w:asciiTheme="minorHAnsi" w:hAnsiTheme="minorHAnsi" w:cstheme="minorBidi"/>
                <w:i/>
                <w:iCs/>
                <w:color w:val="auto"/>
                <w:sz w:val="22"/>
                <w:szCs w:val="22"/>
              </w:rPr>
              <w:t>6</w:t>
            </w:r>
            <w:r w:rsidR="00DA4544" w:rsidRPr="0FB71215">
              <w:rPr>
                <w:rFonts w:asciiTheme="minorHAnsi" w:hAnsiTheme="minorHAnsi" w:cstheme="minorBidi"/>
                <w:i/>
                <w:iCs/>
                <w:color w:val="auto"/>
                <w:sz w:val="22"/>
                <w:szCs w:val="22"/>
              </w:rPr>
              <w:t xml:space="preserve"> </w:t>
            </w:r>
            <w:r w:rsidRPr="0FB71215">
              <w:rPr>
                <w:rFonts w:asciiTheme="minorHAnsi" w:hAnsiTheme="minorHAnsi" w:cstheme="minorBidi"/>
                <w:i/>
                <w:iCs/>
                <w:color w:val="auto"/>
                <w:sz w:val="22"/>
                <w:szCs w:val="22"/>
              </w:rPr>
              <w:t xml:space="preserve">mld. Kč </w:t>
            </w:r>
          </w:p>
        </w:tc>
      </w:tr>
      <w:tr w:rsidR="00081252" w:rsidRPr="00751110" w14:paraId="71B766DD" w14:textId="77777777" w:rsidTr="0FB7121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DBC8C" w14:textId="77777777" w:rsidR="00081252" w:rsidRPr="00751110" w:rsidRDefault="00081252">
            <w:pPr>
              <w:pStyle w:val="K-Text"/>
              <w:spacing w:after="0" w:line="240" w:lineRule="auto"/>
              <w:jc w:val="lef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751110">
              <w:rPr>
                <w:rFonts w:asciiTheme="minorHAnsi" w:eastAsiaTheme="minorEastAsia" w:hAnsiTheme="minorHAnsi" w:cstheme="minorHAnsi"/>
                <w:sz w:val="22"/>
                <w:szCs w:val="22"/>
              </w:rPr>
              <w:t>Dodržování pravidel státní podpory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708CB" w14:textId="77777777" w:rsidR="00081252" w:rsidRPr="00751110" w:rsidRDefault="00081252">
            <w:pPr>
              <w:pStyle w:val="K-TextInfo"/>
              <w:rPr>
                <w:rFonts w:asciiTheme="minorHAnsi" w:hAnsiTheme="minorHAnsi" w:cstheme="minorHAnsi"/>
                <w:sz w:val="22"/>
                <w:szCs w:val="22"/>
              </w:rPr>
            </w:pPr>
            <w:r w:rsidRPr="0075111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Investice nezakládá veřejnou podporu. </w:t>
            </w:r>
          </w:p>
          <w:p w14:paraId="74194DF4" w14:textId="740E4EAC" w:rsidR="00081252" w:rsidRPr="00751110" w:rsidRDefault="00081252">
            <w:pPr>
              <w:spacing w:before="60" w:after="60" w:line="240" w:lineRule="auto"/>
              <w:jc w:val="both"/>
              <w:rPr>
                <w:rFonts w:eastAsiaTheme="minorEastAsia" w:cstheme="minorHAnsi"/>
                <w:color w:val="000000" w:themeColor="text1"/>
              </w:rPr>
            </w:pPr>
            <w:r w:rsidRPr="00751110">
              <w:rPr>
                <w:rFonts w:eastAsiaTheme="minorEastAsia" w:cstheme="minorHAnsi"/>
              </w:rPr>
              <w:t>Pro vyloučení možnosti vzniku dvojího financování se uplatňuje pravidlo, kdy úspěšný žadatel o</w:t>
            </w:r>
            <w:r w:rsidR="003C06FA">
              <w:rPr>
                <w:rFonts w:eastAsiaTheme="minorEastAsia" w:cstheme="minorHAnsi"/>
              </w:rPr>
              <w:t> </w:t>
            </w:r>
            <w:r w:rsidRPr="00751110">
              <w:rPr>
                <w:rFonts w:eastAsiaTheme="minorEastAsia" w:cstheme="minorHAnsi"/>
              </w:rPr>
              <w:t>finanční podporu v</w:t>
            </w:r>
            <w:r w:rsidR="003C06FA">
              <w:rPr>
                <w:rFonts w:eastAsiaTheme="minorEastAsia" w:cstheme="minorHAnsi"/>
              </w:rPr>
              <w:t> </w:t>
            </w:r>
            <w:r w:rsidRPr="00751110">
              <w:rPr>
                <w:rFonts w:eastAsiaTheme="minorEastAsia" w:cstheme="minorHAnsi"/>
              </w:rPr>
              <w:t>rámci IROP + nemůže současně žádat o</w:t>
            </w:r>
            <w:r w:rsidR="003C06FA">
              <w:rPr>
                <w:rFonts w:eastAsiaTheme="minorEastAsia" w:cstheme="minorHAnsi"/>
              </w:rPr>
              <w:t> </w:t>
            </w:r>
            <w:r w:rsidRPr="00751110">
              <w:rPr>
                <w:rFonts w:eastAsiaTheme="minorEastAsia" w:cstheme="minorHAnsi"/>
              </w:rPr>
              <w:t>finanční podporu v</w:t>
            </w:r>
            <w:r w:rsidR="003C06FA">
              <w:rPr>
                <w:rFonts w:eastAsiaTheme="minorEastAsia" w:cstheme="minorHAnsi"/>
              </w:rPr>
              <w:t> </w:t>
            </w:r>
            <w:r w:rsidRPr="00751110">
              <w:rPr>
                <w:rFonts w:eastAsiaTheme="minorEastAsia" w:cstheme="minorHAnsi"/>
              </w:rPr>
              <w:t xml:space="preserve">rámci výzev NPO. </w:t>
            </w:r>
          </w:p>
          <w:p w14:paraId="09D06D4D" w14:textId="77777777" w:rsidR="00081252" w:rsidRPr="00751110" w:rsidRDefault="00081252">
            <w:pPr>
              <w:spacing w:before="60" w:after="60" w:line="240" w:lineRule="auto"/>
              <w:jc w:val="both"/>
              <w:rPr>
                <w:rFonts w:eastAsiaTheme="minorEastAsia" w:cstheme="minorHAnsi"/>
              </w:rPr>
            </w:pPr>
          </w:p>
          <w:p w14:paraId="1BFDC691" w14:textId="7A81B825" w:rsidR="00081252" w:rsidRPr="00751110" w:rsidRDefault="00081252">
            <w:pPr>
              <w:spacing w:before="60" w:after="60" w:line="240" w:lineRule="auto"/>
              <w:jc w:val="both"/>
              <w:rPr>
                <w:rFonts w:eastAsiaTheme="minorEastAsia" w:cstheme="minorHAnsi"/>
                <w:iCs/>
              </w:rPr>
            </w:pPr>
            <w:r w:rsidRPr="00751110">
              <w:rPr>
                <w:rFonts w:eastAsiaTheme="minorEastAsia" w:cstheme="minorHAnsi"/>
              </w:rPr>
              <w:t>Jednotlivé projekty budou realizovány v</w:t>
            </w:r>
            <w:r w:rsidR="003C06FA">
              <w:rPr>
                <w:rFonts w:eastAsiaTheme="minorEastAsia" w:cstheme="minorHAnsi"/>
              </w:rPr>
              <w:t> </w:t>
            </w:r>
            <w:r w:rsidRPr="00751110">
              <w:rPr>
                <w:rFonts w:eastAsiaTheme="minorEastAsia" w:cstheme="minorHAnsi"/>
              </w:rPr>
              <w:t>souladu s</w:t>
            </w:r>
            <w:r w:rsidR="003C06FA">
              <w:rPr>
                <w:rFonts w:eastAsiaTheme="minorEastAsia" w:cstheme="minorHAnsi"/>
              </w:rPr>
              <w:t> </w:t>
            </w:r>
            <w:r w:rsidRPr="00751110">
              <w:rPr>
                <w:rFonts w:eastAsiaTheme="minorEastAsia" w:cstheme="minorHAnsi"/>
              </w:rPr>
              <w:t>pravidly pro zadávání veřejných zakázek (otevřená výběrová řízení) a</w:t>
            </w:r>
            <w:r w:rsidR="003C06FA">
              <w:rPr>
                <w:rFonts w:eastAsiaTheme="minorEastAsia" w:cstheme="minorHAnsi"/>
              </w:rPr>
              <w:t> </w:t>
            </w:r>
            <w:r w:rsidRPr="00751110">
              <w:rPr>
                <w:rFonts w:eastAsiaTheme="minorEastAsia" w:cstheme="minorHAnsi"/>
              </w:rPr>
              <w:t>zásadami řádného finančního řízení. Tím bude zajištěno, že stát bude za pořizované služby platit tržní ceny, nebude tedy poskytnuta žádná státní podpora. Zároveň realizace projektů přispívá k</w:t>
            </w:r>
            <w:r w:rsidR="003C06FA">
              <w:rPr>
                <w:rFonts w:eastAsiaTheme="minorEastAsia" w:cstheme="minorHAnsi"/>
              </w:rPr>
              <w:t> </w:t>
            </w:r>
            <w:r w:rsidRPr="00751110">
              <w:rPr>
                <w:rFonts w:eastAsiaTheme="minorEastAsia" w:cstheme="minorHAnsi"/>
              </w:rPr>
              <w:t>bezpečnému výkonu veřejné moci. Státní podporu lze tedy považovat za vyloučenou dle GT A/a/13.</w:t>
            </w:r>
          </w:p>
        </w:tc>
      </w:tr>
      <w:tr w:rsidR="00081252" w:rsidRPr="00751110" w14:paraId="6E892D3A" w14:textId="77777777" w:rsidTr="0FB71215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22359" w14:textId="77777777" w:rsidR="00081252" w:rsidRPr="00751110" w:rsidRDefault="00081252">
            <w:pPr>
              <w:pStyle w:val="K-Text"/>
              <w:spacing w:after="0" w:line="240" w:lineRule="auto"/>
              <w:jc w:val="lef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751110">
              <w:rPr>
                <w:rFonts w:asciiTheme="minorHAnsi" w:eastAsiaTheme="minorEastAsia" w:hAnsiTheme="minorHAnsi" w:cstheme="minorHAnsi"/>
                <w:sz w:val="22"/>
                <w:szCs w:val="22"/>
              </w:rPr>
              <w:t>Uveďte dobu implementace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2D8F0" w14:textId="77777777" w:rsidR="00081252" w:rsidRPr="00751110" w:rsidRDefault="00081252">
            <w:pPr>
              <w:pStyle w:val="K-TextInfo"/>
              <w:spacing w:before="60"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751110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Q3 2023 – Q4 2025 </w:t>
            </w:r>
          </w:p>
        </w:tc>
      </w:tr>
    </w:tbl>
    <w:p w14:paraId="1F98F332" w14:textId="6F0D1910" w:rsidR="00081252" w:rsidRPr="003C06FA" w:rsidRDefault="00081252" w:rsidP="00081252">
      <w:pPr>
        <w:pStyle w:val="K-Nadpis1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3C06FA">
        <w:rPr>
          <w:rFonts w:asciiTheme="minorHAnsi" w:eastAsia="Calibri" w:hAnsiTheme="minorHAnsi" w:cstheme="minorHAnsi"/>
          <w:sz w:val="22"/>
          <w:szCs w:val="22"/>
        </w:rPr>
        <w:t>4. Strategická autonomie a</w:t>
      </w:r>
      <w:r w:rsidR="003C06FA">
        <w:rPr>
          <w:rFonts w:asciiTheme="minorHAnsi" w:eastAsia="Calibri" w:hAnsiTheme="minorHAnsi" w:cstheme="minorHAnsi"/>
          <w:sz w:val="22"/>
          <w:szCs w:val="22"/>
        </w:rPr>
        <w:t> </w:t>
      </w:r>
      <w:r w:rsidRPr="003C06FA">
        <w:rPr>
          <w:rFonts w:asciiTheme="minorHAnsi" w:eastAsia="Calibri" w:hAnsiTheme="minorHAnsi" w:cstheme="minorHAnsi"/>
          <w:sz w:val="22"/>
          <w:szCs w:val="22"/>
        </w:rPr>
        <w:t>bezpečnostní problematika</w:t>
      </w:r>
    </w:p>
    <w:p w14:paraId="49B69902" w14:textId="3C48B9F4" w:rsidR="00081252" w:rsidRPr="003C06FA" w:rsidRDefault="00081252" w:rsidP="00081252">
      <w:pPr>
        <w:jc w:val="both"/>
        <w:rPr>
          <w:rFonts w:eastAsiaTheme="minorEastAsia" w:cstheme="minorHAnsi"/>
        </w:rPr>
      </w:pPr>
      <w:r w:rsidRPr="003C06FA">
        <w:rPr>
          <w:rFonts w:eastAsiaTheme="minorEastAsia" w:cstheme="minorHAnsi"/>
        </w:rPr>
        <w:t>Komponenta jako celek je zcela v</w:t>
      </w:r>
      <w:r w:rsidR="003C06FA">
        <w:rPr>
          <w:rFonts w:eastAsiaTheme="minorEastAsia" w:cstheme="minorHAnsi"/>
        </w:rPr>
        <w:t> </w:t>
      </w:r>
      <w:r w:rsidRPr="003C06FA">
        <w:rPr>
          <w:rFonts w:eastAsiaTheme="minorEastAsia" w:cstheme="minorHAnsi"/>
        </w:rPr>
        <w:t>souladu s</w:t>
      </w:r>
      <w:r w:rsidR="003C06FA">
        <w:rPr>
          <w:rFonts w:eastAsiaTheme="minorEastAsia" w:cstheme="minorHAnsi"/>
        </w:rPr>
        <w:t> </w:t>
      </w:r>
      <w:r w:rsidRPr="003C06FA">
        <w:rPr>
          <w:rFonts w:eastAsiaTheme="minorEastAsia" w:cstheme="minorHAnsi"/>
        </w:rPr>
        <w:t>aktuálními opatřeními a</w:t>
      </w:r>
      <w:r w:rsidR="003C06FA">
        <w:rPr>
          <w:rFonts w:eastAsiaTheme="minorEastAsia" w:cstheme="minorHAnsi"/>
        </w:rPr>
        <w:t> </w:t>
      </w:r>
      <w:r w:rsidRPr="003C06FA">
        <w:rPr>
          <w:rFonts w:eastAsiaTheme="minorEastAsia" w:cstheme="minorHAnsi"/>
        </w:rPr>
        <w:t>trendy v</w:t>
      </w:r>
      <w:r w:rsidR="003C06FA">
        <w:rPr>
          <w:rFonts w:eastAsiaTheme="minorEastAsia" w:cstheme="minorHAnsi"/>
        </w:rPr>
        <w:t> </w:t>
      </w:r>
      <w:r w:rsidRPr="003C06FA">
        <w:rPr>
          <w:rFonts w:eastAsiaTheme="minorEastAsia" w:cstheme="minorHAnsi"/>
        </w:rPr>
        <w:t>oblasti kybernetické bezpečnosti a</w:t>
      </w:r>
      <w:r w:rsidR="003C06FA">
        <w:rPr>
          <w:rFonts w:eastAsiaTheme="minorEastAsia" w:cstheme="minorHAnsi"/>
        </w:rPr>
        <w:t> </w:t>
      </w:r>
      <w:r w:rsidRPr="003C06FA">
        <w:rPr>
          <w:rFonts w:eastAsiaTheme="minorEastAsia" w:cstheme="minorHAnsi"/>
        </w:rPr>
        <w:t>mnohé z</w:t>
      </w:r>
      <w:r w:rsidR="003C06FA">
        <w:rPr>
          <w:rFonts w:eastAsiaTheme="minorEastAsia" w:cstheme="minorHAnsi"/>
        </w:rPr>
        <w:t> </w:t>
      </w:r>
      <w:r w:rsidRPr="003C06FA">
        <w:rPr>
          <w:rFonts w:eastAsiaTheme="minorEastAsia" w:cstheme="minorHAnsi"/>
        </w:rPr>
        <w:t>nich rozvíjí a</w:t>
      </w:r>
      <w:r w:rsidR="003C06FA">
        <w:rPr>
          <w:rFonts w:eastAsiaTheme="minorEastAsia" w:cstheme="minorHAnsi"/>
        </w:rPr>
        <w:t> </w:t>
      </w:r>
      <w:r w:rsidRPr="003C06FA">
        <w:rPr>
          <w:rFonts w:eastAsiaTheme="minorEastAsia" w:cstheme="minorHAnsi"/>
        </w:rPr>
        <w:t>implementuje. Vychází ze strategií:</w:t>
      </w:r>
    </w:p>
    <w:p w14:paraId="7D18C561" w14:textId="3074F1EB" w:rsidR="00081252" w:rsidRPr="003C06FA" w:rsidRDefault="00081252" w:rsidP="00081252">
      <w:pPr>
        <w:pStyle w:val="Odstavecseseznamem"/>
        <w:numPr>
          <w:ilvl w:val="0"/>
          <w:numId w:val="18"/>
        </w:numPr>
        <w:spacing w:before="60" w:after="60" w:line="240" w:lineRule="auto"/>
        <w:jc w:val="both"/>
        <w:rPr>
          <w:rFonts w:eastAsiaTheme="minorEastAsia" w:cstheme="minorHAnsi"/>
        </w:rPr>
      </w:pPr>
      <w:r w:rsidRPr="003C06FA">
        <w:rPr>
          <w:rFonts w:eastAsiaTheme="minorEastAsia" w:cstheme="minorHAnsi"/>
        </w:rPr>
        <w:t>Národní strategie kybernetické bezpečnosti na období 2021 – 202</w:t>
      </w:r>
      <w:r w:rsidR="000E1FBC" w:rsidRPr="003C06FA">
        <w:rPr>
          <w:rFonts w:eastAsiaTheme="minorEastAsia" w:cstheme="minorHAnsi"/>
        </w:rPr>
        <w:t>5</w:t>
      </w:r>
    </w:p>
    <w:p w14:paraId="04F10E7A" w14:textId="5AD9AD41" w:rsidR="00081252" w:rsidRPr="003C06FA" w:rsidRDefault="00081252" w:rsidP="00081252">
      <w:pPr>
        <w:pStyle w:val="K-Nadpis1"/>
        <w:rPr>
          <w:rFonts w:asciiTheme="minorHAnsi" w:hAnsiTheme="minorHAnsi" w:cstheme="minorHAnsi"/>
          <w:sz w:val="22"/>
          <w:szCs w:val="22"/>
        </w:rPr>
      </w:pPr>
      <w:r w:rsidRPr="003C06FA">
        <w:rPr>
          <w:rFonts w:asciiTheme="minorHAnsi" w:eastAsia="Calibri" w:hAnsiTheme="minorHAnsi" w:cstheme="minorHAnsi"/>
          <w:sz w:val="22"/>
          <w:szCs w:val="22"/>
        </w:rPr>
        <w:t>5. Přeshraniční a</w:t>
      </w:r>
      <w:r w:rsidR="003C06FA">
        <w:rPr>
          <w:rFonts w:asciiTheme="minorHAnsi" w:eastAsia="Calibri" w:hAnsiTheme="minorHAnsi" w:cstheme="minorHAnsi"/>
          <w:sz w:val="22"/>
          <w:szCs w:val="22"/>
        </w:rPr>
        <w:t> </w:t>
      </w:r>
      <w:r w:rsidRPr="003C06FA">
        <w:rPr>
          <w:rFonts w:asciiTheme="minorHAnsi" w:eastAsia="Calibri" w:hAnsiTheme="minorHAnsi" w:cstheme="minorHAnsi"/>
          <w:sz w:val="22"/>
          <w:szCs w:val="22"/>
        </w:rPr>
        <w:t xml:space="preserve">mezinárodní projekty </w:t>
      </w:r>
    </w:p>
    <w:p w14:paraId="2EC517DE" w14:textId="77777777" w:rsidR="00081252" w:rsidRPr="003C06FA" w:rsidRDefault="00081252" w:rsidP="00081252">
      <w:pPr>
        <w:spacing w:before="120" w:after="0" w:line="240" w:lineRule="auto"/>
        <w:rPr>
          <w:rFonts w:eastAsiaTheme="minorEastAsia" w:cstheme="minorHAnsi"/>
        </w:rPr>
      </w:pPr>
      <w:r w:rsidRPr="003C06FA">
        <w:rPr>
          <w:rFonts w:eastAsiaTheme="minorEastAsia" w:cstheme="minorHAnsi"/>
        </w:rPr>
        <w:t xml:space="preserve">Investice se týká zajištění podmínek pro umožnění přeshraniční spolupráce. </w:t>
      </w:r>
    </w:p>
    <w:p w14:paraId="5A31664E" w14:textId="77777777" w:rsidR="00081252" w:rsidRPr="003C06FA" w:rsidRDefault="00081252" w:rsidP="00081252">
      <w:pPr>
        <w:pStyle w:val="K-Nadpis1"/>
        <w:rPr>
          <w:rFonts w:asciiTheme="minorHAnsi" w:eastAsia="Calibri" w:hAnsiTheme="minorHAnsi" w:cstheme="minorHAnsi"/>
          <w:color w:val="000000" w:themeColor="text1"/>
          <w:sz w:val="22"/>
          <w:szCs w:val="22"/>
        </w:rPr>
      </w:pPr>
      <w:r w:rsidRPr="003C06FA">
        <w:rPr>
          <w:rFonts w:asciiTheme="minorHAnsi" w:eastAsiaTheme="minorEastAsia" w:hAnsiTheme="minorHAnsi" w:cstheme="minorHAnsi"/>
          <w:sz w:val="22"/>
          <w:szCs w:val="22"/>
        </w:rPr>
        <w:t xml:space="preserve">6. </w:t>
      </w:r>
      <w:r w:rsidRPr="003C06FA">
        <w:rPr>
          <w:rFonts w:asciiTheme="minorHAnsi" w:eastAsia="Calibri" w:hAnsiTheme="minorHAnsi" w:cstheme="minorHAnsi"/>
          <w:sz w:val="22"/>
          <w:szCs w:val="22"/>
        </w:rPr>
        <w:t>Zelený rozměr komponenty</w:t>
      </w:r>
    </w:p>
    <w:p w14:paraId="342EA331" w14:textId="77777777" w:rsidR="00081252" w:rsidRPr="003C06FA" w:rsidRDefault="00081252" w:rsidP="00081252">
      <w:pPr>
        <w:spacing w:before="120" w:after="240" w:line="240" w:lineRule="auto"/>
        <w:jc w:val="both"/>
        <w:rPr>
          <w:rFonts w:eastAsiaTheme="minorEastAsia" w:cstheme="minorHAnsi"/>
        </w:rPr>
      </w:pPr>
      <w:r w:rsidRPr="003C06FA">
        <w:rPr>
          <w:rFonts w:eastAsiaTheme="minorEastAsia" w:cstheme="minorHAnsi"/>
        </w:rPr>
        <w:t>Není relevantní</w:t>
      </w:r>
    </w:p>
    <w:p w14:paraId="7C375501" w14:textId="77777777" w:rsidR="00081252" w:rsidRPr="003C06FA" w:rsidRDefault="00081252" w:rsidP="00081252">
      <w:pPr>
        <w:pStyle w:val="K-Nadpis1"/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</w:pPr>
      <w:r w:rsidRPr="003C06FA">
        <w:rPr>
          <w:rFonts w:asciiTheme="minorHAnsi" w:eastAsiaTheme="minorEastAsia" w:hAnsiTheme="minorHAnsi" w:cstheme="minorHAnsi"/>
          <w:sz w:val="22"/>
          <w:szCs w:val="22"/>
        </w:rPr>
        <w:t xml:space="preserve">7. </w:t>
      </w:r>
      <w:r w:rsidRPr="003C06FA">
        <w:rPr>
          <w:rFonts w:asciiTheme="minorHAnsi" w:eastAsia="Calibri" w:hAnsiTheme="minorHAnsi" w:cstheme="minorHAnsi"/>
          <w:sz w:val="22"/>
          <w:szCs w:val="22"/>
        </w:rPr>
        <w:t xml:space="preserve">Digitální rozměr komponenty </w:t>
      </w:r>
      <w:r w:rsidRPr="003C06FA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</w:p>
    <w:p w14:paraId="71C50F21" w14:textId="6DEDEF4E" w:rsidR="00081252" w:rsidRPr="00751110" w:rsidRDefault="00081252" w:rsidP="00081252">
      <w:pPr>
        <w:spacing w:before="120" w:after="0" w:line="240" w:lineRule="auto"/>
        <w:rPr>
          <w:rFonts w:eastAsiaTheme="minorEastAsia" w:cstheme="minorHAnsi"/>
        </w:rPr>
      </w:pPr>
      <w:r w:rsidRPr="00751110">
        <w:rPr>
          <w:rFonts w:eastAsiaTheme="minorEastAsia" w:cstheme="minorHAnsi"/>
        </w:rPr>
        <w:t>Jedná se o</w:t>
      </w:r>
      <w:r w:rsidR="003C06FA">
        <w:rPr>
          <w:rFonts w:eastAsiaTheme="minorEastAsia" w:cstheme="minorHAnsi"/>
        </w:rPr>
        <w:t> </w:t>
      </w:r>
      <w:r w:rsidRPr="00751110">
        <w:rPr>
          <w:rFonts w:eastAsiaTheme="minorEastAsia" w:cstheme="minorHAnsi"/>
        </w:rPr>
        <w:t xml:space="preserve">investici se 100% digital „tagging“. </w:t>
      </w:r>
    </w:p>
    <w:p w14:paraId="2FE26A49" w14:textId="77777777" w:rsidR="00081252" w:rsidRPr="00751110" w:rsidRDefault="00081252" w:rsidP="00081252">
      <w:pPr>
        <w:pStyle w:val="K-Nadpis1"/>
        <w:rPr>
          <w:rFonts w:asciiTheme="minorHAnsi" w:eastAsiaTheme="minorEastAsia" w:hAnsiTheme="minorHAnsi" w:cstheme="minorHAnsi"/>
          <w:color w:val="000000" w:themeColor="text1"/>
          <w:sz w:val="22"/>
          <w:szCs w:val="22"/>
        </w:rPr>
      </w:pPr>
      <w:r w:rsidRPr="00751110">
        <w:rPr>
          <w:rFonts w:asciiTheme="minorHAnsi" w:eastAsiaTheme="minorEastAsia" w:hAnsiTheme="minorHAnsi" w:cstheme="minorHAnsi"/>
          <w:sz w:val="22"/>
          <w:szCs w:val="22"/>
        </w:rPr>
        <w:t>8.</w:t>
      </w:r>
      <w:r w:rsidRPr="00751110">
        <w:rPr>
          <w:rFonts w:asciiTheme="minorHAnsi" w:eastAsia="Calibri" w:hAnsiTheme="minorHAnsi" w:cstheme="minorHAnsi"/>
          <w:sz w:val="22"/>
          <w:szCs w:val="22"/>
        </w:rPr>
        <w:t xml:space="preserve"> Uplatnění zásady „významně nepoškozovat“</w:t>
      </w:r>
      <w:r w:rsidRPr="00751110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Pr="00751110">
        <w:rPr>
          <w:rFonts w:asciiTheme="minorHAnsi" w:eastAsiaTheme="minorEastAsia" w:hAnsiTheme="minorHAnsi" w:cstheme="minorHAnsi"/>
          <w:color w:val="2E74B5"/>
          <w:sz w:val="22"/>
          <w:szCs w:val="22"/>
        </w:rPr>
        <w:t xml:space="preserve"> </w:t>
      </w:r>
    </w:p>
    <w:p w14:paraId="1C1451C2" w14:textId="77777777" w:rsidR="00081252" w:rsidRPr="00751110" w:rsidRDefault="00081252" w:rsidP="00081252">
      <w:pPr>
        <w:rPr>
          <w:rFonts w:eastAsiaTheme="minorEastAsia" w:cstheme="minorHAnsi"/>
        </w:rPr>
      </w:pPr>
      <w:r w:rsidRPr="00751110">
        <w:rPr>
          <w:rFonts w:eastAsiaTheme="minorEastAsia" w:cstheme="minorHAnsi"/>
        </w:rPr>
        <w:t xml:space="preserve">Veškeré investice vzhledem ke svému charakteru princip „významně nepoškozovat“ naplňují. </w:t>
      </w:r>
    </w:p>
    <w:p w14:paraId="52912DC8" w14:textId="63E54043" w:rsidR="00081252" w:rsidRPr="00751110" w:rsidRDefault="00081252" w:rsidP="00081252">
      <w:pPr>
        <w:pStyle w:val="K-Nadpis1"/>
        <w:rPr>
          <w:rFonts w:asciiTheme="minorHAnsi" w:hAnsiTheme="minorHAnsi" w:cstheme="minorHAnsi"/>
          <w:sz w:val="22"/>
          <w:szCs w:val="22"/>
        </w:rPr>
      </w:pPr>
      <w:r w:rsidRPr="00751110">
        <w:rPr>
          <w:rFonts w:asciiTheme="minorHAnsi" w:hAnsiTheme="minorHAnsi" w:cstheme="minorHAnsi"/>
          <w:noProof/>
          <w:sz w:val="22"/>
          <w:szCs w:val="22"/>
        </w:rPr>
        <w:lastRenderedPageBreak/>
        <w:t>9. Milníky, cíle a</w:t>
      </w:r>
      <w:r w:rsidR="003C06FA">
        <w:rPr>
          <w:rFonts w:asciiTheme="minorHAnsi" w:hAnsiTheme="minorHAnsi" w:cstheme="minorHAnsi"/>
          <w:noProof/>
          <w:sz w:val="22"/>
          <w:szCs w:val="22"/>
        </w:rPr>
        <w:t> </w:t>
      </w:r>
      <w:r w:rsidRPr="00751110">
        <w:rPr>
          <w:rFonts w:asciiTheme="minorHAnsi" w:hAnsiTheme="minorHAnsi" w:cstheme="minorHAnsi"/>
          <w:noProof/>
          <w:sz w:val="22"/>
          <w:szCs w:val="22"/>
        </w:rPr>
        <w:t>harmonogram</w:t>
      </w:r>
    </w:p>
    <w:p w14:paraId="2696353D" w14:textId="4A9DC64D" w:rsidR="00081252" w:rsidRPr="00751110" w:rsidRDefault="00081252" w:rsidP="00081252">
      <w:pPr>
        <w:spacing w:before="120" w:after="0" w:line="240" w:lineRule="auto"/>
        <w:jc w:val="both"/>
        <w:rPr>
          <w:rFonts w:eastAsiaTheme="minorEastAsia" w:cstheme="minorHAnsi"/>
        </w:rPr>
      </w:pPr>
      <w:r w:rsidRPr="00751110">
        <w:rPr>
          <w:rFonts w:eastAsiaTheme="minorEastAsia" w:cstheme="minorHAnsi"/>
        </w:rPr>
        <w:t>Jako konečný cíl podpory byl zvolen model aktualizace milníků a</w:t>
      </w:r>
      <w:r w:rsidR="003C06FA">
        <w:rPr>
          <w:rFonts w:eastAsiaTheme="minorEastAsia" w:cstheme="minorHAnsi"/>
        </w:rPr>
        <w:t> </w:t>
      </w:r>
      <w:r w:rsidRPr="00751110">
        <w:rPr>
          <w:rFonts w:eastAsiaTheme="minorEastAsia" w:cstheme="minorHAnsi"/>
        </w:rPr>
        <w:t>cílů ve stávající investici „Kybernetická bezpečnost“, konkrétně:</w:t>
      </w:r>
    </w:p>
    <w:p w14:paraId="6B8527FE" w14:textId="77777777" w:rsidR="00081252" w:rsidRPr="00751110" w:rsidRDefault="00081252" w:rsidP="00081252">
      <w:pPr>
        <w:spacing w:before="120" w:after="0" w:line="240" w:lineRule="auto"/>
        <w:jc w:val="both"/>
        <w:rPr>
          <w:rFonts w:eastAsiaTheme="minorEastAsia" w:cstheme="minorHAnsi"/>
          <w:u w:val="single"/>
        </w:rPr>
      </w:pPr>
    </w:p>
    <w:tbl>
      <w:tblPr>
        <w:tblStyle w:val="Mkatabulky"/>
        <w:tblW w:w="5000" w:type="pct"/>
        <w:tblLook w:val="0400" w:firstRow="0" w:lastRow="0" w:firstColumn="0" w:lastColumn="0" w:noHBand="0" w:noVBand="1"/>
      </w:tblPr>
      <w:tblGrid>
        <w:gridCol w:w="1289"/>
        <w:gridCol w:w="1116"/>
        <w:gridCol w:w="1465"/>
        <w:gridCol w:w="1131"/>
        <w:gridCol w:w="440"/>
        <w:gridCol w:w="551"/>
        <w:gridCol w:w="476"/>
        <w:gridCol w:w="663"/>
        <w:gridCol w:w="2497"/>
      </w:tblGrid>
      <w:tr w:rsidR="003E482B" w:rsidRPr="00751110" w14:paraId="0B3311A9" w14:textId="77777777" w:rsidTr="06E4230C">
        <w:trPr>
          <w:trHeight w:val="309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70F5" w14:textId="77777777" w:rsidR="003E482B" w:rsidRPr="00751110" w:rsidRDefault="003E482B" w:rsidP="003E482B">
            <w:pPr>
              <w:spacing w:after="0" w:line="240" w:lineRule="auto"/>
              <w:jc w:val="both"/>
              <w:rPr>
                <w:rFonts w:cstheme="minorHAnsi"/>
                <w:noProof/>
              </w:rPr>
            </w:pPr>
            <w:r w:rsidRPr="00751110">
              <w:rPr>
                <w:rFonts w:cstheme="minorHAnsi"/>
                <w:noProof/>
              </w:rPr>
              <w:t>New Investment:</w:t>
            </w:r>
          </w:p>
          <w:p w14:paraId="3100D621" w14:textId="47F81E21" w:rsidR="003E482B" w:rsidRPr="00751110" w:rsidRDefault="6A2B0FCE" w:rsidP="06E4230C">
            <w:pPr>
              <w:spacing w:after="0" w:line="240" w:lineRule="auto"/>
              <w:jc w:val="both"/>
              <w:rPr>
                <w:rFonts w:ascii="Calibri" w:eastAsia="Calibri" w:hAnsi="Calibri" w:cs="Calibri"/>
                <w:noProof/>
              </w:rPr>
            </w:pPr>
            <w:r w:rsidRPr="06E4230C"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lang w:val="en-IE"/>
              </w:rPr>
              <w:t xml:space="preserve"> Top-up of cyber security investment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37873" w14:textId="6284D138" w:rsidR="003E482B" w:rsidRPr="00751110" w:rsidRDefault="003E482B" w:rsidP="00E90514">
            <w:pPr>
              <w:spacing w:after="0" w:line="240" w:lineRule="auto"/>
              <w:jc w:val="both"/>
              <w:rPr>
                <w:rFonts w:cstheme="minorHAnsi"/>
                <w:noProof/>
              </w:rPr>
            </w:pPr>
            <w:r>
              <w:rPr>
                <w:rFonts w:cstheme="minorHAnsi"/>
                <w:noProof/>
              </w:rPr>
              <w:t>Milestone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79B1" w14:textId="14A8A5FE" w:rsidR="003E482B" w:rsidRPr="00751110" w:rsidRDefault="2EDB49E9" w:rsidP="06E4230C">
            <w:pPr>
              <w:spacing w:after="0" w:line="240" w:lineRule="auto"/>
              <w:jc w:val="both"/>
              <w:rPr>
                <w:rFonts w:ascii="Calibri" w:eastAsia="Calibri" w:hAnsi="Calibri" w:cs="Calibri"/>
                <w:noProof/>
              </w:rPr>
            </w:pPr>
            <w:r w:rsidRPr="06E4230C">
              <w:rPr>
                <w:noProof/>
              </w:rPr>
              <w:t xml:space="preserve">Publication of </w:t>
            </w:r>
            <w:r w:rsidR="4D49C646" w:rsidRPr="06E4230C">
              <w:rPr>
                <w:noProof/>
              </w:rPr>
              <w:t>the</w:t>
            </w:r>
            <w:r w:rsidRPr="06E4230C">
              <w:rPr>
                <w:noProof/>
              </w:rPr>
              <w:t xml:space="preserve"> call relating to the strengthening of information systems according to Act No. 181/2014</w:t>
            </w:r>
            <w:r w:rsidR="7C9B3A02" w:rsidRPr="06E4230C">
              <w:rPr>
                <w:noProof/>
              </w:rPr>
              <w:t xml:space="preserve"> </w:t>
            </w:r>
            <w:r w:rsidR="7C9B3A02" w:rsidRPr="06E4230C">
              <w:rPr>
                <w:rFonts w:ascii="Calibri" w:eastAsia="Calibri" w:hAnsi="Calibri" w:cs="Calibri"/>
                <w:noProof/>
              </w:rPr>
              <w:t>Coll., on cyber secirity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951B1" w14:textId="5CE528F1" w:rsidR="003E482B" w:rsidRPr="00751110" w:rsidRDefault="178AD87C" w:rsidP="06E4230C">
            <w:pPr>
              <w:spacing w:after="0" w:line="240" w:lineRule="auto"/>
              <w:jc w:val="both"/>
              <w:rPr>
                <w:rFonts w:ascii="Calibri" w:eastAsia="Calibri" w:hAnsi="Calibri" w:cs="Calibri"/>
                <w:noProof/>
              </w:rPr>
            </w:pPr>
            <w:r w:rsidRPr="06E4230C">
              <w:rPr>
                <w:rFonts w:ascii="Calibri" w:eastAsia="Calibri" w:hAnsi="Calibri" w:cs="Calibri"/>
                <w:noProof/>
                <w:color w:val="004300"/>
                <w:sz w:val="18"/>
                <w:szCs w:val="18"/>
                <w:lang w:val="en-IE"/>
              </w:rPr>
              <w:t xml:space="preserve"> Publication of a</w:t>
            </w:r>
            <w:r w:rsidR="003C06FA">
              <w:rPr>
                <w:rFonts w:ascii="Calibri" w:eastAsia="Calibri" w:hAnsi="Calibri" w:cs="Calibri"/>
                <w:noProof/>
                <w:color w:val="004300"/>
                <w:sz w:val="18"/>
                <w:szCs w:val="18"/>
                <w:lang w:val="en-IE"/>
              </w:rPr>
              <w:t> </w:t>
            </w:r>
            <w:r w:rsidRPr="06E4230C">
              <w:rPr>
                <w:rFonts w:ascii="Calibri" w:eastAsia="Calibri" w:hAnsi="Calibri" w:cs="Calibri"/>
                <w:noProof/>
                <w:color w:val="004300"/>
                <w:sz w:val="18"/>
                <w:szCs w:val="18"/>
                <w:lang w:val="en-IE"/>
              </w:rPr>
              <w:t>call for projects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FDDB3" w14:textId="77777777" w:rsidR="003E482B" w:rsidRPr="00751110" w:rsidRDefault="003E482B">
            <w:pPr>
              <w:spacing w:after="0" w:line="240" w:lineRule="auto"/>
              <w:jc w:val="both"/>
              <w:rPr>
                <w:rFonts w:eastAsia="Times New Roman" w:cstheme="minorHAnsi"/>
                <w:noProof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F32C" w14:textId="77777777" w:rsidR="003E482B" w:rsidRPr="00751110" w:rsidRDefault="003E482B">
            <w:pPr>
              <w:spacing w:after="0" w:line="240" w:lineRule="auto"/>
              <w:jc w:val="both"/>
              <w:rPr>
                <w:rFonts w:eastAsia="Times New Roman" w:cstheme="minorHAnsi"/>
                <w:noProof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59BF9" w14:textId="4A27D424" w:rsidR="003E482B" w:rsidRPr="00751110" w:rsidRDefault="003E482B">
            <w:pPr>
              <w:spacing w:after="0" w:line="240" w:lineRule="auto"/>
              <w:jc w:val="both"/>
              <w:rPr>
                <w:rFonts w:eastAsia="Times New Roman" w:cstheme="minorHAnsi"/>
                <w:noProof/>
              </w:rPr>
            </w:pPr>
            <w:r>
              <w:rPr>
                <w:rFonts w:eastAsia="Times New Roman" w:cstheme="minorHAnsi"/>
                <w:noProof/>
              </w:rPr>
              <w:t>Q1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D9A1D" w14:textId="7185304F" w:rsidR="003E482B" w:rsidRPr="00751110" w:rsidRDefault="003E482B">
            <w:pPr>
              <w:spacing w:after="0" w:line="240" w:lineRule="auto"/>
              <w:jc w:val="both"/>
              <w:rPr>
                <w:rFonts w:eastAsia="Times New Roman" w:cstheme="minorHAnsi"/>
                <w:noProof/>
              </w:rPr>
            </w:pPr>
            <w:r>
              <w:rPr>
                <w:rFonts w:eastAsia="Times New Roman" w:cstheme="minorHAnsi"/>
                <w:noProof/>
              </w:rPr>
              <w:t>2024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31A3" w14:textId="368576B1" w:rsidR="003E482B" w:rsidRPr="00751110" w:rsidRDefault="2E914D70" w:rsidP="06E4230C">
            <w:pPr>
              <w:spacing w:after="0" w:line="240" w:lineRule="auto"/>
              <w:jc w:val="both"/>
              <w:rPr>
                <w:noProof/>
              </w:rPr>
            </w:pPr>
            <w:r w:rsidRPr="06E4230C">
              <w:rPr>
                <w:rFonts w:ascii="Calibri" w:eastAsia="Calibri" w:hAnsi="Calibri" w:cs="Calibri"/>
                <w:noProof/>
              </w:rPr>
              <w:t xml:space="preserve"> Publication</w:t>
            </w:r>
            <w:r w:rsidR="2651FE0E" w:rsidRPr="06E4230C">
              <w:rPr>
                <w:noProof/>
              </w:rPr>
              <w:t xml:space="preserve"> of a</w:t>
            </w:r>
            <w:r w:rsidR="003C06FA">
              <w:rPr>
                <w:noProof/>
              </w:rPr>
              <w:t> </w:t>
            </w:r>
            <w:r w:rsidR="2651FE0E" w:rsidRPr="06E4230C">
              <w:rPr>
                <w:noProof/>
              </w:rPr>
              <w:t>call for projects supporting the strengthening of information systems according Act No. 181/2014 Coll., on cyber security.</w:t>
            </w:r>
          </w:p>
        </w:tc>
      </w:tr>
      <w:tr w:rsidR="00081252" w:rsidRPr="00751110" w14:paraId="0E0C41DC" w14:textId="77777777" w:rsidTr="06E4230C">
        <w:trPr>
          <w:trHeight w:val="309"/>
        </w:trPr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C3C5F" w14:textId="77777777" w:rsidR="00081252" w:rsidRPr="00751110" w:rsidRDefault="00081252">
            <w:pPr>
              <w:spacing w:after="0" w:line="240" w:lineRule="auto"/>
              <w:jc w:val="both"/>
              <w:rPr>
                <w:rFonts w:cstheme="minorHAnsi"/>
                <w:noProof/>
              </w:rPr>
            </w:pPr>
            <w:r w:rsidRPr="00751110">
              <w:rPr>
                <w:rFonts w:cstheme="minorHAnsi"/>
                <w:noProof/>
              </w:rPr>
              <w:t>New Investment:</w:t>
            </w:r>
          </w:p>
          <w:p w14:paraId="63850783" w14:textId="0108D4B5" w:rsidR="00081252" w:rsidRPr="00751110" w:rsidRDefault="5789586D" w:rsidP="06E4230C">
            <w:pPr>
              <w:spacing w:after="0" w:line="240" w:lineRule="auto"/>
              <w:jc w:val="both"/>
              <w:rPr>
                <w:rFonts w:ascii="Calibri" w:eastAsia="Calibri" w:hAnsi="Calibri" w:cs="Calibri"/>
                <w:noProof/>
              </w:rPr>
            </w:pPr>
            <w:r w:rsidRPr="06E4230C">
              <w:rPr>
                <w:rFonts w:ascii="Times New Roman" w:eastAsia="Times New Roman" w:hAnsi="Times New Roman" w:cs="Times New Roman"/>
                <w:b/>
                <w:bCs/>
                <w:noProof/>
                <w:color w:val="000000" w:themeColor="text1"/>
                <w:lang w:val="en-IE"/>
              </w:rPr>
              <w:t xml:space="preserve"> Top-up of cyber security investment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E284D" w14:textId="77777777" w:rsidR="00081252" w:rsidRPr="00751110" w:rsidRDefault="00081252">
            <w:pPr>
              <w:spacing w:after="0" w:line="240" w:lineRule="auto"/>
              <w:jc w:val="both"/>
              <w:rPr>
                <w:rFonts w:eastAsia="Times New Roman" w:cstheme="minorHAnsi"/>
                <w:noProof/>
              </w:rPr>
            </w:pPr>
            <w:r w:rsidRPr="00751110">
              <w:rPr>
                <w:rFonts w:cstheme="minorHAnsi"/>
                <w:noProof/>
              </w:rPr>
              <w:t>Target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CC12D" w14:textId="4AD4DC79" w:rsidR="00081252" w:rsidRPr="00751110" w:rsidRDefault="29AF9D21" w:rsidP="06E4230C">
            <w:pPr>
              <w:spacing w:after="0" w:line="240" w:lineRule="auto"/>
              <w:jc w:val="both"/>
              <w:rPr>
                <w:rFonts w:eastAsia="Times New Roman"/>
                <w:noProof/>
              </w:rPr>
            </w:pPr>
            <w:r w:rsidRPr="06E4230C">
              <w:rPr>
                <w:rFonts w:eastAsia="Times New Roman"/>
                <w:noProof/>
              </w:rPr>
              <w:t xml:space="preserve"> Information systems  whose cyber security has been strengthened in line with Act No. 181/2014 Coll., on cyber security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BC5D3" w14:textId="631AFB0D" w:rsidR="00081252" w:rsidRPr="00751110" w:rsidRDefault="29AF9D21" w:rsidP="06E4230C">
            <w:pPr>
              <w:spacing w:after="0" w:line="240" w:lineRule="auto"/>
              <w:jc w:val="both"/>
              <w:rPr>
                <w:noProof/>
              </w:rPr>
            </w:pPr>
            <w:r w:rsidRPr="06E4230C">
              <w:rPr>
                <w:noProof/>
              </w:rPr>
              <w:t xml:space="preserve">Number 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0F2DE" w14:textId="1D1E1903" w:rsidR="00081252" w:rsidRPr="00751110" w:rsidRDefault="2C1A7EAB" w:rsidP="06E4230C">
            <w:pPr>
              <w:spacing w:after="0" w:line="240" w:lineRule="auto"/>
              <w:jc w:val="both"/>
              <w:rPr>
                <w:rFonts w:eastAsia="Times New Roman"/>
                <w:noProof/>
              </w:rPr>
            </w:pPr>
            <w:r w:rsidRPr="06E4230C">
              <w:rPr>
                <w:rFonts w:eastAsia="Times New Roman"/>
                <w:noProof/>
              </w:rPr>
              <w:t>87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1DF81" w14:textId="26B24229" w:rsidR="00081252" w:rsidRPr="00751110" w:rsidRDefault="1DB28C1E" w:rsidP="0FB71215">
            <w:pPr>
              <w:spacing w:after="0" w:line="240" w:lineRule="auto"/>
              <w:jc w:val="both"/>
              <w:rPr>
                <w:rFonts w:eastAsia="Times New Roman"/>
                <w:noProof/>
              </w:rPr>
            </w:pPr>
            <w:r w:rsidRPr="06E4230C">
              <w:rPr>
                <w:rFonts w:eastAsia="Times New Roman"/>
                <w:noProof/>
              </w:rPr>
              <w:t>331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81BD3" w14:textId="77777777" w:rsidR="00081252" w:rsidRPr="00751110" w:rsidRDefault="00081252">
            <w:pPr>
              <w:spacing w:after="0" w:line="240" w:lineRule="auto"/>
              <w:jc w:val="both"/>
              <w:rPr>
                <w:rFonts w:eastAsia="Times New Roman" w:cstheme="minorHAnsi"/>
                <w:noProof/>
              </w:rPr>
            </w:pPr>
            <w:r w:rsidRPr="00751110">
              <w:rPr>
                <w:rFonts w:eastAsia="Times New Roman" w:cstheme="minorHAnsi"/>
                <w:noProof/>
              </w:rPr>
              <w:t>Q4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03DD2" w14:textId="77777777" w:rsidR="00081252" w:rsidRPr="00751110" w:rsidRDefault="00081252">
            <w:pPr>
              <w:spacing w:after="0" w:line="240" w:lineRule="auto"/>
              <w:jc w:val="both"/>
              <w:rPr>
                <w:rFonts w:eastAsia="Times New Roman" w:cstheme="minorHAnsi"/>
                <w:noProof/>
              </w:rPr>
            </w:pPr>
            <w:r w:rsidRPr="00751110">
              <w:rPr>
                <w:rFonts w:eastAsia="Times New Roman" w:cstheme="minorHAnsi"/>
                <w:noProof/>
              </w:rPr>
              <w:t>2025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AF21" w14:textId="1FA0EFF8" w:rsidR="00081252" w:rsidRPr="00751110" w:rsidRDefault="29AF9D21" w:rsidP="06E4230C">
            <w:pPr>
              <w:spacing w:after="0" w:line="240" w:lineRule="auto"/>
              <w:jc w:val="both"/>
              <w:rPr>
                <w:noProof/>
              </w:rPr>
            </w:pPr>
            <w:r w:rsidRPr="06E4230C">
              <w:rPr>
                <w:noProof/>
              </w:rPr>
              <w:t xml:space="preserve">The </w:t>
            </w:r>
            <w:r w:rsidR="32D8438F" w:rsidRPr="06E4230C">
              <w:rPr>
                <w:noProof/>
              </w:rPr>
              <w:t>target</w:t>
            </w:r>
            <w:r w:rsidRPr="06E4230C">
              <w:rPr>
                <w:noProof/>
              </w:rPr>
              <w:t xml:space="preserve"> shall increase the cybersecurity of the selected information systems in accordance with the requirements of Act No. 181/2014 Coll., on cyber security.</w:t>
            </w:r>
          </w:p>
          <w:p w14:paraId="0B1B58FD" w14:textId="77777777" w:rsidR="00081252" w:rsidRPr="00751110" w:rsidRDefault="00081252">
            <w:pPr>
              <w:spacing w:after="0" w:line="240" w:lineRule="auto"/>
              <w:jc w:val="both"/>
              <w:rPr>
                <w:rFonts w:cstheme="minorHAnsi"/>
                <w:noProof/>
              </w:rPr>
            </w:pPr>
          </w:p>
          <w:p w14:paraId="333186C7" w14:textId="4ABC90D3" w:rsidR="00081252" w:rsidRPr="00751110" w:rsidRDefault="144F3B14" w:rsidP="0FB71215">
            <w:pPr>
              <w:spacing w:after="0" w:line="240" w:lineRule="auto"/>
              <w:jc w:val="both"/>
              <w:rPr>
                <w:rFonts w:eastAsia="Times New Roman"/>
                <w:noProof/>
              </w:rPr>
            </w:pPr>
            <w:r w:rsidRPr="06E4230C">
              <w:rPr>
                <w:noProof/>
              </w:rPr>
              <w:t xml:space="preserve">The target shall be considered as achieved following the successful  testing and verification of compliance with cyber security requirements of at least  </w:t>
            </w:r>
            <w:r w:rsidR="194FCD76" w:rsidRPr="06E4230C">
              <w:rPr>
                <w:noProof/>
              </w:rPr>
              <w:t>244</w:t>
            </w:r>
            <w:r w:rsidRPr="06E4230C">
              <w:rPr>
                <w:noProof/>
              </w:rPr>
              <w:t xml:space="preserve"> information systems</w:t>
            </w:r>
            <w:r w:rsidR="7EB69D71" w:rsidRPr="06E4230C">
              <w:rPr>
                <w:noProof/>
              </w:rPr>
              <w:t>.</w:t>
            </w:r>
            <w:r w:rsidRPr="06E4230C">
              <w:rPr>
                <w:noProof/>
              </w:rPr>
              <w:t xml:space="preserve"> </w:t>
            </w:r>
            <w:r w:rsidR="34E3C037" w:rsidRPr="06E4230C">
              <w:rPr>
                <w:noProof/>
              </w:rPr>
              <w:t>T</w:t>
            </w:r>
            <w:r w:rsidRPr="06E4230C">
              <w:rPr>
                <w:noProof/>
              </w:rPr>
              <w:t>he  authorities</w:t>
            </w:r>
            <w:r w:rsidR="5C953DAF" w:rsidRPr="06E4230C">
              <w:rPr>
                <w:noProof/>
              </w:rPr>
              <w:t xml:space="preserve"> in charge </w:t>
            </w:r>
            <w:r w:rsidRPr="06E4230C">
              <w:rPr>
                <w:noProof/>
              </w:rPr>
              <w:t xml:space="preserve"> of the </w:t>
            </w:r>
            <w:r w:rsidR="091DE8E5" w:rsidRPr="06E4230C">
              <w:rPr>
                <w:noProof/>
              </w:rPr>
              <w:t>information</w:t>
            </w:r>
            <w:r w:rsidRPr="06E4230C">
              <w:rPr>
                <w:noProof/>
              </w:rPr>
              <w:t xml:space="preserve"> systems </w:t>
            </w:r>
            <w:r w:rsidR="7A086357" w:rsidRPr="06E4230C">
              <w:rPr>
                <w:noProof/>
              </w:rPr>
              <w:t>shall</w:t>
            </w:r>
            <w:r w:rsidRPr="06E4230C">
              <w:rPr>
                <w:noProof/>
              </w:rPr>
              <w:t xml:space="preserve"> approve the delivery of the </w:t>
            </w:r>
            <w:r w:rsidR="50446989" w:rsidRPr="06E4230C">
              <w:rPr>
                <w:noProof/>
              </w:rPr>
              <w:t xml:space="preserve"> respective </w:t>
            </w:r>
            <w:r w:rsidRPr="06E4230C">
              <w:rPr>
                <w:noProof/>
              </w:rPr>
              <w:t>systems</w:t>
            </w:r>
          </w:p>
        </w:tc>
      </w:tr>
    </w:tbl>
    <w:p w14:paraId="074745EE" w14:textId="77777777" w:rsidR="00081252" w:rsidRPr="00751110" w:rsidRDefault="00081252" w:rsidP="00081252">
      <w:pPr>
        <w:spacing w:before="120" w:after="0" w:line="240" w:lineRule="auto"/>
        <w:jc w:val="both"/>
        <w:rPr>
          <w:rFonts w:eastAsiaTheme="minorEastAsia" w:cstheme="minorHAnsi"/>
        </w:rPr>
      </w:pPr>
    </w:p>
    <w:p w14:paraId="545266FE" w14:textId="22A3D4B4" w:rsidR="00081252" w:rsidRPr="00751110" w:rsidRDefault="00081252" w:rsidP="00081252">
      <w:pPr>
        <w:spacing w:before="120" w:after="0" w:line="240" w:lineRule="auto"/>
        <w:jc w:val="both"/>
        <w:rPr>
          <w:rFonts w:eastAsiaTheme="minorEastAsia" w:cstheme="minorHAnsi"/>
        </w:rPr>
      </w:pPr>
      <w:r w:rsidRPr="00751110">
        <w:rPr>
          <w:rFonts w:eastAsiaTheme="minorEastAsia" w:cstheme="minorHAnsi"/>
        </w:rPr>
        <w:t>Očekává se několik stovek projektů v</w:t>
      </w:r>
      <w:r w:rsidR="003C06FA">
        <w:rPr>
          <w:rFonts w:eastAsiaTheme="minorEastAsia" w:cstheme="minorHAnsi"/>
        </w:rPr>
        <w:t> </w:t>
      </w:r>
      <w:r w:rsidRPr="00751110">
        <w:rPr>
          <w:rFonts w:eastAsiaTheme="minorEastAsia" w:cstheme="minorHAnsi"/>
        </w:rPr>
        <w:t>oblasti kybernetické bezpečnosti, a</w:t>
      </w:r>
      <w:r w:rsidR="003C06FA">
        <w:rPr>
          <w:rFonts w:eastAsiaTheme="minorEastAsia" w:cstheme="minorHAnsi"/>
        </w:rPr>
        <w:t> </w:t>
      </w:r>
      <w:r w:rsidRPr="00751110">
        <w:rPr>
          <w:rFonts w:eastAsiaTheme="minorEastAsia" w:cstheme="minorHAnsi"/>
        </w:rPr>
        <w:t>to napříč subjekty veřejné správy.</w:t>
      </w:r>
    </w:p>
    <w:p w14:paraId="78460C91" w14:textId="78CF6B46" w:rsidR="00081252" w:rsidRPr="00751110" w:rsidRDefault="00081252" w:rsidP="00081252">
      <w:pPr>
        <w:spacing w:before="120" w:after="0" w:line="240" w:lineRule="auto"/>
        <w:jc w:val="both"/>
        <w:rPr>
          <w:rFonts w:eastAsiaTheme="minorEastAsia" w:cstheme="minorHAnsi"/>
        </w:rPr>
      </w:pPr>
      <w:r w:rsidRPr="00751110">
        <w:rPr>
          <w:rFonts w:eastAsiaTheme="minorEastAsia" w:cstheme="minorHAnsi"/>
        </w:rPr>
        <w:t xml:space="preserve"> (zákon 181/2014 Sb. o</w:t>
      </w:r>
      <w:r w:rsidR="003C06FA">
        <w:rPr>
          <w:rFonts w:eastAsiaTheme="minorEastAsia" w:cstheme="minorHAnsi"/>
        </w:rPr>
        <w:t> </w:t>
      </w:r>
      <w:r w:rsidRPr="00751110">
        <w:rPr>
          <w:rFonts w:eastAsiaTheme="minorEastAsia" w:cstheme="minorHAnsi"/>
        </w:rPr>
        <w:t>kybernetické bezpečnosti, 134/2016 Sb. o</w:t>
      </w:r>
      <w:r w:rsidR="003C06FA">
        <w:rPr>
          <w:rFonts w:eastAsiaTheme="minorEastAsia" w:cstheme="minorHAnsi"/>
        </w:rPr>
        <w:t> </w:t>
      </w:r>
      <w:r w:rsidRPr="00751110">
        <w:rPr>
          <w:rFonts w:eastAsiaTheme="minorEastAsia" w:cstheme="minorHAnsi"/>
        </w:rPr>
        <w:t>zadávání veřejných zakázek a</w:t>
      </w:r>
      <w:r w:rsidR="003C06FA">
        <w:rPr>
          <w:rFonts w:eastAsiaTheme="minorEastAsia" w:cstheme="minorHAnsi"/>
        </w:rPr>
        <w:t> </w:t>
      </w:r>
      <w:r w:rsidRPr="00751110">
        <w:rPr>
          <w:rFonts w:eastAsiaTheme="minorEastAsia" w:cstheme="minorHAnsi"/>
        </w:rPr>
        <w:t>relevantních vyhlášek).</w:t>
      </w:r>
    </w:p>
    <w:p w14:paraId="325CFEE7" w14:textId="7CBE1659" w:rsidR="00081252" w:rsidRPr="00751110" w:rsidRDefault="00081252" w:rsidP="00081252">
      <w:pPr>
        <w:spacing w:before="120" w:after="0" w:line="240" w:lineRule="auto"/>
        <w:jc w:val="both"/>
        <w:rPr>
          <w:rFonts w:eastAsiaTheme="minorEastAsia" w:cstheme="minorHAnsi"/>
        </w:rPr>
      </w:pPr>
      <w:r w:rsidRPr="00751110">
        <w:rPr>
          <w:rFonts w:eastAsiaTheme="minorEastAsia" w:cstheme="minorHAnsi"/>
        </w:rPr>
        <w:t>Předpokládá se, že v</w:t>
      </w:r>
      <w:r w:rsidR="003C06FA">
        <w:rPr>
          <w:rFonts w:eastAsiaTheme="minorEastAsia" w:cstheme="minorHAnsi"/>
        </w:rPr>
        <w:t> </w:t>
      </w:r>
      <w:r w:rsidRPr="00751110">
        <w:rPr>
          <w:rFonts w:eastAsiaTheme="minorEastAsia" w:cstheme="minorHAnsi"/>
        </w:rPr>
        <w:t>roce 2023 dojde k</w:t>
      </w:r>
      <w:r w:rsidR="003C06FA">
        <w:rPr>
          <w:rFonts w:eastAsiaTheme="minorEastAsia" w:cstheme="minorHAnsi"/>
        </w:rPr>
        <w:t> </w:t>
      </w:r>
      <w:r w:rsidRPr="00751110">
        <w:rPr>
          <w:rFonts w:eastAsiaTheme="minorEastAsia" w:cstheme="minorHAnsi"/>
        </w:rPr>
        <w:t>přípravě a</w:t>
      </w:r>
      <w:r w:rsidR="003C06FA">
        <w:rPr>
          <w:rFonts w:eastAsiaTheme="minorEastAsia" w:cstheme="minorHAnsi"/>
        </w:rPr>
        <w:t> </w:t>
      </w:r>
      <w:r w:rsidRPr="00751110">
        <w:rPr>
          <w:rFonts w:eastAsiaTheme="minorEastAsia" w:cstheme="minorHAnsi"/>
        </w:rPr>
        <w:t>zveřejnění výzev, podání žádostí o</w:t>
      </w:r>
      <w:r w:rsidR="003C06FA">
        <w:rPr>
          <w:rFonts w:eastAsiaTheme="minorEastAsia" w:cstheme="minorHAnsi"/>
        </w:rPr>
        <w:t> </w:t>
      </w:r>
      <w:r w:rsidRPr="00751110">
        <w:rPr>
          <w:rFonts w:eastAsiaTheme="minorEastAsia" w:cstheme="minorHAnsi"/>
        </w:rPr>
        <w:t>finanční podporu a</w:t>
      </w:r>
      <w:r w:rsidR="003C06FA">
        <w:rPr>
          <w:rFonts w:eastAsiaTheme="minorEastAsia" w:cstheme="minorHAnsi"/>
        </w:rPr>
        <w:t> </w:t>
      </w:r>
      <w:r w:rsidRPr="00751110">
        <w:rPr>
          <w:rFonts w:eastAsiaTheme="minorEastAsia" w:cstheme="minorHAnsi"/>
        </w:rPr>
        <w:t>zahájení veřejných zakázek. V</w:t>
      </w:r>
      <w:r w:rsidR="003C06FA">
        <w:rPr>
          <w:rFonts w:eastAsiaTheme="minorEastAsia" w:cstheme="minorHAnsi"/>
        </w:rPr>
        <w:t> </w:t>
      </w:r>
      <w:r w:rsidRPr="00751110">
        <w:rPr>
          <w:rFonts w:eastAsiaTheme="minorEastAsia" w:cstheme="minorHAnsi"/>
        </w:rPr>
        <w:t>roce 2024 očekáváme zahájení prvních realizací.</w:t>
      </w:r>
    </w:p>
    <w:p w14:paraId="34ABB0DF" w14:textId="77777777" w:rsidR="00081252" w:rsidRPr="00751110" w:rsidRDefault="00081252" w:rsidP="00081252">
      <w:pPr>
        <w:spacing w:before="120" w:after="0" w:line="240" w:lineRule="auto"/>
        <w:jc w:val="both"/>
        <w:rPr>
          <w:rFonts w:eastAsiaTheme="minorEastAsia" w:cstheme="minorHAnsi"/>
          <w:b/>
          <w:bCs/>
        </w:rPr>
      </w:pPr>
      <w:r w:rsidRPr="00751110">
        <w:rPr>
          <w:rFonts w:eastAsiaTheme="minorEastAsia" w:cstheme="minorHAnsi"/>
          <w:b/>
          <w:bCs/>
        </w:rPr>
        <w:t>Očekávaná hodnota cíle</w:t>
      </w:r>
    </w:p>
    <w:p w14:paraId="39AD2365" w14:textId="79CA6EA2" w:rsidR="00081252" w:rsidRPr="00751110" w:rsidRDefault="00081252" w:rsidP="0FB71215">
      <w:pPr>
        <w:spacing w:before="120" w:after="0" w:line="240" w:lineRule="auto"/>
        <w:jc w:val="both"/>
        <w:rPr>
          <w:rFonts w:eastAsiaTheme="minorEastAsia"/>
        </w:rPr>
      </w:pPr>
      <w:r w:rsidRPr="0FB71215">
        <w:rPr>
          <w:rFonts w:eastAsiaTheme="minorEastAsia"/>
        </w:rPr>
        <w:t>Každý subjekt spravuje určitý počet informačních systémů (jiný je počet u</w:t>
      </w:r>
      <w:r w:rsidR="003C06FA">
        <w:rPr>
          <w:rFonts w:eastAsiaTheme="minorEastAsia"/>
        </w:rPr>
        <w:t> </w:t>
      </w:r>
      <w:r w:rsidRPr="0FB71215">
        <w:rPr>
          <w:rFonts w:eastAsiaTheme="minorEastAsia"/>
        </w:rPr>
        <w:t>institucí v</w:t>
      </w:r>
      <w:r w:rsidR="003C06FA">
        <w:rPr>
          <w:rFonts w:eastAsiaTheme="minorEastAsia"/>
        </w:rPr>
        <w:t> </w:t>
      </w:r>
      <w:r w:rsidRPr="0FB71215">
        <w:rPr>
          <w:rFonts w:eastAsiaTheme="minorEastAsia"/>
        </w:rPr>
        <w:t>oblasti dopravy či na území samospráv). Uspokojivým výsledkem je zajištění kybernetické bezpečnosti u</w:t>
      </w:r>
      <w:r w:rsidR="003C06FA">
        <w:rPr>
          <w:rFonts w:eastAsiaTheme="minorEastAsia"/>
        </w:rPr>
        <w:t> </w:t>
      </w:r>
      <w:r w:rsidR="14C0AD80" w:rsidRPr="0FB71215">
        <w:rPr>
          <w:rFonts w:eastAsiaTheme="minorEastAsia"/>
        </w:rPr>
        <w:t>244</w:t>
      </w:r>
      <w:r w:rsidR="00C2673B" w:rsidRPr="0FB71215">
        <w:rPr>
          <w:rFonts w:eastAsiaTheme="minorEastAsia"/>
        </w:rPr>
        <w:t xml:space="preserve"> </w:t>
      </w:r>
      <w:r w:rsidRPr="0FB71215">
        <w:rPr>
          <w:rFonts w:eastAsiaTheme="minorEastAsia"/>
        </w:rPr>
        <w:t xml:space="preserve">informačních systémů. </w:t>
      </w:r>
    </w:p>
    <w:p w14:paraId="42339F00" w14:textId="77777777" w:rsidR="00081252" w:rsidRPr="00751110" w:rsidRDefault="00081252" w:rsidP="00081252">
      <w:pPr>
        <w:spacing w:before="120" w:after="0" w:line="240" w:lineRule="auto"/>
        <w:jc w:val="both"/>
        <w:rPr>
          <w:rFonts w:eastAsiaTheme="minorEastAsia" w:cstheme="minorHAnsi"/>
          <w:b/>
          <w:bCs/>
        </w:rPr>
      </w:pPr>
      <w:r w:rsidRPr="00751110">
        <w:rPr>
          <w:rFonts w:eastAsiaTheme="minorEastAsia" w:cstheme="minorHAnsi"/>
          <w:b/>
          <w:bCs/>
        </w:rPr>
        <w:t>Termín dosažení cíle</w:t>
      </w:r>
    </w:p>
    <w:p w14:paraId="51679D83" w14:textId="2C9604F9" w:rsidR="00081252" w:rsidRPr="00751110" w:rsidRDefault="00081252" w:rsidP="00081252">
      <w:pPr>
        <w:spacing w:before="120" w:after="0" w:line="240" w:lineRule="auto"/>
        <w:jc w:val="both"/>
        <w:rPr>
          <w:rFonts w:eastAsiaTheme="minorEastAsia" w:cstheme="minorHAnsi"/>
          <w:bCs/>
        </w:rPr>
      </w:pPr>
      <w:r w:rsidRPr="00751110">
        <w:rPr>
          <w:rFonts w:eastAsiaTheme="minorEastAsia" w:cstheme="minorHAnsi"/>
          <w:bCs/>
        </w:rPr>
        <w:t>31.</w:t>
      </w:r>
      <w:r w:rsidR="003C06FA">
        <w:rPr>
          <w:rFonts w:eastAsiaTheme="minorEastAsia" w:cstheme="minorHAnsi"/>
          <w:bCs/>
        </w:rPr>
        <w:t xml:space="preserve"> </w:t>
      </w:r>
      <w:r w:rsidRPr="00751110">
        <w:rPr>
          <w:rFonts w:eastAsiaTheme="minorEastAsia" w:cstheme="minorHAnsi"/>
          <w:bCs/>
        </w:rPr>
        <w:t>12.</w:t>
      </w:r>
      <w:r w:rsidR="003C06FA">
        <w:rPr>
          <w:rFonts w:eastAsiaTheme="minorEastAsia" w:cstheme="minorHAnsi"/>
          <w:bCs/>
        </w:rPr>
        <w:t xml:space="preserve"> </w:t>
      </w:r>
      <w:r w:rsidRPr="00751110">
        <w:rPr>
          <w:rFonts w:eastAsiaTheme="minorEastAsia" w:cstheme="minorHAnsi"/>
          <w:bCs/>
        </w:rPr>
        <w:t>2025</w:t>
      </w:r>
    </w:p>
    <w:p w14:paraId="0F12949E" w14:textId="77777777" w:rsidR="00081252" w:rsidRPr="00751110" w:rsidRDefault="00081252" w:rsidP="00081252">
      <w:pPr>
        <w:spacing w:before="120" w:after="0" w:line="240" w:lineRule="auto"/>
        <w:jc w:val="both"/>
        <w:rPr>
          <w:rFonts w:eastAsiaTheme="minorEastAsia" w:cstheme="minorHAnsi"/>
          <w:b/>
          <w:bCs/>
        </w:rPr>
      </w:pPr>
      <w:r w:rsidRPr="00751110">
        <w:rPr>
          <w:rFonts w:eastAsiaTheme="minorEastAsia" w:cstheme="minorHAnsi"/>
          <w:b/>
          <w:bCs/>
        </w:rPr>
        <w:lastRenderedPageBreak/>
        <w:t>Odpovědná instituce</w:t>
      </w:r>
    </w:p>
    <w:p w14:paraId="56DC25B3" w14:textId="3E1A0A95" w:rsidR="00081252" w:rsidRPr="00751110" w:rsidRDefault="00081252" w:rsidP="00081252">
      <w:pPr>
        <w:tabs>
          <w:tab w:val="left" w:pos="2850"/>
        </w:tabs>
        <w:spacing w:before="120" w:after="0" w:line="240" w:lineRule="auto"/>
        <w:jc w:val="both"/>
        <w:rPr>
          <w:rFonts w:eastAsiaTheme="minorEastAsia" w:cstheme="minorHAnsi"/>
        </w:rPr>
      </w:pPr>
      <w:r w:rsidRPr="00751110">
        <w:rPr>
          <w:rFonts w:eastAsiaTheme="minorEastAsia" w:cstheme="minorHAnsi"/>
        </w:rPr>
        <w:t>Ministerstvo vnitra</w:t>
      </w:r>
    </w:p>
    <w:p w14:paraId="569F15A0" w14:textId="77777777" w:rsidR="00081252" w:rsidRPr="00751110" w:rsidRDefault="00081252" w:rsidP="00081252">
      <w:pPr>
        <w:spacing w:before="120" w:after="0" w:line="240" w:lineRule="auto"/>
        <w:jc w:val="both"/>
        <w:rPr>
          <w:rFonts w:eastAsiaTheme="minorEastAsia" w:cstheme="minorHAnsi"/>
          <w:b/>
        </w:rPr>
      </w:pPr>
      <w:r w:rsidRPr="00751110">
        <w:rPr>
          <w:rFonts w:eastAsiaTheme="minorEastAsia" w:cstheme="minorHAnsi"/>
          <w:b/>
        </w:rPr>
        <w:t>Harmonogram</w:t>
      </w:r>
    </w:p>
    <w:p w14:paraId="300D6D8C" w14:textId="78A3326F" w:rsidR="00081252" w:rsidRPr="00751110" w:rsidRDefault="00081252" w:rsidP="00070912">
      <w:pPr>
        <w:spacing w:after="120" w:line="240" w:lineRule="auto"/>
        <w:jc w:val="both"/>
        <w:rPr>
          <w:rFonts w:eastAsiaTheme="minorEastAsia"/>
        </w:rPr>
      </w:pPr>
      <w:r w:rsidRPr="0FB71215">
        <w:rPr>
          <w:rFonts w:eastAsiaTheme="minorEastAsia"/>
        </w:rPr>
        <w:t>Předpokládá se, že po schválení tohoto rozšíření investice („update NPO“) v</w:t>
      </w:r>
      <w:r w:rsidR="003C06FA">
        <w:rPr>
          <w:rFonts w:eastAsiaTheme="minorEastAsia"/>
        </w:rPr>
        <w:t> </w:t>
      </w:r>
      <w:r w:rsidRPr="0FB71215">
        <w:rPr>
          <w:rFonts w:eastAsiaTheme="minorEastAsia"/>
        </w:rPr>
        <w:t>roce 2023 dojde do několik málo měsíců k</w:t>
      </w:r>
      <w:r w:rsidR="003C06FA">
        <w:rPr>
          <w:rFonts w:eastAsiaTheme="minorEastAsia"/>
        </w:rPr>
        <w:t> </w:t>
      </w:r>
      <w:r w:rsidRPr="0FB71215">
        <w:rPr>
          <w:rFonts w:eastAsiaTheme="minorEastAsia"/>
        </w:rPr>
        <w:t>vypsání výzev</w:t>
      </w:r>
      <w:r w:rsidR="00070912">
        <w:rPr>
          <w:rFonts w:eastAsiaTheme="minorEastAsia"/>
        </w:rPr>
        <w:t>, které budou sout</w:t>
      </w:r>
      <w:r w:rsidR="009010E0">
        <w:rPr>
          <w:rFonts w:eastAsiaTheme="minorEastAsia"/>
        </w:rPr>
        <w:t>ě</w:t>
      </w:r>
      <w:r w:rsidR="00070912">
        <w:rPr>
          <w:rFonts w:eastAsiaTheme="minorEastAsia"/>
        </w:rPr>
        <w:t>žní a rovněž pro předem defi</w:t>
      </w:r>
      <w:r w:rsidR="009010E0">
        <w:rPr>
          <w:rFonts w:eastAsiaTheme="minorEastAsia"/>
        </w:rPr>
        <w:t>n</w:t>
      </w:r>
      <w:r w:rsidR="00070912">
        <w:rPr>
          <w:rFonts w:eastAsiaTheme="minorEastAsia"/>
        </w:rPr>
        <w:t>ované projety (</w:t>
      </w:r>
      <w:r w:rsidR="009010E0">
        <w:rPr>
          <w:rFonts w:eastAsiaTheme="minorEastAsia"/>
        </w:rPr>
        <w:t xml:space="preserve">např. </w:t>
      </w:r>
      <w:r w:rsidR="00070912">
        <w:rPr>
          <w:rFonts w:eastAsiaTheme="minorEastAsia"/>
        </w:rPr>
        <w:t>na Ministe</w:t>
      </w:r>
      <w:r w:rsidR="009010E0">
        <w:rPr>
          <w:rFonts w:eastAsiaTheme="minorEastAsia"/>
        </w:rPr>
        <w:t>r</w:t>
      </w:r>
      <w:r w:rsidR="00070912">
        <w:rPr>
          <w:rFonts w:eastAsiaTheme="minorEastAsia"/>
        </w:rPr>
        <w:t>stvu</w:t>
      </w:r>
      <w:r w:rsidR="009010E0">
        <w:rPr>
          <w:rFonts w:eastAsiaTheme="minorEastAsia"/>
        </w:rPr>
        <w:t xml:space="preserve"> vnitra dojde k výběru předem definovaných projektů na základě závěrů </w:t>
      </w:r>
      <w:r w:rsidR="00492C3B" w:rsidRPr="00492C3B">
        <w:rPr>
          <w:rFonts w:eastAsiaTheme="minorEastAsia"/>
        </w:rPr>
        <w:t xml:space="preserve">Komise pro koordinaci projektů kybernetické bezpečnosti v resortu Ministerstva </w:t>
      </w:r>
      <w:proofErr w:type="gramStart"/>
      <w:r w:rsidR="00492C3B" w:rsidRPr="00492C3B">
        <w:rPr>
          <w:rFonts w:eastAsiaTheme="minorEastAsia"/>
        </w:rPr>
        <w:t>vnitra</w:t>
      </w:r>
      <w:r w:rsidR="009010E0">
        <w:rPr>
          <w:rFonts w:eastAsiaTheme="minorEastAsia"/>
        </w:rPr>
        <w:t xml:space="preserve">) </w:t>
      </w:r>
      <w:r w:rsidR="003C06FA">
        <w:rPr>
          <w:rFonts w:eastAsiaTheme="minorEastAsia"/>
        </w:rPr>
        <w:t> </w:t>
      </w:r>
      <w:r w:rsidR="009010E0">
        <w:rPr>
          <w:rFonts w:eastAsiaTheme="minorEastAsia"/>
        </w:rPr>
        <w:t>N</w:t>
      </w:r>
      <w:r w:rsidR="009010E0" w:rsidRPr="0FB71215">
        <w:rPr>
          <w:rFonts w:eastAsiaTheme="minorEastAsia"/>
        </w:rPr>
        <w:t>ásledně</w:t>
      </w:r>
      <w:proofErr w:type="gramEnd"/>
      <w:r w:rsidR="009010E0">
        <w:rPr>
          <w:rFonts w:eastAsiaTheme="minorEastAsia"/>
        </w:rPr>
        <w:t xml:space="preserve"> dojde</w:t>
      </w:r>
      <w:r w:rsidR="009010E0" w:rsidRPr="0FB71215">
        <w:rPr>
          <w:rFonts w:eastAsiaTheme="minorEastAsia"/>
        </w:rPr>
        <w:t xml:space="preserve"> </w:t>
      </w:r>
      <w:r w:rsidRPr="0FB71215">
        <w:rPr>
          <w:rFonts w:eastAsiaTheme="minorEastAsia"/>
        </w:rPr>
        <w:t>k</w:t>
      </w:r>
      <w:r w:rsidR="003C06FA">
        <w:rPr>
          <w:rFonts w:eastAsiaTheme="minorEastAsia"/>
        </w:rPr>
        <w:t> </w:t>
      </w:r>
      <w:r w:rsidRPr="0FB71215">
        <w:rPr>
          <w:rFonts w:eastAsiaTheme="minorEastAsia"/>
        </w:rPr>
        <w:t>podání žádostí o</w:t>
      </w:r>
      <w:r w:rsidR="003C06FA">
        <w:rPr>
          <w:rFonts w:eastAsiaTheme="minorEastAsia"/>
        </w:rPr>
        <w:t> </w:t>
      </w:r>
      <w:r w:rsidRPr="0FB71215">
        <w:rPr>
          <w:rFonts w:eastAsiaTheme="minorEastAsia"/>
        </w:rPr>
        <w:t>finanční podporu a</w:t>
      </w:r>
      <w:r w:rsidR="003C06FA">
        <w:rPr>
          <w:rFonts w:eastAsiaTheme="minorEastAsia"/>
        </w:rPr>
        <w:t> </w:t>
      </w:r>
      <w:r w:rsidRPr="0FB71215">
        <w:rPr>
          <w:rFonts w:eastAsiaTheme="minorEastAsia"/>
        </w:rPr>
        <w:t>zahájení veřejných zakázek. V</w:t>
      </w:r>
      <w:r w:rsidR="003C06FA">
        <w:rPr>
          <w:rFonts w:eastAsiaTheme="minorEastAsia"/>
        </w:rPr>
        <w:t> </w:t>
      </w:r>
      <w:r w:rsidRPr="0FB71215">
        <w:rPr>
          <w:rFonts w:eastAsiaTheme="minorEastAsia"/>
        </w:rPr>
        <w:t xml:space="preserve">roce 2024 očekáváme start prvních realizací. Předpoklad je, že do 4Q 2025 bude </w:t>
      </w:r>
      <w:r w:rsidR="200046F0" w:rsidRPr="0FB71215">
        <w:rPr>
          <w:rFonts w:eastAsiaTheme="minorEastAsia"/>
        </w:rPr>
        <w:t>244</w:t>
      </w:r>
      <w:r w:rsidR="003B7B3E" w:rsidRPr="0FB71215">
        <w:rPr>
          <w:rFonts w:eastAsiaTheme="minorEastAsia"/>
        </w:rPr>
        <w:t xml:space="preserve"> </w:t>
      </w:r>
      <w:r w:rsidRPr="0FB71215">
        <w:rPr>
          <w:rFonts w:eastAsiaTheme="minorEastAsia"/>
        </w:rPr>
        <w:t>informačních systémů zabezpečeno v</w:t>
      </w:r>
      <w:r w:rsidR="003C06FA">
        <w:rPr>
          <w:rFonts w:eastAsiaTheme="minorEastAsia"/>
        </w:rPr>
        <w:t> </w:t>
      </w:r>
      <w:r w:rsidRPr="0FB71215">
        <w:rPr>
          <w:rFonts w:eastAsiaTheme="minorEastAsia"/>
        </w:rPr>
        <w:t>souladu s</w:t>
      </w:r>
      <w:r w:rsidR="003C06FA">
        <w:rPr>
          <w:rFonts w:eastAsiaTheme="minorEastAsia"/>
        </w:rPr>
        <w:t> </w:t>
      </w:r>
      <w:r w:rsidRPr="0FB71215">
        <w:rPr>
          <w:rFonts w:eastAsiaTheme="minorEastAsia"/>
        </w:rPr>
        <w:t>požadavky směrnice NIS2, respektive zákona 181/2014Sb. o</w:t>
      </w:r>
      <w:r w:rsidR="003C06FA">
        <w:rPr>
          <w:rFonts w:eastAsiaTheme="minorEastAsia"/>
        </w:rPr>
        <w:t> </w:t>
      </w:r>
      <w:r w:rsidRPr="0FB71215">
        <w:rPr>
          <w:rFonts w:eastAsiaTheme="minorEastAsia"/>
        </w:rPr>
        <w:t>zajištění kybernetické bezpečnosti (který směrnici NIS2 transponuje do české legislativy.</w:t>
      </w:r>
    </w:p>
    <w:p w14:paraId="0E306635" w14:textId="77777777" w:rsidR="00081252" w:rsidRPr="00751110" w:rsidRDefault="00081252" w:rsidP="00081252">
      <w:pPr>
        <w:spacing w:before="120" w:after="0" w:line="240" w:lineRule="auto"/>
        <w:jc w:val="both"/>
        <w:rPr>
          <w:rFonts w:eastAsiaTheme="minorEastAsia" w:cstheme="minorHAnsi"/>
          <w:color w:val="000000" w:themeColor="text1"/>
        </w:rPr>
      </w:pPr>
    </w:p>
    <w:p w14:paraId="730FA1E1" w14:textId="498CC48E" w:rsidR="00081252" w:rsidRPr="00751110" w:rsidRDefault="00081252" w:rsidP="00EA382D">
      <w:pPr>
        <w:pStyle w:val="K-Nadpis1"/>
        <w:rPr>
          <w:rFonts w:asciiTheme="minorHAnsi" w:eastAsiaTheme="minorEastAsia" w:hAnsiTheme="minorHAnsi" w:cstheme="minorHAnsi"/>
          <w:sz w:val="22"/>
          <w:szCs w:val="22"/>
        </w:rPr>
      </w:pPr>
      <w:r w:rsidRPr="00751110">
        <w:rPr>
          <w:rFonts w:asciiTheme="minorHAnsi" w:eastAsiaTheme="minorEastAsia" w:hAnsiTheme="minorHAnsi" w:cstheme="minorHAnsi"/>
          <w:sz w:val="22"/>
          <w:szCs w:val="22"/>
        </w:rPr>
        <w:t>10</w:t>
      </w:r>
      <w:r w:rsidRPr="00751110">
        <w:rPr>
          <w:rFonts w:asciiTheme="minorHAnsi" w:eastAsia="Calibri" w:hAnsiTheme="minorHAnsi" w:cstheme="minorHAnsi"/>
          <w:sz w:val="22"/>
          <w:szCs w:val="22"/>
        </w:rPr>
        <w:t>. Financování a</w:t>
      </w:r>
      <w:r w:rsidR="003C06FA">
        <w:rPr>
          <w:rFonts w:asciiTheme="minorHAnsi" w:eastAsia="Calibri" w:hAnsiTheme="minorHAnsi" w:cstheme="minorHAnsi"/>
          <w:sz w:val="22"/>
          <w:szCs w:val="22"/>
        </w:rPr>
        <w:t> </w:t>
      </w:r>
      <w:r w:rsidRPr="00751110">
        <w:rPr>
          <w:rFonts w:asciiTheme="minorHAnsi" w:eastAsia="Calibri" w:hAnsiTheme="minorHAnsi" w:cstheme="minorHAnsi"/>
          <w:sz w:val="22"/>
          <w:szCs w:val="22"/>
        </w:rPr>
        <w:t>costing</w:t>
      </w:r>
    </w:p>
    <w:p w14:paraId="39C21EEA" w14:textId="6DBD3E20" w:rsidR="00081252" w:rsidRPr="00751110" w:rsidRDefault="00081252" w:rsidP="00081252">
      <w:pPr>
        <w:spacing w:before="240" w:after="0" w:line="240" w:lineRule="auto"/>
        <w:jc w:val="both"/>
        <w:rPr>
          <w:rFonts w:eastAsiaTheme="minorEastAsia" w:cstheme="minorHAnsi"/>
          <w:b/>
          <w:bCs/>
          <w:noProof/>
        </w:rPr>
      </w:pPr>
      <w:r w:rsidRPr="00751110">
        <w:rPr>
          <w:rFonts w:eastAsiaTheme="minorEastAsia" w:cstheme="minorHAnsi"/>
          <w:b/>
          <w:bCs/>
          <w:noProof/>
        </w:rPr>
        <w:t>Srovnávací údaje o</w:t>
      </w:r>
      <w:r w:rsidR="003C06FA">
        <w:rPr>
          <w:rFonts w:eastAsiaTheme="minorEastAsia" w:cstheme="minorHAnsi"/>
          <w:b/>
          <w:bCs/>
          <w:noProof/>
        </w:rPr>
        <w:t> </w:t>
      </w:r>
      <w:r w:rsidRPr="00751110">
        <w:rPr>
          <w:rFonts w:eastAsiaTheme="minorEastAsia" w:cstheme="minorHAnsi"/>
          <w:b/>
          <w:bCs/>
          <w:noProof/>
        </w:rPr>
        <w:t>nákladech</w:t>
      </w:r>
    </w:p>
    <w:p w14:paraId="6728B951" w14:textId="32331C76" w:rsidR="00081252" w:rsidRPr="00751110" w:rsidRDefault="00081252" w:rsidP="00081252">
      <w:pPr>
        <w:pStyle w:val="K-TextInfo"/>
        <w:spacing w:before="120" w:after="0"/>
        <w:rPr>
          <w:rFonts w:asciiTheme="minorHAnsi" w:hAnsiTheme="minorHAnsi" w:cstheme="minorHAnsi"/>
          <w:sz w:val="22"/>
          <w:szCs w:val="22"/>
        </w:rPr>
      </w:pPr>
      <w:r w:rsidRPr="00751110">
        <w:rPr>
          <w:rFonts w:asciiTheme="minorHAnsi" w:hAnsiTheme="minorHAnsi" w:cstheme="minorHAnsi"/>
          <w:i/>
          <w:iCs/>
          <w:sz w:val="22"/>
          <w:szCs w:val="22"/>
        </w:rPr>
        <w:t>Vycházíme z</w:t>
      </w:r>
      <w:r w:rsidR="003C06FA">
        <w:rPr>
          <w:rFonts w:asciiTheme="minorHAnsi" w:hAnsiTheme="minorHAnsi" w:cstheme="minorHAnsi"/>
          <w:i/>
          <w:iCs/>
          <w:sz w:val="22"/>
          <w:szCs w:val="22"/>
        </w:rPr>
        <w:t> </w:t>
      </w:r>
    </w:p>
    <w:p w14:paraId="205A4F1D" w14:textId="36FF0786" w:rsidR="00081252" w:rsidRPr="00751110" w:rsidRDefault="00081252" w:rsidP="1A5FAAE7">
      <w:pPr>
        <w:pStyle w:val="K-TextInfo"/>
        <w:numPr>
          <w:ilvl w:val="0"/>
          <w:numId w:val="17"/>
        </w:numPr>
        <w:spacing w:before="240" w:after="0"/>
        <w:rPr>
          <w:rFonts w:asciiTheme="minorHAnsi" w:hAnsiTheme="minorHAnsi" w:cstheme="minorBidi"/>
          <w:b/>
          <w:bCs/>
          <w:i/>
          <w:iCs/>
          <w:noProof/>
          <w:color w:val="2196FF" w:themeColor="text2" w:themeTint="99"/>
          <w:sz w:val="22"/>
          <w:szCs w:val="22"/>
        </w:rPr>
      </w:pPr>
      <w:r w:rsidRPr="1A5FAAE7">
        <w:rPr>
          <w:rFonts w:asciiTheme="minorHAnsi" w:hAnsiTheme="minorHAnsi" w:cstheme="minorBidi"/>
          <w:i/>
          <w:iCs/>
          <w:sz w:val="22"/>
          <w:szCs w:val="22"/>
        </w:rPr>
        <w:t>dat z</w:t>
      </w:r>
      <w:r w:rsidR="003C06FA">
        <w:rPr>
          <w:rFonts w:asciiTheme="minorHAnsi" w:hAnsiTheme="minorHAnsi" w:cstheme="minorBidi"/>
          <w:i/>
          <w:iCs/>
          <w:sz w:val="22"/>
          <w:szCs w:val="22"/>
        </w:rPr>
        <w:t> </w:t>
      </w:r>
      <w:r w:rsidRPr="1A5FAAE7">
        <w:rPr>
          <w:rFonts w:asciiTheme="minorHAnsi" w:hAnsiTheme="minorHAnsi" w:cstheme="minorBidi"/>
          <w:i/>
          <w:iCs/>
          <w:sz w:val="22"/>
          <w:szCs w:val="22"/>
        </w:rPr>
        <w:t>žádostí o</w:t>
      </w:r>
      <w:r w:rsidR="003C06FA">
        <w:rPr>
          <w:rFonts w:asciiTheme="minorHAnsi" w:hAnsiTheme="minorHAnsi" w:cstheme="minorBidi"/>
          <w:i/>
          <w:iCs/>
          <w:sz w:val="22"/>
          <w:szCs w:val="22"/>
        </w:rPr>
        <w:t> </w:t>
      </w:r>
      <w:r w:rsidRPr="1A5FAAE7">
        <w:rPr>
          <w:rFonts w:asciiTheme="minorHAnsi" w:hAnsiTheme="minorHAnsi" w:cstheme="minorBidi"/>
          <w:i/>
          <w:iCs/>
          <w:sz w:val="22"/>
          <w:szCs w:val="22"/>
        </w:rPr>
        <w:t>finanční podporu u</w:t>
      </w:r>
      <w:r w:rsidR="003C06FA">
        <w:rPr>
          <w:rFonts w:asciiTheme="minorHAnsi" w:hAnsiTheme="minorHAnsi" w:cstheme="minorBidi"/>
          <w:i/>
          <w:iCs/>
          <w:sz w:val="22"/>
          <w:szCs w:val="22"/>
        </w:rPr>
        <w:t> </w:t>
      </w:r>
      <w:r w:rsidRPr="1A5FAAE7">
        <w:rPr>
          <w:rFonts w:asciiTheme="minorHAnsi" w:hAnsiTheme="minorHAnsi" w:cstheme="minorBidi"/>
          <w:i/>
          <w:iCs/>
          <w:sz w:val="22"/>
          <w:szCs w:val="22"/>
        </w:rPr>
        <w:t>projektových žádostí v</w:t>
      </w:r>
      <w:r w:rsidR="003C06FA">
        <w:rPr>
          <w:rFonts w:asciiTheme="minorHAnsi" w:hAnsiTheme="minorHAnsi" w:cstheme="minorBidi"/>
          <w:i/>
          <w:iCs/>
          <w:sz w:val="22"/>
          <w:szCs w:val="22"/>
        </w:rPr>
        <w:t> </w:t>
      </w:r>
      <w:r w:rsidRPr="1A5FAAE7">
        <w:rPr>
          <w:rFonts w:asciiTheme="minorHAnsi" w:hAnsiTheme="minorHAnsi" w:cstheme="minorBidi"/>
          <w:i/>
          <w:iCs/>
          <w:sz w:val="22"/>
          <w:szCs w:val="22"/>
        </w:rPr>
        <w:t>Integrovaném regionálním operačních programu</w:t>
      </w:r>
      <w:proofErr w:type="gramStart"/>
      <w:r w:rsidRPr="1A5FAAE7">
        <w:rPr>
          <w:rFonts w:asciiTheme="minorHAnsi" w:hAnsiTheme="minorHAnsi" w:cstheme="minorBidi"/>
          <w:sz w:val="22"/>
          <w:szCs w:val="22"/>
        </w:rPr>
        <w:t xml:space="preserve">+ </w:t>
      </w:r>
      <w:r w:rsidRPr="1A5FAAE7">
        <w:rPr>
          <w:rFonts w:asciiTheme="minorHAnsi" w:hAnsiTheme="minorHAnsi" w:cstheme="minorBidi"/>
          <w:i/>
          <w:iCs/>
          <w:sz w:val="22"/>
          <w:szCs w:val="22"/>
        </w:rPr>
        <w:t xml:space="preserve"> -</w:t>
      </w:r>
      <w:proofErr w:type="gramEnd"/>
      <w:r w:rsidRPr="1A5FAAE7">
        <w:rPr>
          <w:rFonts w:asciiTheme="minorHAnsi" w:hAnsiTheme="minorHAnsi" w:cstheme="minorBidi"/>
          <w:i/>
          <w:iCs/>
          <w:sz w:val="22"/>
          <w:szCs w:val="22"/>
        </w:rPr>
        <w:t xml:space="preserve"> cca </w:t>
      </w:r>
      <w:r w:rsidR="00237BC2" w:rsidRPr="1A5FAAE7">
        <w:rPr>
          <w:rFonts w:asciiTheme="minorHAnsi" w:hAnsiTheme="minorHAnsi" w:cstheme="minorBidi"/>
          <w:i/>
          <w:iCs/>
          <w:sz w:val="22"/>
          <w:szCs w:val="22"/>
        </w:rPr>
        <w:t>27</w:t>
      </w:r>
      <w:r w:rsidRPr="1A5FAAE7">
        <w:rPr>
          <w:rFonts w:asciiTheme="minorHAnsi" w:hAnsiTheme="minorHAnsi" w:cstheme="minorBidi"/>
          <w:i/>
          <w:iCs/>
          <w:sz w:val="22"/>
          <w:szCs w:val="22"/>
        </w:rPr>
        <w:t xml:space="preserve"> mil. Kč na 1 projekt v</w:t>
      </w:r>
      <w:r w:rsidR="003C06FA">
        <w:rPr>
          <w:rFonts w:asciiTheme="minorHAnsi" w:hAnsiTheme="minorHAnsi" w:cstheme="minorBidi"/>
          <w:i/>
          <w:iCs/>
          <w:sz w:val="22"/>
          <w:szCs w:val="22"/>
        </w:rPr>
        <w:t> </w:t>
      </w:r>
      <w:r w:rsidRPr="1A5FAAE7">
        <w:rPr>
          <w:rFonts w:asciiTheme="minorHAnsi" w:hAnsiTheme="minorHAnsi" w:cstheme="minorBidi"/>
          <w:i/>
          <w:iCs/>
          <w:sz w:val="22"/>
          <w:szCs w:val="22"/>
        </w:rPr>
        <w:t>oblasti kybernetické bezpečnosti</w:t>
      </w:r>
    </w:p>
    <w:p w14:paraId="4399DA96" w14:textId="77777777" w:rsidR="00081252" w:rsidRPr="00751110" w:rsidRDefault="00081252" w:rsidP="00081252">
      <w:pPr>
        <w:pStyle w:val="K-TextInfo"/>
        <w:spacing w:before="240" w:after="0"/>
        <w:ind w:left="720"/>
        <w:rPr>
          <w:rFonts w:asciiTheme="minorHAnsi" w:hAnsiTheme="minorHAnsi" w:cstheme="minorHAnsi"/>
          <w:b/>
          <w:bCs/>
          <w:noProof/>
          <w:sz w:val="22"/>
          <w:szCs w:val="22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38"/>
        <w:gridCol w:w="3790"/>
      </w:tblGrid>
      <w:tr w:rsidR="00081252" w:rsidRPr="00751110" w14:paraId="16949948" w14:textId="77777777" w:rsidTr="00081252">
        <w:trPr>
          <w:trHeight w:val="255"/>
          <w:jc w:val="center"/>
        </w:trPr>
        <w:tc>
          <w:tcPr>
            <w:tcW w:w="3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63782D" w14:textId="2EB6E8C4" w:rsidR="00081252" w:rsidRPr="00751110" w:rsidRDefault="0008125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cs-CZ"/>
              </w:rPr>
            </w:pPr>
            <w:r w:rsidRPr="00751110">
              <w:rPr>
                <w:rFonts w:eastAsia="Times New Roman" w:cstheme="minorHAnsi"/>
                <w:b/>
                <w:color w:val="000000"/>
                <w:lang w:eastAsia="cs-CZ"/>
              </w:rPr>
              <w:t>IROP+ výzvy 3 a</w:t>
            </w:r>
            <w:r w:rsidR="003C06FA">
              <w:rPr>
                <w:rFonts w:eastAsia="Times New Roman" w:cstheme="minorHAnsi"/>
                <w:b/>
                <w:color w:val="000000"/>
                <w:lang w:eastAsia="cs-CZ"/>
              </w:rPr>
              <w:t> </w:t>
            </w:r>
            <w:r w:rsidRPr="00751110">
              <w:rPr>
                <w:rFonts w:eastAsia="Times New Roman" w:cstheme="minorHAnsi"/>
                <w:b/>
                <w:color w:val="000000"/>
                <w:lang w:eastAsia="cs-CZ"/>
              </w:rPr>
              <w:t>4 – stav k</w:t>
            </w:r>
            <w:r w:rsidR="003C06FA">
              <w:rPr>
                <w:rFonts w:eastAsia="Times New Roman" w:cstheme="minorHAnsi"/>
                <w:b/>
                <w:color w:val="000000"/>
                <w:lang w:eastAsia="cs-CZ"/>
              </w:rPr>
              <w:t> </w:t>
            </w:r>
            <w:r w:rsidRPr="00751110">
              <w:rPr>
                <w:rFonts w:eastAsia="Times New Roman" w:cstheme="minorHAnsi"/>
                <w:b/>
                <w:color w:val="000000"/>
                <w:lang w:eastAsia="cs-CZ"/>
              </w:rPr>
              <w:t>únoru 23</w:t>
            </w:r>
          </w:p>
        </w:tc>
        <w:tc>
          <w:tcPr>
            <w:tcW w:w="19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05F4FF" w14:textId="77777777" w:rsidR="00081252" w:rsidRPr="00751110" w:rsidRDefault="00081252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cs-CZ"/>
              </w:rPr>
            </w:pPr>
            <w:r w:rsidRPr="00751110">
              <w:rPr>
                <w:rFonts w:eastAsia="Times New Roman" w:cstheme="minorHAnsi"/>
                <w:b/>
                <w:color w:val="000000"/>
                <w:lang w:eastAsia="cs-CZ"/>
              </w:rPr>
              <w:t>Celkem</w:t>
            </w:r>
          </w:p>
        </w:tc>
      </w:tr>
      <w:tr w:rsidR="00081252" w:rsidRPr="00751110" w14:paraId="6300D9CC" w14:textId="77777777" w:rsidTr="00081252">
        <w:trPr>
          <w:trHeight w:val="510"/>
          <w:jc w:val="center"/>
        </w:trPr>
        <w:tc>
          <w:tcPr>
            <w:tcW w:w="30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91B4F" w14:textId="0B0A6854" w:rsidR="00081252" w:rsidRPr="00751110" w:rsidRDefault="000812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751110">
              <w:rPr>
                <w:rFonts w:eastAsia="Times New Roman" w:cstheme="minorHAnsi"/>
                <w:color w:val="000000"/>
                <w:lang w:eastAsia="cs-CZ"/>
              </w:rPr>
              <w:t>Celkem podaných žádostí o</w:t>
            </w:r>
            <w:r w:rsidR="003C06FA">
              <w:rPr>
                <w:rFonts w:eastAsia="Times New Roman" w:cstheme="minorHAnsi"/>
                <w:color w:val="000000"/>
                <w:lang w:eastAsia="cs-CZ"/>
              </w:rPr>
              <w:t> </w:t>
            </w:r>
            <w:r w:rsidRPr="00751110">
              <w:rPr>
                <w:rFonts w:eastAsia="Times New Roman" w:cstheme="minorHAnsi"/>
                <w:color w:val="000000"/>
                <w:lang w:eastAsia="cs-CZ"/>
              </w:rPr>
              <w:t>podporu</w:t>
            </w:r>
          </w:p>
        </w:tc>
        <w:tc>
          <w:tcPr>
            <w:tcW w:w="1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9A08C" w14:textId="77777777" w:rsidR="00081252" w:rsidRPr="00751110" w:rsidRDefault="000812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751110">
              <w:rPr>
                <w:rFonts w:eastAsia="Times New Roman" w:cstheme="minorHAnsi"/>
                <w:color w:val="000000"/>
                <w:lang w:eastAsia="cs-CZ"/>
              </w:rPr>
              <w:t>244</w:t>
            </w:r>
          </w:p>
        </w:tc>
      </w:tr>
      <w:tr w:rsidR="00081252" w:rsidRPr="00751110" w14:paraId="77E2624D" w14:textId="77777777" w:rsidTr="00081252">
        <w:trPr>
          <w:trHeight w:val="510"/>
          <w:jc w:val="center"/>
        </w:trPr>
        <w:tc>
          <w:tcPr>
            <w:tcW w:w="30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05721" w14:textId="77777777" w:rsidR="00081252" w:rsidRPr="00751110" w:rsidRDefault="000812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751110">
              <w:rPr>
                <w:rFonts w:eastAsia="Times New Roman" w:cstheme="minorHAnsi"/>
                <w:color w:val="000000"/>
                <w:lang w:eastAsia="cs-CZ"/>
              </w:rPr>
              <w:t xml:space="preserve">Celková výše požadovaného příspěvku </w:t>
            </w:r>
          </w:p>
        </w:tc>
        <w:tc>
          <w:tcPr>
            <w:tcW w:w="1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0B55AB" w14:textId="77777777" w:rsidR="00081252" w:rsidRPr="00751110" w:rsidRDefault="000812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751110">
              <w:rPr>
                <w:rFonts w:eastAsia="Times New Roman" w:cstheme="minorHAnsi"/>
                <w:color w:val="000000"/>
                <w:lang w:eastAsia="cs-CZ"/>
              </w:rPr>
              <w:t>6 572 631 468,31 Kč</w:t>
            </w:r>
          </w:p>
        </w:tc>
      </w:tr>
      <w:tr w:rsidR="00081252" w:rsidRPr="00751110" w14:paraId="48A1E647" w14:textId="77777777" w:rsidTr="00081252">
        <w:trPr>
          <w:trHeight w:val="510"/>
          <w:jc w:val="center"/>
        </w:trPr>
        <w:tc>
          <w:tcPr>
            <w:tcW w:w="30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2145E" w14:textId="77777777" w:rsidR="00081252" w:rsidRPr="00751110" w:rsidRDefault="000812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751110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Průměrná výše požadovaného příspěvku</w:t>
            </w:r>
          </w:p>
        </w:tc>
        <w:tc>
          <w:tcPr>
            <w:tcW w:w="19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41F4E" w14:textId="77777777" w:rsidR="00081252" w:rsidRPr="00751110" w:rsidRDefault="0008125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cs-CZ"/>
              </w:rPr>
            </w:pPr>
            <w:r w:rsidRPr="00751110">
              <w:rPr>
                <w:rFonts w:eastAsia="Times New Roman" w:cstheme="minorHAnsi"/>
                <w:b/>
                <w:bCs/>
                <w:color w:val="000000"/>
                <w:lang w:eastAsia="cs-CZ"/>
              </w:rPr>
              <w:t>26 937 014,21 Kč</w:t>
            </w:r>
          </w:p>
        </w:tc>
      </w:tr>
    </w:tbl>
    <w:p w14:paraId="060BFDD9" w14:textId="4D75C669" w:rsidR="00081252" w:rsidRPr="00751110" w:rsidRDefault="00081252" w:rsidP="00081252">
      <w:pPr>
        <w:pStyle w:val="K-TextInfo"/>
        <w:numPr>
          <w:ilvl w:val="0"/>
          <w:numId w:val="17"/>
        </w:numPr>
        <w:spacing w:before="240" w:after="0"/>
        <w:rPr>
          <w:rFonts w:asciiTheme="minorHAnsi" w:hAnsiTheme="minorHAnsi" w:cstheme="minorHAnsi"/>
          <w:b/>
          <w:bCs/>
          <w:noProof/>
          <w:color w:val="2196FF" w:themeColor="text2" w:themeTint="99"/>
          <w:sz w:val="22"/>
          <w:szCs w:val="22"/>
        </w:rPr>
      </w:pPr>
      <w:r w:rsidRPr="00751110">
        <w:rPr>
          <w:rFonts w:asciiTheme="minorHAnsi" w:hAnsiTheme="minorHAnsi" w:cstheme="minorHAnsi"/>
          <w:i/>
          <w:iCs/>
          <w:sz w:val="22"/>
          <w:szCs w:val="22"/>
        </w:rPr>
        <w:t>výsledků průzkumu absorpční kapacity mezi subjekty z</w:t>
      </w:r>
      <w:r w:rsidR="003C06FA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751110">
        <w:rPr>
          <w:rFonts w:asciiTheme="minorHAnsi" w:hAnsiTheme="minorHAnsi" w:cstheme="minorHAnsi"/>
          <w:i/>
          <w:iCs/>
          <w:sz w:val="22"/>
          <w:szCs w:val="22"/>
        </w:rPr>
        <w:t>oblasti zdravotnictví a</w:t>
      </w:r>
      <w:r w:rsidR="003C06FA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751110">
        <w:rPr>
          <w:rFonts w:asciiTheme="minorHAnsi" w:hAnsiTheme="minorHAnsi" w:cstheme="minorHAnsi"/>
          <w:i/>
          <w:iCs/>
          <w:sz w:val="22"/>
          <w:szCs w:val="22"/>
        </w:rPr>
        <w:t>dopravy</w:t>
      </w:r>
    </w:p>
    <w:p w14:paraId="15162F53" w14:textId="5480C65A" w:rsidR="00081252" w:rsidRPr="00751110" w:rsidRDefault="00081252" w:rsidP="00081252">
      <w:pPr>
        <w:pStyle w:val="K-TextInfo"/>
        <w:numPr>
          <w:ilvl w:val="0"/>
          <w:numId w:val="17"/>
        </w:numPr>
        <w:spacing w:before="240" w:after="0"/>
        <w:rPr>
          <w:rFonts w:asciiTheme="minorHAnsi" w:hAnsiTheme="minorHAnsi" w:cstheme="minorHAnsi"/>
          <w:b/>
          <w:bCs/>
          <w:noProof/>
          <w:sz w:val="22"/>
          <w:szCs w:val="22"/>
        </w:rPr>
      </w:pPr>
      <w:r w:rsidRPr="00751110">
        <w:rPr>
          <w:rFonts w:asciiTheme="minorHAnsi" w:hAnsiTheme="minorHAnsi" w:cstheme="minorHAnsi"/>
          <w:i/>
          <w:iCs/>
          <w:sz w:val="22"/>
          <w:szCs w:val="22"/>
        </w:rPr>
        <w:t>převisu poptávky po finančních zdrojích v</w:t>
      </w:r>
      <w:r w:rsidR="003C06FA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751110">
        <w:rPr>
          <w:rFonts w:asciiTheme="minorHAnsi" w:hAnsiTheme="minorHAnsi" w:cstheme="minorHAnsi"/>
          <w:i/>
          <w:iCs/>
          <w:sz w:val="22"/>
          <w:szCs w:val="22"/>
        </w:rPr>
        <w:t>rámci výzev IROP+ (očištěno o</w:t>
      </w:r>
      <w:r w:rsidR="003C06FA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751110">
        <w:rPr>
          <w:rFonts w:asciiTheme="minorHAnsi" w:hAnsiTheme="minorHAnsi" w:cstheme="minorHAnsi"/>
          <w:i/>
          <w:iCs/>
          <w:sz w:val="22"/>
          <w:szCs w:val="22"/>
        </w:rPr>
        <w:t>subjekty z</w:t>
      </w:r>
      <w:r w:rsidR="003C06FA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751110">
        <w:rPr>
          <w:rFonts w:asciiTheme="minorHAnsi" w:hAnsiTheme="minorHAnsi" w:cstheme="minorHAnsi"/>
          <w:i/>
          <w:iCs/>
          <w:sz w:val="22"/>
          <w:szCs w:val="22"/>
        </w:rPr>
        <w:t>oblasti zdravotnictví a</w:t>
      </w:r>
      <w:r w:rsidR="003C06FA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751110">
        <w:rPr>
          <w:rFonts w:asciiTheme="minorHAnsi" w:hAnsiTheme="minorHAnsi" w:cstheme="minorHAnsi"/>
          <w:i/>
          <w:iCs/>
          <w:sz w:val="22"/>
          <w:szCs w:val="22"/>
        </w:rPr>
        <w:t>dopravy)</w:t>
      </w:r>
    </w:p>
    <w:p w14:paraId="0F222D31" w14:textId="00CE984F" w:rsidR="00081252" w:rsidRPr="00751110" w:rsidRDefault="00081252" w:rsidP="00081252">
      <w:pPr>
        <w:pStyle w:val="K-TextInfo"/>
        <w:numPr>
          <w:ilvl w:val="1"/>
          <w:numId w:val="17"/>
        </w:numPr>
        <w:spacing w:before="240" w:after="0"/>
        <w:rPr>
          <w:rFonts w:asciiTheme="minorHAnsi" w:hAnsiTheme="minorHAnsi" w:cstheme="minorHAnsi"/>
          <w:sz w:val="22"/>
          <w:szCs w:val="22"/>
        </w:rPr>
      </w:pPr>
      <w:r w:rsidRPr="00751110">
        <w:rPr>
          <w:rFonts w:asciiTheme="minorHAnsi" w:hAnsiTheme="minorHAnsi" w:cstheme="minorHAnsi"/>
          <w:i/>
          <w:iCs/>
          <w:sz w:val="22"/>
          <w:szCs w:val="22"/>
        </w:rPr>
        <w:t>celkem podáno několik desítek projektů v</w:t>
      </w:r>
      <w:r w:rsidR="003C06FA">
        <w:rPr>
          <w:rFonts w:asciiTheme="minorHAnsi" w:hAnsiTheme="minorHAnsi" w:cstheme="minorHAnsi"/>
          <w:i/>
          <w:iCs/>
          <w:sz w:val="22"/>
          <w:szCs w:val="22"/>
        </w:rPr>
        <w:t> </w:t>
      </w:r>
      <w:r w:rsidRPr="00751110">
        <w:rPr>
          <w:rFonts w:asciiTheme="minorHAnsi" w:hAnsiTheme="minorHAnsi" w:cstheme="minorHAnsi"/>
          <w:i/>
          <w:iCs/>
          <w:sz w:val="22"/>
          <w:szCs w:val="22"/>
        </w:rPr>
        <w:t>hodnotě 1,69 mld. Kč</w:t>
      </w:r>
    </w:p>
    <w:p w14:paraId="2D2C6075" w14:textId="6C9FEC3F" w:rsidR="00081252" w:rsidRPr="00751110" w:rsidRDefault="00081252" w:rsidP="00081252">
      <w:pPr>
        <w:spacing w:before="240" w:after="0" w:line="240" w:lineRule="auto"/>
        <w:jc w:val="both"/>
        <w:rPr>
          <w:rFonts w:eastAsiaTheme="minorEastAsia" w:cstheme="minorHAnsi"/>
          <w:b/>
          <w:bCs/>
          <w:noProof/>
          <w:color w:val="000000" w:themeColor="text1"/>
        </w:rPr>
      </w:pPr>
      <w:r w:rsidRPr="00751110">
        <w:rPr>
          <w:rFonts w:eastAsiaTheme="minorEastAsia" w:cstheme="minorHAnsi"/>
          <w:b/>
          <w:bCs/>
          <w:noProof/>
        </w:rPr>
        <w:t>měnit v</w:t>
      </w:r>
      <w:r w:rsidR="003C06FA">
        <w:rPr>
          <w:rFonts w:eastAsiaTheme="minorEastAsia" w:cstheme="minorHAnsi"/>
          <w:b/>
          <w:bCs/>
          <w:noProof/>
        </w:rPr>
        <w:t> </w:t>
      </w:r>
      <w:r w:rsidRPr="00751110">
        <w:rPr>
          <w:rFonts w:eastAsiaTheme="minorEastAsia" w:cstheme="minorHAnsi"/>
          <w:b/>
          <w:bCs/>
          <w:noProof/>
        </w:rPr>
        <w:t>návaznosti s</w:t>
      </w:r>
      <w:r w:rsidR="003C06FA">
        <w:rPr>
          <w:rFonts w:eastAsiaTheme="minorEastAsia" w:cstheme="minorHAnsi"/>
          <w:b/>
          <w:bCs/>
          <w:noProof/>
        </w:rPr>
        <w:t> </w:t>
      </w:r>
      <w:r w:rsidRPr="00751110">
        <w:rPr>
          <w:rFonts w:eastAsiaTheme="minorEastAsia" w:cstheme="minorHAnsi"/>
          <w:b/>
          <w:bCs/>
          <w:noProof/>
        </w:rPr>
        <w:t>ohledem na aktuální kybernetické hrozby)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7"/>
        <w:gridCol w:w="1751"/>
        <w:gridCol w:w="2109"/>
        <w:gridCol w:w="2201"/>
      </w:tblGrid>
      <w:tr w:rsidR="00081252" w:rsidRPr="00751110" w14:paraId="0BFB9A83" w14:textId="2C068F3D" w:rsidTr="0FB71215">
        <w:trPr>
          <w:trHeight w:val="1020"/>
        </w:trPr>
        <w:tc>
          <w:tcPr>
            <w:tcW w:w="1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7D3010" w14:textId="42A00C83" w:rsidR="00081252" w:rsidRPr="00751110" w:rsidRDefault="00081252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751110">
              <w:rPr>
                <w:rFonts w:eastAsia="Times New Roman" w:cstheme="minorHAnsi"/>
                <w:color w:val="000000"/>
                <w:lang w:eastAsia="cs-CZ"/>
              </w:rPr>
              <w:t> 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99B32" w14:textId="322AA5BB" w:rsidR="00081252" w:rsidRPr="00751110" w:rsidRDefault="000812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751110">
              <w:rPr>
                <w:rFonts w:eastAsia="Times New Roman" w:cstheme="minorHAnsi"/>
                <w:color w:val="000000"/>
                <w:lang w:eastAsia="cs-CZ"/>
              </w:rPr>
              <w:t>předpokládaný počet podpořených projektů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3AEA6" w14:textId="0552E321" w:rsidR="00081252" w:rsidRPr="00751110" w:rsidRDefault="000812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751110">
              <w:rPr>
                <w:rFonts w:eastAsia="Times New Roman" w:cstheme="minorHAnsi"/>
                <w:color w:val="000000"/>
                <w:lang w:eastAsia="cs-CZ"/>
              </w:rPr>
              <w:t>průměrná výše finanční podpory na žádost (mil. Kč)</w:t>
            </w:r>
          </w:p>
        </w:tc>
        <w:tc>
          <w:tcPr>
            <w:tcW w:w="11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FD5D8" w14:textId="3542831B" w:rsidR="00081252" w:rsidRPr="00751110" w:rsidRDefault="000812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751110">
              <w:rPr>
                <w:rFonts w:eastAsia="Times New Roman" w:cstheme="minorHAnsi"/>
                <w:color w:val="000000"/>
                <w:lang w:eastAsia="cs-CZ"/>
              </w:rPr>
              <w:t>celková absorpční kapacita v</w:t>
            </w:r>
            <w:r w:rsidR="003C06FA">
              <w:rPr>
                <w:rFonts w:eastAsia="Times New Roman" w:cstheme="minorHAnsi"/>
                <w:color w:val="000000"/>
                <w:lang w:eastAsia="cs-CZ"/>
              </w:rPr>
              <w:t> </w:t>
            </w:r>
            <w:r w:rsidRPr="00751110">
              <w:rPr>
                <w:rFonts w:eastAsia="Times New Roman" w:cstheme="minorHAnsi"/>
                <w:color w:val="000000"/>
                <w:lang w:eastAsia="cs-CZ"/>
              </w:rPr>
              <w:t>mil. Kč</w:t>
            </w:r>
          </w:p>
        </w:tc>
      </w:tr>
      <w:tr w:rsidR="00081252" w:rsidRPr="00751110" w14:paraId="4AEF7583" w14:textId="5FE25E98" w:rsidTr="0FB71215">
        <w:trPr>
          <w:trHeight w:val="300"/>
        </w:trPr>
        <w:tc>
          <w:tcPr>
            <w:tcW w:w="18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C336F" w14:textId="1ADABF55" w:rsidR="00081252" w:rsidRPr="00751110" w:rsidRDefault="000812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751110">
              <w:rPr>
                <w:rFonts w:eastAsia="Times New Roman" w:cstheme="minorHAnsi"/>
                <w:color w:val="000000"/>
                <w:lang w:eastAsia="cs-CZ"/>
              </w:rPr>
              <w:t>Doprava</w:t>
            </w:r>
            <w:r w:rsidR="00B6014D">
              <w:rPr>
                <w:rFonts w:eastAsia="Times New Roman" w:cstheme="minorHAnsi"/>
                <w:color w:val="000000"/>
                <w:lang w:eastAsia="cs-CZ"/>
              </w:rPr>
              <w:t>, veřejná správa, zdravotnictví</w:t>
            </w: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DF0A8" w14:textId="4C1E08A7" w:rsidR="00081252" w:rsidRPr="00751110" w:rsidRDefault="4BCED7AD" w:rsidP="0FB71215">
            <w:pPr>
              <w:spacing w:after="0" w:line="240" w:lineRule="auto"/>
              <w:jc w:val="center"/>
            </w:pPr>
            <w:r w:rsidRPr="0FB71215">
              <w:rPr>
                <w:rFonts w:eastAsia="Times New Roman"/>
                <w:color w:val="000000" w:themeColor="text1"/>
                <w:lang w:eastAsia="cs-CZ"/>
              </w:rPr>
              <w:t>244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64AE1" w14:textId="15B8078C" w:rsidR="00081252" w:rsidRPr="00751110" w:rsidRDefault="000812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  <w:r w:rsidRPr="00751110">
              <w:rPr>
                <w:rFonts w:eastAsia="Times New Roman" w:cstheme="minorHAnsi"/>
                <w:color w:val="000000"/>
                <w:lang w:eastAsia="cs-CZ"/>
              </w:rPr>
              <w:t>27</w:t>
            </w: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D3584D" w14:textId="4FD09BA3" w:rsidR="00081252" w:rsidRPr="00751110" w:rsidRDefault="7CD54BFF" w:rsidP="0FB71215">
            <w:pPr>
              <w:spacing w:after="0" w:line="240" w:lineRule="auto"/>
              <w:jc w:val="center"/>
            </w:pPr>
            <w:r w:rsidRPr="0FB71215">
              <w:rPr>
                <w:rFonts w:eastAsia="Times New Roman"/>
                <w:color w:val="000000" w:themeColor="text1"/>
                <w:lang w:eastAsia="cs-CZ"/>
              </w:rPr>
              <w:t>6600</w:t>
            </w:r>
          </w:p>
        </w:tc>
      </w:tr>
    </w:tbl>
    <w:p w14:paraId="5EACC0C1" w14:textId="7D694EB1" w:rsidR="00946C5B" w:rsidRPr="00751110" w:rsidRDefault="00946C5B" w:rsidP="00946C5B">
      <w:pPr>
        <w:pStyle w:val="K-TextInfo"/>
        <w:spacing w:before="240" w:after="0"/>
        <w:rPr>
          <w:rFonts w:asciiTheme="minorHAnsi" w:hAnsiTheme="minorHAnsi" w:cstheme="minorHAnsi"/>
          <w:noProof/>
          <w:sz w:val="22"/>
          <w:szCs w:val="22"/>
        </w:rPr>
      </w:pPr>
      <w:r w:rsidRPr="00751110">
        <w:rPr>
          <w:rFonts w:asciiTheme="minorHAnsi" w:hAnsiTheme="minorHAnsi" w:cstheme="minorHAnsi"/>
          <w:noProof/>
          <w:sz w:val="22"/>
          <w:szCs w:val="22"/>
        </w:rPr>
        <w:t>Z dat IROP+ vyplývá, že v</w:t>
      </w:r>
      <w:r w:rsidR="003C06FA">
        <w:rPr>
          <w:rFonts w:asciiTheme="minorHAnsi" w:hAnsiTheme="minorHAnsi" w:cstheme="minorHAnsi"/>
          <w:noProof/>
          <w:sz w:val="22"/>
          <w:szCs w:val="22"/>
        </w:rPr>
        <w:t> </w:t>
      </w:r>
      <w:r w:rsidRPr="00751110">
        <w:rPr>
          <w:rFonts w:asciiTheme="minorHAnsi" w:hAnsiTheme="minorHAnsi" w:cstheme="minorHAnsi"/>
          <w:noProof/>
          <w:sz w:val="22"/>
          <w:szCs w:val="22"/>
        </w:rPr>
        <w:t>rámci jednoho projektu, který byl podán do výzev č. 3 a</w:t>
      </w:r>
      <w:r w:rsidR="003C06FA">
        <w:rPr>
          <w:rFonts w:asciiTheme="minorHAnsi" w:hAnsiTheme="minorHAnsi" w:cstheme="minorHAnsi"/>
          <w:noProof/>
          <w:sz w:val="22"/>
          <w:szCs w:val="22"/>
        </w:rPr>
        <w:t> </w:t>
      </w:r>
      <w:r w:rsidRPr="00751110">
        <w:rPr>
          <w:rFonts w:asciiTheme="minorHAnsi" w:hAnsiTheme="minorHAnsi" w:cstheme="minorHAnsi"/>
          <w:noProof/>
          <w:sz w:val="22"/>
          <w:szCs w:val="22"/>
        </w:rPr>
        <w:t xml:space="preserve">4 je posílen minimálně jeden informační systém dle principů kybernetické bezpečnosti.  </w:t>
      </w:r>
    </w:p>
    <w:p w14:paraId="45A43C3C" w14:textId="77777777" w:rsidR="00081252" w:rsidRPr="00751110" w:rsidRDefault="00081252" w:rsidP="00081252">
      <w:pPr>
        <w:pStyle w:val="K-TextInfo"/>
        <w:spacing w:before="240" w:after="0"/>
        <w:rPr>
          <w:rFonts w:asciiTheme="minorHAnsi" w:hAnsiTheme="minorHAnsi" w:cstheme="minorHAnsi"/>
          <w:b/>
          <w:bCs/>
          <w:noProof/>
          <w:color w:val="2196FF" w:themeColor="text2" w:themeTint="99"/>
          <w:sz w:val="22"/>
          <w:szCs w:val="22"/>
        </w:rPr>
      </w:pPr>
    </w:p>
    <w:p w14:paraId="48A7B5D8" w14:textId="77777777" w:rsidR="00081252" w:rsidRPr="00751110" w:rsidRDefault="00081252" w:rsidP="00081252">
      <w:pPr>
        <w:pStyle w:val="K-Nadpis1"/>
        <w:rPr>
          <w:rFonts w:asciiTheme="minorHAnsi" w:eastAsia="Calibri" w:hAnsiTheme="minorHAnsi" w:cstheme="minorHAnsi"/>
          <w:sz w:val="22"/>
          <w:szCs w:val="22"/>
        </w:rPr>
      </w:pPr>
      <w:r w:rsidRPr="00751110">
        <w:rPr>
          <w:rFonts w:asciiTheme="minorHAnsi" w:eastAsia="Calibri" w:hAnsiTheme="minorHAnsi" w:cstheme="minorHAnsi"/>
          <w:sz w:val="22"/>
          <w:szCs w:val="22"/>
        </w:rPr>
        <w:t>11. Další EU zdroje financování</w:t>
      </w:r>
    </w:p>
    <w:p w14:paraId="64F7F675" w14:textId="1023AFF2" w:rsidR="00081252" w:rsidRPr="00751110" w:rsidRDefault="00081252" w:rsidP="00081252">
      <w:pPr>
        <w:spacing w:before="120" w:after="200" w:line="276" w:lineRule="auto"/>
        <w:jc w:val="both"/>
        <w:rPr>
          <w:rFonts w:cstheme="minorHAnsi"/>
        </w:rPr>
      </w:pPr>
      <w:r w:rsidRPr="00751110">
        <w:rPr>
          <w:rFonts w:cstheme="minorHAnsi"/>
        </w:rPr>
        <w:t>Vedle zde řešené investice „</w:t>
      </w:r>
      <w:proofErr w:type="gramStart"/>
      <w:r w:rsidRPr="00751110">
        <w:rPr>
          <w:rFonts w:cstheme="minorHAnsi"/>
        </w:rPr>
        <w:t>K</w:t>
      </w:r>
      <w:proofErr w:type="gramEnd"/>
      <w:r w:rsidRPr="00751110">
        <w:rPr>
          <w:rFonts w:cstheme="minorHAnsi"/>
        </w:rPr>
        <w:t xml:space="preserve"> kybernetická bezpečnost“ v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Národním plánu obnovy je k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dispozici i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další finanční zdroj – konkrétně Integrovaný regionální operační program (IROP), který je v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 xml:space="preserve">gesci Ministerstva pro </w:t>
      </w:r>
      <w:r w:rsidRPr="00751110">
        <w:rPr>
          <w:rFonts w:cstheme="minorHAnsi"/>
        </w:rPr>
        <w:lastRenderedPageBreak/>
        <w:t>místní rozvoj. IROP vyhlásil celkem 3 výzvy na zajištění kybernetické bezpečnosti, přičemž 2 z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nich mají převis poptávky po finančních zdrojích oproti disponibilním prostředkům ve výši 3 mld. Kč</w:t>
      </w:r>
      <w:r w:rsidRPr="00751110">
        <w:rPr>
          <w:rStyle w:val="Znakapoznpodarou"/>
          <w:rFonts w:cstheme="minorHAnsi"/>
        </w:rPr>
        <w:footnoteReference w:id="7"/>
      </w:r>
    </w:p>
    <w:p w14:paraId="17B6E24A" w14:textId="7AA3F1D0" w:rsidR="00081252" w:rsidRPr="00751110" w:rsidRDefault="00081252" w:rsidP="00081252">
      <w:pPr>
        <w:spacing w:before="120" w:after="200" w:line="276" w:lineRule="auto"/>
        <w:jc w:val="both"/>
        <w:rPr>
          <w:rFonts w:cstheme="minorHAnsi"/>
        </w:rPr>
      </w:pPr>
      <w:r w:rsidRPr="00751110">
        <w:rPr>
          <w:rFonts w:cstheme="minorHAnsi"/>
        </w:rPr>
        <w:t>Jednou z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podmínek finanční podpory projektu z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prostředků NPO je nečerpání finanční podpory z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IROP z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uvedených výzev. Jinými slovy, subjekt, který byl úspěšný v</w:t>
      </w:r>
      <w:r w:rsidR="003C06FA">
        <w:rPr>
          <w:rFonts w:cstheme="minorHAnsi"/>
        </w:rPr>
        <w:t> </w:t>
      </w:r>
      <w:r w:rsidRPr="00751110">
        <w:rPr>
          <w:rFonts w:cstheme="minorHAnsi"/>
        </w:rPr>
        <w:t>rámci výzev IROP+, nemůže současně podávat žádost do výzev NPO.</w:t>
      </w:r>
    </w:p>
    <w:p w14:paraId="5E13E70E" w14:textId="77777777" w:rsidR="00081252" w:rsidRPr="00751110" w:rsidRDefault="00081252" w:rsidP="00081252">
      <w:pPr>
        <w:spacing w:before="240" w:after="0" w:line="240" w:lineRule="auto"/>
        <w:jc w:val="both"/>
        <w:rPr>
          <w:rFonts w:eastAsiaTheme="minorEastAsia" w:cstheme="minorHAnsi"/>
          <w:b/>
          <w:bCs/>
          <w:noProof/>
        </w:rPr>
      </w:pPr>
      <w:r w:rsidRPr="00751110">
        <w:rPr>
          <w:rFonts w:eastAsiaTheme="minorEastAsia" w:cstheme="minorHAnsi"/>
          <w:b/>
          <w:bCs/>
          <w:noProof/>
        </w:rPr>
        <w:t>Financování půjčkami:</w:t>
      </w:r>
    </w:p>
    <w:p w14:paraId="3C93EA70" w14:textId="1B53CA0A" w:rsidR="00081252" w:rsidRPr="00081252" w:rsidRDefault="00081252" w:rsidP="00081252">
      <w:pPr>
        <w:spacing w:before="120" w:after="0" w:line="240" w:lineRule="auto"/>
        <w:jc w:val="both"/>
        <w:rPr>
          <w:rFonts w:eastAsiaTheme="minorEastAsia" w:cstheme="minorHAnsi"/>
          <w:noProof/>
        </w:rPr>
      </w:pPr>
      <w:r w:rsidRPr="00751110">
        <w:rPr>
          <w:rFonts w:eastAsiaTheme="minorEastAsia" w:cstheme="minorHAnsi"/>
          <w:noProof/>
        </w:rPr>
        <w:t xml:space="preserve">Pokrytí dodatečného financování půjčkami se </w:t>
      </w:r>
      <w:r w:rsidR="00EA382D" w:rsidRPr="00751110">
        <w:rPr>
          <w:rFonts w:eastAsiaTheme="minorEastAsia" w:cstheme="minorHAnsi"/>
          <w:noProof/>
        </w:rPr>
        <w:t>předpokládá.</w:t>
      </w:r>
    </w:p>
    <w:p w14:paraId="1195A92D" w14:textId="77777777" w:rsidR="00081252" w:rsidRPr="00081252" w:rsidRDefault="00081252" w:rsidP="00081252">
      <w:pPr>
        <w:pStyle w:val="K-Nadpis2"/>
        <w:spacing w:before="120"/>
        <w:rPr>
          <w:rFonts w:asciiTheme="minorHAnsi" w:eastAsiaTheme="minorEastAsia" w:hAnsiTheme="minorHAnsi" w:cstheme="minorHAnsi"/>
          <w:sz w:val="22"/>
          <w:szCs w:val="22"/>
        </w:rPr>
      </w:pPr>
    </w:p>
    <w:bookmarkEnd w:id="0"/>
    <w:p w14:paraId="19D31E89" w14:textId="77777777" w:rsidR="00081252" w:rsidRPr="00081252" w:rsidRDefault="00081252" w:rsidP="00081252">
      <w:pPr>
        <w:rPr>
          <w:rFonts w:cstheme="minorHAnsi"/>
        </w:rPr>
      </w:pPr>
    </w:p>
    <w:sectPr w:rsidR="00081252" w:rsidRPr="00081252" w:rsidSect="00CC5E40"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024E2" w14:textId="77777777" w:rsidR="00CD1041" w:rsidRDefault="00CD1041" w:rsidP="00677FE0">
      <w:pPr>
        <w:spacing w:after="0" w:line="240" w:lineRule="auto"/>
      </w:pPr>
      <w:r>
        <w:separator/>
      </w:r>
    </w:p>
  </w:endnote>
  <w:endnote w:type="continuationSeparator" w:id="0">
    <w:p w14:paraId="1976373A" w14:textId="77777777" w:rsidR="00CD1041" w:rsidRDefault="00CD1041" w:rsidP="00677FE0">
      <w:pPr>
        <w:spacing w:after="0" w:line="240" w:lineRule="auto"/>
      </w:pPr>
      <w:r>
        <w:continuationSeparator/>
      </w:r>
    </w:p>
  </w:endnote>
  <w:endnote w:type="continuationNotice" w:id="1">
    <w:p w14:paraId="6CE06762" w14:textId="77777777" w:rsidR="00CD1041" w:rsidRDefault="00CD104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(Body)">
    <w:altName w:val="Arial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C5BDB" w14:textId="77777777" w:rsidR="003C06FA" w:rsidRPr="003C06FA" w:rsidRDefault="003C06FA">
    <w:pPr>
      <w:pStyle w:val="Zpat"/>
      <w:jc w:val="center"/>
      <w:rPr>
        <w:caps/>
      </w:rPr>
    </w:pPr>
    <w:r w:rsidRPr="003C06FA">
      <w:rPr>
        <w:caps/>
      </w:rPr>
      <w:fldChar w:fldCharType="begin"/>
    </w:r>
    <w:r w:rsidRPr="003C06FA">
      <w:rPr>
        <w:caps/>
      </w:rPr>
      <w:instrText>PAGE   \* MERGEFORMAT</w:instrText>
    </w:r>
    <w:r w:rsidRPr="003C06FA">
      <w:rPr>
        <w:caps/>
      </w:rPr>
      <w:fldChar w:fldCharType="separate"/>
    </w:r>
    <w:r w:rsidRPr="003C06FA">
      <w:rPr>
        <w:caps/>
      </w:rPr>
      <w:t>2</w:t>
    </w:r>
    <w:r w:rsidRPr="003C06FA">
      <w:rPr>
        <w:caps/>
      </w:rPr>
      <w:fldChar w:fldCharType="end"/>
    </w:r>
  </w:p>
  <w:p w14:paraId="2CE844E7" w14:textId="77777777" w:rsidR="003C06FA" w:rsidRDefault="003C06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12D28B" w14:textId="77777777" w:rsidR="00CD1041" w:rsidRDefault="00CD1041" w:rsidP="00677FE0">
      <w:pPr>
        <w:spacing w:after="0" w:line="240" w:lineRule="auto"/>
      </w:pPr>
      <w:r>
        <w:separator/>
      </w:r>
    </w:p>
  </w:footnote>
  <w:footnote w:type="continuationSeparator" w:id="0">
    <w:p w14:paraId="1EDE39B8" w14:textId="77777777" w:rsidR="00CD1041" w:rsidRDefault="00CD1041" w:rsidP="00677FE0">
      <w:pPr>
        <w:spacing w:after="0" w:line="240" w:lineRule="auto"/>
      </w:pPr>
      <w:r>
        <w:continuationSeparator/>
      </w:r>
    </w:p>
  </w:footnote>
  <w:footnote w:type="continuationNotice" w:id="1">
    <w:p w14:paraId="4A434135" w14:textId="77777777" w:rsidR="00CD1041" w:rsidRDefault="00CD1041">
      <w:pPr>
        <w:spacing w:after="0" w:line="240" w:lineRule="auto"/>
      </w:pPr>
    </w:p>
  </w:footnote>
  <w:footnote w:id="2">
    <w:p w14:paraId="55FA89C7" w14:textId="77777777" w:rsidR="00610458" w:rsidRDefault="00610458" w:rsidP="0008125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" w:history="1">
        <w:r>
          <w:rPr>
            <w:rStyle w:val="Hypertextovodkaz"/>
          </w:rPr>
          <w:t>Národní úřad pro kybernetickou a informační bezpečnost - Zprávy o stavu KB (nukib.cz)</w:t>
        </w:r>
      </w:hyperlink>
    </w:p>
  </w:footnote>
  <w:footnote w:id="3">
    <w:p w14:paraId="07847C60" w14:textId="77777777" w:rsidR="00610458" w:rsidRDefault="00610458" w:rsidP="0008125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2" w:history="1">
        <w:r>
          <w:rPr>
            <w:rStyle w:val="Hypertextovodkaz"/>
          </w:rPr>
          <w:t>Národní úřad pro kybernetickou a informační bezpečnost - Kybernetické incidenty pohledem NÚKIB - leden 2023 (nukib.cz)</w:t>
        </w:r>
      </w:hyperlink>
    </w:p>
  </w:footnote>
  <w:footnote w:id="4">
    <w:p w14:paraId="00A423A1" w14:textId="77777777" w:rsidR="00610458" w:rsidRDefault="00610458" w:rsidP="0008125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3" w:history="1">
        <w:r>
          <w:rPr>
            <w:rStyle w:val="Hypertextovodkaz"/>
          </w:rPr>
          <w:t>IROP - Ministerstvo pro místní rozvoj ČR - Seznam projektů ve 3. a 4. výzvě Kybernetická bezpečnost IROP ve stavu hodnocení k 1. 2. 2023 (mmr.cz)</w:t>
        </w:r>
      </w:hyperlink>
    </w:p>
  </w:footnote>
  <w:footnote w:id="5">
    <w:p w14:paraId="33F7862B" w14:textId="77777777" w:rsidR="00610458" w:rsidRDefault="00610458" w:rsidP="0008125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4" w:history="1">
        <w:r>
          <w:rPr>
            <w:rStyle w:val="Hypertextovodkaz"/>
          </w:rPr>
          <w:t>Národní úřad pro kybernetickou a informační bezpečnost - Strategie / Akční plán (nukib.cz)</w:t>
        </w:r>
      </w:hyperlink>
    </w:p>
  </w:footnote>
  <w:footnote w:id="6">
    <w:p w14:paraId="0ACE19A3" w14:textId="77777777" w:rsidR="00610458" w:rsidRDefault="00610458" w:rsidP="0008125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5" w:history="1">
        <w:r>
          <w:rPr>
            <w:rStyle w:val="Hypertextovodkaz"/>
          </w:rPr>
          <w:t>IROP - Ministerstvo pro místní rozvoj ČR - Seznam projektů ve 3. a 4. výzvě Kybernetická bezpečnost IROP ve stavu hodnocení k 1. 2. 2023 (mmr.cz)</w:t>
        </w:r>
      </w:hyperlink>
    </w:p>
  </w:footnote>
  <w:footnote w:id="7">
    <w:p w14:paraId="34571B6A" w14:textId="77777777" w:rsidR="00610458" w:rsidRDefault="00610458" w:rsidP="0008125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6" w:history="1">
        <w:r>
          <w:rPr>
            <w:rStyle w:val="Hypertextovodkaz"/>
          </w:rPr>
          <w:t>IROP - Ministerstvo pro místní rozvoj ČR - Seznam projektů ve 3. a 4. výzvě Kybernetická bezpečnost IROP ve stavu hodnocení k 1. 2. 2023 (mmr.cz)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41A20"/>
    <w:multiLevelType w:val="hybridMultilevel"/>
    <w:tmpl w:val="014054BA"/>
    <w:lvl w:ilvl="0" w:tplc="273C7C2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2" w15:restartNumberingAfterBreak="0">
    <w:nsid w:val="0DA40C02"/>
    <w:multiLevelType w:val="hybridMultilevel"/>
    <w:tmpl w:val="C08E9E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316F8"/>
    <w:multiLevelType w:val="multilevel"/>
    <w:tmpl w:val="3320A8B2"/>
    <w:numStyleLink w:val="VariantaB-odrky"/>
  </w:abstractNum>
  <w:abstractNum w:abstractNumId="4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5" w15:restartNumberingAfterBreak="0">
    <w:nsid w:val="191872DA"/>
    <w:multiLevelType w:val="multilevel"/>
    <w:tmpl w:val="E8A48D7C"/>
    <w:numStyleLink w:val="VariantaA-sla"/>
  </w:abstractNum>
  <w:abstractNum w:abstractNumId="6" w15:restartNumberingAfterBreak="0">
    <w:nsid w:val="225F5A40"/>
    <w:multiLevelType w:val="hybridMultilevel"/>
    <w:tmpl w:val="76B0C9D0"/>
    <w:lvl w:ilvl="0" w:tplc="053C4C0A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9D6145"/>
    <w:multiLevelType w:val="hybridMultilevel"/>
    <w:tmpl w:val="8BFEFAA4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89A5EA2"/>
    <w:multiLevelType w:val="multilevel"/>
    <w:tmpl w:val="E8BAE50A"/>
    <w:numStyleLink w:val="VariantaA-odrky"/>
  </w:abstractNum>
  <w:abstractNum w:abstractNumId="9" w15:restartNumberingAfterBreak="0">
    <w:nsid w:val="2987618B"/>
    <w:multiLevelType w:val="hybridMultilevel"/>
    <w:tmpl w:val="D6FAB5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9A3961"/>
    <w:multiLevelType w:val="hybridMultilevel"/>
    <w:tmpl w:val="214CD4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13" w15:restartNumberingAfterBreak="0">
    <w:nsid w:val="5AF35F43"/>
    <w:multiLevelType w:val="multilevel"/>
    <w:tmpl w:val="0D8ABE32"/>
    <w:numStyleLink w:val="VariantaB-sla"/>
  </w:abstractNum>
  <w:abstractNum w:abstractNumId="14" w15:restartNumberingAfterBreak="0">
    <w:nsid w:val="5EC754C8"/>
    <w:multiLevelType w:val="hybridMultilevel"/>
    <w:tmpl w:val="EE96B050"/>
    <w:lvl w:ilvl="0" w:tplc="69A4116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F44069"/>
    <w:multiLevelType w:val="hybridMultilevel"/>
    <w:tmpl w:val="7F2C22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0E0F1A"/>
    <w:multiLevelType w:val="hybridMultilevel"/>
    <w:tmpl w:val="650ABA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5B50AB"/>
    <w:multiLevelType w:val="hybridMultilevel"/>
    <w:tmpl w:val="03F0588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1"/>
  </w:num>
  <w:num w:numId="5">
    <w:abstractNumId w:val="13"/>
  </w:num>
  <w:num w:numId="6">
    <w:abstractNumId w:val="8"/>
  </w:num>
  <w:num w:numId="7">
    <w:abstractNumId w:val="5"/>
  </w:num>
  <w:num w:numId="8">
    <w:abstractNumId w:val="3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</w:num>
  <w:num w:numId="15">
    <w:abstractNumId w:val="15"/>
  </w:num>
  <w:num w:numId="16">
    <w:abstractNumId w:val="6"/>
  </w:num>
  <w:num w:numId="17">
    <w:abstractNumId w:val="0"/>
  </w:num>
  <w:num w:numId="18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CAB"/>
    <w:rsid w:val="00015306"/>
    <w:rsid w:val="000206D8"/>
    <w:rsid w:val="0002468C"/>
    <w:rsid w:val="0002674B"/>
    <w:rsid w:val="0004162E"/>
    <w:rsid w:val="00042F53"/>
    <w:rsid w:val="0004786B"/>
    <w:rsid w:val="00063405"/>
    <w:rsid w:val="00070912"/>
    <w:rsid w:val="000809B9"/>
    <w:rsid w:val="00081252"/>
    <w:rsid w:val="00090B40"/>
    <w:rsid w:val="00095A0A"/>
    <w:rsid w:val="000B1B3D"/>
    <w:rsid w:val="000C4CAF"/>
    <w:rsid w:val="000E1FBC"/>
    <w:rsid w:val="00121485"/>
    <w:rsid w:val="001268B0"/>
    <w:rsid w:val="0014452B"/>
    <w:rsid w:val="0018051B"/>
    <w:rsid w:val="001B151D"/>
    <w:rsid w:val="001B1E4A"/>
    <w:rsid w:val="001D27C0"/>
    <w:rsid w:val="001E74C3"/>
    <w:rsid w:val="001F6937"/>
    <w:rsid w:val="00220DE3"/>
    <w:rsid w:val="00237BC2"/>
    <w:rsid w:val="00251DE1"/>
    <w:rsid w:val="0025290D"/>
    <w:rsid w:val="00260372"/>
    <w:rsid w:val="00262DAF"/>
    <w:rsid w:val="00271504"/>
    <w:rsid w:val="002746C7"/>
    <w:rsid w:val="00285AED"/>
    <w:rsid w:val="002B3506"/>
    <w:rsid w:val="002E2442"/>
    <w:rsid w:val="002F0E8C"/>
    <w:rsid w:val="00310FA0"/>
    <w:rsid w:val="00320481"/>
    <w:rsid w:val="003250CB"/>
    <w:rsid w:val="00363201"/>
    <w:rsid w:val="0038000E"/>
    <w:rsid w:val="0039063C"/>
    <w:rsid w:val="003A46A8"/>
    <w:rsid w:val="003A51AA"/>
    <w:rsid w:val="003B565A"/>
    <w:rsid w:val="003B7B3E"/>
    <w:rsid w:val="003C06FA"/>
    <w:rsid w:val="003D00A1"/>
    <w:rsid w:val="003E482B"/>
    <w:rsid w:val="0041427F"/>
    <w:rsid w:val="00446120"/>
    <w:rsid w:val="004509E5"/>
    <w:rsid w:val="00486FB9"/>
    <w:rsid w:val="00492C3B"/>
    <w:rsid w:val="004C212A"/>
    <w:rsid w:val="004C711B"/>
    <w:rsid w:val="004D73F3"/>
    <w:rsid w:val="00500232"/>
    <w:rsid w:val="00504668"/>
    <w:rsid w:val="00505075"/>
    <w:rsid w:val="00506895"/>
    <w:rsid w:val="00520B3C"/>
    <w:rsid w:val="005455E1"/>
    <w:rsid w:val="005502BD"/>
    <w:rsid w:val="00556787"/>
    <w:rsid w:val="00582276"/>
    <w:rsid w:val="005B3798"/>
    <w:rsid w:val="005C2560"/>
    <w:rsid w:val="005C531B"/>
    <w:rsid w:val="005D580D"/>
    <w:rsid w:val="005F0737"/>
    <w:rsid w:val="005F7585"/>
    <w:rsid w:val="00605759"/>
    <w:rsid w:val="0060614C"/>
    <w:rsid w:val="00610458"/>
    <w:rsid w:val="00650C6C"/>
    <w:rsid w:val="00652FE6"/>
    <w:rsid w:val="00667898"/>
    <w:rsid w:val="00677FE0"/>
    <w:rsid w:val="00682081"/>
    <w:rsid w:val="006A256C"/>
    <w:rsid w:val="006D04EF"/>
    <w:rsid w:val="006D78F8"/>
    <w:rsid w:val="006E2FB0"/>
    <w:rsid w:val="006E5646"/>
    <w:rsid w:val="007102D2"/>
    <w:rsid w:val="00713948"/>
    <w:rsid w:val="00751110"/>
    <w:rsid w:val="00753A27"/>
    <w:rsid w:val="007675BC"/>
    <w:rsid w:val="0079342A"/>
    <w:rsid w:val="007A1B75"/>
    <w:rsid w:val="007B4949"/>
    <w:rsid w:val="007E5CE9"/>
    <w:rsid w:val="007F0BC6"/>
    <w:rsid w:val="00831374"/>
    <w:rsid w:val="00844CAB"/>
    <w:rsid w:val="00857580"/>
    <w:rsid w:val="00865238"/>
    <w:rsid w:val="008667BF"/>
    <w:rsid w:val="008819E6"/>
    <w:rsid w:val="00895645"/>
    <w:rsid w:val="008A063F"/>
    <w:rsid w:val="008A7851"/>
    <w:rsid w:val="008C3782"/>
    <w:rsid w:val="008D0613"/>
    <w:rsid w:val="008D4A32"/>
    <w:rsid w:val="008D593A"/>
    <w:rsid w:val="008E32C6"/>
    <w:rsid w:val="008E7760"/>
    <w:rsid w:val="009010E0"/>
    <w:rsid w:val="00922001"/>
    <w:rsid w:val="00922C17"/>
    <w:rsid w:val="00942DDD"/>
    <w:rsid w:val="00946C5B"/>
    <w:rsid w:val="009516A8"/>
    <w:rsid w:val="0097705C"/>
    <w:rsid w:val="00995399"/>
    <w:rsid w:val="00995865"/>
    <w:rsid w:val="009C5616"/>
    <w:rsid w:val="009F393D"/>
    <w:rsid w:val="009F7F46"/>
    <w:rsid w:val="00A000BF"/>
    <w:rsid w:val="00A036D8"/>
    <w:rsid w:val="00A0587E"/>
    <w:rsid w:val="00A275BC"/>
    <w:rsid w:val="00A4204D"/>
    <w:rsid w:val="00A464B4"/>
    <w:rsid w:val="00A5706D"/>
    <w:rsid w:val="00A63D6B"/>
    <w:rsid w:val="00A84B52"/>
    <w:rsid w:val="00A8660F"/>
    <w:rsid w:val="00A95C48"/>
    <w:rsid w:val="00AA7056"/>
    <w:rsid w:val="00AB31C6"/>
    <w:rsid w:val="00AB523B"/>
    <w:rsid w:val="00AC5D25"/>
    <w:rsid w:val="00AD7E40"/>
    <w:rsid w:val="00B1477A"/>
    <w:rsid w:val="00B20993"/>
    <w:rsid w:val="00B42E96"/>
    <w:rsid w:val="00B50EE6"/>
    <w:rsid w:val="00B52185"/>
    <w:rsid w:val="00B6014D"/>
    <w:rsid w:val="00B9753A"/>
    <w:rsid w:val="00BB479C"/>
    <w:rsid w:val="00BC4720"/>
    <w:rsid w:val="00BD75A2"/>
    <w:rsid w:val="00BE766D"/>
    <w:rsid w:val="00C11A78"/>
    <w:rsid w:val="00C2017A"/>
    <w:rsid w:val="00C2026B"/>
    <w:rsid w:val="00C20470"/>
    <w:rsid w:val="00C2673B"/>
    <w:rsid w:val="00C34B2F"/>
    <w:rsid w:val="00C360A7"/>
    <w:rsid w:val="00C417E3"/>
    <w:rsid w:val="00C4641B"/>
    <w:rsid w:val="00C55501"/>
    <w:rsid w:val="00C6690E"/>
    <w:rsid w:val="00C703C5"/>
    <w:rsid w:val="00C805F2"/>
    <w:rsid w:val="00C83722"/>
    <w:rsid w:val="00C96EFE"/>
    <w:rsid w:val="00CB3414"/>
    <w:rsid w:val="00CC3D60"/>
    <w:rsid w:val="00CC5E40"/>
    <w:rsid w:val="00CD1041"/>
    <w:rsid w:val="00D1569F"/>
    <w:rsid w:val="00D20B1E"/>
    <w:rsid w:val="00D22462"/>
    <w:rsid w:val="00D230AC"/>
    <w:rsid w:val="00D32489"/>
    <w:rsid w:val="00D3349E"/>
    <w:rsid w:val="00D612DF"/>
    <w:rsid w:val="00D73CB8"/>
    <w:rsid w:val="00DA4544"/>
    <w:rsid w:val="00DA7591"/>
    <w:rsid w:val="00E32798"/>
    <w:rsid w:val="00E33CC8"/>
    <w:rsid w:val="00E51C91"/>
    <w:rsid w:val="00E667C1"/>
    <w:rsid w:val="00E90514"/>
    <w:rsid w:val="00EA382D"/>
    <w:rsid w:val="00EC3F88"/>
    <w:rsid w:val="00EC63D4"/>
    <w:rsid w:val="00ED36D8"/>
    <w:rsid w:val="00EE6BD7"/>
    <w:rsid w:val="00F0689D"/>
    <w:rsid w:val="00F82AB0"/>
    <w:rsid w:val="00FB01B5"/>
    <w:rsid w:val="00FB3386"/>
    <w:rsid w:val="00FB7903"/>
    <w:rsid w:val="00FC154D"/>
    <w:rsid w:val="00FE797B"/>
    <w:rsid w:val="0482D7BE"/>
    <w:rsid w:val="06CAFAAF"/>
    <w:rsid w:val="06E4230C"/>
    <w:rsid w:val="0866CB10"/>
    <w:rsid w:val="091DE8E5"/>
    <w:rsid w:val="09B554CC"/>
    <w:rsid w:val="0BE1A9DF"/>
    <w:rsid w:val="0D4FBEE1"/>
    <w:rsid w:val="0F568E0C"/>
    <w:rsid w:val="0FB71215"/>
    <w:rsid w:val="1071DCF5"/>
    <w:rsid w:val="144F3B14"/>
    <w:rsid w:val="14C0AD80"/>
    <w:rsid w:val="178AD87C"/>
    <w:rsid w:val="1884DC60"/>
    <w:rsid w:val="194FCD76"/>
    <w:rsid w:val="1A20ACC1"/>
    <w:rsid w:val="1A5FAAE7"/>
    <w:rsid w:val="1DB28C1E"/>
    <w:rsid w:val="200046F0"/>
    <w:rsid w:val="211ED356"/>
    <w:rsid w:val="2651FE0E"/>
    <w:rsid w:val="29AF9D21"/>
    <w:rsid w:val="2C1A7EAB"/>
    <w:rsid w:val="2E914D70"/>
    <w:rsid w:val="2EDB49E9"/>
    <w:rsid w:val="32D8438F"/>
    <w:rsid w:val="34E3C037"/>
    <w:rsid w:val="354ADADC"/>
    <w:rsid w:val="370418BC"/>
    <w:rsid w:val="398BBE8A"/>
    <w:rsid w:val="3B40A3DE"/>
    <w:rsid w:val="3F358521"/>
    <w:rsid w:val="415B4BE0"/>
    <w:rsid w:val="4BCED7AD"/>
    <w:rsid w:val="4D02E217"/>
    <w:rsid w:val="4D49C646"/>
    <w:rsid w:val="50446989"/>
    <w:rsid w:val="5789586D"/>
    <w:rsid w:val="595E0B60"/>
    <w:rsid w:val="59CD25C7"/>
    <w:rsid w:val="5C953DAF"/>
    <w:rsid w:val="60336A6E"/>
    <w:rsid w:val="64BCD351"/>
    <w:rsid w:val="650BF4C4"/>
    <w:rsid w:val="6615CEB0"/>
    <w:rsid w:val="6A2B0FCE"/>
    <w:rsid w:val="6D360ED9"/>
    <w:rsid w:val="75478284"/>
    <w:rsid w:val="79E73BF6"/>
    <w:rsid w:val="7A086357"/>
    <w:rsid w:val="7C83C49A"/>
    <w:rsid w:val="7C9B3A02"/>
    <w:rsid w:val="7CD54BFF"/>
    <w:rsid w:val="7EB69D71"/>
    <w:rsid w:val="7ED91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5F562"/>
  <w15:chartTrackingRefBased/>
  <w15:docId w15:val="{67083DF8-93F7-4EF7-ABB4-B6C3369A4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5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iPriority="10" w:unhideWhenUsed="1" w:qFormat="1"/>
    <w:lsdException w:name="List Bullet 4" w:semiHidden="1" w:uiPriority="10" w:unhideWhenUsed="1" w:qFormat="1"/>
    <w:lsdException w:name="List Bullet 5" w:semiHidden="1" w:uiPriority="10" w:unhideWhenUsed="1" w:qFormat="1"/>
    <w:lsdException w:name="List Number 2" w:uiPriority="15" w:qFormat="1"/>
    <w:lsdException w:name="List Number 3" w:uiPriority="15" w:qFormat="1"/>
    <w:lsdException w:name="List Number 4" w:uiPriority="15" w:qFormat="1"/>
    <w:lsdException w:name="List Number 5" w:uiPriority="15" w:qFormat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1" w:unhideWhenUsed="1"/>
    <w:lsdException w:name="Body Text Indent" w:semiHidden="1" w:uiPriority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iPriority="31" w:unhideWhenUsed="1"/>
    <w:lsdException w:name="Body Text First Indent" w:semiHidden="1" w:uiPriority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29" w:unhideWhenUsed="1"/>
    <w:lsdException w:name="Hyperlink" w:semiHidden="1" w:unhideWhenUsed="1"/>
    <w:lsdException w:name="FollowedHyperlink" w:semiHidden="1" w:uiPriority="34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7" w:qFormat="1"/>
    <w:lsdException w:name="Intense Quote" w:uiPriority="28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23" w:qFormat="1"/>
    <w:lsdException w:name="Intense Reference" w:uiPriority="24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6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44CAB"/>
    <w:pPr>
      <w:spacing w:after="160" w:line="259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Odrážky,Obrázek,_Odstavec se seznamem,Seznam - odrážky,List Paragraph compact,Normal bullet 2,Paragraphe de liste 2,Reference list,Bullet list,Paragraph,List Paragraph"/>
    <w:basedOn w:val="Normln"/>
    <w:link w:val="OdstavecseseznamemChar"/>
    <w:uiPriority w:val="34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4"/>
      </w:numPr>
    </w:pPr>
  </w:style>
  <w:style w:type="numbering" w:customStyle="1" w:styleId="VariantaB-sla">
    <w:name w:val="Varianta B - čísla"/>
    <w:uiPriority w:val="99"/>
    <w:rsid w:val="009F7F46"/>
    <w:pPr>
      <w:numPr>
        <w:numId w:val="3"/>
      </w:numPr>
    </w:pPr>
  </w:style>
  <w:style w:type="character" w:customStyle="1" w:styleId="Nadpis3Char">
    <w:name w:val="Nadpis 3 Char"/>
    <w:basedOn w:val="Standardnpsmoodstavce"/>
    <w:link w:val="Nadpis3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7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7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7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7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7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5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5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5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5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5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6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6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6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6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6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8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8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8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8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8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styleId="Textpoznpodarou">
    <w:name w:val="footnote text"/>
    <w:aliases w:val="pozn. pod čarou,Footnote text,Fußnotentextf,Schriftart: 9 pt,Schriftart: 10 pt,Schriftart: 8 pt,Char Char Char Char Char,Char Char Char Char,Char Char Char,Char3,Char Char,Text pozn. pod čarou1,Footnote Text Char1"/>
    <w:basedOn w:val="Normln"/>
    <w:link w:val="TextpoznpodarouChar"/>
    <w:uiPriority w:val="99"/>
    <w:unhideWhenUsed/>
    <w:qFormat/>
    <w:rsid w:val="00844CAB"/>
    <w:pPr>
      <w:spacing w:after="0" w:line="240" w:lineRule="auto"/>
      <w:jc w:val="both"/>
    </w:pPr>
    <w:rPr>
      <w:color w:val="000000" w:themeColor="text1"/>
      <w:sz w:val="20"/>
      <w:szCs w:val="20"/>
    </w:rPr>
  </w:style>
  <w:style w:type="character" w:customStyle="1" w:styleId="TextpoznpodarouChar">
    <w:name w:val="Text pozn. pod čarou Char"/>
    <w:aliases w:val="pozn. pod čarou Char,Footnote text Char,Fußnotentextf Char,Schriftart: 9 pt Char,Schriftart: 10 pt Char,Schriftart: 8 pt Char,Char Char Char Char Char Char,Char Char Char Char Char1,Char Char Char Char1,Char3 Char"/>
    <w:basedOn w:val="Standardnpsmoodstavce"/>
    <w:link w:val="Textpoznpodarou"/>
    <w:uiPriority w:val="99"/>
    <w:qFormat/>
    <w:rsid w:val="00844CAB"/>
    <w:rPr>
      <w:color w:val="000000" w:themeColor="text1"/>
      <w:sz w:val="20"/>
      <w:szCs w:val="20"/>
    </w:rPr>
  </w:style>
  <w:style w:type="character" w:styleId="Znakapoznpodarou">
    <w:name w:val="footnote reference"/>
    <w:aliases w:val="Footnote symbol,Footnote,BVI fnr,EN Footnote Reference,Footnote Reference Number,PGI Fußnote Ziffer,Footnote Reference Superscript,Appel note de bas de p,Appel note de bas de page,Légende,Char Car Car Car Car,Voetnootverwijzing,fr"/>
    <w:basedOn w:val="Standardnpsmoodstavce"/>
    <w:link w:val="FootnotesymbolCarZchn"/>
    <w:uiPriority w:val="99"/>
    <w:unhideWhenUsed/>
    <w:qFormat/>
    <w:rsid w:val="00844CAB"/>
    <w:rPr>
      <w:vertAlign w:val="superscript"/>
    </w:rPr>
  </w:style>
  <w:style w:type="paragraph" w:customStyle="1" w:styleId="FootnotesymbolCarZchn">
    <w:name w:val="Footnote symbol Car Zchn"/>
    <w:aliases w:val="Footnote Car Zchn,Times 10 Point Car Zchn,Exposant 3 Point Car Zchn,Footnote Reference Superscript Car Zchn,Char Char Char Char Char Car Zchn,BVI fnr Car Zchn,SUPERS Car Zchn"/>
    <w:basedOn w:val="Normln"/>
    <w:link w:val="Znakapoznpodarou"/>
    <w:uiPriority w:val="99"/>
    <w:rsid w:val="00844CAB"/>
    <w:pPr>
      <w:spacing w:line="240" w:lineRule="exact"/>
      <w:jc w:val="both"/>
    </w:pPr>
    <w:rPr>
      <w:vertAlign w:val="superscript"/>
    </w:rPr>
  </w:style>
  <w:style w:type="table" w:styleId="Mkatabulky">
    <w:name w:val="Table Grid"/>
    <w:aliases w:val="SGS Table Basic 1,CV table"/>
    <w:basedOn w:val="Normlntabulka"/>
    <w:uiPriority w:val="39"/>
    <w:rsid w:val="008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Char"/>
    <w:rsid w:val="00844C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faultChar">
    <w:name w:val="Default Char"/>
    <w:basedOn w:val="Standardnpsmoodstavce"/>
    <w:link w:val="Default"/>
    <w:rsid w:val="00844CAB"/>
    <w:rPr>
      <w:rFonts w:ascii="Times New Roman" w:hAnsi="Times New Roman" w:cs="Times New Roman"/>
      <w:color w:val="000000"/>
      <w:sz w:val="24"/>
      <w:szCs w:val="24"/>
    </w:rPr>
  </w:style>
  <w:style w:type="character" w:customStyle="1" w:styleId="K-TextChar">
    <w:name w:val="K-Text Char"/>
    <w:basedOn w:val="Standardnpsmoodstavce"/>
    <w:link w:val="K-Text"/>
    <w:locked/>
    <w:rsid w:val="00844CAB"/>
    <w:rPr>
      <w:rFonts w:ascii="Times New Roman" w:hAnsi="Times New Roman" w:cs="Times New Roman"/>
      <w:iCs/>
      <w:sz w:val="23"/>
      <w:szCs w:val="23"/>
    </w:rPr>
  </w:style>
  <w:style w:type="paragraph" w:customStyle="1" w:styleId="K-Text">
    <w:name w:val="K-Text"/>
    <w:basedOn w:val="Normln"/>
    <w:link w:val="K-TextChar"/>
    <w:qFormat/>
    <w:rsid w:val="00844CAB"/>
    <w:pPr>
      <w:spacing w:after="120" w:line="292" w:lineRule="auto"/>
      <w:jc w:val="both"/>
    </w:pPr>
    <w:rPr>
      <w:rFonts w:ascii="Times New Roman" w:hAnsi="Times New Roman" w:cs="Times New Roman"/>
      <w:iCs/>
      <w:sz w:val="23"/>
      <w:szCs w:val="23"/>
    </w:rPr>
  </w:style>
  <w:style w:type="paragraph" w:customStyle="1" w:styleId="K-Nadpis2">
    <w:name w:val="K-Nadpis2"/>
    <w:basedOn w:val="Nadpis2"/>
    <w:link w:val="K-Nadpis2Char"/>
    <w:qFormat/>
    <w:rsid w:val="00844CAB"/>
    <w:pPr>
      <w:spacing w:before="160" w:after="160" w:line="240" w:lineRule="auto"/>
    </w:pPr>
  </w:style>
  <w:style w:type="paragraph" w:customStyle="1" w:styleId="K-Nadpis3">
    <w:name w:val="K-Nadpis3"/>
    <w:basedOn w:val="Default"/>
    <w:link w:val="K-Nadpis3Char"/>
    <w:qFormat/>
    <w:rsid w:val="00844CAB"/>
    <w:pPr>
      <w:spacing w:after="120"/>
      <w:jc w:val="both"/>
    </w:pPr>
    <w:rPr>
      <w:b/>
      <w:szCs w:val="23"/>
    </w:rPr>
  </w:style>
  <w:style w:type="character" w:customStyle="1" w:styleId="K-Nadpis2Char">
    <w:name w:val="K-Nadpis2 Char"/>
    <w:basedOn w:val="Nadpis2Char"/>
    <w:link w:val="K-Nadpis2"/>
    <w:rsid w:val="00844CA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character" w:customStyle="1" w:styleId="K-Nadpis3Char">
    <w:name w:val="K-Nadpis3 Char"/>
    <w:basedOn w:val="DefaultChar"/>
    <w:link w:val="K-Nadpis3"/>
    <w:rsid w:val="00844CAB"/>
    <w:rPr>
      <w:rFonts w:ascii="Times New Roman" w:hAnsi="Times New Roman" w:cs="Times New Roman"/>
      <w:b/>
      <w:color w:val="000000"/>
      <w:sz w:val="24"/>
      <w:szCs w:val="23"/>
    </w:rPr>
  </w:style>
  <w:style w:type="paragraph" w:customStyle="1" w:styleId="K-TextInfo">
    <w:name w:val="K-Text_Info"/>
    <w:basedOn w:val="Default"/>
    <w:link w:val="K-TextInfoChar"/>
    <w:qFormat/>
    <w:rsid w:val="00844CAB"/>
    <w:pPr>
      <w:spacing w:after="120"/>
      <w:jc w:val="both"/>
    </w:pPr>
    <w:rPr>
      <w:rFonts w:eastAsiaTheme="minorEastAsia"/>
      <w:color w:val="000000" w:themeColor="text1"/>
      <w:sz w:val="20"/>
      <w:szCs w:val="20"/>
    </w:rPr>
  </w:style>
  <w:style w:type="character" w:customStyle="1" w:styleId="K-TextInfoChar">
    <w:name w:val="K-Text_Info Char"/>
    <w:basedOn w:val="DefaultChar"/>
    <w:link w:val="K-TextInfo"/>
    <w:rsid w:val="00844CAB"/>
    <w:rPr>
      <w:rFonts w:ascii="Times New Roman" w:eastAsiaTheme="minorEastAsia" w:hAnsi="Times New Roman" w:cs="Times New Roman"/>
      <w:color w:val="000000" w:themeColor="text1"/>
      <w:sz w:val="20"/>
      <w:szCs w:val="20"/>
    </w:rPr>
  </w:style>
  <w:style w:type="character" w:customStyle="1" w:styleId="OdstavecseseznamemChar">
    <w:name w:val="Odstavec se seznamem Char"/>
    <w:aliases w:val="Odstavec_muj Char,Nad Char,Odstavec cíl se seznamem Char,Odstavec se seznamem5 Char,Odrážky Char,Obrázek Char,_Odstavec se seznamem Char,Seznam - odrážky Char,List Paragraph compact Char,Normal bullet 2 Char,Reference list Char"/>
    <w:link w:val="Odstavecseseznamem"/>
    <w:uiPriority w:val="34"/>
    <w:qFormat/>
    <w:locked/>
    <w:rsid w:val="00844CAB"/>
    <w:rPr>
      <w:color w:val="000000" w:themeColor="text1"/>
    </w:rPr>
  </w:style>
  <w:style w:type="character" w:customStyle="1" w:styleId="K-Nadpis1Char">
    <w:name w:val="K-Nadpis1 Char"/>
    <w:basedOn w:val="Standardnpsmoodstavce"/>
    <w:link w:val="K-Nadpis1"/>
    <w:locked/>
    <w:rsid w:val="00844CAB"/>
    <w:rPr>
      <w:rFonts w:ascii="Times New Roman" w:eastAsiaTheme="majorEastAsia" w:hAnsi="Times New Roman" w:cs="Times New Roman"/>
      <w:b/>
      <w:color w:val="000000" w:themeColor="text1"/>
      <w:sz w:val="32"/>
      <w:szCs w:val="32"/>
    </w:rPr>
  </w:style>
  <w:style w:type="paragraph" w:customStyle="1" w:styleId="K-Nadpis1">
    <w:name w:val="K-Nadpis1"/>
    <w:basedOn w:val="Nadpis1"/>
    <w:link w:val="K-Nadpis1Char"/>
    <w:qFormat/>
    <w:rsid w:val="00844CAB"/>
    <w:pPr>
      <w:spacing w:line="292" w:lineRule="auto"/>
    </w:pPr>
    <w:rPr>
      <w:rFonts w:ascii="Times New Roman" w:hAnsi="Times New Roman" w:cs="Times New Roman"/>
      <w:sz w:val="32"/>
    </w:rPr>
  </w:style>
  <w:style w:type="character" w:customStyle="1" w:styleId="00BodyChar">
    <w:name w:val="00 Body Char"/>
    <w:basedOn w:val="Standardnpsmoodstavce"/>
    <w:link w:val="00Body"/>
    <w:locked/>
    <w:rsid w:val="00844CAB"/>
    <w:rPr>
      <w:rFonts w:ascii="Arial (Body)" w:eastAsia="Times New Roman" w:hAnsi="Arial (Body)" w:cs="Times New Roman"/>
      <w:szCs w:val="20"/>
      <w:lang w:val="en-US"/>
    </w:rPr>
  </w:style>
  <w:style w:type="paragraph" w:customStyle="1" w:styleId="00Body">
    <w:name w:val="00 Body"/>
    <w:basedOn w:val="Normln"/>
    <w:link w:val="00BodyChar"/>
    <w:qFormat/>
    <w:rsid w:val="00844CAB"/>
    <w:pPr>
      <w:spacing w:before="180" w:after="180" w:line="264" w:lineRule="auto"/>
    </w:pPr>
    <w:rPr>
      <w:rFonts w:ascii="Arial (Body)" w:eastAsia="Times New Roman" w:hAnsi="Arial (Body)" w:cs="Times New Roman"/>
      <w:szCs w:val="20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061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061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061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06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061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06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06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5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irop.mmr.cz/cs/ostatni/web/novinky/seznam-projektu-3-a-4-vyzva-stav-hodnoceni" TargetMode="External"/><Relationship Id="rId2" Type="http://schemas.openxmlformats.org/officeDocument/2006/relationships/hyperlink" Target="https://www.nukib.cz/cs/infoservis/aktuality/1934-kyberneticke-incidenty-pohledem-nukib-leden-2023/" TargetMode="External"/><Relationship Id="rId1" Type="http://schemas.openxmlformats.org/officeDocument/2006/relationships/hyperlink" Target="https://www.nukib.cz/cs/infoservis/dokumenty-a-publikace/zpravy-o-stavu-kb/" TargetMode="External"/><Relationship Id="rId6" Type="http://schemas.openxmlformats.org/officeDocument/2006/relationships/hyperlink" Target="https://irop.mmr.cz/cs/ostatni/web/novinky/seznam-projektu-3-a-4-vyzva-stav-hodnoceni" TargetMode="External"/><Relationship Id="rId5" Type="http://schemas.openxmlformats.org/officeDocument/2006/relationships/hyperlink" Target="https://irop.mmr.cz/cs/ostatni/web/novinky/seznam-projektu-3-a-4-vyzva-stav-hodnoceni" TargetMode="External"/><Relationship Id="rId4" Type="http://schemas.openxmlformats.org/officeDocument/2006/relationships/hyperlink" Target="https://www.nukib.cz/cs/kyberneticka-bezpecnost/strategie-akcni-plan/" TargetMode="Externa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1544cef-d40f-40e0-9fb2-ea3e47b346f0">
      <Terms xmlns="http://schemas.microsoft.com/office/infopath/2007/PartnerControls"/>
    </lcf76f155ced4ddcb4097134ff3c332f>
    <TaxCatchAll xmlns="b4346392-9490-4ec2-979c-afa8507021a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7AC3D038E8784E9C16E0921B8D5155" ma:contentTypeVersion="15" ma:contentTypeDescription="Vytvoří nový dokument" ma:contentTypeScope="" ma:versionID="00d78ad4826458ef1624f2d93d9153c5">
  <xsd:schema xmlns:xsd="http://www.w3.org/2001/XMLSchema" xmlns:xs="http://www.w3.org/2001/XMLSchema" xmlns:p="http://schemas.microsoft.com/office/2006/metadata/properties" xmlns:ns2="11544cef-d40f-40e0-9fb2-ea3e47b346f0" xmlns:ns3="b4346392-9490-4ec2-979c-afa8507021a9" targetNamespace="http://schemas.microsoft.com/office/2006/metadata/properties" ma:root="true" ma:fieldsID="7f79c3da929e12af0a74d4f77ed7b1e5" ns2:_="" ns3:_="">
    <xsd:import namespace="11544cef-d40f-40e0-9fb2-ea3e47b346f0"/>
    <xsd:import namespace="b4346392-9490-4ec2-979c-afa8507021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544cef-d40f-40e0-9fb2-ea3e47b346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4dd7ddbe-1f86-4eaf-800e-08e792b06b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346392-9490-4ec2-979c-afa8507021a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770caa18-f488-432e-906b-9ca052482661}" ma:internalName="TaxCatchAll" ma:showField="CatchAllData" ma:web="b4346392-9490-4ec2-979c-afa8507021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FC546-9671-4845-B928-EC44391814D2}">
  <ds:schemaRefs>
    <ds:schemaRef ds:uri="http://schemas.microsoft.com/office/2006/metadata/properties"/>
    <ds:schemaRef ds:uri="http://schemas.microsoft.com/office/infopath/2007/PartnerControls"/>
    <ds:schemaRef ds:uri="11544cef-d40f-40e0-9fb2-ea3e47b346f0"/>
    <ds:schemaRef ds:uri="b4346392-9490-4ec2-979c-afa8507021a9"/>
  </ds:schemaRefs>
</ds:datastoreItem>
</file>

<file path=customXml/itemProps2.xml><?xml version="1.0" encoding="utf-8"?>
<ds:datastoreItem xmlns:ds="http://schemas.openxmlformats.org/officeDocument/2006/customXml" ds:itemID="{629E3D09-1B07-4927-BD4A-2F52EE26AF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544cef-d40f-40e0-9fb2-ea3e47b346f0"/>
    <ds:schemaRef ds:uri="b4346392-9490-4ec2-979c-afa8507021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DC9B48-7436-4A32-B7C6-CD29627BA4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CD91FBB0.dotm</Template>
  <TotalTime>0</TotalTime>
  <Pages>8</Pages>
  <Words>2404</Words>
  <Characters>14190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16561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Opičková Jitka</dc:creator>
  <cp:keywords/>
  <dc:description/>
  <cp:lastModifiedBy>Bubenková Monika</cp:lastModifiedBy>
  <cp:revision>3</cp:revision>
  <dcterms:created xsi:type="dcterms:W3CDTF">2023-11-10T13:37:00Z</dcterms:created>
  <dcterms:modified xsi:type="dcterms:W3CDTF">2023-11-22T07:08:00Z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0x010100787AC3D038E8784E9C16E0921B8D5155</vt:lpwstr>
  </property>
  <property fmtid="{D5CDD505-2E9C-101B-9397-08002B2CF9AE}" pid="3" name="MediaServiceImageTags">
    <vt:lpwstr/>
  </property>
</Properties>
</file>