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Mkatabulky"/>
        <w:tblW w:w="0" w:type="auto"/>
        <w:tblLook w:val="04A0" w:firstRow="1" w:lastRow="0" w:firstColumn="1" w:lastColumn="0" w:noHBand="0" w:noVBand="1"/>
      </w:tblPr>
      <w:tblGrid>
        <w:gridCol w:w="3227"/>
        <w:gridCol w:w="5939"/>
      </w:tblGrid>
      <w:tr w:rsidR="0045101F" w:rsidRPr="00896ADF" w14:paraId="7DC80F36" w14:textId="77777777" w:rsidTr="00B979CA">
        <w:tc>
          <w:tcPr>
            <w:tcW w:w="9166" w:type="dxa"/>
            <w:gridSpan w:val="2"/>
            <w:shd w:val="clear" w:color="auto" w:fill="1F3864"/>
          </w:tcPr>
          <w:p w14:paraId="51E5F3D5" w14:textId="77777777" w:rsidR="0045101F" w:rsidRPr="00896ADF" w:rsidRDefault="0045101F" w:rsidP="00B979CA">
            <w:pPr>
              <w:jc w:val="center"/>
              <w:rPr>
                <w:rFonts w:ascii="Times New Roman" w:eastAsia="Calibri" w:hAnsi="Times New Roman" w:cs="Times New Roman"/>
                <w:b/>
                <w:bCs/>
                <w:noProof/>
                <w:sz w:val="24"/>
                <w:szCs w:val="24"/>
                <w:u w:val="single"/>
                <w:lang w:val="en-IE"/>
              </w:rPr>
            </w:pPr>
            <w:bookmarkStart w:id="0" w:name="_GoBack"/>
            <w:bookmarkEnd w:id="0"/>
            <w:r w:rsidRPr="00896ADF">
              <w:rPr>
                <w:rFonts w:ascii="Times New Roman" w:eastAsia="Calibri" w:hAnsi="Times New Roman" w:cs="Times New Roman"/>
                <w:b/>
                <w:bCs/>
                <w:noProof/>
                <w:sz w:val="20"/>
                <w:szCs w:val="20"/>
                <w:lang w:val="en-US"/>
              </w:rPr>
              <w:t>Component 3.3 MODERNISATION OF EMPLOYMENT SERVICES AND LABOUR MARKET DEVELOPMENT</w:t>
            </w:r>
          </w:p>
        </w:tc>
      </w:tr>
      <w:tr w:rsidR="0045101F" w:rsidRPr="00896ADF" w14:paraId="4ABB809F" w14:textId="77777777" w:rsidTr="00B979CA">
        <w:tc>
          <w:tcPr>
            <w:tcW w:w="3227" w:type="dxa"/>
            <w:shd w:val="clear" w:color="auto" w:fill="00B0F0"/>
          </w:tcPr>
          <w:p w14:paraId="7EFC8CD7" w14:textId="77777777" w:rsidR="0045101F" w:rsidRPr="00896ADF" w:rsidRDefault="0045101F" w:rsidP="00B979CA">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39B4089F" w14:textId="2E5D1144" w:rsidR="0045101F" w:rsidRPr="00896ADF" w:rsidRDefault="0045101F" w:rsidP="00B979CA">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Investment 1</w:t>
            </w:r>
          </w:p>
        </w:tc>
      </w:tr>
      <w:tr w:rsidR="0045101F" w:rsidRPr="00896ADF" w14:paraId="432DBED5" w14:textId="77777777" w:rsidTr="00B979CA">
        <w:tc>
          <w:tcPr>
            <w:tcW w:w="3227" w:type="dxa"/>
            <w:shd w:val="clear" w:color="auto" w:fill="00B0F0"/>
          </w:tcPr>
          <w:p w14:paraId="16422AD5" w14:textId="77777777" w:rsidR="0045101F" w:rsidRPr="00896ADF" w:rsidRDefault="0045101F" w:rsidP="00B979CA">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0371E368" w14:textId="2D47D4D6" w:rsidR="0045101F" w:rsidRPr="00896ADF" w:rsidRDefault="0045101F" w:rsidP="00B979CA">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Development of labour market policies</w:t>
            </w:r>
          </w:p>
        </w:tc>
      </w:tr>
      <w:tr w:rsidR="0045101F" w:rsidRPr="00896ADF" w14:paraId="3401990A" w14:textId="77777777" w:rsidTr="00B979CA">
        <w:tc>
          <w:tcPr>
            <w:tcW w:w="3227" w:type="dxa"/>
            <w:shd w:val="clear" w:color="auto" w:fill="BDD6EE"/>
          </w:tcPr>
          <w:p w14:paraId="4CFED81B" w14:textId="77777777" w:rsidR="0045101F" w:rsidRPr="00896ADF" w:rsidRDefault="0045101F" w:rsidP="00B979CA">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Type of change compared to CID</w:t>
            </w:r>
          </w:p>
        </w:tc>
        <w:tc>
          <w:tcPr>
            <w:tcW w:w="5939" w:type="dxa"/>
          </w:tcPr>
          <w:p w14:paraId="67B55EC5" w14:textId="77777777" w:rsidR="0045101F" w:rsidRPr="00896ADF" w:rsidRDefault="0045101F" w:rsidP="00B979CA">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noProof/>
                <w:sz w:val="20"/>
                <w:szCs w:val="20"/>
                <w:lang w:val="en-US"/>
              </w:rPr>
              <w:t>[modified]</w:t>
            </w:r>
          </w:p>
        </w:tc>
      </w:tr>
      <w:tr w:rsidR="0045101F" w:rsidRPr="00896ADF" w14:paraId="1E7D7D04" w14:textId="77777777" w:rsidTr="00B979CA">
        <w:tc>
          <w:tcPr>
            <w:tcW w:w="3227" w:type="dxa"/>
            <w:shd w:val="clear" w:color="auto" w:fill="BDD6EE"/>
          </w:tcPr>
          <w:p w14:paraId="3C58D692" w14:textId="77777777" w:rsidR="0045101F" w:rsidRPr="00896ADF" w:rsidRDefault="0045101F" w:rsidP="00B979CA">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Legal base of the change (select at least one)</w:t>
            </w:r>
          </w:p>
        </w:tc>
        <w:tc>
          <w:tcPr>
            <w:tcW w:w="5939" w:type="dxa"/>
          </w:tcPr>
          <w:p w14:paraId="372C72E2" w14:textId="77777777" w:rsidR="0045101F" w:rsidRPr="00896ADF" w:rsidRDefault="00491E8E" w:rsidP="00B979C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00355449"/>
                <w14:checkbox>
                  <w14:checked w14:val="0"/>
                  <w14:checkedState w14:val="2612" w14:font="MS Gothic"/>
                  <w14:uncheckedState w14:val="2610" w14:font="MS Gothic"/>
                </w14:checkbox>
              </w:sdtPr>
              <w:sdtEndPr/>
              <w:sdtContent>
                <w:r w:rsidR="0045101F" w:rsidRPr="00896ADF">
                  <w:rPr>
                    <w:rFonts w:ascii="Segoe UI Symbol" w:eastAsia="Calibri" w:hAnsi="Segoe UI Symbol" w:cs="Segoe UI Symbol"/>
                    <w:noProof/>
                    <w:color w:val="2B579A"/>
                    <w:sz w:val="20"/>
                    <w:szCs w:val="20"/>
                    <w:shd w:val="clear" w:color="auto" w:fill="E6E6E6"/>
                    <w:lang w:val="en-US"/>
                  </w:rPr>
                  <w:t>☐</w:t>
                </w:r>
              </w:sdtContent>
            </w:sdt>
            <w:r w:rsidR="0045101F" w:rsidRPr="00896ADF">
              <w:rPr>
                <w:rFonts w:ascii="Times New Roman" w:eastAsia="Calibri" w:hAnsi="Times New Roman" w:cs="Times New Roman"/>
                <w:noProof/>
                <w:sz w:val="20"/>
                <w:szCs w:val="20"/>
                <w:lang w:val="en-US"/>
              </w:rPr>
              <w:t xml:space="preserve"> Article 14(2) – loan request</w:t>
            </w:r>
          </w:p>
          <w:p w14:paraId="3F402BC2" w14:textId="77777777" w:rsidR="0045101F" w:rsidRPr="00896ADF" w:rsidRDefault="00491E8E" w:rsidP="00B979C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48712714"/>
                <w14:checkbox>
                  <w14:checked w14:val="0"/>
                  <w14:checkedState w14:val="2612" w14:font="MS Gothic"/>
                  <w14:uncheckedState w14:val="2610" w14:font="MS Gothic"/>
                </w14:checkbox>
              </w:sdtPr>
              <w:sdtEndPr/>
              <w:sdtContent>
                <w:r w:rsidR="0045101F" w:rsidRPr="00896ADF">
                  <w:rPr>
                    <w:rFonts w:ascii="MS Gothic" w:eastAsia="MS Gothic" w:hAnsi="MS Gothic" w:cs="Times New Roman" w:hint="eastAsia"/>
                    <w:noProof/>
                    <w:color w:val="2B579A"/>
                    <w:sz w:val="20"/>
                    <w:szCs w:val="20"/>
                    <w:shd w:val="clear" w:color="auto" w:fill="E6E6E6"/>
                    <w:lang w:val="en-US"/>
                  </w:rPr>
                  <w:t>☐</w:t>
                </w:r>
              </w:sdtContent>
            </w:sdt>
            <w:r w:rsidR="0045101F" w:rsidRPr="00896ADF">
              <w:rPr>
                <w:rFonts w:ascii="Times New Roman" w:eastAsia="Calibri" w:hAnsi="Times New Roman" w:cs="Times New Roman"/>
                <w:noProof/>
                <w:sz w:val="20"/>
                <w:szCs w:val="20"/>
                <w:lang w:val="en-US"/>
              </w:rPr>
              <w:t xml:space="preserve"> Article 18(2) – update of the maximum financial contribution</w:t>
            </w:r>
          </w:p>
          <w:p w14:paraId="1BDB7B49" w14:textId="77777777" w:rsidR="0045101F" w:rsidRPr="00896ADF" w:rsidRDefault="00491E8E" w:rsidP="00B979CA">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60802547"/>
                <w:placeholder>
                  <w:docPart w:val="EF80810F5C7C4950BE159D64AD658699"/>
                </w:placeholder>
                <w14:checkbox>
                  <w14:checked w14:val="1"/>
                  <w14:checkedState w14:val="2612" w14:font="MS Gothic"/>
                  <w14:uncheckedState w14:val="2610" w14:font="MS Gothic"/>
                </w14:checkbox>
              </w:sdtPr>
              <w:sdtEndPr/>
              <w:sdtContent>
                <w:r w:rsidR="0045101F" w:rsidRPr="00896ADF">
                  <w:rPr>
                    <w:rFonts w:ascii="MS Gothic" w:eastAsia="MS Gothic" w:hAnsi="MS Gothic" w:cs="Times New Roman" w:hint="eastAsia"/>
                    <w:noProof/>
                    <w:color w:val="2B579A"/>
                    <w:sz w:val="20"/>
                    <w:szCs w:val="20"/>
                    <w:shd w:val="clear" w:color="auto" w:fill="E6E6E6"/>
                    <w:lang w:val="en-US"/>
                  </w:rPr>
                  <w:t>☒</w:t>
                </w:r>
              </w:sdtContent>
            </w:sdt>
            <w:r w:rsidR="0045101F" w:rsidRPr="00896ADF">
              <w:rPr>
                <w:rFonts w:ascii="Times New Roman" w:eastAsia="Calibri" w:hAnsi="Times New Roman" w:cs="Times New Roman"/>
                <w:noProof/>
                <w:sz w:val="20"/>
                <w:szCs w:val="20"/>
                <w:lang w:val="en-US"/>
              </w:rPr>
              <w:t xml:space="preserve"> Article 21 – amendment due to objective circumstances</w:t>
            </w:r>
          </w:p>
          <w:p w14:paraId="4E154FC6" w14:textId="77777777" w:rsidR="0045101F" w:rsidRPr="00896ADF" w:rsidRDefault="00491E8E" w:rsidP="00B979CA">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590056021"/>
                <w:placeholder>
                  <w:docPart w:val="EF80810F5C7C4950BE159D64AD658699"/>
                </w:placeholder>
                <w14:checkbox>
                  <w14:checked w14:val="0"/>
                  <w14:checkedState w14:val="2612" w14:font="MS Gothic"/>
                  <w14:uncheckedState w14:val="2610" w14:font="MS Gothic"/>
                </w14:checkbox>
              </w:sdtPr>
              <w:sdtEndPr/>
              <w:sdtContent>
                <w:r w:rsidR="0045101F" w:rsidRPr="00896ADF">
                  <w:rPr>
                    <w:rFonts w:ascii="Segoe UI Symbol" w:eastAsia="Calibri" w:hAnsi="Segoe UI Symbol" w:cs="Segoe UI Symbol"/>
                    <w:noProof/>
                    <w:color w:val="2B579A"/>
                    <w:sz w:val="20"/>
                    <w:szCs w:val="20"/>
                    <w:shd w:val="clear" w:color="auto" w:fill="E6E6E6"/>
                    <w:lang w:val="fr-BE"/>
                  </w:rPr>
                  <w:t>☐</w:t>
                </w:r>
              </w:sdtContent>
            </w:sdt>
            <w:r w:rsidR="0045101F" w:rsidRPr="00896ADF">
              <w:rPr>
                <w:rFonts w:ascii="Times New Roman" w:eastAsia="Calibri" w:hAnsi="Times New Roman" w:cs="Times New Roman"/>
                <w:noProof/>
                <w:sz w:val="20"/>
                <w:szCs w:val="20"/>
                <w:lang w:val="fr-BE"/>
              </w:rPr>
              <w:t xml:space="preserve"> Article 21a – REPowerEU non-repayable financial support (ETS revenue)</w:t>
            </w:r>
          </w:p>
          <w:p w14:paraId="22A237DF" w14:textId="77777777" w:rsidR="0045101F" w:rsidRPr="00896ADF" w:rsidRDefault="00491E8E" w:rsidP="00B979CA">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256019118"/>
                <w:placeholder>
                  <w:docPart w:val="EF80810F5C7C4950BE159D64AD658699"/>
                </w:placeholder>
                <w14:checkbox>
                  <w14:checked w14:val="0"/>
                  <w14:checkedState w14:val="2612" w14:font="MS Gothic"/>
                  <w14:uncheckedState w14:val="2610" w14:font="MS Gothic"/>
                </w14:checkbox>
              </w:sdtPr>
              <w:sdtEndPr/>
              <w:sdtContent>
                <w:r w:rsidR="0045101F" w:rsidRPr="00896ADF">
                  <w:rPr>
                    <w:rFonts w:ascii="Segoe UI Symbol" w:eastAsia="Calibri" w:hAnsi="Segoe UI Symbol" w:cs="Segoe UI Symbol"/>
                    <w:noProof/>
                    <w:color w:val="2B579A"/>
                    <w:sz w:val="20"/>
                    <w:szCs w:val="20"/>
                    <w:shd w:val="clear" w:color="auto" w:fill="E6E6E6"/>
                    <w:lang w:val="en-IE"/>
                  </w:rPr>
                  <w:t>☐</w:t>
                </w:r>
              </w:sdtContent>
            </w:sdt>
            <w:r w:rsidR="0045101F" w:rsidRPr="00896ADF">
              <w:rPr>
                <w:rFonts w:ascii="Times New Roman" w:eastAsia="Calibri" w:hAnsi="Times New Roman" w:cs="Times New Roman"/>
                <w:noProof/>
                <w:sz w:val="20"/>
                <w:szCs w:val="20"/>
                <w:lang w:val="en-IE"/>
              </w:rPr>
              <w:t xml:space="preserve"> Article 21b (2) – BAR transfers</w:t>
            </w:r>
          </w:p>
          <w:p w14:paraId="444630CA" w14:textId="77777777" w:rsidR="0045101F" w:rsidRPr="00896ADF" w:rsidRDefault="0045101F" w:rsidP="00B979CA">
            <w:pPr>
              <w:jc w:val="both"/>
              <w:rPr>
                <w:rFonts w:ascii="Times New Roman" w:eastAsia="Calibri" w:hAnsi="Times New Roman" w:cs="Times New Roman"/>
                <w:noProof/>
                <w:sz w:val="20"/>
                <w:szCs w:val="20"/>
                <w:lang w:val="en-US"/>
              </w:rPr>
            </w:pPr>
            <w:r w:rsidRPr="00896ADF">
              <w:rPr>
                <w:rFonts w:ascii="Segoe UI Symbol" w:eastAsia="MS Gothic" w:hAnsi="Segoe UI Symbol" w:cs="Segoe UI Symbol"/>
                <w:noProof/>
                <w:sz w:val="20"/>
                <w:szCs w:val="20"/>
                <w:lang w:val="en-US"/>
              </w:rPr>
              <w:t>☐</w:t>
            </w:r>
            <w:r w:rsidRPr="00896ADF">
              <w:rPr>
                <w:rFonts w:ascii="Times New Roman" w:eastAsia="Calibri" w:hAnsi="Times New Roman" w:cs="Times New Roman"/>
                <w:noProof/>
                <w:sz w:val="20"/>
                <w:szCs w:val="20"/>
                <w:lang w:val="en-US"/>
              </w:rPr>
              <w:t xml:space="preserve"> None of the above, correction of clerical error</w:t>
            </w:r>
          </w:p>
          <w:p w14:paraId="53CA99DC" w14:textId="77777777" w:rsidR="0045101F" w:rsidRPr="00896ADF" w:rsidRDefault="0045101F" w:rsidP="00B979CA">
            <w:pPr>
              <w:jc w:val="both"/>
              <w:rPr>
                <w:rFonts w:ascii="Times New Roman" w:eastAsia="Calibri" w:hAnsi="Times New Roman" w:cs="Times New Roman"/>
                <w:noProof/>
                <w:sz w:val="20"/>
                <w:szCs w:val="20"/>
                <w:lang w:val="en-IE"/>
              </w:rPr>
            </w:pPr>
          </w:p>
        </w:tc>
      </w:tr>
      <w:tr w:rsidR="0045101F" w:rsidRPr="00896ADF" w14:paraId="042E8705" w14:textId="77777777" w:rsidTr="00B979CA">
        <w:tc>
          <w:tcPr>
            <w:tcW w:w="3227" w:type="dxa"/>
            <w:shd w:val="clear" w:color="auto" w:fill="BDD6EE"/>
          </w:tcPr>
          <w:p w14:paraId="4F31D21A" w14:textId="77777777" w:rsidR="0045101F" w:rsidRPr="00896ADF" w:rsidRDefault="0045101F" w:rsidP="00B979CA">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Elements modified (only for modified measures)</w:t>
            </w:r>
          </w:p>
          <w:p w14:paraId="45560C82" w14:textId="77777777" w:rsidR="0045101F" w:rsidRPr="00896ADF" w:rsidRDefault="0045101F" w:rsidP="00B979CA">
            <w:pPr>
              <w:jc w:val="both"/>
              <w:rPr>
                <w:rFonts w:ascii="Times New Roman" w:eastAsia="Calibri" w:hAnsi="Times New Roman" w:cs="Times New Roman"/>
                <w:b/>
                <w:bCs/>
                <w:noProof/>
                <w:sz w:val="24"/>
                <w:szCs w:val="24"/>
                <w:u w:val="single"/>
                <w:lang w:val="en-IE"/>
              </w:rPr>
            </w:pPr>
          </w:p>
        </w:tc>
        <w:tc>
          <w:tcPr>
            <w:tcW w:w="5939" w:type="dxa"/>
          </w:tcPr>
          <w:p w14:paraId="112AA1A2" w14:textId="77777777" w:rsidR="0045101F" w:rsidRPr="00896ADF" w:rsidRDefault="00491E8E" w:rsidP="00B979C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78405232"/>
                <w14:checkbox>
                  <w14:checked w14:val="0"/>
                  <w14:checkedState w14:val="2612" w14:font="MS Gothic"/>
                  <w14:uncheckedState w14:val="2610" w14:font="MS Gothic"/>
                </w14:checkbox>
              </w:sdtPr>
              <w:sdtEndPr/>
              <w:sdtContent>
                <w:r w:rsidR="0045101F" w:rsidRPr="00896ADF">
                  <w:rPr>
                    <w:rFonts w:ascii="Segoe UI Symbol" w:eastAsia="Calibri" w:hAnsi="Segoe UI Symbol" w:cs="Segoe UI Symbol"/>
                    <w:noProof/>
                    <w:color w:val="2B579A"/>
                    <w:sz w:val="20"/>
                    <w:szCs w:val="20"/>
                    <w:shd w:val="clear" w:color="auto" w:fill="E6E6E6"/>
                    <w:lang w:val="en-US"/>
                  </w:rPr>
                  <w:t>☐</w:t>
                </w:r>
              </w:sdtContent>
            </w:sdt>
            <w:r w:rsidR="0045101F" w:rsidRPr="00896ADF">
              <w:rPr>
                <w:rFonts w:ascii="Times New Roman" w:eastAsia="Calibri" w:hAnsi="Times New Roman" w:cs="Times New Roman"/>
                <w:noProof/>
                <w:sz w:val="20"/>
                <w:szCs w:val="20"/>
                <w:lang w:val="en-US"/>
              </w:rPr>
              <w:t xml:space="preserve"> Component / Measure description</w:t>
            </w:r>
          </w:p>
          <w:p w14:paraId="2B87857E" w14:textId="77777777" w:rsidR="0045101F" w:rsidRPr="00896ADF" w:rsidRDefault="00491E8E" w:rsidP="00B979C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85759623"/>
                <w:placeholder>
                  <w:docPart w:val="EF80810F5C7C4950BE159D64AD658699"/>
                </w:placeholder>
                <w14:checkbox>
                  <w14:checked w14:val="1"/>
                  <w14:checkedState w14:val="2612" w14:font="MS Gothic"/>
                  <w14:uncheckedState w14:val="2610" w14:font="MS Gothic"/>
                </w14:checkbox>
              </w:sdtPr>
              <w:sdtEndPr/>
              <w:sdtContent>
                <w:r w:rsidR="0045101F" w:rsidRPr="00896ADF">
                  <w:rPr>
                    <w:rFonts w:ascii="MS Gothic" w:eastAsia="MS Gothic" w:hAnsi="MS Gothic" w:cs="Times New Roman" w:hint="eastAsia"/>
                    <w:noProof/>
                    <w:color w:val="2B579A"/>
                    <w:sz w:val="20"/>
                    <w:szCs w:val="20"/>
                    <w:shd w:val="clear" w:color="auto" w:fill="E6E6E6"/>
                    <w:lang w:val="en-US"/>
                  </w:rPr>
                  <w:t>☒</w:t>
                </w:r>
              </w:sdtContent>
            </w:sdt>
            <w:r w:rsidR="0045101F" w:rsidRPr="00896ADF">
              <w:rPr>
                <w:rFonts w:ascii="Times New Roman" w:eastAsia="Calibri" w:hAnsi="Times New Roman" w:cs="Times New Roman"/>
                <w:noProof/>
                <w:sz w:val="20"/>
                <w:szCs w:val="20"/>
                <w:lang w:val="en-US"/>
              </w:rPr>
              <w:t>Milestones and targets</w:t>
            </w:r>
          </w:p>
          <w:p w14:paraId="0918EAC0" w14:textId="77777777" w:rsidR="0045101F" w:rsidRPr="00896ADF" w:rsidRDefault="00491E8E" w:rsidP="00B979C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57233277"/>
                <w14:checkbox>
                  <w14:checked w14:val="0"/>
                  <w14:checkedState w14:val="2612" w14:font="MS Gothic"/>
                  <w14:uncheckedState w14:val="2610" w14:font="MS Gothic"/>
                </w14:checkbox>
              </w:sdtPr>
              <w:sdtEndPr/>
              <w:sdtContent>
                <w:r w:rsidR="0045101F" w:rsidRPr="00896ADF">
                  <w:rPr>
                    <w:rFonts w:ascii="MS Gothic" w:eastAsia="MS Gothic" w:hAnsi="MS Gothic" w:cs="Times New Roman" w:hint="eastAsia"/>
                    <w:noProof/>
                    <w:color w:val="2B579A"/>
                    <w:sz w:val="20"/>
                    <w:szCs w:val="20"/>
                    <w:shd w:val="clear" w:color="auto" w:fill="E6E6E6"/>
                    <w:lang w:val="en-US"/>
                  </w:rPr>
                  <w:t>☐</w:t>
                </w:r>
              </w:sdtContent>
            </w:sdt>
            <w:r w:rsidR="0045101F" w:rsidRPr="00896ADF">
              <w:rPr>
                <w:rFonts w:ascii="Times New Roman" w:eastAsia="Calibri" w:hAnsi="Times New Roman" w:cs="Times New Roman"/>
                <w:noProof/>
                <w:sz w:val="20"/>
                <w:szCs w:val="20"/>
                <w:lang w:val="en-US"/>
              </w:rPr>
              <w:t xml:space="preserve"> Estimated cost</w:t>
            </w:r>
          </w:p>
          <w:p w14:paraId="1BF26F2A" w14:textId="77777777" w:rsidR="0045101F" w:rsidRPr="00896ADF" w:rsidRDefault="00491E8E" w:rsidP="00B979C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02619459"/>
                <w14:checkbox>
                  <w14:checked w14:val="0"/>
                  <w14:checkedState w14:val="2612" w14:font="MS Gothic"/>
                  <w14:uncheckedState w14:val="2610" w14:font="MS Gothic"/>
                </w14:checkbox>
              </w:sdtPr>
              <w:sdtEndPr/>
              <w:sdtContent>
                <w:r w:rsidR="0045101F" w:rsidRPr="00896ADF">
                  <w:rPr>
                    <w:rFonts w:ascii="Segoe UI Symbol" w:eastAsia="Calibri" w:hAnsi="Segoe UI Symbol" w:cs="Segoe UI Symbol"/>
                    <w:noProof/>
                    <w:color w:val="2B579A"/>
                    <w:sz w:val="20"/>
                    <w:szCs w:val="20"/>
                    <w:shd w:val="clear" w:color="auto" w:fill="E6E6E6"/>
                    <w:lang w:val="en-US"/>
                  </w:rPr>
                  <w:t>☐</w:t>
                </w:r>
              </w:sdtContent>
            </w:sdt>
            <w:r w:rsidR="0045101F" w:rsidRPr="00896ADF">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3E9F6690" w14:textId="77777777" w:rsidR="0045101F" w:rsidRPr="00896ADF" w:rsidRDefault="00491E8E" w:rsidP="00B979CA">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437869498"/>
                <w14:checkbox>
                  <w14:checked w14:val="0"/>
                  <w14:checkedState w14:val="2612" w14:font="MS Gothic"/>
                  <w14:uncheckedState w14:val="2610" w14:font="MS Gothic"/>
                </w14:checkbox>
              </w:sdtPr>
              <w:sdtEndPr/>
              <w:sdtContent>
                <w:r w:rsidR="0045101F" w:rsidRPr="00896ADF">
                  <w:rPr>
                    <w:rFonts w:ascii="Segoe UI Symbol" w:eastAsia="Calibri" w:hAnsi="Segoe UI Symbol" w:cs="Segoe UI Symbol"/>
                    <w:noProof/>
                    <w:color w:val="2B579A"/>
                    <w:sz w:val="20"/>
                    <w:szCs w:val="20"/>
                    <w:shd w:val="clear" w:color="auto" w:fill="E6E6E6"/>
                    <w:lang w:val="en-US"/>
                  </w:rPr>
                  <w:t>☐</w:t>
                </w:r>
              </w:sdtContent>
            </w:sdt>
            <w:r w:rsidR="0045101F" w:rsidRPr="00896ADF">
              <w:rPr>
                <w:rFonts w:ascii="Times New Roman" w:eastAsia="Calibri" w:hAnsi="Times New Roman" w:cs="Times New Roman"/>
                <w:noProof/>
                <w:sz w:val="20"/>
                <w:szCs w:val="20"/>
                <w:lang w:val="en-US"/>
              </w:rPr>
              <w:t xml:space="preserve"> DNSH self-assessment</w:t>
            </w:r>
          </w:p>
        </w:tc>
      </w:tr>
    </w:tbl>
    <w:p w14:paraId="07FE8317" w14:textId="77777777" w:rsidR="0045101F" w:rsidRPr="00896ADF" w:rsidRDefault="0045101F" w:rsidP="0045101F"/>
    <w:tbl>
      <w:tblPr>
        <w:tblStyle w:val="Mkatabulky"/>
        <w:tblW w:w="0" w:type="auto"/>
        <w:tblLook w:val="04A0" w:firstRow="1" w:lastRow="0" w:firstColumn="1" w:lastColumn="0" w:noHBand="0" w:noVBand="1"/>
      </w:tblPr>
      <w:tblGrid>
        <w:gridCol w:w="2235"/>
        <w:gridCol w:w="3260"/>
        <w:gridCol w:w="3747"/>
      </w:tblGrid>
      <w:tr w:rsidR="0045101F" w:rsidRPr="00896ADF" w14:paraId="42728DC3" w14:textId="77777777" w:rsidTr="00B979CA">
        <w:tc>
          <w:tcPr>
            <w:tcW w:w="9242" w:type="dxa"/>
            <w:gridSpan w:val="3"/>
            <w:shd w:val="clear" w:color="auto" w:fill="1F3864"/>
          </w:tcPr>
          <w:p w14:paraId="49F7CCA4" w14:textId="4210ED2A" w:rsidR="0045101F" w:rsidRPr="00896ADF" w:rsidRDefault="0045101F" w:rsidP="00B979CA">
            <w:pPr>
              <w:jc w:val="center"/>
              <w:rPr>
                <w:rFonts w:ascii="Times New Roman" w:eastAsia="Calibri" w:hAnsi="Times New Roman" w:cs="Times New Roman"/>
                <w:b/>
                <w:bCs/>
                <w:noProof/>
                <w:sz w:val="20"/>
                <w:szCs w:val="20"/>
                <w:lang w:val="en-IE"/>
              </w:rPr>
            </w:pPr>
            <w:r w:rsidRPr="00896ADF">
              <w:rPr>
                <w:rFonts w:ascii="Times New Roman" w:eastAsia="Calibri" w:hAnsi="Times New Roman" w:cs="Times New Roman"/>
                <w:b/>
                <w:bCs/>
                <w:noProof/>
                <w:sz w:val="20"/>
                <w:szCs w:val="20"/>
                <w:lang w:val="en-IE"/>
              </w:rPr>
              <w:t xml:space="preserve">Investment </w:t>
            </w:r>
            <w:r w:rsidR="00526DD2" w:rsidRPr="00896ADF">
              <w:rPr>
                <w:rFonts w:ascii="Times New Roman" w:eastAsia="Calibri" w:hAnsi="Times New Roman" w:cs="Times New Roman"/>
                <w:b/>
                <w:bCs/>
                <w:noProof/>
                <w:sz w:val="20"/>
                <w:szCs w:val="20"/>
                <w:lang w:val="en-IE"/>
              </w:rPr>
              <w:t>1</w:t>
            </w:r>
            <w:r w:rsidRPr="00896ADF">
              <w:rPr>
                <w:rFonts w:ascii="Times New Roman" w:eastAsia="Calibri" w:hAnsi="Times New Roman" w:cs="Times New Roman"/>
                <w:b/>
                <w:bCs/>
                <w:noProof/>
                <w:sz w:val="20"/>
                <w:szCs w:val="20"/>
                <w:lang w:val="en-IE"/>
              </w:rPr>
              <w:t xml:space="preserve">: </w:t>
            </w:r>
            <w:r w:rsidR="00391FAA" w:rsidRPr="00896ADF">
              <w:rPr>
                <w:rFonts w:ascii="Times New Roman" w:eastAsia="Calibri" w:hAnsi="Times New Roman" w:cs="Times New Roman"/>
                <w:b/>
                <w:bCs/>
                <w:noProof/>
                <w:sz w:val="20"/>
                <w:szCs w:val="20"/>
                <w:lang w:val="en-IE"/>
              </w:rPr>
              <w:t>Development of labour market policies</w:t>
            </w:r>
            <w:r w:rsidRPr="00896ADF">
              <w:rPr>
                <w:rFonts w:ascii="Times New Roman" w:eastAsia="Calibri" w:hAnsi="Times New Roman" w:cs="Times New Roman"/>
                <w:b/>
                <w:bCs/>
                <w:noProof/>
                <w:sz w:val="20"/>
                <w:szCs w:val="20"/>
                <w:lang w:val="en-IE"/>
              </w:rPr>
              <w:t xml:space="preserve"> – Target 187</w:t>
            </w:r>
          </w:p>
        </w:tc>
      </w:tr>
      <w:tr w:rsidR="0045101F" w:rsidRPr="00896ADF" w14:paraId="2AFF6E8C" w14:textId="77777777" w:rsidTr="00B979CA">
        <w:tc>
          <w:tcPr>
            <w:tcW w:w="9242" w:type="dxa"/>
            <w:gridSpan w:val="3"/>
            <w:shd w:val="clear" w:color="auto" w:fill="auto"/>
          </w:tcPr>
          <w:p w14:paraId="3FB5580B" w14:textId="77777777" w:rsidR="0045101F" w:rsidRPr="00896ADF" w:rsidRDefault="0045101F" w:rsidP="00B979CA">
            <w:pPr>
              <w:jc w:val="both"/>
              <w:rPr>
                <w:rFonts w:ascii="Times New Roman" w:eastAsia="Calibri" w:hAnsi="Times New Roman" w:cs="Times New Roman"/>
                <w:i/>
                <w:iCs/>
                <w:noProof/>
                <w:sz w:val="20"/>
                <w:szCs w:val="20"/>
                <w:lang w:val="en-IE"/>
              </w:rPr>
            </w:pPr>
            <w:r w:rsidRPr="00896ADF">
              <w:rPr>
                <w:rFonts w:ascii="Times New Roman" w:eastAsia="Calibri" w:hAnsi="Times New Roman" w:cs="Times New Roman"/>
                <w:i/>
                <w:iCs/>
                <w:noProof/>
                <w:sz w:val="20"/>
                <w:szCs w:val="20"/>
                <w:lang w:val="en-IE"/>
              </w:rPr>
              <w:t>Description and justification of the change</w:t>
            </w:r>
          </w:p>
        </w:tc>
      </w:tr>
      <w:tr w:rsidR="0045101F" w:rsidRPr="00896ADF" w14:paraId="43F3ECA7" w14:textId="77777777" w:rsidTr="00B979CA">
        <w:tc>
          <w:tcPr>
            <w:tcW w:w="2235" w:type="dxa"/>
            <w:shd w:val="clear" w:color="auto" w:fill="00B0F0"/>
          </w:tcPr>
          <w:p w14:paraId="2440AE74" w14:textId="77777777" w:rsidR="0045101F" w:rsidRPr="00896ADF" w:rsidRDefault="0045101F" w:rsidP="00B979CA">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60715774" w14:textId="77777777" w:rsidR="0045101F" w:rsidRPr="00896ADF" w:rsidRDefault="0045101F" w:rsidP="00B979CA">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7734E9A2" w14:textId="77777777" w:rsidR="0045101F" w:rsidRPr="00896ADF" w:rsidRDefault="0045101F" w:rsidP="00B979CA">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Amended version</w:t>
            </w:r>
          </w:p>
        </w:tc>
      </w:tr>
      <w:tr w:rsidR="0045101F" w:rsidRPr="00896ADF" w14:paraId="0D6B8885" w14:textId="77777777" w:rsidTr="00B979CA">
        <w:tc>
          <w:tcPr>
            <w:tcW w:w="2235" w:type="dxa"/>
          </w:tcPr>
          <w:p w14:paraId="7FCAA5CB" w14:textId="77777777" w:rsidR="0045101F" w:rsidRPr="00896ADF" w:rsidRDefault="0045101F" w:rsidP="00B979CA">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1C4768DD" w14:textId="453E122E" w:rsidR="0045101F" w:rsidRPr="00896ADF" w:rsidRDefault="0045101F" w:rsidP="00B979CA">
            <w:pPr>
              <w:jc w:val="both"/>
              <w:rPr>
                <w:rFonts w:eastAsia="Calibri" w:cstheme="minorHAnsi"/>
                <w:noProof/>
                <w:sz w:val="20"/>
                <w:szCs w:val="20"/>
                <w:lang w:val="en-IE"/>
              </w:rPr>
            </w:pPr>
            <w:r w:rsidRPr="00896ADF">
              <w:rPr>
                <w:rFonts w:eastAsia="Calibri" w:cstheme="minorHAnsi"/>
                <w:noProof/>
                <w:sz w:val="20"/>
                <w:szCs w:val="20"/>
                <w:lang w:val="en-US"/>
              </w:rPr>
              <w:t>No change</w:t>
            </w:r>
          </w:p>
        </w:tc>
        <w:tc>
          <w:tcPr>
            <w:tcW w:w="3747" w:type="dxa"/>
          </w:tcPr>
          <w:p w14:paraId="7A8EB388" w14:textId="77777777" w:rsidR="0045101F" w:rsidRPr="00896ADF" w:rsidRDefault="0045101F" w:rsidP="00B979CA">
            <w:pPr>
              <w:jc w:val="both"/>
              <w:rPr>
                <w:rFonts w:eastAsia="Calibri" w:cstheme="minorHAnsi"/>
                <w:noProof/>
                <w:sz w:val="20"/>
                <w:szCs w:val="20"/>
                <w:lang w:val="en-IE"/>
              </w:rPr>
            </w:pPr>
            <w:r w:rsidRPr="00896ADF">
              <w:rPr>
                <w:rFonts w:eastAsia="Calibri" w:cstheme="minorHAnsi"/>
                <w:noProof/>
                <w:sz w:val="20"/>
                <w:szCs w:val="20"/>
                <w:lang w:val="en-IE"/>
              </w:rPr>
              <w:t>No change</w:t>
            </w:r>
          </w:p>
          <w:p w14:paraId="4F8A7306" w14:textId="77777777" w:rsidR="0045101F" w:rsidRPr="00896ADF" w:rsidRDefault="0045101F" w:rsidP="00B979CA">
            <w:pPr>
              <w:jc w:val="both"/>
              <w:rPr>
                <w:rFonts w:eastAsia="Calibri" w:cstheme="minorHAnsi"/>
                <w:noProof/>
                <w:sz w:val="20"/>
                <w:szCs w:val="20"/>
                <w:lang w:val="en-IE"/>
              </w:rPr>
            </w:pPr>
          </w:p>
        </w:tc>
      </w:tr>
      <w:tr w:rsidR="0045101F" w:rsidRPr="00896ADF" w14:paraId="663B8583" w14:textId="77777777" w:rsidTr="00B979CA">
        <w:tc>
          <w:tcPr>
            <w:tcW w:w="2235" w:type="dxa"/>
          </w:tcPr>
          <w:p w14:paraId="716119E6" w14:textId="77777777" w:rsidR="0045101F" w:rsidRPr="00896ADF" w:rsidRDefault="0045101F" w:rsidP="00B979CA">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Milestones and targets </w:t>
            </w:r>
          </w:p>
        </w:tc>
        <w:tc>
          <w:tcPr>
            <w:tcW w:w="3260" w:type="dxa"/>
          </w:tcPr>
          <w:p w14:paraId="7598F5EB" w14:textId="2E413A99" w:rsidR="0045101F" w:rsidRPr="00896ADF" w:rsidRDefault="0045101F" w:rsidP="0045101F">
            <w:pPr>
              <w:pStyle w:val="TableParagraph"/>
              <w:spacing w:before="114"/>
              <w:jc w:val="both"/>
              <w:rPr>
                <w:rFonts w:ascii="Calibri" w:eastAsiaTheme="minorHAnsi" w:hAnsi="Calibri" w:cs="Calibri"/>
                <w:color w:val="000000"/>
                <w:sz w:val="20"/>
                <w:szCs w:val="20"/>
                <w:lang w:eastAsia="en-US" w:bidi="ar-SA"/>
              </w:rPr>
            </w:pPr>
            <w:r w:rsidRPr="00896ADF">
              <w:rPr>
                <w:rFonts w:ascii="Calibri" w:eastAsiaTheme="minorHAnsi" w:hAnsi="Calibri" w:cs="Calibri"/>
                <w:color w:val="000000"/>
                <w:sz w:val="20"/>
                <w:szCs w:val="20"/>
                <w:lang w:eastAsia="en-US" w:bidi="ar-SA"/>
              </w:rPr>
              <w:t>Number of people who received reskilling and upskilling in digital skills and skills needed for Industry 4.0</w:t>
            </w:r>
          </w:p>
          <w:p w14:paraId="7B28E87A" w14:textId="004BC388" w:rsidR="0045101F" w:rsidRPr="00896ADF" w:rsidRDefault="0045101F" w:rsidP="0045101F">
            <w:pPr>
              <w:pStyle w:val="TableParagraph"/>
              <w:spacing w:before="114"/>
              <w:jc w:val="both"/>
              <w:rPr>
                <w:rFonts w:ascii="Calibri" w:eastAsiaTheme="minorHAnsi" w:hAnsi="Calibri" w:cs="Calibri"/>
                <w:color w:val="000000"/>
                <w:sz w:val="20"/>
                <w:szCs w:val="20"/>
                <w:lang w:eastAsia="en-US" w:bidi="ar-SA"/>
              </w:rPr>
            </w:pPr>
            <w:r w:rsidRPr="00896ADF">
              <w:rPr>
                <w:rFonts w:ascii="Calibri" w:eastAsiaTheme="minorHAnsi" w:hAnsi="Calibri" w:cs="Calibri"/>
                <w:color w:val="000000"/>
                <w:sz w:val="20"/>
                <w:szCs w:val="20"/>
                <w:lang w:eastAsia="en-US" w:bidi="ar-SA"/>
              </w:rPr>
              <w:t>At least 65,000 people will upgrade or retrain in digital skills. In addition, at least 65,000 people will upgrade or retrain in skills needed for Industry 4.0.</w:t>
            </w:r>
          </w:p>
          <w:p w14:paraId="6E8827DB" w14:textId="77777777" w:rsidR="0045101F" w:rsidRPr="00896ADF" w:rsidRDefault="0045101F" w:rsidP="0045101F">
            <w:pPr>
              <w:jc w:val="both"/>
              <w:rPr>
                <w:rFonts w:asciiTheme="majorHAnsi" w:hAnsiTheme="majorHAnsi" w:cstheme="majorHAnsi"/>
                <w:color w:val="000000"/>
                <w:sz w:val="20"/>
                <w:szCs w:val="20"/>
              </w:rPr>
            </w:pPr>
            <w:r w:rsidRPr="00896ADF">
              <w:rPr>
                <w:rFonts w:asciiTheme="majorHAnsi" w:hAnsiTheme="majorHAnsi" w:cstheme="majorHAnsi"/>
                <w:color w:val="000000"/>
                <w:sz w:val="20"/>
                <w:szCs w:val="20"/>
              </w:rPr>
              <w:t>Support for skills upgrading and retraining will be provided through the Labour Office of the Czech Republic or through corporate training provided by employers</w:t>
            </w:r>
            <w:r w:rsidRPr="00896ADF">
              <w:rPr>
                <w:rFonts w:asciiTheme="majorHAnsi" w:hAnsiTheme="majorHAnsi" w:cstheme="majorHAnsi"/>
                <w:b/>
                <w:bCs/>
                <w:color w:val="000000"/>
                <w:sz w:val="20"/>
                <w:szCs w:val="20"/>
              </w:rPr>
              <w:t>.</w:t>
            </w:r>
            <w:r w:rsidRPr="00896ADF">
              <w:rPr>
                <w:rFonts w:asciiTheme="majorHAnsi" w:hAnsiTheme="majorHAnsi" w:cstheme="majorHAnsi"/>
                <w:color w:val="000000"/>
                <w:sz w:val="20"/>
                <w:szCs w:val="20"/>
              </w:rPr>
              <w:t xml:space="preserve"> Selection criteria will ensure that priority is given to SMEs and the self-employed.</w:t>
            </w:r>
          </w:p>
          <w:p w14:paraId="2E7DF6E7" w14:textId="77777777" w:rsidR="0045101F" w:rsidRPr="00896ADF" w:rsidRDefault="0045101F" w:rsidP="0045101F">
            <w:pPr>
              <w:jc w:val="both"/>
              <w:rPr>
                <w:rFonts w:eastAsia="Calibri" w:cstheme="minorHAnsi"/>
                <w:noProof/>
                <w:sz w:val="20"/>
                <w:szCs w:val="20"/>
                <w:lang w:val="en-IE"/>
              </w:rPr>
            </w:pPr>
          </w:p>
          <w:p w14:paraId="7883D418" w14:textId="77777777" w:rsidR="0045101F" w:rsidRPr="00896ADF" w:rsidRDefault="0045101F" w:rsidP="0045101F">
            <w:pPr>
              <w:jc w:val="both"/>
              <w:rPr>
                <w:rFonts w:eastAsia="Calibri" w:cstheme="minorHAnsi"/>
                <w:noProof/>
                <w:sz w:val="20"/>
                <w:szCs w:val="20"/>
                <w:lang w:val="en-IE"/>
              </w:rPr>
            </w:pPr>
            <w:r w:rsidRPr="00896ADF">
              <w:rPr>
                <w:rFonts w:eastAsia="Calibri" w:cstheme="minorHAnsi"/>
                <w:noProof/>
                <w:sz w:val="20"/>
                <w:szCs w:val="20"/>
                <w:lang w:val="en-IE"/>
              </w:rPr>
              <w:t>130 000 people</w:t>
            </w:r>
          </w:p>
          <w:p w14:paraId="38244008" w14:textId="6250FD8D" w:rsidR="0045101F" w:rsidRPr="00896ADF" w:rsidRDefault="0045101F" w:rsidP="0045101F">
            <w:pPr>
              <w:jc w:val="both"/>
              <w:rPr>
                <w:rFonts w:eastAsia="Calibri" w:cstheme="minorHAnsi"/>
                <w:noProof/>
                <w:sz w:val="20"/>
                <w:szCs w:val="20"/>
                <w:lang w:val="en-IE"/>
              </w:rPr>
            </w:pPr>
            <w:r w:rsidRPr="00896ADF">
              <w:rPr>
                <w:rFonts w:eastAsia="Calibri" w:cstheme="minorHAnsi"/>
                <w:noProof/>
                <w:sz w:val="20"/>
                <w:szCs w:val="20"/>
                <w:lang w:val="en-IE"/>
              </w:rPr>
              <w:t>Q4/2025</w:t>
            </w:r>
          </w:p>
        </w:tc>
        <w:tc>
          <w:tcPr>
            <w:tcW w:w="3747" w:type="dxa"/>
          </w:tcPr>
          <w:p w14:paraId="05A0768F" w14:textId="7A5A060E" w:rsidR="0045101F" w:rsidRPr="00896ADF" w:rsidRDefault="0045101F" w:rsidP="0045101F">
            <w:pPr>
              <w:pStyle w:val="TableParagraph"/>
              <w:spacing w:before="114"/>
              <w:jc w:val="both"/>
              <w:rPr>
                <w:rFonts w:ascii="Calibri" w:eastAsiaTheme="minorHAnsi" w:hAnsi="Calibri" w:cs="Calibri"/>
                <w:color w:val="000000"/>
                <w:sz w:val="20"/>
                <w:szCs w:val="20"/>
                <w:lang w:eastAsia="en-US" w:bidi="ar-SA"/>
              </w:rPr>
            </w:pPr>
            <w:r w:rsidRPr="00896ADF">
              <w:rPr>
                <w:rFonts w:ascii="Calibri" w:eastAsiaTheme="minorHAnsi" w:hAnsi="Calibri" w:cs="Calibri"/>
                <w:color w:val="000000"/>
                <w:sz w:val="20"/>
                <w:szCs w:val="20"/>
                <w:lang w:eastAsia="en-US" w:bidi="ar-SA"/>
              </w:rPr>
              <w:t>Number of people who received reskilling and upskilling in digital skills and skills needed for Industry 4.0</w:t>
            </w:r>
          </w:p>
          <w:p w14:paraId="10F201AB" w14:textId="1771D90D" w:rsidR="0045101F" w:rsidRPr="00896ADF" w:rsidRDefault="0045101F" w:rsidP="0045101F">
            <w:pPr>
              <w:pStyle w:val="TableParagraph"/>
              <w:spacing w:before="114"/>
              <w:jc w:val="both"/>
              <w:rPr>
                <w:rFonts w:ascii="Calibri" w:eastAsiaTheme="minorHAnsi" w:hAnsi="Calibri" w:cs="Calibri"/>
                <w:color w:val="000000"/>
                <w:sz w:val="20"/>
                <w:szCs w:val="20"/>
                <w:lang w:eastAsia="en-US" w:bidi="ar-SA"/>
              </w:rPr>
            </w:pPr>
            <w:r w:rsidRPr="00896ADF">
              <w:rPr>
                <w:rFonts w:ascii="Calibri" w:eastAsiaTheme="minorHAnsi" w:hAnsi="Calibri" w:cs="Calibri"/>
                <w:color w:val="000000"/>
                <w:sz w:val="20"/>
                <w:szCs w:val="20"/>
                <w:lang w:eastAsia="en-US" w:bidi="ar-SA"/>
              </w:rPr>
              <w:t>At least 65,000 people will upgrade or retrain in digital skills. In addition, at least 65,000 people will upgrade or retrain in skills needed for Industry 4.0.</w:t>
            </w:r>
          </w:p>
          <w:p w14:paraId="07686FDE" w14:textId="77777777" w:rsidR="0045101F" w:rsidRPr="00896ADF" w:rsidRDefault="0045101F" w:rsidP="0045101F">
            <w:pPr>
              <w:jc w:val="both"/>
              <w:rPr>
                <w:rFonts w:asciiTheme="majorHAnsi" w:hAnsiTheme="majorHAnsi" w:cstheme="majorHAnsi"/>
                <w:color w:val="000000"/>
                <w:sz w:val="20"/>
                <w:szCs w:val="20"/>
              </w:rPr>
            </w:pPr>
            <w:r w:rsidRPr="00896ADF">
              <w:rPr>
                <w:rFonts w:asciiTheme="majorHAnsi" w:hAnsiTheme="majorHAnsi" w:cstheme="majorHAnsi"/>
                <w:color w:val="000000"/>
                <w:sz w:val="20"/>
                <w:szCs w:val="20"/>
              </w:rPr>
              <w:t xml:space="preserve">Support for skills upgrading and retraining will be provided through the Labour Office of the Czech Republic or through corporate training provided by employers </w:t>
            </w:r>
            <w:r w:rsidRPr="00896ADF">
              <w:rPr>
                <w:rFonts w:asciiTheme="majorHAnsi" w:hAnsiTheme="majorHAnsi" w:cstheme="majorHAnsi"/>
                <w:b/>
                <w:bCs/>
                <w:color w:val="000000"/>
                <w:sz w:val="20"/>
                <w:szCs w:val="20"/>
              </w:rPr>
              <w:t>or professional and business associations.</w:t>
            </w:r>
            <w:r w:rsidRPr="00896ADF">
              <w:rPr>
                <w:rFonts w:asciiTheme="majorHAnsi" w:hAnsiTheme="majorHAnsi" w:cstheme="majorHAnsi"/>
                <w:color w:val="000000"/>
                <w:sz w:val="20"/>
                <w:szCs w:val="20"/>
              </w:rPr>
              <w:t xml:space="preserve"> Selection criteria will ensure that priority is given to SMEs and the self-employed.</w:t>
            </w:r>
          </w:p>
          <w:p w14:paraId="0A86B0CA" w14:textId="77777777" w:rsidR="0045101F" w:rsidRPr="00896ADF" w:rsidRDefault="0045101F" w:rsidP="0045101F">
            <w:pPr>
              <w:jc w:val="both"/>
              <w:rPr>
                <w:rFonts w:eastAsia="Calibri" w:cstheme="minorHAnsi"/>
                <w:noProof/>
                <w:sz w:val="20"/>
                <w:szCs w:val="20"/>
                <w:lang w:val="en-IE"/>
              </w:rPr>
            </w:pPr>
          </w:p>
          <w:p w14:paraId="60BF9545" w14:textId="77777777" w:rsidR="0045101F" w:rsidRPr="00896ADF" w:rsidRDefault="0045101F" w:rsidP="0045101F">
            <w:pPr>
              <w:jc w:val="both"/>
              <w:rPr>
                <w:rFonts w:eastAsia="Calibri" w:cstheme="minorHAnsi"/>
                <w:noProof/>
                <w:sz w:val="20"/>
                <w:szCs w:val="20"/>
                <w:lang w:val="en-IE"/>
              </w:rPr>
            </w:pPr>
          </w:p>
          <w:p w14:paraId="78D5242C" w14:textId="77777777" w:rsidR="0045101F" w:rsidRPr="00896ADF" w:rsidRDefault="0045101F" w:rsidP="0045101F">
            <w:pPr>
              <w:jc w:val="both"/>
              <w:rPr>
                <w:rFonts w:eastAsia="Calibri" w:cstheme="minorHAnsi"/>
                <w:noProof/>
                <w:sz w:val="20"/>
                <w:szCs w:val="20"/>
                <w:lang w:val="en-IE"/>
              </w:rPr>
            </w:pPr>
          </w:p>
          <w:p w14:paraId="23D99603" w14:textId="77777777" w:rsidR="0045101F" w:rsidRPr="00896ADF" w:rsidRDefault="0045101F" w:rsidP="0045101F">
            <w:pPr>
              <w:jc w:val="both"/>
              <w:rPr>
                <w:rFonts w:eastAsia="Calibri" w:cstheme="minorHAnsi"/>
                <w:noProof/>
                <w:sz w:val="20"/>
                <w:szCs w:val="20"/>
                <w:lang w:val="en-IE"/>
              </w:rPr>
            </w:pPr>
            <w:r w:rsidRPr="00896ADF">
              <w:rPr>
                <w:rFonts w:eastAsia="Calibri" w:cstheme="minorHAnsi"/>
                <w:noProof/>
                <w:sz w:val="20"/>
                <w:szCs w:val="20"/>
                <w:lang w:val="en-IE"/>
              </w:rPr>
              <w:t>130 000 people</w:t>
            </w:r>
          </w:p>
          <w:p w14:paraId="2CE4F298" w14:textId="6D5CA576" w:rsidR="0045101F" w:rsidRPr="00896ADF" w:rsidRDefault="0045101F" w:rsidP="0045101F">
            <w:pPr>
              <w:jc w:val="both"/>
              <w:rPr>
                <w:rFonts w:eastAsia="Calibri" w:cstheme="minorHAnsi"/>
                <w:noProof/>
                <w:sz w:val="20"/>
                <w:szCs w:val="20"/>
                <w:lang w:val="en-IE"/>
              </w:rPr>
            </w:pPr>
            <w:r w:rsidRPr="00896ADF">
              <w:rPr>
                <w:rFonts w:eastAsia="Calibri" w:cstheme="minorHAnsi"/>
                <w:noProof/>
                <w:sz w:val="20"/>
                <w:szCs w:val="20"/>
                <w:lang w:val="en-IE"/>
              </w:rPr>
              <w:t>Q4/2025</w:t>
            </w:r>
          </w:p>
        </w:tc>
      </w:tr>
      <w:tr w:rsidR="0045101F" w:rsidRPr="00896ADF" w14:paraId="72C59DA3" w14:textId="77777777" w:rsidTr="00B979CA">
        <w:tc>
          <w:tcPr>
            <w:tcW w:w="2235" w:type="dxa"/>
          </w:tcPr>
          <w:p w14:paraId="147DD9B2" w14:textId="77777777" w:rsidR="0045101F" w:rsidRPr="00896ADF" w:rsidRDefault="0045101F" w:rsidP="00B979CA">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Estimated cost</w:t>
            </w:r>
          </w:p>
        </w:tc>
        <w:tc>
          <w:tcPr>
            <w:tcW w:w="3260" w:type="dxa"/>
          </w:tcPr>
          <w:p w14:paraId="3B1532BE" w14:textId="1C4B46C3" w:rsidR="0045101F" w:rsidRPr="00896ADF" w:rsidRDefault="0045101F" w:rsidP="00B979CA">
            <w:pPr>
              <w:jc w:val="both"/>
              <w:rPr>
                <w:rFonts w:eastAsia="Calibri" w:cstheme="minorHAnsi"/>
                <w:noProof/>
                <w:sz w:val="20"/>
                <w:szCs w:val="20"/>
                <w:lang w:val="en-IE"/>
              </w:rPr>
            </w:pPr>
            <w:r w:rsidRPr="00896ADF">
              <w:rPr>
                <w:rFonts w:eastAsia="Calibri" w:cstheme="minorHAnsi"/>
                <w:noProof/>
                <w:sz w:val="20"/>
                <w:szCs w:val="20"/>
                <w:lang w:val="en-IE"/>
              </w:rPr>
              <w:t>6 500 mil. CZK</w:t>
            </w:r>
          </w:p>
        </w:tc>
        <w:tc>
          <w:tcPr>
            <w:tcW w:w="3747" w:type="dxa"/>
          </w:tcPr>
          <w:p w14:paraId="37487BE4" w14:textId="77777777" w:rsidR="0045101F" w:rsidRPr="00896ADF" w:rsidRDefault="0045101F" w:rsidP="00B979CA">
            <w:pPr>
              <w:jc w:val="both"/>
              <w:rPr>
                <w:rFonts w:eastAsia="Calibri" w:cstheme="minorHAnsi"/>
                <w:noProof/>
                <w:sz w:val="20"/>
                <w:szCs w:val="20"/>
                <w:lang w:val="en-IE"/>
              </w:rPr>
            </w:pPr>
            <w:r w:rsidRPr="00896ADF">
              <w:rPr>
                <w:rFonts w:eastAsia="Calibri" w:cstheme="minorHAnsi"/>
                <w:noProof/>
                <w:sz w:val="20"/>
                <w:szCs w:val="20"/>
                <w:lang w:val="en-IE"/>
              </w:rPr>
              <w:t>No change</w:t>
            </w:r>
          </w:p>
        </w:tc>
      </w:tr>
      <w:tr w:rsidR="0045101F" w:rsidRPr="00896ADF" w14:paraId="152E73D2" w14:textId="77777777" w:rsidTr="00B979CA">
        <w:tc>
          <w:tcPr>
            <w:tcW w:w="2235" w:type="dxa"/>
          </w:tcPr>
          <w:p w14:paraId="223D5ED1" w14:textId="77777777" w:rsidR="0045101F" w:rsidRPr="00896ADF" w:rsidRDefault="0045101F" w:rsidP="00B979CA">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Green and digital tagging</w:t>
            </w:r>
          </w:p>
        </w:tc>
        <w:tc>
          <w:tcPr>
            <w:tcW w:w="3260" w:type="dxa"/>
          </w:tcPr>
          <w:p w14:paraId="276B4148" w14:textId="5C788F4F" w:rsidR="0045101F" w:rsidRPr="00896ADF" w:rsidRDefault="0045101F" w:rsidP="00B979CA">
            <w:pPr>
              <w:jc w:val="both"/>
              <w:rPr>
                <w:rFonts w:eastAsia="Calibri" w:cstheme="minorHAnsi"/>
                <w:noProof/>
                <w:sz w:val="20"/>
                <w:szCs w:val="20"/>
                <w:lang w:val="en-IE"/>
              </w:rPr>
            </w:pPr>
            <w:r w:rsidRPr="00896ADF">
              <w:rPr>
                <w:rFonts w:cstheme="minorHAnsi"/>
                <w:sz w:val="20"/>
                <w:szCs w:val="20"/>
                <w:lang w:val="en-IE"/>
              </w:rPr>
              <w:t>Digital tagging 100%, resp. 40 %</w:t>
            </w:r>
          </w:p>
        </w:tc>
        <w:tc>
          <w:tcPr>
            <w:tcW w:w="3747" w:type="dxa"/>
          </w:tcPr>
          <w:p w14:paraId="58B43A53" w14:textId="77777777" w:rsidR="0045101F" w:rsidRPr="00896ADF" w:rsidRDefault="0045101F" w:rsidP="00B979CA">
            <w:pPr>
              <w:jc w:val="both"/>
              <w:rPr>
                <w:rFonts w:eastAsia="Calibri" w:cstheme="minorHAnsi"/>
                <w:noProof/>
                <w:sz w:val="20"/>
                <w:szCs w:val="20"/>
                <w:lang w:val="en-IE"/>
              </w:rPr>
            </w:pPr>
            <w:r w:rsidRPr="00896ADF">
              <w:rPr>
                <w:rFonts w:eastAsia="Calibri" w:cstheme="minorHAnsi"/>
                <w:noProof/>
                <w:sz w:val="20"/>
                <w:szCs w:val="20"/>
                <w:lang w:val="en-IE"/>
              </w:rPr>
              <w:t>No change</w:t>
            </w:r>
          </w:p>
        </w:tc>
      </w:tr>
      <w:tr w:rsidR="0045101F" w:rsidRPr="00896ADF" w14:paraId="1CBC2268" w14:textId="77777777" w:rsidTr="00B979CA">
        <w:tc>
          <w:tcPr>
            <w:tcW w:w="2235" w:type="dxa"/>
          </w:tcPr>
          <w:p w14:paraId="321E07D2" w14:textId="77777777" w:rsidR="0045101F" w:rsidRPr="00896ADF" w:rsidRDefault="0045101F" w:rsidP="00B979CA">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DNSH self-assessment</w:t>
            </w:r>
          </w:p>
        </w:tc>
        <w:tc>
          <w:tcPr>
            <w:tcW w:w="3260" w:type="dxa"/>
          </w:tcPr>
          <w:p w14:paraId="451ED689" w14:textId="77777777" w:rsidR="0045101F" w:rsidRPr="00896ADF" w:rsidRDefault="0045101F" w:rsidP="00B979CA">
            <w:pPr>
              <w:jc w:val="both"/>
              <w:rPr>
                <w:rFonts w:eastAsia="Calibri" w:cstheme="minorHAnsi"/>
                <w:noProof/>
                <w:sz w:val="20"/>
                <w:szCs w:val="20"/>
                <w:lang w:val="en-IE"/>
              </w:rPr>
            </w:pPr>
            <w:r w:rsidRPr="00896ADF">
              <w:rPr>
                <w:rFonts w:eastAsia="Calibri" w:cstheme="minorHAnsi"/>
                <w:noProof/>
                <w:sz w:val="20"/>
                <w:szCs w:val="20"/>
                <w:lang w:val="en-IE"/>
              </w:rPr>
              <w:t>No change</w:t>
            </w:r>
          </w:p>
        </w:tc>
        <w:tc>
          <w:tcPr>
            <w:tcW w:w="3747" w:type="dxa"/>
          </w:tcPr>
          <w:p w14:paraId="4B19180A" w14:textId="77777777" w:rsidR="0045101F" w:rsidRPr="00896ADF" w:rsidRDefault="0045101F" w:rsidP="00B979CA">
            <w:pPr>
              <w:jc w:val="both"/>
              <w:rPr>
                <w:rFonts w:eastAsia="Calibri" w:cstheme="minorHAnsi"/>
                <w:noProof/>
                <w:sz w:val="20"/>
                <w:szCs w:val="20"/>
                <w:lang w:val="en-IE"/>
              </w:rPr>
            </w:pPr>
            <w:r w:rsidRPr="00896ADF">
              <w:rPr>
                <w:rFonts w:eastAsia="Calibri" w:cstheme="minorHAnsi"/>
                <w:noProof/>
                <w:sz w:val="20"/>
                <w:szCs w:val="20"/>
                <w:lang w:val="en-IE"/>
              </w:rPr>
              <w:t>No change</w:t>
            </w:r>
          </w:p>
        </w:tc>
      </w:tr>
    </w:tbl>
    <w:p w14:paraId="11E896AB" w14:textId="77777777" w:rsidR="002C4656" w:rsidRPr="00896ADF" w:rsidRDefault="002C4656" w:rsidP="002C4656">
      <w:pPr>
        <w:jc w:val="both"/>
        <w:rPr>
          <w:rFonts w:ascii="Times New Roman" w:hAnsi="Times New Roman" w:cs="Times New Roman"/>
          <w:color w:val="333333"/>
          <w:sz w:val="24"/>
          <w:szCs w:val="24"/>
          <w:lang w:val="en-IE"/>
        </w:rPr>
      </w:pPr>
    </w:p>
    <w:p w14:paraId="5BC81AC7" w14:textId="7E4456E6" w:rsidR="00B34470" w:rsidRPr="00896ADF" w:rsidRDefault="00B34470" w:rsidP="00B34470">
      <w:pPr>
        <w:jc w:val="both"/>
        <w:rPr>
          <w:sz w:val="20"/>
          <w:szCs w:val="20"/>
          <w:u w:val="single"/>
        </w:rPr>
      </w:pPr>
      <w:r w:rsidRPr="00896ADF">
        <w:rPr>
          <w:sz w:val="20"/>
          <w:szCs w:val="20"/>
        </w:rPr>
        <w:t>The target will be met. This is only a refinement of the verification mechanism</w:t>
      </w:r>
      <w:r w:rsidRPr="00896ADF">
        <w:rPr>
          <w:sz w:val="20"/>
          <w:szCs w:val="20"/>
          <w:u w:val="single"/>
        </w:rPr>
        <w:t>.</w:t>
      </w:r>
    </w:p>
    <w:p w14:paraId="1EC6A546" w14:textId="2943891E" w:rsidR="00BC709D" w:rsidRPr="00896ADF" w:rsidRDefault="00BC709D" w:rsidP="00B34470">
      <w:pPr>
        <w:jc w:val="both"/>
        <w:rPr>
          <w:sz w:val="20"/>
          <w:szCs w:val="20"/>
          <w:u w:val="single"/>
        </w:rPr>
      </w:pPr>
      <w:r w:rsidRPr="00896ADF">
        <w:rPr>
          <w:rFonts w:cstheme="minorHAnsi"/>
          <w:sz w:val="20"/>
          <w:szCs w:val="20"/>
          <w:lang w:val="en-IE"/>
        </w:rPr>
        <w:t>The change will have a positive impact as it will clarify how to evidence achievement of the target and expand the range of education providers.</w:t>
      </w:r>
    </w:p>
    <w:p w14:paraId="26B819F0" w14:textId="77777777" w:rsidR="00B34470" w:rsidRPr="00896ADF" w:rsidRDefault="00B34470" w:rsidP="00B34470">
      <w:pPr>
        <w:jc w:val="both"/>
        <w:rPr>
          <w:sz w:val="20"/>
          <w:szCs w:val="20"/>
        </w:rPr>
      </w:pPr>
      <w:r w:rsidRPr="00896ADF">
        <w:rPr>
          <w:sz w:val="20"/>
          <w:szCs w:val="20"/>
        </w:rPr>
        <w:lastRenderedPageBreak/>
        <w:t>In the context of the previous experience in the administration of support in OP Employment/OP Employment+ calls, it has proved crucial to include associations of companies and their umbrella organisations among the eligible beneficiaries. Through these actors, contact is made with the segment of SMEs and also self-employed persons, whose support is preferred by the EC. The range of target groups corresponds to making support available also to entities (and their employees) which, for example, due to insufficient administrative capacity to implement their own project or insufficient scope of project activities, remain excluded from the envisaged support. An important element is also the similar focus of enterprises in the different umbrella organisations and associations. In view of the calls for these entities in the OP Employment/OP Employment+, which have been announced and implemented so far and whose administration has been on the side of the MoLSA, it seems important to broaden the range of potential applicants and beneficiaries.</w:t>
      </w:r>
    </w:p>
    <w:p w14:paraId="724CFC31" w14:textId="77777777" w:rsidR="00C507FA" w:rsidRPr="00896ADF" w:rsidRDefault="00C507FA" w:rsidP="00622E82">
      <w:pPr>
        <w:jc w:val="both"/>
        <w:rPr>
          <w:lang w:val="cs-CZ"/>
        </w:rPr>
      </w:pPr>
      <w:r w:rsidRPr="00896ADF">
        <w:rPr>
          <w:rFonts w:cstheme="minorHAnsi"/>
          <w:sz w:val="20"/>
          <w:szCs w:val="20"/>
        </w:rPr>
        <w:t>As there is only the involvement of associations and a change in the verification mechanism and no change in the substance of the reform or investment that was the subject of the initial assessment in the setting of the National Recovery Plan, we leave this section without further addition.</w:t>
      </w:r>
    </w:p>
    <w:p w14:paraId="7FC7D743" w14:textId="77777777" w:rsidR="00B34470" w:rsidRPr="00896ADF" w:rsidRDefault="00B34470" w:rsidP="00622E82">
      <w:pPr>
        <w:jc w:val="both"/>
        <w:rPr>
          <w:sz w:val="20"/>
          <w:szCs w:val="20"/>
          <w:lang w:val="en-IE"/>
        </w:rPr>
      </w:pPr>
    </w:p>
    <w:p w14:paraId="4E055EE7" w14:textId="77777777" w:rsidR="0023565A" w:rsidRPr="00896ADF" w:rsidRDefault="0023565A" w:rsidP="00605759"/>
    <w:tbl>
      <w:tblPr>
        <w:tblStyle w:val="Mkatabulky"/>
        <w:tblW w:w="0" w:type="auto"/>
        <w:tblLook w:val="04A0" w:firstRow="1" w:lastRow="0" w:firstColumn="1" w:lastColumn="0" w:noHBand="0" w:noVBand="1"/>
      </w:tblPr>
      <w:tblGrid>
        <w:gridCol w:w="3227"/>
        <w:gridCol w:w="5939"/>
      </w:tblGrid>
      <w:tr w:rsidR="0023565A" w:rsidRPr="00896ADF" w14:paraId="60B7B845" w14:textId="77777777" w:rsidTr="003B0E30">
        <w:tc>
          <w:tcPr>
            <w:tcW w:w="9166" w:type="dxa"/>
            <w:gridSpan w:val="2"/>
            <w:shd w:val="clear" w:color="auto" w:fill="1F3864"/>
          </w:tcPr>
          <w:p w14:paraId="3F169750" w14:textId="77777777" w:rsidR="0023565A" w:rsidRPr="00896ADF" w:rsidRDefault="005A3470" w:rsidP="003B0E30">
            <w:pPr>
              <w:jc w:val="center"/>
              <w:rPr>
                <w:rFonts w:ascii="Times New Roman" w:eastAsia="Calibri" w:hAnsi="Times New Roman" w:cs="Times New Roman"/>
                <w:b/>
                <w:bCs/>
                <w:noProof/>
                <w:sz w:val="24"/>
                <w:szCs w:val="24"/>
                <w:u w:val="single"/>
                <w:lang w:val="en-IE"/>
              </w:rPr>
            </w:pPr>
            <w:bookmarkStart w:id="1" w:name="_Hlk135045486"/>
            <w:r w:rsidRPr="00896ADF">
              <w:rPr>
                <w:rFonts w:ascii="Times New Roman" w:eastAsia="Calibri" w:hAnsi="Times New Roman" w:cs="Times New Roman"/>
                <w:b/>
                <w:bCs/>
                <w:noProof/>
                <w:sz w:val="20"/>
                <w:szCs w:val="20"/>
                <w:lang w:val="en-US"/>
              </w:rPr>
              <w:t>Component 3.3 MODERNISATION OF EMPLOYMENT SERVICES AND LABOUR MARKET DEVELOPMENT</w:t>
            </w:r>
          </w:p>
        </w:tc>
      </w:tr>
      <w:tr w:rsidR="0023565A" w:rsidRPr="00896ADF" w14:paraId="4A7BCE59" w14:textId="77777777" w:rsidTr="003B0E30">
        <w:tc>
          <w:tcPr>
            <w:tcW w:w="3227" w:type="dxa"/>
            <w:shd w:val="clear" w:color="auto" w:fill="00B0F0"/>
          </w:tcPr>
          <w:p w14:paraId="0325119A" w14:textId="77777777" w:rsidR="0023565A" w:rsidRPr="00896ADF" w:rsidRDefault="0023565A"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4020EEF4" w14:textId="77777777" w:rsidR="0023565A" w:rsidRPr="00896ADF" w:rsidRDefault="00305230"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Investment 2</w:t>
            </w:r>
          </w:p>
        </w:tc>
      </w:tr>
      <w:tr w:rsidR="0023565A" w:rsidRPr="00896ADF" w14:paraId="7BA6E15D" w14:textId="77777777" w:rsidTr="003B0E30">
        <w:tc>
          <w:tcPr>
            <w:tcW w:w="3227" w:type="dxa"/>
            <w:shd w:val="clear" w:color="auto" w:fill="00B0F0"/>
          </w:tcPr>
          <w:p w14:paraId="0AA816A9" w14:textId="77777777" w:rsidR="0023565A" w:rsidRPr="00896ADF" w:rsidRDefault="0023565A"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6D79FB34" w14:textId="77777777" w:rsidR="0023565A" w:rsidRPr="00896ADF" w:rsidRDefault="002A1D86"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Increasing the capacity of pre-school facilities</w:t>
            </w:r>
          </w:p>
        </w:tc>
      </w:tr>
      <w:tr w:rsidR="0023565A" w:rsidRPr="00896ADF" w14:paraId="2384C4EB" w14:textId="77777777" w:rsidTr="003B0E30">
        <w:tc>
          <w:tcPr>
            <w:tcW w:w="3227" w:type="dxa"/>
            <w:shd w:val="clear" w:color="auto" w:fill="BDD6EE"/>
          </w:tcPr>
          <w:p w14:paraId="4C20A725" w14:textId="77777777" w:rsidR="0023565A" w:rsidRPr="00896ADF" w:rsidRDefault="0023565A"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Type of change compared to CID</w:t>
            </w:r>
          </w:p>
        </w:tc>
        <w:tc>
          <w:tcPr>
            <w:tcW w:w="5939" w:type="dxa"/>
          </w:tcPr>
          <w:p w14:paraId="1BB901BF" w14:textId="77777777" w:rsidR="0023565A" w:rsidRPr="00896ADF" w:rsidRDefault="0023565A"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noProof/>
                <w:sz w:val="20"/>
                <w:szCs w:val="20"/>
                <w:lang w:val="en-US"/>
              </w:rPr>
              <w:t>[modified]</w:t>
            </w:r>
          </w:p>
        </w:tc>
      </w:tr>
      <w:tr w:rsidR="0023565A" w:rsidRPr="00896ADF" w14:paraId="57222D74" w14:textId="77777777" w:rsidTr="003B0E30">
        <w:tc>
          <w:tcPr>
            <w:tcW w:w="3227" w:type="dxa"/>
            <w:shd w:val="clear" w:color="auto" w:fill="BDD6EE"/>
          </w:tcPr>
          <w:p w14:paraId="37833E9E" w14:textId="77777777" w:rsidR="0023565A" w:rsidRPr="00896ADF" w:rsidRDefault="0023565A"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Legal base of the change (select at least one)</w:t>
            </w:r>
          </w:p>
        </w:tc>
        <w:tc>
          <w:tcPr>
            <w:tcW w:w="5939" w:type="dxa"/>
          </w:tcPr>
          <w:p w14:paraId="410605AC" w14:textId="77777777"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2868098"/>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Article 14(2) – loan request</w:t>
            </w:r>
          </w:p>
          <w:p w14:paraId="1F145BE5" w14:textId="1E6744D8"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03264957"/>
                <w14:checkbox>
                  <w14:checked w14:val="0"/>
                  <w14:checkedState w14:val="2612" w14:font="MS Gothic"/>
                  <w14:uncheckedState w14:val="2610" w14:font="MS Gothic"/>
                </w14:checkbox>
              </w:sdtPr>
              <w:sdtEndPr/>
              <w:sdtContent>
                <w:r w:rsidR="00015FA9" w:rsidRPr="00896ADF">
                  <w:rPr>
                    <w:rFonts w:ascii="MS Gothic" w:eastAsia="MS Gothic" w:hAnsi="MS Gothic" w:cs="Times New Roman" w:hint="eastAsia"/>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Article 18(2) – update of the maximum financial contribution</w:t>
            </w:r>
          </w:p>
          <w:p w14:paraId="6B1633CF" w14:textId="77777777" w:rsidR="0023565A" w:rsidRPr="00896ADF" w:rsidRDefault="00491E8E" w:rsidP="003B0E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84686546"/>
                <w:placeholder>
                  <w:docPart w:val="D804E9E634204B8882CFD847505AA2D5"/>
                </w:placeholder>
                <w14:checkbox>
                  <w14:checked w14:val="1"/>
                  <w14:checkedState w14:val="2612" w14:font="MS Gothic"/>
                  <w14:uncheckedState w14:val="2610" w14:font="MS Gothic"/>
                </w14:checkbox>
              </w:sdtPr>
              <w:sdtEndPr/>
              <w:sdtContent>
                <w:r w:rsidR="00175CFF" w:rsidRPr="00896ADF">
                  <w:rPr>
                    <w:rFonts w:ascii="MS Gothic" w:eastAsia="MS Gothic" w:hAnsi="MS Gothic" w:cs="Times New Roman" w:hint="eastAsia"/>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Article 21 – amendment due to objective circumstances</w:t>
            </w:r>
          </w:p>
          <w:p w14:paraId="4DCE8150" w14:textId="77777777" w:rsidR="0023565A" w:rsidRPr="00896ADF" w:rsidRDefault="00491E8E" w:rsidP="003B0E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91693000"/>
                <w:placeholder>
                  <w:docPart w:val="D804E9E634204B8882CFD847505AA2D5"/>
                </w:placeholder>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fr-BE"/>
                  </w:rPr>
                  <w:t>☐</w:t>
                </w:r>
              </w:sdtContent>
            </w:sdt>
            <w:r w:rsidR="0023565A" w:rsidRPr="00896ADF">
              <w:rPr>
                <w:rFonts w:ascii="Times New Roman" w:eastAsia="Calibri" w:hAnsi="Times New Roman" w:cs="Times New Roman"/>
                <w:noProof/>
                <w:sz w:val="20"/>
                <w:szCs w:val="20"/>
                <w:lang w:val="fr-BE"/>
              </w:rPr>
              <w:t xml:space="preserve"> Article 21a – REPowerEU non-repayable financial support (ETS revenue)</w:t>
            </w:r>
          </w:p>
          <w:p w14:paraId="0643B04F" w14:textId="77777777" w:rsidR="0023565A" w:rsidRPr="00896ADF" w:rsidRDefault="00491E8E" w:rsidP="003B0E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2034643322"/>
                <w:placeholder>
                  <w:docPart w:val="D804E9E634204B8882CFD847505AA2D5"/>
                </w:placeholder>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en-IE"/>
                  </w:rPr>
                  <w:t>☐</w:t>
                </w:r>
              </w:sdtContent>
            </w:sdt>
            <w:r w:rsidR="0023565A" w:rsidRPr="00896ADF">
              <w:rPr>
                <w:rFonts w:ascii="Times New Roman" w:eastAsia="Calibri" w:hAnsi="Times New Roman" w:cs="Times New Roman"/>
                <w:noProof/>
                <w:sz w:val="20"/>
                <w:szCs w:val="20"/>
                <w:lang w:val="en-IE"/>
              </w:rPr>
              <w:t xml:space="preserve"> Article 21b (2) – BAR transfers</w:t>
            </w:r>
          </w:p>
          <w:p w14:paraId="6DCF7CCC" w14:textId="77777777" w:rsidR="0023565A" w:rsidRPr="00896ADF" w:rsidRDefault="0023565A" w:rsidP="003B0E30">
            <w:pPr>
              <w:jc w:val="both"/>
              <w:rPr>
                <w:rFonts w:ascii="Times New Roman" w:eastAsia="Calibri" w:hAnsi="Times New Roman" w:cs="Times New Roman"/>
                <w:noProof/>
                <w:sz w:val="20"/>
                <w:szCs w:val="20"/>
                <w:lang w:val="en-US"/>
              </w:rPr>
            </w:pPr>
            <w:r w:rsidRPr="00896ADF">
              <w:rPr>
                <w:rFonts w:ascii="Segoe UI Symbol" w:eastAsia="MS Gothic" w:hAnsi="Segoe UI Symbol" w:cs="Segoe UI Symbol"/>
                <w:noProof/>
                <w:sz w:val="20"/>
                <w:szCs w:val="20"/>
                <w:lang w:val="en-US"/>
              </w:rPr>
              <w:t>☐</w:t>
            </w:r>
            <w:r w:rsidRPr="00896ADF">
              <w:rPr>
                <w:rFonts w:ascii="Times New Roman" w:eastAsia="Calibri" w:hAnsi="Times New Roman" w:cs="Times New Roman"/>
                <w:noProof/>
                <w:sz w:val="20"/>
                <w:szCs w:val="20"/>
                <w:lang w:val="en-US"/>
              </w:rPr>
              <w:t xml:space="preserve"> None of the above, correction of clerical error</w:t>
            </w:r>
          </w:p>
          <w:p w14:paraId="4BF37D7E" w14:textId="77777777" w:rsidR="0023565A" w:rsidRPr="00896ADF" w:rsidRDefault="0023565A" w:rsidP="003B0E30">
            <w:pPr>
              <w:jc w:val="both"/>
              <w:rPr>
                <w:rFonts w:ascii="Times New Roman" w:eastAsia="Calibri" w:hAnsi="Times New Roman" w:cs="Times New Roman"/>
                <w:noProof/>
                <w:sz w:val="20"/>
                <w:szCs w:val="20"/>
                <w:lang w:val="en-IE"/>
              </w:rPr>
            </w:pPr>
          </w:p>
        </w:tc>
      </w:tr>
      <w:tr w:rsidR="0023565A" w:rsidRPr="00896ADF" w14:paraId="01CF2F4F" w14:textId="77777777" w:rsidTr="003B0E30">
        <w:tc>
          <w:tcPr>
            <w:tcW w:w="3227" w:type="dxa"/>
            <w:shd w:val="clear" w:color="auto" w:fill="BDD6EE"/>
          </w:tcPr>
          <w:p w14:paraId="55369D72" w14:textId="77777777" w:rsidR="0023565A" w:rsidRPr="00896ADF" w:rsidRDefault="0023565A"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Elements modified (only for modified measures)</w:t>
            </w:r>
          </w:p>
          <w:p w14:paraId="2B43043E" w14:textId="77777777" w:rsidR="0023565A" w:rsidRPr="00896ADF" w:rsidRDefault="0023565A" w:rsidP="003B0E30">
            <w:pPr>
              <w:jc w:val="both"/>
              <w:rPr>
                <w:rFonts w:ascii="Times New Roman" w:eastAsia="Calibri" w:hAnsi="Times New Roman" w:cs="Times New Roman"/>
                <w:b/>
                <w:bCs/>
                <w:noProof/>
                <w:sz w:val="24"/>
                <w:szCs w:val="24"/>
                <w:u w:val="single"/>
                <w:lang w:val="en-IE"/>
              </w:rPr>
            </w:pPr>
          </w:p>
        </w:tc>
        <w:tc>
          <w:tcPr>
            <w:tcW w:w="5939" w:type="dxa"/>
          </w:tcPr>
          <w:p w14:paraId="45069298" w14:textId="77777777"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35972386"/>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Component / Measure description</w:t>
            </w:r>
          </w:p>
          <w:p w14:paraId="2832A36B" w14:textId="77777777"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54148920"/>
                <w:placeholder>
                  <w:docPart w:val="D804E9E634204B8882CFD847505AA2D5"/>
                </w:placeholder>
                <w14:checkbox>
                  <w14:checked w14:val="1"/>
                  <w14:checkedState w14:val="2612" w14:font="MS Gothic"/>
                  <w14:uncheckedState w14:val="2610" w14:font="MS Gothic"/>
                </w14:checkbox>
              </w:sdtPr>
              <w:sdtEndPr/>
              <w:sdtContent>
                <w:r w:rsidR="00175CFF" w:rsidRPr="00896ADF">
                  <w:rPr>
                    <w:rFonts w:ascii="MS Gothic" w:eastAsia="MS Gothic" w:hAnsi="MS Gothic" w:cs="Times New Roman" w:hint="eastAsia"/>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Milestones and targets</w:t>
            </w:r>
          </w:p>
          <w:p w14:paraId="39B3FD50" w14:textId="7AC8CB1C"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29890932"/>
                <w14:checkbox>
                  <w14:checked w14:val="0"/>
                  <w14:checkedState w14:val="2612" w14:font="MS Gothic"/>
                  <w14:uncheckedState w14:val="2610" w14:font="MS Gothic"/>
                </w14:checkbox>
              </w:sdtPr>
              <w:sdtEndPr/>
              <w:sdtContent>
                <w:r w:rsidR="00015FA9" w:rsidRPr="00896ADF">
                  <w:rPr>
                    <w:rFonts w:ascii="MS Gothic" w:eastAsia="MS Gothic" w:hAnsi="MS Gothic" w:cs="Times New Roman" w:hint="eastAsia"/>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Estimated cost</w:t>
            </w:r>
          </w:p>
          <w:p w14:paraId="4909BDCE" w14:textId="77777777"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686503"/>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15C35637" w14:textId="77777777" w:rsidR="0023565A" w:rsidRPr="00896ADF" w:rsidRDefault="00491E8E" w:rsidP="003B0E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434554716"/>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DNSH self-assessment</w:t>
            </w:r>
          </w:p>
        </w:tc>
      </w:tr>
      <w:bookmarkEnd w:id="1"/>
    </w:tbl>
    <w:p w14:paraId="0456AD70" w14:textId="77777777" w:rsidR="0023565A" w:rsidRPr="00896ADF" w:rsidRDefault="0023565A" w:rsidP="0023565A"/>
    <w:tbl>
      <w:tblPr>
        <w:tblStyle w:val="Mkatabulky"/>
        <w:tblW w:w="0" w:type="auto"/>
        <w:tblLook w:val="0480" w:firstRow="0" w:lastRow="0" w:firstColumn="1" w:lastColumn="0" w:noHBand="0" w:noVBand="1"/>
      </w:tblPr>
      <w:tblGrid>
        <w:gridCol w:w="2235"/>
        <w:gridCol w:w="3260"/>
        <w:gridCol w:w="3747"/>
      </w:tblGrid>
      <w:tr w:rsidR="0023565A" w:rsidRPr="00896ADF" w14:paraId="4F230779" w14:textId="77777777" w:rsidTr="11F1BDA2">
        <w:trPr>
          <w:trHeight w:val="300"/>
        </w:trPr>
        <w:tc>
          <w:tcPr>
            <w:tcW w:w="9242" w:type="dxa"/>
            <w:gridSpan w:val="3"/>
            <w:shd w:val="clear" w:color="auto" w:fill="1F3864"/>
          </w:tcPr>
          <w:p w14:paraId="0C485CF6" w14:textId="77777777" w:rsidR="0023565A" w:rsidRPr="00896ADF" w:rsidRDefault="00F62594" w:rsidP="003B0E30">
            <w:pPr>
              <w:jc w:val="center"/>
              <w:rPr>
                <w:rFonts w:ascii="Times New Roman" w:eastAsia="Calibri" w:hAnsi="Times New Roman" w:cs="Times New Roman"/>
                <w:b/>
                <w:bCs/>
                <w:noProof/>
                <w:sz w:val="20"/>
                <w:szCs w:val="20"/>
                <w:lang w:val="en-IE"/>
              </w:rPr>
            </w:pPr>
            <w:r w:rsidRPr="00896ADF">
              <w:rPr>
                <w:rFonts w:ascii="Times New Roman" w:eastAsia="Calibri" w:hAnsi="Times New Roman" w:cs="Times New Roman"/>
                <w:b/>
                <w:bCs/>
                <w:noProof/>
                <w:sz w:val="20"/>
                <w:szCs w:val="20"/>
                <w:lang w:val="en-IE"/>
              </w:rPr>
              <w:t>Investment 2: Increasing the c</w:t>
            </w:r>
            <w:r w:rsidR="00143BF4" w:rsidRPr="00896ADF">
              <w:rPr>
                <w:rFonts w:ascii="Times New Roman" w:eastAsia="Calibri" w:hAnsi="Times New Roman" w:cs="Times New Roman"/>
                <w:b/>
                <w:bCs/>
                <w:noProof/>
                <w:sz w:val="20"/>
                <w:szCs w:val="20"/>
                <w:lang w:val="en-IE"/>
              </w:rPr>
              <w:t>a</w:t>
            </w:r>
            <w:r w:rsidRPr="00896ADF">
              <w:rPr>
                <w:rFonts w:ascii="Times New Roman" w:eastAsia="Calibri" w:hAnsi="Times New Roman" w:cs="Times New Roman"/>
                <w:b/>
                <w:bCs/>
                <w:noProof/>
                <w:sz w:val="20"/>
                <w:szCs w:val="20"/>
                <w:lang w:val="en-IE"/>
              </w:rPr>
              <w:t>pacity of pre-school facilities</w:t>
            </w:r>
            <w:r w:rsidR="00175CFF" w:rsidRPr="00896ADF">
              <w:rPr>
                <w:rFonts w:ascii="Times New Roman" w:eastAsia="Calibri" w:hAnsi="Times New Roman" w:cs="Times New Roman"/>
                <w:b/>
                <w:bCs/>
                <w:noProof/>
                <w:sz w:val="20"/>
                <w:szCs w:val="20"/>
                <w:lang w:val="en-IE"/>
              </w:rPr>
              <w:t xml:space="preserve"> – Target 189</w:t>
            </w:r>
          </w:p>
        </w:tc>
      </w:tr>
      <w:tr w:rsidR="0023565A" w:rsidRPr="00896ADF" w14:paraId="476679B7" w14:textId="77777777" w:rsidTr="11F1BDA2">
        <w:trPr>
          <w:trHeight w:val="300"/>
        </w:trPr>
        <w:tc>
          <w:tcPr>
            <w:tcW w:w="9242" w:type="dxa"/>
            <w:gridSpan w:val="3"/>
            <w:shd w:val="clear" w:color="auto" w:fill="auto"/>
          </w:tcPr>
          <w:p w14:paraId="0DE28DCC" w14:textId="77777777" w:rsidR="0023565A" w:rsidRPr="00896ADF" w:rsidRDefault="0023565A" w:rsidP="003B0E30">
            <w:pPr>
              <w:jc w:val="both"/>
              <w:rPr>
                <w:rFonts w:ascii="Times New Roman" w:eastAsia="Calibri" w:hAnsi="Times New Roman" w:cs="Times New Roman"/>
                <w:i/>
                <w:iCs/>
                <w:noProof/>
                <w:sz w:val="20"/>
                <w:szCs w:val="20"/>
                <w:lang w:val="en-IE"/>
              </w:rPr>
            </w:pPr>
            <w:r w:rsidRPr="00896ADF">
              <w:rPr>
                <w:rFonts w:ascii="Times New Roman" w:eastAsia="Calibri" w:hAnsi="Times New Roman" w:cs="Times New Roman"/>
                <w:i/>
                <w:iCs/>
                <w:noProof/>
                <w:sz w:val="20"/>
                <w:szCs w:val="20"/>
                <w:lang w:val="en-IE"/>
              </w:rPr>
              <w:t>Description and justification of the change</w:t>
            </w:r>
          </w:p>
        </w:tc>
      </w:tr>
      <w:tr w:rsidR="0023565A" w:rsidRPr="00896ADF" w14:paraId="26D95240" w14:textId="77777777" w:rsidTr="11F1BDA2">
        <w:trPr>
          <w:trHeight w:val="300"/>
        </w:trPr>
        <w:tc>
          <w:tcPr>
            <w:tcW w:w="2235" w:type="dxa"/>
            <w:shd w:val="clear" w:color="auto" w:fill="00B0F0"/>
          </w:tcPr>
          <w:p w14:paraId="41583A92" w14:textId="77777777" w:rsidR="0023565A" w:rsidRPr="00896ADF" w:rsidRDefault="0023565A"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70CBCBC0" w14:textId="77777777" w:rsidR="0023565A" w:rsidRPr="00896ADF" w:rsidRDefault="0023565A"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55548759" w14:textId="77777777" w:rsidR="0023565A" w:rsidRPr="00896ADF" w:rsidRDefault="0023565A"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Amended version</w:t>
            </w:r>
          </w:p>
        </w:tc>
      </w:tr>
      <w:tr w:rsidR="0023565A" w:rsidRPr="00896ADF" w14:paraId="4922F5D0" w14:textId="77777777" w:rsidTr="11F1BDA2">
        <w:trPr>
          <w:trHeight w:val="300"/>
        </w:trPr>
        <w:tc>
          <w:tcPr>
            <w:tcW w:w="2235" w:type="dxa"/>
          </w:tcPr>
          <w:p w14:paraId="7A3530D2" w14:textId="77777777" w:rsidR="0023565A" w:rsidRPr="00896ADF" w:rsidRDefault="0023565A"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3ABE0F66" w14:textId="7D0ADC8F" w:rsidR="0023565A" w:rsidRPr="00896ADF" w:rsidRDefault="01689CBE" w:rsidP="199B201F">
            <w:pPr>
              <w:spacing w:before="119" w:line="276" w:lineRule="auto"/>
              <w:ind w:left="228" w:hanging="228"/>
              <w:jc w:val="both"/>
              <w:rPr>
                <w:rFonts w:ascii="Times New Roman" w:eastAsia="Times New Roman" w:hAnsi="Times New Roman" w:cs="Times New Roman"/>
                <w:noProof/>
                <w:sz w:val="24"/>
                <w:szCs w:val="24"/>
              </w:rPr>
            </w:pPr>
            <w:r w:rsidRPr="00896ADF">
              <w:rPr>
                <w:rFonts w:eastAsiaTheme="minorEastAsia"/>
                <w:i/>
                <w:iCs/>
                <w:noProof/>
                <w:sz w:val="20"/>
                <w:szCs w:val="20"/>
                <w:lang w:val="en-IE"/>
              </w:rPr>
              <w:t>-</w:t>
            </w:r>
            <w:r w:rsidR="1819CB5B" w:rsidRPr="00896ADF">
              <w:rPr>
                <w:rFonts w:ascii="Times New Roman" w:eastAsia="Times New Roman" w:hAnsi="Times New Roman" w:cs="Times New Roman"/>
                <w:noProof/>
                <w:sz w:val="24"/>
                <w:szCs w:val="24"/>
              </w:rPr>
              <w:t xml:space="preserve"> Investment in new capacities shall contribute to climate objectives by increasing energy efficiency as follows:</w:t>
            </w:r>
          </w:p>
          <w:p w14:paraId="3E251570" w14:textId="1312B920" w:rsidR="0023565A" w:rsidRPr="00896ADF" w:rsidRDefault="1819CB5B" w:rsidP="00896ADF">
            <w:pPr>
              <w:pStyle w:val="Odstavecseseznamem"/>
              <w:numPr>
                <w:ilvl w:val="0"/>
                <w:numId w:val="5"/>
              </w:numPr>
              <w:spacing w:after="0" w:line="259" w:lineRule="auto"/>
              <w:jc w:val="both"/>
              <w:rPr>
                <w:rFonts w:ascii="Calibri" w:eastAsia="Calibri" w:hAnsi="Calibri" w:cs="Calibri"/>
                <w:noProof/>
                <w:sz w:val="24"/>
                <w:szCs w:val="24"/>
                <w:lang w:val="en-GB"/>
              </w:rPr>
            </w:pPr>
            <w:r w:rsidRPr="00896ADF">
              <w:rPr>
                <w:rFonts w:ascii="Calibri" w:eastAsia="Calibri" w:hAnsi="Calibri" w:cs="Calibri"/>
                <w:noProof/>
                <w:sz w:val="24"/>
                <w:szCs w:val="24"/>
                <w:lang w:val="en-GB"/>
              </w:rPr>
              <w:t>25% shall be allocated to new constructions with primary energy demand at least 20% below the nearly zero-</w:t>
            </w:r>
            <w:r w:rsidRPr="00896ADF">
              <w:rPr>
                <w:rFonts w:ascii="Calibri" w:eastAsia="Calibri" w:hAnsi="Calibri" w:cs="Calibri"/>
                <w:noProof/>
                <w:sz w:val="24"/>
                <w:szCs w:val="24"/>
                <w:lang w:val="en-GB"/>
              </w:rPr>
              <w:lastRenderedPageBreak/>
              <w:t>energy buildings requirement.</w:t>
            </w:r>
          </w:p>
          <w:p w14:paraId="0159CE61" w14:textId="2CF23188" w:rsidR="0023565A" w:rsidRPr="00896ADF" w:rsidRDefault="1819CB5B" w:rsidP="00896ADF">
            <w:pPr>
              <w:pStyle w:val="Odstavecseseznamem"/>
              <w:numPr>
                <w:ilvl w:val="0"/>
                <w:numId w:val="5"/>
              </w:numPr>
              <w:spacing w:after="0" w:line="257" w:lineRule="auto"/>
              <w:jc w:val="both"/>
              <w:rPr>
                <w:rFonts w:ascii="Calibri" w:eastAsia="Calibri" w:hAnsi="Calibri" w:cs="Calibri"/>
                <w:noProof/>
                <w:sz w:val="24"/>
                <w:szCs w:val="24"/>
                <w:lang w:val="en-GB"/>
              </w:rPr>
            </w:pPr>
            <w:r w:rsidRPr="00896ADF">
              <w:rPr>
                <w:rFonts w:ascii="Calibri" w:eastAsia="Calibri" w:hAnsi="Calibri" w:cs="Calibri"/>
                <w:noProof/>
                <w:sz w:val="24"/>
                <w:szCs w:val="24"/>
                <w:lang w:val="en-GB"/>
              </w:rPr>
              <w:t>45% shall be allocated to energy efficiency renovations, achieving on average either at least 30% primary energy savings or at least a 30% reduction of direct and indirect greenhouse gas emissions.</w:t>
            </w:r>
          </w:p>
          <w:p w14:paraId="15C2951A" w14:textId="0F458887" w:rsidR="0023565A" w:rsidRPr="00896ADF" w:rsidRDefault="1819CB5B" w:rsidP="00896ADF">
            <w:pPr>
              <w:pStyle w:val="Odstavecseseznamem"/>
              <w:numPr>
                <w:ilvl w:val="0"/>
                <w:numId w:val="5"/>
              </w:numPr>
              <w:spacing w:after="0" w:line="360" w:lineRule="auto"/>
              <w:jc w:val="both"/>
              <w:rPr>
                <w:rFonts w:ascii="Calibri" w:eastAsia="Calibri" w:hAnsi="Calibri" w:cs="Calibri"/>
                <w:noProof/>
                <w:sz w:val="24"/>
                <w:szCs w:val="24"/>
                <w:lang w:val="en-GB"/>
              </w:rPr>
            </w:pPr>
            <w:r w:rsidRPr="00896ADF">
              <w:rPr>
                <w:rFonts w:ascii="Calibri" w:eastAsia="Calibri" w:hAnsi="Calibri" w:cs="Calibri"/>
                <w:noProof/>
                <w:sz w:val="24"/>
                <w:szCs w:val="24"/>
                <w:lang w:val="en-GB"/>
              </w:rPr>
              <w:t xml:space="preserve">30% shall be allocated to other energy efficiency renovations. </w:t>
            </w:r>
          </w:p>
          <w:p w14:paraId="6D504E0E" w14:textId="59E0E9CA" w:rsidR="0023565A" w:rsidRPr="00896ADF" w:rsidRDefault="1819CB5B" w:rsidP="11F1BDA2">
            <w:pPr>
              <w:spacing w:line="360" w:lineRule="auto"/>
              <w:jc w:val="both"/>
              <w:rPr>
                <w:rFonts w:ascii="Calibri" w:eastAsia="Calibri" w:hAnsi="Calibri" w:cs="Calibri"/>
                <w:noProof/>
                <w:sz w:val="24"/>
                <w:szCs w:val="24"/>
              </w:rPr>
            </w:pPr>
            <w:r w:rsidRPr="00896ADF">
              <w:rPr>
                <w:rFonts w:ascii="Calibri" w:eastAsia="Calibri" w:hAnsi="Calibri" w:cs="Calibri"/>
                <w:noProof/>
                <w:sz w:val="24"/>
                <w:szCs w:val="24"/>
              </w:rPr>
              <w:t>The investment shall be completed by 31 December 2025.</w:t>
            </w:r>
          </w:p>
          <w:p w14:paraId="659EE4BE" w14:textId="69115A7A" w:rsidR="0023565A" w:rsidRPr="00896ADF" w:rsidRDefault="0023565A" w:rsidP="199B201F">
            <w:pPr>
              <w:spacing w:after="200" w:line="276" w:lineRule="auto"/>
              <w:jc w:val="both"/>
              <w:rPr>
                <w:rFonts w:eastAsiaTheme="minorEastAsia"/>
                <w:i/>
                <w:iCs/>
                <w:noProof/>
                <w:sz w:val="20"/>
                <w:szCs w:val="20"/>
                <w:lang w:val="en-IE"/>
              </w:rPr>
            </w:pPr>
          </w:p>
        </w:tc>
        <w:tc>
          <w:tcPr>
            <w:tcW w:w="3747" w:type="dxa"/>
          </w:tcPr>
          <w:p w14:paraId="7E3A468C" w14:textId="0C6EA6A2" w:rsidR="0023565A" w:rsidRPr="00896ADF" w:rsidRDefault="01689CBE" w:rsidP="199B201F">
            <w:pPr>
              <w:spacing w:before="120" w:after="120"/>
              <w:ind w:left="227" w:hanging="227"/>
              <w:jc w:val="both"/>
              <w:rPr>
                <w:rFonts w:ascii="Times New Roman" w:eastAsia="Times New Roman" w:hAnsi="Times New Roman" w:cs="Times New Roman"/>
                <w:noProof/>
                <w:sz w:val="24"/>
                <w:szCs w:val="24"/>
              </w:rPr>
            </w:pPr>
            <w:r w:rsidRPr="00896ADF">
              <w:rPr>
                <w:rFonts w:eastAsiaTheme="minorEastAsia"/>
                <w:i/>
                <w:iCs/>
                <w:noProof/>
                <w:sz w:val="20"/>
                <w:szCs w:val="20"/>
                <w:lang w:val="en-IE"/>
              </w:rPr>
              <w:lastRenderedPageBreak/>
              <w:t>-</w:t>
            </w:r>
            <w:r w:rsidR="60BB0F56" w:rsidRPr="00896ADF">
              <w:rPr>
                <w:rFonts w:ascii="Times New Roman" w:eastAsia="Times New Roman" w:hAnsi="Times New Roman" w:cs="Times New Roman"/>
                <w:noProof/>
                <w:sz w:val="24"/>
                <w:szCs w:val="24"/>
              </w:rPr>
              <w:t xml:space="preserve"> Investment in new capacities shall contribute to climate objectives by increasing energy efficiency as follows: </w:t>
            </w:r>
          </w:p>
          <w:p w14:paraId="72F83A5F" w14:textId="5CD4D69D" w:rsidR="0023565A" w:rsidRPr="00896ADF" w:rsidRDefault="60BB0F56" w:rsidP="00896ADF">
            <w:pPr>
              <w:pStyle w:val="Odstavecseseznamem"/>
              <w:numPr>
                <w:ilvl w:val="0"/>
                <w:numId w:val="4"/>
              </w:numPr>
              <w:spacing w:after="0" w:line="257" w:lineRule="auto"/>
              <w:jc w:val="both"/>
              <w:rPr>
                <w:rFonts w:ascii="Calibri" w:eastAsia="Calibri" w:hAnsi="Calibri" w:cs="Calibri"/>
                <w:noProof/>
                <w:sz w:val="20"/>
                <w:szCs w:val="20"/>
                <w:lang w:val="en-GB"/>
              </w:rPr>
            </w:pPr>
            <w:r w:rsidRPr="00896ADF">
              <w:rPr>
                <w:rFonts w:ascii="Calibri" w:eastAsia="Calibri" w:hAnsi="Calibri" w:cs="Calibri"/>
                <w:noProof/>
                <w:sz w:val="20"/>
                <w:szCs w:val="20"/>
                <w:lang w:val="en-GB"/>
              </w:rPr>
              <w:t xml:space="preserve">45% shall be allocated to energy efficiency renovations, achieving on average either at least 30% primary energy savings or at least a 30% reduction of direct and indirect greenhouse gas emissions. </w:t>
            </w:r>
          </w:p>
          <w:p w14:paraId="606FD66D" w14:textId="22443B67" w:rsidR="0023565A" w:rsidRPr="00896ADF" w:rsidRDefault="60BB0F56" w:rsidP="00896ADF">
            <w:pPr>
              <w:pStyle w:val="Odstavecseseznamem"/>
              <w:numPr>
                <w:ilvl w:val="0"/>
                <w:numId w:val="4"/>
              </w:numPr>
              <w:spacing w:after="0" w:line="257" w:lineRule="auto"/>
              <w:jc w:val="both"/>
              <w:rPr>
                <w:rFonts w:ascii="Calibri" w:eastAsia="Calibri" w:hAnsi="Calibri" w:cs="Calibri"/>
                <w:noProof/>
                <w:sz w:val="20"/>
                <w:szCs w:val="20"/>
                <w:lang w:val="en-GB"/>
              </w:rPr>
            </w:pPr>
            <w:r w:rsidRPr="00896ADF">
              <w:rPr>
                <w:rFonts w:ascii="Calibri" w:eastAsia="Calibri" w:hAnsi="Calibri" w:cs="Calibri"/>
                <w:noProof/>
                <w:sz w:val="20"/>
                <w:szCs w:val="20"/>
                <w:lang w:val="en-GB"/>
              </w:rPr>
              <w:lastRenderedPageBreak/>
              <w:t xml:space="preserve">55% shall be allocated to other energy efficiency renovations or new constructions with primary energy demand at least 20% below the nearly zero-energy buildings requirement. </w:t>
            </w:r>
            <w:r w:rsidR="02608A8B" w:rsidRPr="00896ADF">
              <w:br/>
            </w:r>
            <w:r w:rsidR="02608A8B" w:rsidRPr="00896ADF">
              <w:br/>
            </w:r>
            <w:r w:rsidRPr="00896ADF">
              <w:rPr>
                <w:rFonts w:ascii="Calibri" w:eastAsia="Calibri" w:hAnsi="Calibri" w:cs="Calibri"/>
                <w:noProof/>
                <w:sz w:val="20"/>
                <w:szCs w:val="20"/>
                <w:lang w:val="en-GB"/>
              </w:rPr>
              <w:t xml:space="preserve"> </w:t>
            </w:r>
          </w:p>
          <w:p w14:paraId="17162B7D" w14:textId="2A280009" w:rsidR="0023565A" w:rsidRPr="00896ADF" w:rsidRDefault="0023565A" w:rsidP="11F1BDA2">
            <w:pPr>
              <w:spacing w:line="257" w:lineRule="auto"/>
              <w:jc w:val="both"/>
              <w:rPr>
                <w:rFonts w:ascii="Calibri" w:eastAsia="Calibri" w:hAnsi="Calibri" w:cs="Calibri"/>
                <w:noProof/>
                <w:color w:val="000000" w:themeColor="text1"/>
                <w:sz w:val="20"/>
                <w:szCs w:val="20"/>
              </w:rPr>
            </w:pPr>
          </w:p>
          <w:p w14:paraId="58A5CC51" w14:textId="25EB71E8" w:rsidR="0023565A" w:rsidRPr="00896ADF" w:rsidRDefault="0023565A" w:rsidP="199B201F">
            <w:pPr>
              <w:spacing w:line="257" w:lineRule="auto"/>
              <w:jc w:val="both"/>
              <w:rPr>
                <w:rFonts w:ascii="Calibri" w:eastAsia="Calibri" w:hAnsi="Calibri" w:cs="Calibri"/>
                <w:noProof/>
                <w:color w:val="000000" w:themeColor="text1"/>
                <w:sz w:val="20"/>
                <w:szCs w:val="20"/>
              </w:rPr>
            </w:pPr>
          </w:p>
          <w:p w14:paraId="7BAACD95" w14:textId="1A95013B" w:rsidR="0023565A" w:rsidRPr="00896ADF" w:rsidRDefault="0023565A" w:rsidP="199B201F">
            <w:pPr>
              <w:spacing w:line="257" w:lineRule="auto"/>
              <w:jc w:val="both"/>
              <w:rPr>
                <w:rFonts w:ascii="Calibri" w:eastAsia="Calibri" w:hAnsi="Calibri" w:cs="Calibri"/>
                <w:noProof/>
                <w:color w:val="000000" w:themeColor="text1"/>
                <w:sz w:val="20"/>
                <w:szCs w:val="20"/>
              </w:rPr>
            </w:pPr>
          </w:p>
          <w:p w14:paraId="164AC22F" w14:textId="47F83738" w:rsidR="0023565A" w:rsidRPr="00896ADF" w:rsidRDefault="0023565A" w:rsidP="199B201F">
            <w:pPr>
              <w:spacing w:line="257" w:lineRule="auto"/>
              <w:jc w:val="both"/>
              <w:rPr>
                <w:rFonts w:ascii="Calibri" w:eastAsia="Calibri" w:hAnsi="Calibri" w:cs="Calibri"/>
                <w:noProof/>
                <w:color w:val="000000" w:themeColor="text1"/>
                <w:sz w:val="20"/>
                <w:szCs w:val="20"/>
              </w:rPr>
            </w:pPr>
          </w:p>
          <w:p w14:paraId="33C7EBBA" w14:textId="0D51640F" w:rsidR="0023565A" w:rsidRPr="00896ADF" w:rsidRDefault="0023565A" w:rsidP="199B201F">
            <w:pPr>
              <w:spacing w:line="257" w:lineRule="auto"/>
              <w:jc w:val="both"/>
              <w:rPr>
                <w:rFonts w:ascii="Calibri" w:eastAsia="Calibri" w:hAnsi="Calibri" w:cs="Calibri"/>
                <w:noProof/>
                <w:color w:val="000000" w:themeColor="text1"/>
                <w:sz w:val="20"/>
                <w:szCs w:val="20"/>
              </w:rPr>
            </w:pPr>
          </w:p>
          <w:p w14:paraId="2917BC77" w14:textId="6976D53B" w:rsidR="0023565A" w:rsidRPr="00896ADF" w:rsidRDefault="0023565A" w:rsidP="199B201F">
            <w:pPr>
              <w:spacing w:line="257" w:lineRule="auto"/>
              <w:jc w:val="both"/>
              <w:rPr>
                <w:rFonts w:ascii="Calibri" w:eastAsia="Calibri" w:hAnsi="Calibri" w:cs="Calibri"/>
                <w:noProof/>
                <w:color w:val="000000" w:themeColor="text1"/>
                <w:sz w:val="20"/>
                <w:szCs w:val="20"/>
              </w:rPr>
            </w:pPr>
          </w:p>
          <w:p w14:paraId="221C7D10" w14:textId="4C7F7C0F" w:rsidR="0023565A" w:rsidRPr="00896ADF" w:rsidRDefault="0023565A" w:rsidP="199B201F">
            <w:pPr>
              <w:spacing w:line="257" w:lineRule="auto"/>
              <w:jc w:val="both"/>
              <w:rPr>
                <w:rFonts w:ascii="Calibri" w:eastAsia="Calibri" w:hAnsi="Calibri" w:cs="Calibri"/>
                <w:noProof/>
                <w:color w:val="000000" w:themeColor="text1"/>
                <w:sz w:val="20"/>
                <w:szCs w:val="20"/>
              </w:rPr>
            </w:pPr>
          </w:p>
          <w:p w14:paraId="0C72A62A" w14:textId="072BF343" w:rsidR="0023565A" w:rsidRPr="00896ADF" w:rsidRDefault="0023565A" w:rsidP="199B201F">
            <w:pPr>
              <w:spacing w:line="257" w:lineRule="auto"/>
              <w:jc w:val="both"/>
              <w:rPr>
                <w:rFonts w:ascii="Calibri" w:eastAsia="Calibri" w:hAnsi="Calibri" w:cs="Calibri"/>
                <w:noProof/>
                <w:color w:val="000000" w:themeColor="text1"/>
                <w:sz w:val="20"/>
                <w:szCs w:val="20"/>
              </w:rPr>
            </w:pPr>
          </w:p>
          <w:p w14:paraId="49098212" w14:textId="072E8DFA" w:rsidR="0023565A" w:rsidRPr="00896ADF" w:rsidRDefault="0023565A" w:rsidP="199B201F">
            <w:pPr>
              <w:spacing w:line="257" w:lineRule="auto"/>
              <w:jc w:val="both"/>
              <w:rPr>
                <w:rFonts w:ascii="Calibri" w:eastAsia="Calibri" w:hAnsi="Calibri" w:cs="Calibri"/>
                <w:noProof/>
                <w:color w:val="000000" w:themeColor="text1"/>
                <w:sz w:val="20"/>
                <w:szCs w:val="20"/>
              </w:rPr>
            </w:pPr>
          </w:p>
          <w:p w14:paraId="3BEC886C" w14:textId="682DEE9D" w:rsidR="0023565A" w:rsidRPr="00896ADF" w:rsidRDefault="0023565A" w:rsidP="199B201F">
            <w:pPr>
              <w:spacing w:line="257" w:lineRule="auto"/>
              <w:jc w:val="both"/>
              <w:rPr>
                <w:rFonts w:ascii="Calibri" w:eastAsia="Calibri" w:hAnsi="Calibri" w:cs="Calibri"/>
                <w:noProof/>
                <w:color w:val="000000" w:themeColor="text1"/>
                <w:sz w:val="20"/>
                <w:szCs w:val="20"/>
              </w:rPr>
            </w:pPr>
          </w:p>
          <w:p w14:paraId="00A0745B" w14:textId="1620E461" w:rsidR="0023565A" w:rsidRPr="00896ADF" w:rsidRDefault="0023565A" w:rsidP="199B201F">
            <w:pPr>
              <w:spacing w:line="257" w:lineRule="auto"/>
              <w:jc w:val="both"/>
              <w:rPr>
                <w:rFonts w:ascii="Calibri" w:eastAsia="Calibri" w:hAnsi="Calibri" w:cs="Calibri"/>
                <w:noProof/>
                <w:color w:val="000000" w:themeColor="text1"/>
                <w:sz w:val="20"/>
                <w:szCs w:val="20"/>
              </w:rPr>
            </w:pPr>
          </w:p>
          <w:p w14:paraId="1B7C1008" w14:textId="6F5E4C0C" w:rsidR="0023565A" w:rsidRPr="00896ADF" w:rsidRDefault="0023565A" w:rsidP="199B201F">
            <w:pPr>
              <w:spacing w:line="360" w:lineRule="auto"/>
              <w:jc w:val="both"/>
              <w:rPr>
                <w:rFonts w:ascii="Times New Roman" w:eastAsia="Times New Roman" w:hAnsi="Times New Roman" w:cs="Times New Roman"/>
                <w:noProof/>
                <w:sz w:val="24"/>
                <w:szCs w:val="24"/>
              </w:rPr>
            </w:pPr>
          </w:p>
          <w:p w14:paraId="07501379" w14:textId="184A5B82" w:rsidR="0023565A" w:rsidRPr="00896ADF" w:rsidRDefault="60BB0F56" w:rsidP="11F1BDA2">
            <w:pPr>
              <w:spacing w:line="360" w:lineRule="auto"/>
              <w:jc w:val="both"/>
              <w:rPr>
                <w:rFonts w:ascii="Calibri" w:eastAsia="Calibri" w:hAnsi="Calibri" w:cs="Calibri"/>
                <w:noProof/>
                <w:sz w:val="20"/>
                <w:szCs w:val="20"/>
                <w:lang w:val="en-IE"/>
              </w:rPr>
            </w:pPr>
            <w:r w:rsidRPr="00896ADF">
              <w:rPr>
                <w:rFonts w:ascii="Times New Roman" w:eastAsia="Times New Roman" w:hAnsi="Times New Roman" w:cs="Times New Roman"/>
                <w:noProof/>
                <w:sz w:val="24"/>
                <w:szCs w:val="24"/>
              </w:rPr>
              <w:t>The investment shall be completed by 30 June 2026.</w:t>
            </w:r>
            <w:r w:rsidRPr="00896ADF">
              <w:rPr>
                <w:rFonts w:ascii="Calibri" w:eastAsia="Calibri" w:hAnsi="Calibri" w:cs="Calibri"/>
                <w:noProof/>
                <w:sz w:val="20"/>
                <w:szCs w:val="20"/>
                <w:lang w:val="en-IE"/>
              </w:rPr>
              <w:t xml:space="preserve"> </w:t>
            </w:r>
          </w:p>
          <w:p w14:paraId="4044B355" w14:textId="19413FCC" w:rsidR="0023565A" w:rsidRPr="00896ADF" w:rsidRDefault="02608A8B" w:rsidP="11F1BDA2">
            <w:pPr>
              <w:jc w:val="both"/>
            </w:pPr>
            <w:r w:rsidRPr="00896ADF">
              <w:br/>
            </w:r>
          </w:p>
          <w:p w14:paraId="53824F24" w14:textId="4066C1A1" w:rsidR="0023565A" w:rsidRPr="00896ADF" w:rsidRDefault="0023565A" w:rsidP="199B201F">
            <w:pPr>
              <w:jc w:val="both"/>
              <w:rPr>
                <w:rFonts w:eastAsiaTheme="minorEastAsia"/>
                <w:i/>
                <w:iCs/>
                <w:noProof/>
                <w:sz w:val="20"/>
                <w:szCs w:val="20"/>
                <w:lang w:val="en-IE"/>
              </w:rPr>
            </w:pPr>
          </w:p>
        </w:tc>
      </w:tr>
      <w:tr w:rsidR="0023565A" w:rsidRPr="00896ADF" w14:paraId="4B0580AC" w14:textId="77777777" w:rsidTr="11F1BDA2">
        <w:trPr>
          <w:trHeight w:val="300"/>
        </w:trPr>
        <w:tc>
          <w:tcPr>
            <w:tcW w:w="2235" w:type="dxa"/>
          </w:tcPr>
          <w:p w14:paraId="5D3D0F51" w14:textId="77777777" w:rsidR="0023565A" w:rsidRPr="00896ADF" w:rsidRDefault="0023565A"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0A817FB4" w14:textId="77777777" w:rsidR="00175CFF" w:rsidRPr="00896ADF" w:rsidRDefault="00175CFF" w:rsidP="00175CFF">
            <w:pPr>
              <w:jc w:val="both"/>
              <w:rPr>
                <w:rFonts w:eastAsia="Calibri" w:cstheme="minorHAnsi"/>
                <w:noProof/>
                <w:sz w:val="20"/>
                <w:szCs w:val="20"/>
                <w:lang w:val="en-US"/>
              </w:rPr>
            </w:pPr>
            <w:r w:rsidRPr="00896ADF">
              <w:rPr>
                <w:rFonts w:eastAsia="Calibri" w:cstheme="minorHAnsi"/>
                <w:noProof/>
                <w:sz w:val="20"/>
                <w:szCs w:val="20"/>
                <w:lang w:val="en-US"/>
              </w:rPr>
              <w:t>Of the overall objective to refurbish 370 facilities, at least 333 shall be refurbished, to comply with the new technical standards set by the amendment of ct No 247/2014 on the provision of childcare services in a child group (Child Group Act) or to expand capacity.</w:t>
            </w:r>
          </w:p>
          <w:p w14:paraId="250CD7BC" w14:textId="77777777" w:rsidR="0023565A" w:rsidRPr="00896ADF" w:rsidRDefault="0023565A" w:rsidP="003B0E30">
            <w:pPr>
              <w:jc w:val="both"/>
              <w:rPr>
                <w:rFonts w:eastAsia="Calibri" w:cstheme="minorHAnsi"/>
                <w:noProof/>
                <w:sz w:val="20"/>
                <w:szCs w:val="20"/>
                <w:lang w:val="en-IE"/>
              </w:rPr>
            </w:pPr>
          </w:p>
          <w:p w14:paraId="78BD1BBD" w14:textId="77777777" w:rsidR="00175CFF" w:rsidRPr="00896ADF" w:rsidRDefault="00175CFF" w:rsidP="003B0E30">
            <w:pPr>
              <w:jc w:val="both"/>
              <w:rPr>
                <w:rFonts w:eastAsia="Calibri" w:cstheme="minorHAnsi"/>
                <w:noProof/>
                <w:sz w:val="20"/>
                <w:szCs w:val="20"/>
                <w:lang w:val="en-IE"/>
              </w:rPr>
            </w:pPr>
            <w:r w:rsidRPr="00896ADF">
              <w:rPr>
                <w:rFonts w:eastAsia="Calibri" w:cstheme="minorHAnsi"/>
                <w:noProof/>
                <w:sz w:val="20"/>
                <w:szCs w:val="20"/>
                <w:lang w:val="en-IE"/>
              </w:rPr>
              <w:t>Timeline for completion: Q4/2025</w:t>
            </w:r>
          </w:p>
        </w:tc>
        <w:tc>
          <w:tcPr>
            <w:tcW w:w="3747" w:type="dxa"/>
          </w:tcPr>
          <w:p w14:paraId="09DE16B4" w14:textId="77777777" w:rsidR="0023565A" w:rsidRPr="00896ADF" w:rsidRDefault="00175CFF" w:rsidP="003B0E30">
            <w:pPr>
              <w:jc w:val="both"/>
              <w:rPr>
                <w:rFonts w:eastAsia="Calibri" w:cstheme="minorHAnsi"/>
                <w:noProof/>
                <w:sz w:val="20"/>
                <w:szCs w:val="20"/>
                <w:lang w:val="en-IE"/>
              </w:rPr>
            </w:pPr>
            <w:r w:rsidRPr="00896ADF">
              <w:rPr>
                <w:rFonts w:eastAsia="Calibri" w:cstheme="minorHAnsi"/>
                <w:noProof/>
                <w:sz w:val="20"/>
                <w:szCs w:val="20"/>
                <w:lang w:val="en-IE"/>
              </w:rPr>
              <w:t>No change</w:t>
            </w:r>
          </w:p>
          <w:p w14:paraId="2819A061" w14:textId="77777777" w:rsidR="00175CFF" w:rsidRPr="00896ADF" w:rsidRDefault="00175CFF" w:rsidP="003B0E30">
            <w:pPr>
              <w:jc w:val="both"/>
              <w:rPr>
                <w:rFonts w:eastAsia="Calibri" w:cstheme="minorHAnsi"/>
                <w:noProof/>
                <w:sz w:val="20"/>
                <w:szCs w:val="20"/>
                <w:lang w:val="en-IE"/>
              </w:rPr>
            </w:pPr>
          </w:p>
          <w:p w14:paraId="7A2A6A6C" w14:textId="77777777" w:rsidR="00175CFF" w:rsidRPr="00896ADF" w:rsidRDefault="00175CFF" w:rsidP="003B0E30">
            <w:pPr>
              <w:jc w:val="both"/>
              <w:rPr>
                <w:rFonts w:eastAsia="Calibri" w:cstheme="minorHAnsi"/>
                <w:noProof/>
                <w:sz w:val="20"/>
                <w:szCs w:val="20"/>
                <w:lang w:val="en-IE"/>
              </w:rPr>
            </w:pPr>
          </w:p>
          <w:p w14:paraId="4841B27C" w14:textId="77777777" w:rsidR="00175CFF" w:rsidRPr="00896ADF" w:rsidRDefault="00175CFF" w:rsidP="003B0E30">
            <w:pPr>
              <w:jc w:val="both"/>
              <w:rPr>
                <w:rFonts w:eastAsia="Calibri" w:cstheme="minorHAnsi"/>
                <w:noProof/>
                <w:sz w:val="20"/>
                <w:szCs w:val="20"/>
                <w:lang w:val="en-IE"/>
              </w:rPr>
            </w:pPr>
          </w:p>
          <w:p w14:paraId="1B6925A0" w14:textId="77777777" w:rsidR="00175CFF" w:rsidRPr="00896ADF" w:rsidRDefault="00175CFF" w:rsidP="003B0E30">
            <w:pPr>
              <w:jc w:val="both"/>
              <w:rPr>
                <w:rFonts w:eastAsia="Calibri" w:cstheme="minorHAnsi"/>
                <w:noProof/>
                <w:sz w:val="20"/>
                <w:szCs w:val="20"/>
                <w:lang w:val="en-IE"/>
              </w:rPr>
            </w:pPr>
          </w:p>
          <w:p w14:paraId="2BD53827" w14:textId="77777777" w:rsidR="00175CFF" w:rsidRPr="00896ADF" w:rsidRDefault="00175CFF" w:rsidP="003B0E30">
            <w:pPr>
              <w:jc w:val="both"/>
              <w:rPr>
                <w:rFonts w:eastAsia="Calibri" w:cstheme="minorHAnsi"/>
                <w:noProof/>
                <w:sz w:val="20"/>
                <w:szCs w:val="20"/>
                <w:lang w:val="en-IE"/>
              </w:rPr>
            </w:pPr>
          </w:p>
          <w:p w14:paraId="2DD7FF85" w14:textId="77777777" w:rsidR="00175CFF" w:rsidRPr="00896ADF" w:rsidRDefault="00175CFF" w:rsidP="003B0E30">
            <w:pPr>
              <w:jc w:val="both"/>
              <w:rPr>
                <w:rFonts w:eastAsia="Calibri" w:cstheme="minorHAnsi"/>
                <w:noProof/>
                <w:sz w:val="20"/>
                <w:szCs w:val="20"/>
                <w:lang w:val="en-IE"/>
              </w:rPr>
            </w:pPr>
          </w:p>
          <w:p w14:paraId="52725281" w14:textId="77777777" w:rsidR="00175CFF" w:rsidRPr="00896ADF" w:rsidRDefault="00175CFF" w:rsidP="003B0E30">
            <w:pPr>
              <w:jc w:val="both"/>
              <w:rPr>
                <w:rFonts w:eastAsia="Calibri" w:cstheme="minorHAnsi"/>
                <w:noProof/>
                <w:sz w:val="20"/>
                <w:szCs w:val="20"/>
                <w:lang w:val="en-IE"/>
              </w:rPr>
            </w:pPr>
          </w:p>
          <w:p w14:paraId="06D3F9C1" w14:textId="77777777" w:rsidR="00175CFF" w:rsidRPr="00896ADF" w:rsidRDefault="00175CFF" w:rsidP="003B0E30">
            <w:pPr>
              <w:jc w:val="both"/>
              <w:rPr>
                <w:rFonts w:eastAsia="Calibri" w:cstheme="minorHAnsi"/>
                <w:noProof/>
                <w:sz w:val="20"/>
                <w:szCs w:val="20"/>
                <w:lang w:val="en-IE"/>
              </w:rPr>
            </w:pPr>
          </w:p>
          <w:p w14:paraId="0D212141" w14:textId="77777777" w:rsidR="00175CFF" w:rsidRPr="00896ADF" w:rsidRDefault="00175CFF" w:rsidP="003B0E30">
            <w:pPr>
              <w:jc w:val="both"/>
              <w:rPr>
                <w:rFonts w:eastAsia="Calibri" w:cstheme="minorHAnsi"/>
                <w:noProof/>
                <w:sz w:val="20"/>
                <w:szCs w:val="20"/>
                <w:lang w:val="en-IE"/>
              </w:rPr>
            </w:pPr>
            <w:r w:rsidRPr="00896ADF">
              <w:rPr>
                <w:rFonts w:eastAsia="Calibri" w:cstheme="minorHAnsi"/>
                <w:noProof/>
                <w:sz w:val="20"/>
                <w:szCs w:val="20"/>
                <w:lang w:val="en-IE"/>
              </w:rPr>
              <w:t>Timeline for completion: Q2/2026</w:t>
            </w:r>
          </w:p>
        </w:tc>
      </w:tr>
      <w:tr w:rsidR="00175CFF" w:rsidRPr="00896ADF" w14:paraId="713F13FC" w14:textId="77777777" w:rsidTr="11F1BDA2">
        <w:trPr>
          <w:trHeight w:val="300"/>
        </w:trPr>
        <w:tc>
          <w:tcPr>
            <w:tcW w:w="2235" w:type="dxa"/>
          </w:tcPr>
          <w:p w14:paraId="2D2619F5" w14:textId="77777777" w:rsidR="00175CFF" w:rsidRPr="00896ADF" w:rsidRDefault="00175CFF" w:rsidP="00175CFF">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Estimated cost</w:t>
            </w:r>
          </w:p>
        </w:tc>
        <w:tc>
          <w:tcPr>
            <w:tcW w:w="3260" w:type="dxa"/>
          </w:tcPr>
          <w:p w14:paraId="29BE8CD2" w14:textId="78C8A72F" w:rsidR="00175CFF" w:rsidRPr="00896ADF" w:rsidRDefault="0002097F" w:rsidP="00175CFF">
            <w:pPr>
              <w:jc w:val="both"/>
              <w:rPr>
                <w:rFonts w:eastAsia="Calibri" w:cstheme="minorHAnsi"/>
                <w:noProof/>
                <w:sz w:val="20"/>
                <w:szCs w:val="20"/>
                <w:lang w:val="en-IE"/>
              </w:rPr>
            </w:pPr>
            <w:r w:rsidRPr="00896ADF">
              <w:rPr>
                <w:rFonts w:eastAsia="Calibri" w:cstheme="minorHAnsi"/>
                <w:noProof/>
                <w:sz w:val="20"/>
                <w:szCs w:val="20"/>
                <w:lang w:val="en-IE"/>
              </w:rPr>
              <w:t xml:space="preserve">6 </w:t>
            </w:r>
            <w:r w:rsidR="0080312D" w:rsidRPr="00896ADF">
              <w:rPr>
                <w:rFonts w:eastAsia="Calibri" w:cstheme="minorHAnsi"/>
                <w:noProof/>
                <w:sz w:val="20"/>
                <w:szCs w:val="20"/>
                <w:lang w:val="en-IE"/>
              </w:rPr>
              <w:t>993</w:t>
            </w:r>
            <w:r w:rsidR="00175CFF" w:rsidRPr="00896ADF">
              <w:rPr>
                <w:rFonts w:eastAsia="Calibri" w:cstheme="minorHAnsi"/>
                <w:noProof/>
                <w:sz w:val="20"/>
                <w:szCs w:val="20"/>
                <w:lang w:val="en-IE"/>
              </w:rPr>
              <w:t xml:space="preserve"> mil. CZK</w:t>
            </w:r>
          </w:p>
        </w:tc>
        <w:tc>
          <w:tcPr>
            <w:tcW w:w="3747" w:type="dxa"/>
          </w:tcPr>
          <w:p w14:paraId="0E2D0C57" w14:textId="76F75DE7" w:rsidR="00175CFF" w:rsidRPr="00896ADF" w:rsidRDefault="0080312D" w:rsidP="6BDED664">
            <w:pPr>
              <w:jc w:val="both"/>
              <w:rPr>
                <w:rFonts w:eastAsia="Calibri"/>
                <w:b/>
                <w:bCs/>
                <w:noProof/>
                <w:sz w:val="20"/>
                <w:szCs w:val="20"/>
                <w:lang w:val="en-IE"/>
              </w:rPr>
            </w:pPr>
            <w:r w:rsidRPr="00896ADF">
              <w:rPr>
                <w:rFonts w:eastAsia="Calibri"/>
                <w:b/>
                <w:bCs/>
                <w:noProof/>
                <w:sz w:val="20"/>
                <w:szCs w:val="20"/>
                <w:lang w:val="en-IE"/>
              </w:rPr>
              <w:t xml:space="preserve">8 </w:t>
            </w:r>
            <w:r w:rsidR="599A5FDD" w:rsidRPr="00896ADF">
              <w:rPr>
                <w:rFonts w:eastAsia="Calibri"/>
                <w:b/>
                <w:bCs/>
                <w:noProof/>
                <w:sz w:val="20"/>
                <w:szCs w:val="20"/>
                <w:lang w:val="en-IE"/>
              </w:rPr>
              <w:t>485</w:t>
            </w:r>
            <w:r w:rsidR="551B7760" w:rsidRPr="00896ADF">
              <w:rPr>
                <w:rFonts w:eastAsia="Calibri"/>
                <w:b/>
                <w:bCs/>
                <w:noProof/>
                <w:sz w:val="20"/>
                <w:szCs w:val="20"/>
                <w:lang w:val="en-IE"/>
              </w:rPr>
              <w:t>,6</w:t>
            </w:r>
            <w:r w:rsidR="339590EA" w:rsidRPr="00896ADF">
              <w:rPr>
                <w:rFonts w:eastAsia="Calibri"/>
                <w:b/>
                <w:bCs/>
                <w:noProof/>
                <w:sz w:val="20"/>
                <w:szCs w:val="20"/>
                <w:lang w:val="en-IE"/>
              </w:rPr>
              <w:t xml:space="preserve"> </w:t>
            </w:r>
            <w:r w:rsidRPr="00896ADF">
              <w:rPr>
                <w:rFonts w:eastAsia="Calibri"/>
                <w:b/>
                <w:bCs/>
                <w:noProof/>
                <w:sz w:val="20"/>
                <w:szCs w:val="20"/>
                <w:lang w:val="en-IE"/>
              </w:rPr>
              <w:t>mil. CZK</w:t>
            </w:r>
          </w:p>
        </w:tc>
      </w:tr>
      <w:tr w:rsidR="0023565A" w:rsidRPr="00896ADF" w14:paraId="36E2DA88" w14:textId="77777777" w:rsidTr="11F1BDA2">
        <w:trPr>
          <w:trHeight w:val="300"/>
        </w:trPr>
        <w:tc>
          <w:tcPr>
            <w:tcW w:w="2235" w:type="dxa"/>
          </w:tcPr>
          <w:p w14:paraId="1BEE9519" w14:textId="77777777" w:rsidR="0023565A" w:rsidRPr="00896ADF" w:rsidRDefault="0023565A"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Green and digital tagging</w:t>
            </w:r>
          </w:p>
        </w:tc>
        <w:tc>
          <w:tcPr>
            <w:tcW w:w="3260" w:type="dxa"/>
          </w:tcPr>
          <w:p w14:paraId="2ADA9EF3" w14:textId="77777777" w:rsidR="0023565A" w:rsidRPr="00896ADF" w:rsidRDefault="00175CFF" w:rsidP="003B0E30">
            <w:pPr>
              <w:jc w:val="both"/>
              <w:rPr>
                <w:rFonts w:eastAsia="Calibri" w:cstheme="minorHAnsi"/>
                <w:noProof/>
                <w:sz w:val="20"/>
                <w:szCs w:val="20"/>
                <w:lang w:val="en-IE"/>
              </w:rPr>
            </w:pPr>
            <w:r w:rsidRPr="00896ADF">
              <w:rPr>
                <w:rFonts w:eastAsia="Calibri" w:cstheme="minorHAnsi"/>
                <w:noProof/>
                <w:sz w:val="20"/>
                <w:szCs w:val="20"/>
                <w:lang w:val="en-IE"/>
              </w:rPr>
              <w:t>No change</w:t>
            </w:r>
          </w:p>
        </w:tc>
        <w:tc>
          <w:tcPr>
            <w:tcW w:w="3747" w:type="dxa"/>
          </w:tcPr>
          <w:p w14:paraId="201092F7" w14:textId="77777777" w:rsidR="0023565A" w:rsidRPr="00896ADF" w:rsidRDefault="00175CFF" w:rsidP="003B0E30">
            <w:pPr>
              <w:jc w:val="both"/>
              <w:rPr>
                <w:rFonts w:eastAsia="Calibri" w:cstheme="minorHAnsi"/>
                <w:noProof/>
                <w:sz w:val="20"/>
                <w:szCs w:val="20"/>
                <w:lang w:val="en-IE"/>
              </w:rPr>
            </w:pPr>
            <w:r w:rsidRPr="00896ADF">
              <w:rPr>
                <w:rFonts w:eastAsia="Calibri" w:cstheme="minorHAnsi"/>
                <w:noProof/>
                <w:sz w:val="20"/>
                <w:szCs w:val="20"/>
                <w:lang w:val="en-IE"/>
              </w:rPr>
              <w:t>No change</w:t>
            </w:r>
          </w:p>
        </w:tc>
      </w:tr>
      <w:tr w:rsidR="0023565A" w:rsidRPr="00896ADF" w14:paraId="24ACB8B1" w14:textId="77777777" w:rsidTr="11F1BDA2">
        <w:trPr>
          <w:trHeight w:val="300"/>
        </w:trPr>
        <w:tc>
          <w:tcPr>
            <w:tcW w:w="2235" w:type="dxa"/>
          </w:tcPr>
          <w:p w14:paraId="37E67437" w14:textId="77777777" w:rsidR="0023565A" w:rsidRPr="00896ADF" w:rsidRDefault="0023565A"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DNSH self-assessment</w:t>
            </w:r>
          </w:p>
        </w:tc>
        <w:tc>
          <w:tcPr>
            <w:tcW w:w="3260" w:type="dxa"/>
          </w:tcPr>
          <w:p w14:paraId="1F052F89" w14:textId="77777777" w:rsidR="0023565A" w:rsidRPr="00896ADF" w:rsidRDefault="00175CFF" w:rsidP="003B0E30">
            <w:pPr>
              <w:jc w:val="both"/>
              <w:rPr>
                <w:rFonts w:eastAsia="Calibri" w:cstheme="minorHAnsi"/>
                <w:noProof/>
                <w:sz w:val="20"/>
                <w:szCs w:val="20"/>
                <w:lang w:val="en-IE"/>
              </w:rPr>
            </w:pPr>
            <w:r w:rsidRPr="00896ADF">
              <w:rPr>
                <w:rFonts w:eastAsia="Calibri" w:cstheme="minorHAnsi"/>
                <w:noProof/>
                <w:sz w:val="20"/>
                <w:szCs w:val="20"/>
                <w:lang w:val="en-IE"/>
              </w:rPr>
              <w:t>No change</w:t>
            </w:r>
          </w:p>
        </w:tc>
        <w:tc>
          <w:tcPr>
            <w:tcW w:w="3747" w:type="dxa"/>
          </w:tcPr>
          <w:p w14:paraId="24FD4E2C" w14:textId="77777777" w:rsidR="0023565A" w:rsidRPr="00896ADF" w:rsidRDefault="00175CFF" w:rsidP="003B0E30">
            <w:pPr>
              <w:jc w:val="both"/>
              <w:rPr>
                <w:rFonts w:eastAsia="Calibri" w:cstheme="minorHAnsi"/>
                <w:noProof/>
                <w:sz w:val="20"/>
                <w:szCs w:val="20"/>
                <w:lang w:val="en-IE"/>
              </w:rPr>
            </w:pPr>
            <w:r w:rsidRPr="00896ADF">
              <w:rPr>
                <w:rFonts w:eastAsia="Calibri" w:cstheme="minorHAnsi"/>
                <w:noProof/>
                <w:sz w:val="20"/>
                <w:szCs w:val="20"/>
                <w:lang w:val="en-IE"/>
              </w:rPr>
              <w:t>No change</w:t>
            </w:r>
          </w:p>
        </w:tc>
      </w:tr>
    </w:tbl>
    <w:p w14:paraId="11361574" w14:textId="77777777" w:rsidR="0023565A" w:rsidRPr="00896ADF" w:rsidRDefault="0023565A" w:rsidP="0023565A"/>
    <w:tbl>
      <w:tblPr>
        <w:tblStyle w:val="Mkatabulky"/>
        <w:tblW w:w="0" w:type="auto"/>
        <w:tblLook w:val="04A0" w:firstRow="1" w:lastRow="0" w:firstColumn="1" w:lastColumn="0" w:noHBand="0" w:noVBand="1"/>
      </w:tblPr>
      <w:tblGrid>
        <w:gridCol w:w="3227"/>
        <w:gridCol w:w="5939"/>
      </w:tblGrid>
      <w:tr w:rsidR="00550DB9" w:rsidRPr="00896ADF" w14:paraId="065BB1C4" w14:textId="77777777" w:rsidTr="003B0E30">
        <w:tc>
          <w:tcPr>
            <w:tcW w:w="9166" w:type="dxa"/>
            <w:gridSpan w:val="2"/>
            <w:shd w:val="clear" w:color="auto" w:fill="1F3864"/>
          </w:tcPr>
          <w:p w14:paraId="62E1AAA0" w14:textId="77777777" w:rsidR="00550DB9" w:rsidRPr="00896ADF" w:rsidRDefault="005A3470" w:rsidP="003B0E30">
            <w:pPr>
              <w:jc w:val="center"/>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Component 3.3 MODERNISATION OF EMPLOYMENT SERVICES AND LABOUR MARKET DEVELOPMENT</w:t>
            </w:r>
          </w:p>
        </w:tc>
      </w:tr>
      <w:tr w:rsidR="00550DB9" w:rsidRPr="00896ADF" w14:paraId="794D5CA6" w14:textId="77777777" w:rsidTr="003B0E30">
        <w:tc>
          <w:tcPr>
            <w:tcW w:w="3227" w:type="dxa"/>
            <w:shd w:val="clear" w:color="auto" w:fill="00B0F0"/>
          </w:tcPr>
          <w:p w14:paraId="06BF666D" w14:textId="77777777" w:rsidR="00550DB9" w:rsidRPr="00896ADF" w:rsidRDefault="00550DB9"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77C91C3E" w14:textId="77777777" w:rsidR="00550DB9" w:rsidRPr="00896ADF" w:rsidRDefault="00A17CEC"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Investment 2</w:t>
            </w:r>
          </w:p>
        </w:tc>
      </w:tr>
      <w:tr w:rsidR="00550DB9" w:rsidRPr="00896ADF" w14:paraId="3F4C206F" w14:textId="77777777" w:rsidTr="003B0E30">
        <w:tc>
          <w:tcPr>
            <w:tcW w:w="3227" w:type="dxa"/>
            <w:shd w:val="clear" w:color="auto" w:fill="00B0F0"/>
          </w:tcPr>
          <w:p w14:paraId="27E83C53" w14:textId="77777777" w:rsidR="00550DB9" w:rsidRPr="00896ADF" w:rsidRDefault="00550DB9"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135F04E9" w14:textId="77777777" w:rsidR="00550DB9" w:rsidRPr="00896ADF" w:rsidRDefault="00A17CEC"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 xml:space="preserve">Increasing the capacity of </w:t>
            </w:r>
            <w:r w:rsidR="007343DE" w:rsidRPr="00896ADF">
              <w:rPr>
                <w:rFonts w:ascii="Times New Roman" w:eastAsia="Calibri" w:hAnsi="Times New Roman" w:cs="Times New Roman"/>
                <w:b/>
                <w:bCs/>
                <w:noProof/>
                <w:color w:val="FFFFFF"/>
                <w:sz w:val="20"/>
                <w:szCs w:val="24"/>
                <w:u w:val="single"/>
                <w:lang w:val="en-IE"/>
              </w:rPr>
              <w:t>pre-school facilities</w:t>
            </w:r>
          </w:p>
        </w:tc>
      </w:tr>
      <w:tr w:rsidR="00550DB9" w:rsidRPr="00896ADF" w14:paraId="5A4EA4EF" w14:textId="77777777" w:rsidTr="003B0E30">
        <w:tc>
          <w:tcPr>
            <w:tcW w:w="3227" w:type="dxa"/>
            <w:shd w:val="clear" w:color="auto" w:fill="BDD6EE"/>
          </w:tcPr>
          <w:p w14:paraId="6685083B" w14:textId="77777777" w:rsidR="00550DB9" w:rsidRPr="00896ADF" w:rsidRDefault="00550DB9"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Type of change compared to CID</w:t>
            </w:r>
          </w:p>
        </w:tc>
        <w:tc>
          <w:tcPr>
            <w:tcW w:w="5939" w:type="dxa"/>
          </w:tcPr>
          <w:p w14:paraId="1899AB55" w14:textId="77777777" w:rsidR="00550DB9" w:rsidRPr="00896ADF" w:rsidRDefault="00550DB9"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noProof/>
                <w:sz w:val="20"/>
                <w:szCs w:val="20"/>
                <w:lang w:val="en-US"/>
              </w:rPr>
              <w:t>modified]</w:t>
            </w:r>
          </w:p>
        </w:tc>
      </w:tr>
      <w:tr w:rsidR="00550DB9" w:rsidRPr="00896ADF" w14:paraId="33076507" w14:textId="77777777" w:rsidTr="003B0E30">
        <w:tc>
          <w:tcPr>
            <w:tcW w:w="3227" w:type="dxa"/>
            <w:shd w:val="clear" w:color="auto" w:fill="BDD6EE"/>
          </w:tcPr>
          <w:p w14:paraId="161A427D" w14:textId="77777777" w:rsidR="00550DB9" w:rsidRPr="00896ADF" w:rsidRDefault="00550DB9"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Legal base of the change (select at least one)</w:t>
            </w:r>
          </w:p>
        </w:tc>
        <w:tc>
          <w:tcPr>
            <w:tcW w:w="5939" w:type="dxa"/>
          </w:tcPr>
          <w:p w14:paraId="08756AD6" w14:textId="77777777" w:rsidR="00550DB9"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37627421"/>
                <w14:checkbox>
                  <w14:checked w14:val="0"/>
                  <w14:checkedState w14:val="2612" w14:font="MS Gothic"/>
                  <w14:uncheckedState w14:val="2610" w14:font="MS Gothic"/>
                </w14:checkbox>
              </w:sdtPr>
              <w:sdtEndPr/>
              <w:sdtContent>
                <w:r w:rsidR="00550DB9" w:rsidRPr="00896ADF">
                  <w:rPr>
                    <w:rFonts w:ascii="Segoe UI Symbol" w:eastAsia="Calibri" w:hAnsi="Segoe UI Symbol" w:cs="Segoe UI Symbol"/>
                    <w:noProof/>
                    <w:color w:val="2B579A"/>
                    <w:sz w:val="20"/>
                    <w:szCs w:val="20"/>
                    <w:shd w:val="clear" w:color="auto" w:fill="E6E6E6"/>
                    <w:lang w:val="en-US"/>
                  </w:rPr>
                  <w:t>☐</w:t>
                </w:r>
              </w:sdtContent>
            </w:sdt>
            <w:r w:rsidR="00550DB9" w:rsidRPr="00896ADF">
              <w:rPr>
                <w:rFonts w:ascii="Times New Roman" w:eastAsia="Calibri" w:hAnsi="Times New Roman" w:cs="Times New Roman"/>
                <w:noProof/>
                <w:sz w:val="20"/>
                <w:szCs w:val="20"/>
                <w:lang w:val="en-US"/>
              </w:rPr>
              <w:t xml:space="preserve"> Article 14(2) – loan request</w:t>
            </w:r>
          </w:p>
          <w:p w14:paraId="1B905AC7" w14:textId="77777777" w:rsidR="00550DB9"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10320028"/>
                <w14:checkbox>
                  <w14:checked w14:val="1"/>
                  <w14:checkedState w14:val="2612" w14:font="MS Gothic"/>
                  <w14:uncheckedState w14:val="2610" w14:font="MS Gothic"/>
                </w14:checkbox>
              </w:sdtPr>
              <w:sdtEndPr/>
              <w:sdtContent>
                <w:r w:rsidR="00CA545B" w:rsidRPr="00896ADF">
                  <w:rPr>
                    <w:rFonts w:ascii="MS Gothic" w:eastAsia="MS Gothic" w:hAnsi="MS Gothic" w:cs="Times New Roman" w:hint="eastAsia"/>
                    <w:noProof/>
                    <w:color w:val="2B579A"/>
                    <w:sz w:val="20"/>
                    <w:szCs w:val="20"/>
                    <w:shd w:val="clear" w:color="auto" w:fill="E6E6E6"/>
                    <w:lang w:val="en-US"/>
                  </w:rPr>
                  <w:t>☒</w:t>
                </w:r>
              </w:sdtContent>
            </w:sdt>
            <w:r w:rsidR="00550DB9" w:rsidRPr="00896ADF">
              <w:rPr>
                <w:rFonts w:ascii="Times New Roman" w:eastAsia="Calibri" w:hAnsi="Times New Roman" w:cs="Times New Roman"/>
                <w:noProof/>
                <w:sz w:val="20"/>
                <w:szCs w:val="20"/>
                <w:lang w:val="en-US"/>
              </w:rPr>
              <w:t xml:space="preserve"> Article 18(2) – update of the maximum financial contribution</w:t>
            </w:r>
          </w:p>
          <w:p w14:paraId="0BF73F44" w14:textId="77777777" w:rsidR="00550DB9" w:rsidRPr="00896ADF" w:rsidRDefault="00491E8E" w:rsidP="003B0E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53388103"/>
                <w:placeholder>
                  <w:docPart w:val="5EA9912C03EE40BE8C06E965C86A5C4D"/>
                </w:placeholder>
                <w14:checkbox>
                  <w14:checked w14:val="1"/>
                  <w14:checkedState w14:val="2612" w14:font="MS Gothic"/>
                  <w14:uncheckedState w14:val="2610" w14:font="MS Gothic"/>
                </w14:checkbox>
              </w:sdtPr>
              <w:sdtEndPr/>
              <w:sdtContent>
                <w:r w:rsidR="00CA545B" w:rsidRPr="00896ADF">
                  <w:rPr>
                    <w:rFonts w:ascii="MS Gothic" w:eastAsia="MS Gothic" w:hAnsi="MS Gothic" w:cs="Times New Roman" w:hint="eastAsia"/>
                    <w:noProof/>
                    <w:color w:val="2B579A"/>
                    <w:sz w:val="20"/>
                    <w:szCs w:val="20"/>
                    <w:shd w:val="clear" w:color="auto" w:fill="E6E6E6"/>
                    <w:lang w:val="en-US"/>
                  </w:rPr>
                  <w:t>☒</w:t>
                </w:r>
              </w:sdtContent>
            </w:sdt>
            <w:r w:rsidR="00550DB9" w:rsidRPr="00896ADF">
              <w:rPr>
                <w:rFonts w:ascii="Times New Roman" w:eastAsia="Calibri" w:hAnsi="Times New Roman" w:cs="Times New Roman"/>
                <w:noProof/>
                <w:sz w:val="20"/>
                <w:szCs w:val="20"/>
                <w:lang w:val="en-US"/>
              </w:rPr>
              <w:t xml:space="preserve"> Article 21 – amendment due to objective circumstances</w:t>
            </w:r>
          </w:p>
          <w:p w14:paraId="2742C54F" w14:textId="77777777" w:rsidR="00550DB9" w:rsidRPr="00896ADF" w:rsidRDefault="00491E8E" w:rsidP="003B0E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808549154"/>
                <w:placeholder>
                  <w:docPart w:val="5EA9912C03EE40BE8C06E965C86A5C4D"/>
                </w:placeholder>
                <w14:checkbox>
                  <w14:checked w14:val="0"/>
                  <w14:checkedState w14:val="2612" w14:font="MS Gothic"/>
                  <w14:uncheckedState w14:val="2610" w14:font="MS Gothic"/>
                </w14:checkbox>
              </w:sdtPr>
              <w:sdtEndPr/>
              <w:sdtContent>
                <w:r w:rsidR="00550DB9" w:rsidRPr="00896ADF">
                  <w:rPr>
                    <w:rFonts w:ascii="Segoe UI Symbol" w:eastAsia="Calibri" w:hAnsi="Segoe UI Symbol" w:cs="Segoe UI Symbol"/>
                    <w:noProof/>
                    <w:color w:val="2B579A"/>
                    <w:sz w:val="20"/>
                    <w:szCs w:val="20"/>
                    <w:shd w:val="clear" w:color="auto" w:fill="E6E6E6"/>
                    <w:lang w:val="fr-BE"/>
                  </w:rPr>
                  <w:t>☐</w:t>
                </w:r>
              </w:sdtContent>
            </w:sdt>
            <w:r w:rsidR="00550DB9" w:rsidRPr="00896ADF">
              <w:rPr>
                <w:rFonts w:ascii="Times New Roman" w:eastAsia="Calibri" w:hAnsi="Times New Roman" w:cs="Times New Roman"/>
                <w:noProof/>
                <w:sz w:val="20"/>
                <w:szCs w:val="20"/>
                <w:lang w:val="fr-BE"/>
              </w:rPr>
              <w:t xml:space="preserve"> Article 21a – REPowerEU non-repayable financial support (ETS revenue)</w:t>
            </w:r>
          </w:p>
          <w:p w14:paraId="4798249E" w14:textId="77777777" w:rsidR="00550DB9" w:rsidRPr="00896ADF" w:rsidRDefault="00491E8E" w:rsidP="003B0E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830511661"/>
                <w:placeholder>
                  <w:docPart w:val="5EA9912C03EE40BE8C06E965C86A5C4D"/>
                </w:placeholder>
                <w14:checkbox>
                  <w14:checked w14:val="0"/>
                  <w14:checkedState w14:val="2612" w14:font="MS Gothic"/>
                  <w14:uncheckedState w14:val="2610" w14:font="MS Gothic"/>
                </w14:checkbox>
              </w:sdtPr>
              <w:sdtEndPr/>
              <w:sdtContent>
                <w:r w:rsidR="00550DB9" w:rsidRPr="00896ADF">
                  <w:rPr>
                    <w:rFonts w:ascii="Segoe UI Symbol" w:eastAsia="Calibri" w:hAnsi="Segoe UI Symbol" w:cs="Segoe UI Symbol"/>
                    <w:noProof/>
                    <w:color w:val="2B579A"/>
                    <w:sz w:val="20"/>
                    <w:szCs w:val="20"/>
                    <w:shd w:val="clear" w:color="auto" w:fill="E6E6E6"/>
                    <w:lang w:val="en-IE"/>
                  </w:rPr>
                  <w:t>☐</w:t>
                </w:r>
              </w:sdtContent>
            </w:sdt>
            <w:r w:rsidR="00550DB9" w:rsidRPr="00896ADF">
              <w:rPr>
                <w:rFonts w:ascii="Times New Roman" w:eastAsia="Calibri" w:hAnsi="Times New Roman" w:cs="Times New Roman"/>
                <w:noProof/>
                <w:sz w:val="20"/>
                <w:szCs w:val="20"/>
                <w:lang w:val="en-IE"/>
              </w:rPr>
              <w:t xml:space="preserve"> Article 21b (2) – BAR transfers</w:t>
            </w:r>
          </w:p>
          <w:p w14:paraId="32C18EBA" w14:textId="77777777" w:rsidR="00550DB9" w:rsidRPr="00896ADF" w:rsidRDefault="00550DB9" w:rsidP="003B0E30">
            <w:pPr>
              <w:jc w:val="both"/>
              <w:rPr>
                <w:rFonts w:ascii="Times New Roman" w:eastAsia="Calibri" w:hAnsi="Times New Roman" w:cs="Times New Roman"/>
                <w:noProof/>
                <w:sz w:val="20"/>
                <w:szCs w:val="20"/>
                <w:lang w:val="en-US"/>
              </w:rPr>
            </w:pPr>
            <w:r w:rsidRPr="00896ADF">
              <w:rPr>
                <w:rFonts w:ascii="Segoe UI Symbol" w:eastAsia="MS Gothic" w:hAnsi="Segoe UI Symbol" w:cs="Segoe UI Symbol"/>
                <w:noProof/>
                <w:sz w:val="20"/>
                <w:szCs w:val="20"/>
                <w:lang w:val="en-US"/>
              </w:rPr>
              <w:t>☐</w:t>
            </w:r>
            <w:r w:rsidRPr="00896ADF">
              <w:rPr>
                <w:rFonts w:ascii="Times New Roman" w:eastAsia="Calibri" w:hAnsi="Times New Roman" w:cs="Times New Roman"/>
                <w:noProof/>
                <w:sz w:val="20"/>
                <w:szCs w:val="20"/>
                <w:lang w:val="en-US"/>
              </w:rPr>
              <w:t xml:space="preserve"> None of the above, correction of clerical error</w:t>
            </w:r>
          </w:p>
          <w:p w14:paraId="468D3A6E" w14:textId="77777777" w:rsidR="00550DB9" w:rsidRPr="00896ADF" w:rsidRDefault="00550DB9" w:rsidP="003B0E30">
            <w:pPr>
              <w:jc w:val="both"/>
              <w:rPr>
                <w:rFonts w:ascii="Times New Roman" w:eastAsia="Calibri" w:hAnsi="Times New Roman" w:cs="Times New Roman"/>
                <w:noProof/>
                <w:sz w:val="20"/>
                <w:szCs w:val="20"/>
                <w:lang w:val="en-IE"/>
              </w:rPr>
            </w:pPr>
          </w:p>
        </w:tc>
      </w:tr>
      <w:tr w:rsidR="00550DB9" w:rsidRPr="00896ADF" w14:paraId="291FCDD5" w14:textId="77777777" w:rsidTr="003B0E30">
        <w:tc>
          <w:tcPr>
            <w:tcW w:w="3227" w:type="dxa"/>
            <w:shd w:val="clear" w:color="auto" w:fill="BDD6EE"/>
          </w:tcPr>
          <w:p w14:paraId="3DBB99EE" w14:textId="77777777" w:rsidR="00550DB9" w:rsidRPr="00896ADF" w:rsidRDefault="00550DB9"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lastRenderedPageBreak/>
              <w:t>Elements modified (only for modified measures)</w:t>
            </w:r>
          </w:p>
          <w:p w14:paraId="610D17E0" w14:textId="77777777" w:rsidR="00550DB9" w:rsidRPr="00896ADF" w:rsidRDefault="00550DB9" w:rsidP="003B0E30">
            <w:pPr>
              <w:jc w:val="both"/>
              <w:rPr>
                <w:rFonts w:ascii="Times New Roman" w:eastAsia="Calibri" w:hAnsi="Times New Roman" w:cs="Times New Roman"/>
                <w:b/>
                <w:bCs/>
                <w:noProof/>
                <w:sz w:val="24"/>
                <w:szCs w:val="24"/>
                <w:u w:val="single"/>
                <w:lang w:val="en-IE"/>
              </w:rPr>
            </w:pPr>
          </w:p>
        </w:tc>
        <w:tc>
          <w:tcPr>
            <w:tcW w:w="5939" w:type="dxa"/>
          </w:tcPr>
          <w:p w14:paraId="4E59D31A" w14:textId="77777777" w:rsidR="00550DB9"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18844136"/>
                <w14:checkbox>
                  <w14:checked w14:val="0"/>
                  <w14:checkedState w14:val="2612" w14:font="MS Gothic"/>
                  <w14:uncheckedState w14:val="2610" w14:font="MS Gothic"/>
                </w14:checkbox>
              </w:sdtPr>
              <w:sdtEndPr/>
              <w:sdtContent>
                <w:r w:rsidR="00550DB9" w:rsidRPr="00896ADF">
                  <w:rPr>
                    <w:rFonts w:ascii="Segoe UI Symbol" w:eastAsia="Calibri" w:hAnsi="Segoe UI Symbol" w:cs="Segoe UI Symbol"/>
                    <w:noProof/>
                    <w:color w:val="2B579A"/>
                    <w:sz w:val="20"/>
                    <w:szCs w:val="20"/>
                    <w:shd w:val="clear" w:color="auto" w:fill="E6E6E6"/>
                    <w:lang w:val="en-US"/>
                  </w:rPr>
                  <w:t>☐</w:t>
                </w:r>
              </w:sdtContent>
            </w:sdt>
            <w:r w:rsidR="00550DB9" w:rsidRPr="00896ADF">
              <w:rPr>
                <w:rFonts w:ascii="Times New Roman" w:eastAsia="Calibri" w:hAnsi="Times New Roman" w:cs="Times New Roman"/>
                <w:noProof/>
                <w:sz w:val="20"/>
                <w:szCs w:val="20"/>
                <w:lang w:val="en-US"/>
              </w:rPr>
              <w:t xml:space="preserve"> Component / Measure description</w:t>
            </w:r>
          </w:p>
          <w:p w14:paraId="67046768" w14:textId="77777777" w:rsidR="00550DB9"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27178837"/>
                <w:placeholder>
                  <w:docPart w:val="5EA9912C03EE40BE8C06E965C86A5C4D"/>
                </w:placeholder>
                <w14:checkbox>
                  <w14:checked w14:val="1"/>
                  <w14:checkedState w14:val="2612" w14:font="MS Gothic"/>
                  <w14:uncheckedState w14:val="2610" w14:font="MS Gothic"/>
                </w14:checkbox>
              </w:sdtPr>
              <w:sdtEndPr/>
              <w:sdtContent>
                <w:r w:rsidR="00175CFF" w:rsidRPr="00896ADF">
                  <w:rPr>
                    <w:rFonts w:ascii="MS Gothic" w:eastAsia="MS Gothic" w:hAnsi="MS Gothic" w:cs="Times New Roman" w:hint="eastAsia"/>
                    <w:noProof/>
                    <w:color w:val="2B579A"/>
                    <w:sz w:val="20"/>
                    <w:szCs w:val="20"/>
                    <w:shd w:val="clear" w:color="auto" w:fill="E6E6E6"/>
                    <w:lang w:val="en-US"/>
                  </w:rPr>
                  <w:t>☒</w:t>
                </w:r>
              </w:sdtContent>
            </w:sdt>
            <w:r w:rsidR="00550DB9" w:rsidRPr="00896ADF">
              <w:rPr>
                <w:rFonts w:ascii="Times New Roman" w:eastAsia="Calibri" w:hAnsi="Times New Roman" w:cs="Times New Roman"/>
                <w:noProof/>
                <w:sz w:val="20"/>
                <w:szCs w:val="20"/>
                <w:lang w:val="en-US"/>
              </w:rPr>
              <w:t>Milestones and targets</w:t>
            </w:r>
          </w:p>
          <w:p w14:paraId="2EFFEE41" w14:textId="77777777" w:rsidR="00550DB9"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332814026"/>
                <w14:checkbox>
                  <w14:checked w14:val="1"/>
                  <w14:checkedState w14:val="2612" w14:font="MS Gothic"/>
                  <w14:uncheckedState w14:val="2610" w14:font="MS Gothic"/>
                </w14:checkbox>
              </w:sdtPr>
              <w:sdtEndPr/>
              <w:sdtContent>
                <w:r w:rsidR="00175CFF" w:rsidRPr="00896ADF">
                  <w:rPr>
                    <w:rFonts w:ascii="MS Gothic" w:eastAsia="MS Gothic" w:hAnsi="MS Gothic" w:cs="Times New Roman" w:hint="eastAsia"/>
                    <w:noProof/>
                    <w:color w:val="2B579A"/>
                    <w:sz w:val="20"/>
                    <w:szCs w:val="20"/>
                    <w:shd w:val="clear" w:color="auto" w:fill="E6E6E6"/>
                    <w:lang w:val="en-US"/>
                  </w:rPr>
                  <w:t>☒</w:t>
                </w:r>
              </w:sdtContent>
            </w:sdt>
            <w:r w:rsidR="00550DB9" w:rsidRPr="00896ADF">
              <w:rPr>
                <w:rFonts w:ascii="Times New Roman" w:eastAsia="Calibri" w:hAnsi="Times New Roman" w:cs="Times New Roman"/>
                <w:noProof/>
                <w:sz w:val="20"/>
                <w:szCs w:val="20"/>
                <w:lang w:val="en-US"/>
              </w:rPr>
              <w:t xml:space="preserve"> Estimated cost</w:t>
            </w:r>
          </w:p>
          <w:p w14:paraId="2B63F58D" w14:textId="77777777" w:rsidR="00550DB9"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92149733"/>
                <w14:checkbox>
                  <w14:checked w14:val="0"/>
                  <w14:checkedState w14:val="2612" w14:font="MS Gothic"/>
                  <w14:uncheckedState w14:val="2610" w14:font="MS Gothic"/>
                </w14:checkbox>
              </w:sdtPr>
              <w:sdtEndPr/>
              <w:sdtContent>
                <w:r w:rsidR="00550DB9" w:rsidRPr="00896ADF">
                  <w:rPr>
                    <w:rFonts w:ascii="Segoe UI Symbol" w:eastAsia="Calibri" w:hAnsi="Segoe UI Symbol" w:cs="Segoe UI Symbol"/>
                    <w:noProof/>
                    <w:color w:val="2B579A"/>
                    <w:sz w:val="20"/>
                    <w:szCs w:val="20"/>
                    <w:shd w:val="clear" w:color="auto" w:fill="E6E6E6"/>
                    <w:lang w:val="en-US"/>
                  </w:rPr>
                  <w:t>☐</w:t>
                </w:r>
              </w:sdtContent>
            </w:sdt>
            <w:r w:rsidR="00550DB9" w:rsidRPr="00896ADF">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34CFF612" w14:textId="77777777" w:rsidR="00550DB9" w:rsidRPr="00896ADF" w:rsidRDefault="00491E8E" w:rsidP="003B0E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039170930"/>
                <w14:checkbox>
                  <w14:checked w14:val="0"/>
                  <w14:checkedState w14:val="2612" w14:font="MS Gothic"/>
                  <w14:uncheckedState w14:val="2610" w14:font="MS Gothic"/>
                </w14:checkbox>
              </w:sdtPr>
              <w:sdtEndPr/>
              <w:sdtContent>
                <w:r w:rsidR="00550DB9" w:rsidRPr="00896ADF">
                  <w:rPr>
                    <w:rFonts w:ascii="Segoe UI Symbol" w:eastAsia="Calibri" w:hAnsi="Segoe UI Symbol" w:cs="Segoe UI Symbol"/>
                    <w:noProof/>
                    <w:color w:val="2B579A"/>
                    <w:sz w:val="20"/>
                    <w:szCs w:val="20"/>
                    <w:shd w:val="clear" w:color="auto" w:fill="E6E6E6"/>
                    <w:lang w:val="en-US"/>
                  </w:rPr>
                  <w:t>☐</w:t>
                </w:r>
              </w:sdtContent>
            </w:sdt>
            <w:r w:rsidR="00550DB9" w:rsidRPr="00896ADF">
              <w:rPr>
                <w:rFonts w:ascii="Times New Roman" w:eastAsia="Calibri" w:hAnsi="Times New Roman" w:cs="Times New Roman"/>
                <w:noProof/>
                <w:sz w:val="20"/>
                <w:szCs w:val="20"/>
                <w:lang w:val="en-US"/>
              </w:rPr>
              <w:t xml:space="preserve"> DNSH self-assessment</w:t>
            </w:r>
          </w:p>
        </w:tc>
      </w:tr>
    </w:tbl>
    <w:p w14:paraId="44282E2F" w14:textId="77777777" w:rsidR="00550DB9" w:rsidRPr="00896ADF" w:rsidRDefault="00550DB9" w:rsidP="00550DB9"/>
    <w:tbl>
      <w:tblPr>
        <w:tblStyle w:val="Mkatabulky"/>
        <w:tblW w:w="0" w:type="auto"/>
        <w:tblLook w:val="04A0" w:firstRow="1" w:lastRow="0" w:firstColumn="1" w:lastColumn="0" w:noHBand="0" w:noVBand="1"/>
      </w:tblPr>
      <w:tblGrid>
        <w:gridCol w:w="2235"/>
        <w:gridCol w:w="3260"/>
        <w:gridCol w:w="3747"/>
      </w:tblGrid>
      <w:tr w:rsidR="00550DB9" w:rsidRPr="00896ADF" w14:paraId="64483A3D" w14:textId="77777777" w:rsidTr="11F1BDA2">
        <w:tc>
          <w:tcPr>
            <w:tcW w:w="9242" w:type="dxa"/>
            <w:gridSpan w:val="3"/>
            <w:shd w:val="clear" w:color="auto" w:fill="1F3864"/>
          </w:tcPr>
          <w:p w14:paraId="548097B1" w14:textId="77777777" w:rsidR="00550DB9" w:rsidRPr="00896ADF" w:rsidRDefault="00B825E1" w:rsidP="003B0E30">
            <w:pPr>
              <w:jc w:val="center"/>
              <w:rPr>
                <w:rFonts w:ascii="Times New Roman" w:eastAsia="Calibri" w:hAnsi="Times New Roman" w:cs="Times New Roman"/>
                <w:b/>
                <w:bCs/>
                <w:noProof/>
                <w:sz w:val="20"/>
                <w:szCs w:val="20"/>
                <w:lang w:val="en-IE"/>
              </w:rPr>
            </w:pPr>
            <w:r w:rsidRPr="00896ADF">
              <w:rPr>
                <w:rFonts w:ascii="Times New Roman" w:eastAsia="Calibri" w:hAnsi="Times New Roman" w:cs="Times New Roman"/>
                <w:b/>
                <w:bCs/>
                <w:noProof/>
                <w:sz w:val="20"/>
                <w:szCs w:val="20"/>
                <w:lang w:val="en-IE"/>
              </w:rPr>
              <w:t>Investment 2: Increasing the capacity of pre-school facilities</w:t>
            </w:r>
            <w:r w:rsidR="00175CFF" w:rsidRPr="00896ADF">
              <w:rPr>
                <w:rFonts w:ascii="Times New Roman" w:eastAsia="Calibri" w:hAnsi="Times New Roman" w:cs="Times New Roman"/>
                <w:b/>
                <w:bCs/>
                <w:noProof/>
                <w:sz w:val="20"/>
                <w:szCs w:val="20"/>
                <w:lang w:val="en-IE"/>
              </w:rPr>
              <w:t xml:space="preserve"> – Target 190</w:t>
            </w:r>
          </w:p>
        </w:tc>
      </w:tr>
      <w:tr w:rsidR="00550DB9" w:rsidRPr="00896ADF" w14:paraId="0EC39974" w14:textId="77777777" w:rsidTr="11F1BDA2">
        <w:tc>
          <w:tcPr>
            <w:tcW w:w="9242" w:type="dxa"/>
            <w:gridSpan w:val="3"/>
            <w:shd w:val="clear" w:color="auto" w:fill="auto"/>
          </w:tcPr>
          <w:p w14:paraId="41EF274D" w14:textId="77777777" w:rsidR="00550DB9" w:rsidRPr="00896ADF" w:rsidRDefault="00550DB9" w:rsidP="003B0E30">
            <w:pPr>
              <w:jc w:val="both"/>
              <w:rPr>
                <w:rFonts w:ascii="Times New Roman" w:eastAsia="Calibri" w:hAnsi="Times New Roman" w:cs="Times New Roman"/>
                <w:i/>
                <w:iCs/>
                <w:noProof/>
                <w:sz w:val="20"/>
                <w:szCs w:val="20"/>
                <w:lang w:val="en-IE"/>
              </w:rPr>
            </w:pPr>
            <w:r w:rsidRPr="00896ADF">
              <w:rPr>
                <w:rFonts w:ascii="Times New Roman" w:eastAsia="Calibri" w:hAnsi="Times New Roman" w:cs="Times New Roman"/>
                <w:i/>
                <w:iCs/>
                <w:noProof/>
                <w:sz w:val="20"/>
                <w:szCs w:val="20"/>
                <w:lang w:val="en-IE"/>
              </w:rPr>
              <w:t>Description and justification of the change</w:t>
            </w:r>
          </w:p>
        </w:tc>
      </w:tr>
      <w:tr w:rsidR="00550DB9" w:rsidRPr="00896ADF" w14:paraId="4BA91869" w14:textId="77777777" w:rsidTr="11F1BDA2">
        <w:tc>
          <w:tcPr>
            <w:tcW w:w="2235" w:type="dxa"/>
            <w:shd w:val="clear" w:color="auto" w:fill="00B0F0"/>
          </w:tcPr>
          <w:p w14:paraId="00E2C0E0" w14:textId="77777777" w:rsidR="00550DB9" w:rsidRPr="00896ADF" w:rsidRDefault="00550DB9"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160DFAAA" w14:textId="77777777" w:rsidR="00550DB9" w:rsidRPr="00896ADF" w:rsidRDefault="00550DB9"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31560275" w14:textId="77777777" w:rsidR="00550DB9" w:rsidRPr="00896ADF" w:rsidRDefault="00550DB9"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Amended version</w:t>
            </w:r>
          </w:p>
        </w:tc>
      </w:tr>
      <w:tr w:rsidR="00550DB9" w:rsidRPr="00896ADF" w14:paraId="53AC7AB9" w14:textId="77777777" w:rsidTr="11F1BDA2">
        <w:tc>
          <w:tcPr>
            <w:tcW w:w="2235" w:type="dxa"/>
          </w:tcPr>
          <w:p w14:paraId="311A446E" w14:textId="77777777" w:rsidR="00550DB9" w:rsidRPr="00896ADF" w:rsidRDefault="00550DB9"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7C00EAB" w14:textId="77777777" w:rsidR="00550DB9" w:rsidRPr="00896ADF" w:rsidRDefault="00550DB9" w:rsidP="00175CFF">
            <w:pPr>
              <w:jc w:val="both"/>
              <w:rPr>
                <w:rFonts w:ascii="Times New Roman" w:eastAsia="Calibri" w:hAnsi="Times New Roman" w:cs="Times New Roman"/>
                <w:noProof/>
                <w:sz w:val="20"/>
                <w:szCs w:val="20"/>
                <w:lang w:val="en-IE"/>
              </w:rPr>
            </w:pPr>
          </w:p>
        </w:tc>
        <w:tc>
          <w:tcPr>
            <w:tcW w:w="3747" w:type="dxa"/>
          </w:tcPr>
          <w:p w14:paraId="7DFFA6BC" w14:textId="77777777" w:rsidR="00550DB9" w:rsidRPr="00896ADF" w:rsidRDefault="00550DB9" w:rsidP="003B0E30">
            <w:pPr>
              <w:jc w:val="both"/>
              <w:rPr>
                <w:rFonts w:ascii="Times New Roman" w:eastAsia="Calibri" w:hAnsi="Times New Roman" w:cs="Times New Roman"/>
                <w:noProof/>
                <w:sz w:val="20"/>
                <w:szCs w:val="20"/>
                <w:lang w:val="en-IE"/>
              </w:rPr>
            </w:pPr>
          </w:p>
        </w:tc>
      </w:tr>
      <w:tr w:rsidR="00550DB9" w:rsidRPr="00896ADF" w14:paraId="4AD24669" w14:textId="77777777" w:rsidTr="11F1BDA2">
        <w:tc>
          <w:tcPr>
            <w:tcW w:w="2235" w:type="dxa"/>
          </w:tcPr>
          <w:p w14:paraId="1AECF1F0" w14:textId="77777777" w:rsidR="00550DB9" w:rsidRPr="00896ADF" w:rsidRDefault="00550DB9"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Milestones and targets </w:t>
            </w:r>
          </w:p>
        </w:tc>
        <w:tc>
          <w:tcPr>
            <w:tcW w:w="3260" w:type="dxa"/>
          </w:tcPr>
          <w:p w14:paraId="0F0A38CA" w14:textId="77777777" w:rsidR="00175CFF" w:rsidRPr="00896ADF" w:rsidRDefault="00175CFF" w:rsidP="00175CFF">
            <w:pPr>
              <w:pStyle w:val="TableParagraph"/>
              <w:spacing w:before="117"/>
              <w:ind w:left="110" w:right="47"/>
              <w:rPr>
                <w:rFonts w:asciiTheme="minorHAnsi" w:hAnsiTheme="minorHAnsi" w:cstheme="minorHAnsi"/>
                <w:color w:val="000000" w:themeColor="text1"/>
                <w:sz w:val="20"/>
                <w:szCs w:val="20"/>
              </w:rPr>
            </w:pPr>
            <w:r w:rsidRPr="00896ADF">
              <w:rPr>
                <w:rFonts w:asciiTheme="minorHAnsi" w:hAnsiTheme="minorHAnsi" w:cstheme="minorHAnsi"/>
                <w:color w:val="000000" w:themeColor="text1"/>
                <w:sz w:val="20"/>
                <w:szCs w:val="20"/>
              </w:rPr>
              <w:t>Of the overall objective to establish 435 new nurseries, at least 391 shall be created, by constructing new buildings and by renovating existing buildings. The investment includes the use of grant support as follows:</w:t>
            </w:r>
          </w:p>
          <w:p w14:paraId="1631647E" w14:textId="77777777" w:rsidR="00175CFF" w:rsidRPr="00896ADF" w:rsidRDefault="00175CFF" w:rsidP="00896ADF">
            <w:pPr>
              <w:pStyle w:val="TableParagraph"/>
              <w:numPr>
                <w:ilvl w:val="0"/>
                <w:numId w:val="15"/>
              </w:numPr>
              <w:tabs>
                <w:tab w:val="left" w:pos="832"/>
              </w:tabs>
              <w:spacing w:before="120" w:line="259" w:lineRule="auto"/>
              <w:ind w:right="185"/>
              <w:jc w:val="both"/>
              <w:rPr>
                <w:rFonts w:asciiTheme="minorHAnsi" w:hAnsiTheme="minorHAnsi" w:cstheme="minorHAnsi"/>
                <w:color w:val="000000" w:themeColor="text1"/>
                <w:sz w:val="20"/>
                <w:szCs w:val="20"/>
              </w:rPr>
            </w:pPr>
            <w:r w:rsidRPr="00896ADF">
              <w:rPr>
                <w:rFonts w:asciiTheme="minorHAnsi" w:hAnsiTheme="minorHAnsi" w:cstheme="minorHAnsi"/>
                <w:color w:val="000000" w:themeColor="text1"/>
                <w:sz w:val="20"/>
                <w:szCs w:val="20"/>
              </w:rPr>
              <w:t>At least 98 shall be new constructions with</w:t>
            </w:r>
            <w:r w:rsidRPr="00896ADF">
              <w:rPr>
                <w:rFonts w:asciiTheme="minorHAnsi" w:hAnsiTheme="minorHAnsi" w:cstheme="minorHAnsi"/>
                <w:color w:val="000000" w:themeColor="text1"/>
                <w:spacing w:val="-13"/>
                <w:sz w:val="20"/>
                <w:szCs w:val="20"/>
              </w:rPr>
              <w:t xml:space="preserve"> </w:t>
            </w:r>
            <w:r w:rsidRPr="00896ADF">
              <w:rPr>
                <w:rFonts w:asciiTheme="minorHAnsi" w:hAnsiTheme="minorHAnsi" w:cstheme="minorHAnsi"/>
                <w:color w:val="000000" w:themeColor="text1"/>
                <w:sz w:val="20"/>
                <w:szCs w:val="20"/>
              </w:rPr>
              <w:t>primary energy demand at least 20% below the nearly zero- energy buildings</w:t>
            </w:r>
            <w:r w:rsidRPr="00896ADF">
              <w:rPr>
                <w:rFonts w:asciiTheme="minorHAnsi" w:hAnsiTheme="minorHAnsi" w:cstheme="minorHAnsi"/>
                <w:color w:val="000000" w:themeColor="text1"/>
                <w:spacing w:val="-5"/>
                <w:sz w:val="20"/>
                <w:szCs w:val="20"/>
              </w:rPr>
              <w:t xml:space="preserve"> </w:t>
            </w:r>
            <w:r w:rsidRPr="00896ADF">
              <w:rPr>
                <w:rFonts w:asciiTheme="minorHAnsi" w:hAnsiTheme="minorHAnsi" w:cstheme="minorHAnsi"/>
                <w:color w:val="000000" w:themeColor="text1"/>
                <w:sz w:val="20"/>
                <w:szCs w:val="20"/>
              </w:rPr>
              <w:t>requirement.</w:t>
            </w:r>
          </w:p>
          <w:p w14:paraId="7FE8F7B5" w14:textId="77777777" w:rsidR="00175CFF" w:rsidRPr="00896ADF" w:rsidRDefault="00175CFF" w:rsidP="00896ADF">
            <w:pPr>
              <w:pStyle w:val="TableParagraph"/>
              <w:numPr>
                <w:ilvl w:val="0"/>
                <w:numId w:val="15"/>
              </w:numPr>
              <w:tabs>
                <w:tab w:val="left" w:pos="832"/>
              </w:tabs>
              <w:spacing w:before="120" w:line="259" w:lineRule="auto"/>
              <w:ind w:right="185"/>
              <w:jc w:val="both"/>
              <w:rPr>
                <w:rFonts w:asciiTheme="minorHAnsi" w:hAnsiTheme="minorHAnsi" w:cstheme="minorHAnsi"/>
                <w:color w:val="000000" w:themeColor="text1"/>
                <w:sz w:val="20"/>
                <w:szCs w:val="20"/>
              </w:rPr>
            </w:pPr>
            <w:r w:rsidRPr="00896ADF">
              <w:rPr>
                <w:rFonts w:asciiTheme="minorHAnsi" w:hAnsiTheme="minorHAnsi" w:cstheme="minorHAnsi"/>
                <w:color w:val="000000" w:themeColor="text1"/>
                <w:sz w:val="20"/>
                <w:szCs w:val="20"/>
              </w:rPr>
              <w:t>At least 176 shall be renovations achieving</w:t>
            </w:r>
            <w:r w:rsidRPr="00896ADF">
              <w:rPr>
                <w:rFonts w:asciiTheme="minorHAnsi" w:hAnsiTheme="minorHAnsi" w:cstheme="minorHAnsi"/>
                <w:color w:val="000000" w:themeColor="text1"/>
                <w:spacing w:val="-8"/>
                <w:sz w:val="20"/>
                <w:szCs w:val="20"/>
              </w:rPr>
              <w:t xml:space="preserve"> </w:t>
            </w:r>
            <w:r w:rsidRPr="00896ADF">
              <w:rPr>
                <w:rFonts w:asciiTheme="minorHAnsi" w:hAnsiTheme="minorHAnsi" w:cstheme="minorHAnsi"/>
                <w:color w:val="000000" w:themeColor="text1"/>
                <w:sz w:val="20"/>
                <w:szCs w:val="20"/>
              </w:rPr>
              <w:t>on average either at least 30% primary energy savings or at least 30% reduction of direct and indirect greenhouse gas emissions.</w:t>
            </w:r>
          </w:p>
          <w:p w14:paraId="2773D4F7" w14:textId="77777777" w:rsidR="00175CFF" w:rsidRPr="00896ADF" w:rsidRDefault="00175CFF" w:rsidP="00896ADF">
            <w:pPr>
              <w:pStyle w:val="TableParagraph"/>
              <w:numPr>
                <w:ilvl w:val="0"/>
                <w:numId w:val="15"/>
              </w:numPr>
              <w:tabs>
                <w:tab w:val="left" w:pos="832"/>
              </w:tabs>
              <w:spacing w:before="120" w:line="259" w:lineRule="auto"/>
              <w:ind w:right="185"/>
              <w:jc w:val="both"/>
              <w:rPr>
                <w:rFonts w:asciiTheme="minorHAnsi" w:hAnsiTheme="minorHAnsi" w:cstheme="minorHAnsi"/>
                <w:color w:val="000000" w:themeColor="text1"/>
                <w:sz w:val="20"/>
                <w:szCs w:val="20"/>
              </w:rPr>
            </w:pPr>
            <w:r w:rsidRPr="00896ADF">
              <w:rPr>
                <w:rFonts w:asciiTheme="minorHAnsi" w:hAnsiTheme="minorHAnsi" w:cstheme="minorHAnsi"/>
                <w:color w:val="000000" w:themeColor="text1"/>
                <w:sz w:val="20"/>
                <w:szCs w:val="20"/>
              </w:rPr>
              <w:t>At least 117 shall be other energy</w:t>
            </w:r>
            <w:r w:rsidRPr="00896ADF">
              <w:rPr>
                <w:rFonts w:asciiTheme="minorHAnsi" w:hAnsiTheme="minorHAnsi" w:cstheme="minorHAnsi"/>
                <w:color w:val="000000" w:themeColor="text1"/>
                <w:spacing w:val="-13"/>
                <w:sz w:val="20"/>
                <w:szCs w:val="20"/>
              </w:rPr>
              <w:t xml:space="preserve"> </w:t>
            </w:r>
            <w:r w:rsidRPr="00896ADF">
              <w:rPr>
                <w:rFonts w:asciiTheme="minorHAnsi" w:hAnsiTheme="minorHAnsi" w:cstheme="minorHAnsi"/>
                <w:color w:val="000000" w:themeColor="text1"/>
                <w:sz w:val="20"/>
                <w:szCs w:val="20"/>
              </w:rPr>
              <w:t>efficiency renovations.</w:t>
            </w:r>
          </w:p>
          <w:p w14:paraId="21BDC519" w14:textId="77777777" w:rsidR="00550DB9" w:rsidRPr="00896ADF" w:rsidRDefault="00175CFF" w:rsidP="003B0E30">
            <w:pPr>
              <w:jc w:val="both"/>
              <w:rPr>
                <w:rFonts w:cstheme="minorHAnsi"/>
                <w:color w:val="000000" w:themeColor="text1"/>
                <w:sz w:val="20"/>
                <w:szCs w:val="20"/>
                <w:lang w:val="en-IE"/>
              </w:rPr>
            </w:pPr>
            <w:r w:rsidRPr="00896ADF">
              <w:rPr>
                <w:rFonts w:cstheme="minorHAnsi"/>
                <w:color w:val="000000" w:themeColor="text1"/>
                <w:sz w:val="20"/>
                <w:szCs w:val="20"/>
                <w:lang w:val="en-IE"/>
              </w:rPr>
              <w:t>Timeline for completion: Q4/2025</w:t>
            </w:r>
          </w:p>
        </w:tc>
        <w:tc>
          <w:tcPr>
            <w:tcW w:w="3747" w:type="dxa"/>
          </w:tcPr>
          <w:p w14:paraId="083F20DC" w14:textId="77777777" w:rsidR="00175CFF" w:rsidRPr="00896ADF" w:rsidRDefault="00175CFF" w:rsidP="00175CFF">
            <w:pPr>
              <w:pStyle w:val="TableParagraph"/>
              <w:spacing w:before="117"/>
              <w:ind w:left="110" w:right="47"/>
              <w:rPr>
                <w:rFonts w:asciiTheme="minorHAnsi" w:hAnsiTheme="minorHAnsi" w:cstheme="minorHAnsi"/>
                <w:color w:val="000000" w:themeColor="text1"/>
                <w:sz w:val="20"/>
                <w:szCs w:val="20"/>
              </w:rPr>
            </w:pPr>
            <w:r w:rsidRPr="00896ADF">
              <w:rPr>
                <w:rFonts w:asciiTheme="minorHAnsi" w:hAnsiTheme="minorHAnsi" w:cstheme="minorHAnsi"/>
                <w:color w:val="000000" w:themeColor="text1"/>
                <w:sz w:val="20"/>
                <w:szCs w:val="20"/>
              </w:rPr>
              <w:t>Of the overall objective to establish 435 new nurseries, at least 391</w:t>
            </w:r>
            <w:r w:rsidRPr="00896ADF">
              <w:rPr>
                <w:rFonts w:asciiTheme="minorHAnsi" w:hAnsiTheme="minorHAnsi" w:cstheme="minorHAnsi"/>
                <w:b/>
                <w:bCs/>
                <w:color w:val="000000" w:themeColor="text1"/>
                <w:sz w:val="20"/>
                <w:szCs w:val="20"/>
              </w:rPr>
              <w:t xml:space="preserve"> </w:t>
            </w:r>
            <w:r w:rsidRPr="00896ADF">
              <w:rPr>
                <w:rFonts w:asciiTheme="minorHAnsi" w:hAnsiTheme="minorHAnsi" w:cstheme="minorHAnsi"/>
                <w:color w:val="000000" w:themeColor="text1"/>
                <w:sz w:val="20"/>
                <w:szCs w:val="20"/>
              </w:rPr>
              <w:t>shall be created, by constructing new buildings and by renovating existing buildings. The investment includes the use of grant support as follows:</w:t>
            </w:r>
          </w:p>
          <w:p w14:paraId="707BBE21" w14:textId="41A46200" w:rsidR="00175CFF" w:rsidRPr="00896ADF" w:rsidRDefault="14A5D06F" w:rsidP="00896ADF">
            <w:pPr>
              <w:pStyle w:val="TableParagraph"/>
              <w:numPr>
                <w:ilvl w:val="0"/>
                <w:numId w:val="16"/>
              </w:numPr>
              <w:tabs>
                <w:tab w:val="left" w:pos="832"/>
              </w:tabs>
              <w:spacing w:before="120" w:line="259" w:lineRule="auto"/>
              <w:ind w:right="185"/>
              <w:jc w:val="both"/>
              <w:rPr>
                <w:rFonts w:cstheme="minorBidi"/>
                <w:color w:val="000000" w:themeColor="text1"/>
                <w:sz w:val="20"/>
                <w:szCs w:val="20"/>
                <w:u w:val="single"/>
                <w:lang w:val="en-IE"/>
              </w:rPr>
            </w:pPr>
            <w:r w:rsidRPr="00896ADF">
              <w:rPr>
                <w:rFonts w:cstheme="minorBidi"/>
                <w:color w:val="000000" w:themeColor="text1"/>
                <w:sz w:val="20"/>
                <w:szCs w:val="20"/>
                <w:u w:val="single"/>
                <w:lang w:val="en-IE"/>
              </w:rPr>
              <w:t>At least 176 nursery renovations shall achieve on average either at least 30% primary energy savings or at least 30% reduction of direct and indirect greenhouse gas emissions.</w:t>
            </w:r>
          </w:p>
          <w:p w14:paraId="4CA895F1" w14:textId="7C81A4BA" w:rsidR="00175CFF" w:rsidRPr="00896ADF" w:rsidRDefault="14A5D06F" w:rsidP="199B201F">
            <w:pPr>
              <w:jc w:val="both"/>
              <w:rPr>
                <w:color w:val="000000" w:themeColor="text1"/>
                <w:sz w:val="20"/>
                <w:szCs w:val="20"/>
                <w:u w:val="single"/>
                <w:lang w:val="en-IE"/>
              </w:rPr>
            </w:pPr>
            <w:r w:rsidRPr="00896ADF">
              <w:rPr>
                <w:color w:val="000000" w:themeColor="text1"/>
                <w:sz w:val="20"/>
                <w:szCs w:val="20"/>
                <w:u w:val="single"/>
                <w:lang w:val="en-IE"/>
              </w:rPr>
              <w:t>Furthermore, the relevant calls shall require that all nurseries  shall be new constructions with primary energy demand at least 20% below the nearly zero-energy buildings requirement or shall be other energy efficiency renovations.</w:t>
            </w:r>
          </w:p>
          <w:p w14:paraId="7A8D0E32" w14:textId="77777777" w:rsidR="00175CFF" w:rsidRPr="00896ADF" w:rsidRDefault="00175CFF" w:rsidP="00175CFF">
            <w:pPr>
              <w:jc w:val="both"/>
              <w:rPr>
                <w:rFonts w:cstheme="minorHAnsi"/>
                <w:color w:val="000000" w:themeColor="text1"/>
                <w:sz w:val="20"/>
                <w:szCs w:val="20"/>
                <w:u w:val="single"/>
                <w:lang w:val="en-IE"/>
              </w:rPr>
            </w:pPr>
          </w:p>
          <w:p w14:paraId="10669797" w14:textId="77777777" w:rsidR="00550DB9" w:rsidRPr="00896ADF" w:rsidRDefault="00175CFF" w:rsidP="003B0E30">
            <w:pPr>
              <w:jc w:val="both"/>
              <w:rPr>
                <w:rFonts w:cstheme="minorHAnsi"/>
                <w:b/>
                <w:bCs/>
                <w:color w:val="000000" w:themeColor="text1"/>
                <w:sz w:val="20"/>
                <w:szCs w:val="20"/>
                <w:lang w:val="en-IE"/>
              </w:rPr>
            </w:pPr>
            <w:r w:rsidRPr="00896ADF">
              <w:rPr>
                <w:rFonts w:cstheme="minorHAnsi"/>
                <w:b/>
                <w:bCs/>
                <w:color w:val="000000" w:themeColor="text1"/>
                <w:sz w:val="20"/>
                <w:szCs w:val="20"/>
                <w:lang w:val="en-IE"/>
              </w:rPr>
              <w:t>Timeline: Q2/2026</w:t>
            </w:r>
          </w:p>
        </w:tc>
      </w:tr>
      <w:tr w:rsidR="00550DB9" w:rsidRPr="00896ADF" w14:paraId="4D9E239D" w14:textId="77777777" w:rsidTr="11F1BDA2">
        <w:tc>
          <w:tcPr>
            <w:tcW w:w="2235" w:type="dxa"/>
          </w:tcPr>
          <w:p w14:paraId="7FE3F9B7" w14:textId="77777777" w:rsidR="00550DB9" w:rsidRPr="00896ADF" w:rsidRDefault="00550DB9"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Estimated cost</w:t>
            </w:r>
          </w:p>
        </w:tc>
        <w:tc>
          <w:tcPr>
            <w:tcW w:w="3260" w:type="dxa"/>
          </w:tcPr>
          <w:p w14:paraId="67EFDDEF" w14:textId="78AF04A1" w:rsidR="00550DB9" w:rsidRPr="00896ADF" w:rsidRDefault="0080312D" w:rsidP="003B0E30">
            <w:pPr>
              <w:jc w:val="both"/>
              <w:rPr>
                <w:rFonts w:eastAsia="Calibri" w:cstheme="minorHAnsi"/>
                <w:noProof/>
                <w:sz w:val="20"/>
                <w:szCs w:val="20"/>
                <w:lang w:val="en-IE"/>
              </w:rPr>
            </w:pPr>
            <w:r w:rsidRPr="00896ADF">
              <w:rPr>
                <w:rFonts w:eastAsia="Calibri" w:cstheme="minorHAnsi"/>
                <w:noProof/>
                <w:sz w:val="20"/>
                <w:szCs w:val="20"/>
                <w:lang w:val="en-IE"/>
              </w:rPr>
              <w:t>6 993 mil. CZK</w:t>
            </w:r>
          </w:p>
        </w:tc>
        <w:tc>
          <w:tcPr>
            <w:tcW w:w="3747" w:type="dxa"/>
          </w:tcPr>
          <w:p w14:paraId="669ABA0D" w14:textId="7852F15F" w:rsidR="00550DB9" w:rsidRPr="00896ADF" w:rsidRDefault="5108B692" w:rsidP="6BDED664">
            <w:pPr>
              <w:jc w:val="both"/>
              <w:rPr>
                <w:rFonts w:eastAsia="Calibri"/>
                <w:b/>
                <w:bCs/>
                <w:noProof/>
                <w:sz w:val="20"/>
                <w:szCs w:val="20"/>
                <w:lang w:val="en-IE"/>
              </w:rPr>
            </w:pPr>
            <w:r w:rsidRPr="00896ADF">
              <w:rPr>
                <w:rFonts w:eastAsia="Calibri"/>
                <w:b/>
                <w:bCs/>
                <w:noProof/>
                <w:sz w:val="20"/>
                <w:szCs w:val="20"/>
                <w:lang w:val="en-IE"/>
              </w:rPr>
              <w:t>8 485</w:t>
            </w:r>
            <w:r w:rsidR="5391796D" w:rsidRPr="00896ADF">
              <w:rPr>
                <w:rFonts w:eastAsia="Calibri"/>
                <w:b/>
                <w:bCs/>
                <w:noProof/>
                <w:sz w:val="20"/>
                <w:szCs w:val="20"/>
                <w:lang w:val="en-IE"/>
              </w:rPr>
              <w:t>,6</w:t>
            </w:r>
            <w:r w:rsidRPr="00896ADF">
              <w:rPr>
                <w:rFonts w:eastAsia="Calibri"/>
                <w:b/>
                <w:bCs/>
                <w:noProof/>
                <w:sz w:val="20"/>
                <w:szCs w:val="20"/>
                <w:lang w:val="en-IE"/>
              </w:rPr>
              <w:t xml:space="preserve"> mil. CZK</w:t>
            </w:r>
          </w:p>
          <w:p w14:paraId="78220EC9" w14:textId="1066F9C8" w:rsidR="00550DB9" w:rsidRPr="00896ADF" w:rsidRDefault="00550DB9" w:rsidP="6BDED664">
            <w:pPr>
              <w:jc w:val="both"/>
              <w:rPr>
                <w:rFonts w:eastAsia="Calibri"/>
                <w:b/>
                <w:bCs/>
                <w:noProof/>
                <w:sz w:val="20"/>
                <w:szCs w:val="20"/>
                <w:lang w:val="en-IE"/>
              </w:rPr>
            </w:pPr>
          </w:p>
        </w:tc>
      </w:tr>
      <w:tr w:rsidR="00175CFF" w:rsidRPr="00896ADF" w14:paraId="2BE1FD85" w14:textId="77777777" w:rsidTr="11F1BDA2">
        <w:tc>
          <w:tcPr>
            <w:tcW w:w="2235" w:type="dxa"/>
          </w:tcPr>
          <w:p w14:paraId="46C91BC5" w14:textId="77777777" w:rsidR="00175CFF" w:rsidRPr="00896ADF" w:rsidRDefault="00175CFF" w:rsidP="00175CFF">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Green and digital tagging</w:t>
            </w:r>
          </w:p>
        </w:tc>
        <w:tc>
          <w:tcPr>
            <w:tcW w:w="3260" w:type="dxa"/>
          </w:tcPr>
          <w:p w14:paraId="2C3B3753" w14:textId="77777777" w:rsidR="00175CFF" w:rsidRPr="00896ADF" w:rsidRDefault="00175CFF" w:rsidP="00175CFF">
            <w:pPr>
              <w:jc w:val="both"/>
              <w:rPr>
                <w:rFonts w:eastAsia="Calibri" w:cstheme="minorHAnsi"/>
                <w:noProof/>
                <w:sz w:val="20"/>
                <w:szCs w:val="20"/>
                <w:lang w:val="en-IE"/>
              </w:rPr>
            </w:pPr>
            <w:r w:rsidRPr="00896ADF">
              <w:rPr>
                <w:rFonts w:eastAsia="Calibri" w:cstheme="minorHAnsi"/>
                <w:noProof/>
                <w:sz w:val="20"/>
                <w:szCs w:val="20"/>
                <w:lang w:val="en-IE"/>
              </w:rPr>
              <w:t>No change</w:t>
            </w:r>
          </w:p>
        </w:tc>
        <w:tc>
          <w:tcPr>
            <w:tcW w:w="3747" w:type="dxa"/>
          </w:tcPr>
          <w:p w14:paraId="76C62E0F" w14:textId="77777777" w:rsidR="00175CFF" w:rsidRPr="00896ADF" w:rsidRDefault="00175CFF" w:rsidP="00175CFF">
            <w:pPr>
              <w:jc w:val="both"/>
              <w:rPr>
                <w:rFonts w:eastAsia="Calibri" w:cstheme="minorHAnsi"/>
                <w:noProof/>
                <w:sz w:val="20"/>
                <w:szCs w:val="20"/>
                <w:lang w:val="en-IE"/>
              </w:rPr>
            </w:pPr>
            <w:r w:rsidRPr="00896ADF">
              <w:rPr>
                <w:rFonts w:eastAsia="Calibri" w:cstheme="minorHAnsi"/>
                <w:noProof/>
                <w:sz w:val="20"/>
                <w:szCs w:val="20"/>
                <w:lang w:val="en-IE"/>
              </w:rPr>
              <w:t>No change</w:t>
            </w:r>
          </w:p>
        </w:tc>
      </w:tr>
      <w:tr w:rsidR="00175CFF" w:rsidRPr="00896ADF" w14:paraId="45FC62C8" w14:textId="77777777" w:rsidTr="11F1BDA2">
        <w:tc>
          <w:tcPr>
            <w:tcW w:w="2235" w:type="dxa"/>
          </w:tcPr>
          <w:p w14:paraId="17C7ABC3" w14:textId="77777777" w:rsidR="00175CFF" w:rsidRPr="00896ADF" w:rsidRDefault="00175CFF" w:rsidP="00175CFF">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DNSH self-assessment</w:t>
            </w:r>
          </w:p>
        </w:tc>
        <w:tc>
          <w:tcPr>
            <w:tcW w:w="3260" w:type="dxa"/>
          </w:tcPr>
          <w:p w14:paraId="62152683" w14:textId="77777777" w:rsidR="00175CFF" w:rsidRPr="00896ADF" w:rsidRDefault="00175CFF" w:rsidP="00175CFF">
            <w:pPr>
              <w:jc w:val="both"/>
              <w:rPr>
                <w:rFonts w:eastAsia="Calibri" w:cstheme="minorHAnsi"/>
                <w:noProof/>
                <w:sz w:val="20"/>
                <w:szCs w:val="20"/>
                <w:lang w:val="en-IE"/>
              </w:rPr>
            </w:pPr>
            <w:r w:rsidRPr="00896ADF">
              <w:rPr>
                <w:rFonts w:eastAsia="Calibri" w:cstheme="minorHAnsi"/>
                <w:noProof/>
                <w:sz w:val="20"/>
                <w:szCs w:val="20"/>
                <w:lang w:val="en-IE"/>
              </w:rPr>
              <w:t>No change</w:t>
            </w:r>
          </w:p>
        </w:tc>
        <w:tc>
          <w:tcPr>
            <w:tcW w:w="3747" w:type="dxa"/>
          </w:tcPr>
          <w:p w14:paraId="60736527" w14:textId="77777777" w:rsidR="00175CFF" w:rsidRPr="00896ADF" w:rsidRDefault="00175CFF" w:rsidP="00175CFF">
            <w:pPr>
              <w:jc w:val="both"/>
              <w:rPr>
                <w:rFonts w:eastAsia="Calibri" w:cstheme="minorHAnsi"/>
                <w:noProof/>
                <w:sz w:val="20"/>
                <w:szCs w:val="20"/>
                <w:lang w:val="en-IE"/>
              </w:rPr>
            </w:pPr>
            <w:r w:rsidRPr="00896ADF">
              <w:rPr>
                <w:rFonts w:eastAsia="Calibri" w:cstheme="minorHAnsi"/>
                <w:noProof/>
                <w:sz w:val="20"/>
                <w:szCs w:val="20"/>
                <w:lang w:val="en-IE"/>
              </w:rPr>
              <w:t>No change</w:t>
            </w:r>
          </w:p>
        </w:tc>
      </w:tr>
    </w:tbl>
    <w:p w14:paraId="7E6675C8" w14:textId="77777777" w:rsidR="0023565A" w:rsidRPr="00896ADF" w:rsidRDefault="0023565A" w:rsidP="0023565A"/>
    <w:tbl>
      <w:tblPr>
        <w:tblStyle w:val="Mkatabulky"/>
        <w:tblW w:w="0" w:type="auto"/>
        <w:tblLook w:val="04A0" w:firstRow="1" w:lastRow="0" w:firstColumn="1" w:lastColumn="0" w:noHBand="0" w:noVBand="1"/>
      </w:tblPr>
      <w:tblGrid>
        <w:gridCol w:w="3227"/>
        <w:gridCol w:w="5939"/>
      </w:tblGrid>
      <w:tr w:rsidR="0023565A" w:rsidRPr="00896ADF" w14:paraId="0A35CA2F" w14:textId="77777777" w:rsidTr="003B0E30">
        <w:tc>
          <w:tcPr>
            <w:tcW w:w="9166" w:type="dxa"/>
            <w:gridSpan w:val="2"/>
            <w:shd w:val="clear" w:color="auto" w:fill="1F3864"/>
          </w:tcPr>
          <w:p w14:paraId="3BC185C6" w14:textId="77777777" w:rsidR="0023565A" w:rsidRPr="00896ADF" w:rsidRDefault="005A3470" w:rsidP="003B0E30">
            <w:pPr>
              <w:jc w:val="center"/>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Component 3.3 MODERNISATION OF EMPLOYMENT SERVICES AND LABOUR MARKET DEVELOPMENT</w:t>
            </w:r>
          </w:p>
        </w:tc>
      </w:tr>
      <w:tr w:rsidR="0023565A" w:rsidRPr="00896ADF" w14:paraId="2F4EB362" w14:textId="77777777" w:rsidTr="003B0E30">
        <w:tc>
          <w:tcPr>
            <w:tcW w:w="3227" w:type="dxa"/>
            <w:shd w:val="clear" w:color="auto" w:fill="00B0F0"/>
          </w:tcPr>
          <w:p w14:paraId="4C9A2AF7" w14:textId="77777777" w:rsidR="0023565A" w:rsidRPr="00896ADF" w:rsidRDefault="0023565A"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516F20EB" w14:textId="77777777" w:rsidR="0023565A" w:rsidRPr="00896ADF" w:rsidRDefault="001973A1"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Investment 2</w:t>
            </w:r>
          </w:p>
        </w:tc>
      </w:tr>
      <w:tr w:rsidR="0023565A" w:rsidRPr="00896ADF" w14:paraId="344FF7B0" w14:textId="77777777" w:rsidTr="003B0E30">
        <w:tc>
          <w:tcPr>
            <w:tcW w:w="3227" w:type="dxa"/>
            <w:shd w:val="clear" w:color="auto" w:fill="00B0F0"/>
          </w:tcPr>
          <w:p w14:paraId="79449289" w14:textId="77777777" w:rsidR="0023565A" w:rsidRPr="00896ADF" w:rsidRDefault="0023565A"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56B68D1A" w14:textId="77777777" w:rsidR="0023565A" w:rsidRPr="00896ADF" w:rsidRDefault="001973A1"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Increasing the capacity  of pre-school facilities</w:t>
            </w:r>
          </w:p>
        </w:tc>
      </w:tr>
      <w:tr w:rsidR="0023565A" w:rsidRPr="00896ADF" w14:paraId="4B7E9B7A" w14:textId="77777777" w:rsidTr="003B0E30">
        <w:tc>
          <w:tcPr>
            <w:tcW w:w="3227" w:type="dxa"/>
            <w:shd w:val="clear" w:color="auto" w:fill="BDD6EE"/>
          </w:tcPr>
          <w:p w14:paraId="7ADDDB39" w14:textId="77777777" w:rsidR="0023565A" w:rsidRPr="00896ADF" w:rsidRDefault="0023565A"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Type of change compared to CID</w:t>
            </w:r>
          </w:p>
        </w:tc>
        <w:tc>
          <w:tcPr>
            <w:tcW w:w="5939" w:type="dxa"/>
          </w:tcPr>
          <w:p w14:paraId="2C301411" w14:textId="77777777" w:rsidR="0023565A" w:rsidRPr="00896ADF" w:rsidRDefault="0023565A"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noProof/>
                <w:sz w:val="20"/>
                <w:szCs w:val="20"/>
                <w:lang w:val="en-US"/>
              </w:rPr>
              <w:t>[modified]</w:t>
            </w:r>
          </w:p>
        </w:tc>
      </w:tr>
      <w:tr w:rsidR="0023565A" w:rsidRPr="00896ADF" w14:paraId="4797B41A" w14:textId="77777777" w:rsidTr="003B0E30">
        <w:tc>
          <w:tcPr>
            <w:tcW w:w="3227" w:type="dxa"/>
            <w:shd w:val="clear" w:color="auto" w:fill="BDD6EE"/>
          </w:tcPr>
          <w:p w14:paraId="531F8637" w14:textId="77777777" w:rsidR="0023565A" w:rsidRPr="00896ADF" w:rsidRDefault="0023565A"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Legal base of the change (select at least one)</w:t>
            </w:r>
          </w:p>
        </w:tc>
        <w:tc>
          <w:tcPr>
            <w:tcW w:w="5939" w:type="dxa"/>
          </w:tcPr>
          <w:p w14:paraId="7B6CBF39" w14:textId="77777777"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66048492"/>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Article 14(2) – loan request</w:t>
            </w:r>
          </w:p>
          <w:p w14:paraId="15F0E658" w14:textId="77777777"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619836845"/>
                <w14:checkbox>
                  <w14:checked w14:val="1"/>
                  <w14:checkedState w14:val="2612" w14:font="MS Gothic"/>
                  <w14:uncheckedState w14:val="2610" w14:font="MS Gothic"/>
                </w14:checkbox>
              </w:sdtPr>
              <w:sdtEndPr/>
              <w:sdtContent>
                <w:r w:rsidR="00CA545B" w:rsidRPr="00896ADF">
                  <w:rPr>
                    <w:rFonts w:ascii="MS Gothic" w:eastAsia="MS Gothic" w:hAnsi="MS Gothic" w:cs="Times New Roman" w:hint="eastAsia"/>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Article 18(2) – update of the maximum financial contribution</w:t>
            </w:r>
          </w:p>
          <w:p w14:paraId="55C18287" w14:textId="77777777" w:rsidR="0023565A" w:rsidRPr="00896ADF" w:rsidRDefault="00491E8E" w:rsidP="003B0E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45514938"/>
                <w:placeholder>
                  <w:docPart w:val="3A809196DD2E461A8AE28E530EA5E48D"/>
                </w:placeholder>
                <w14:checkbox>
                  <w14:checked w14:val="1"/>
                  <w14:checkedState w14:val="2612" w14:font="MS Gothic"/>
                  <w14:uncheckedState w14:val="2610" w14:font="MS Gothic"/>
                </w14:checkbox>
              </w:sdtPr>
              <w:sdtEndPr/>
              <w:sdtContent>
                <w:r w:rsidR="00CA545B" w:rsidRPr="00896ADF">
                  <w:rPr>
                    <w:rFonts w:ascii="MS Gothic" w:eastAsia="MS Gothic" w:hAnsi="MS Gothic" w:cs="Times New Roman" w:hint="eastAsia"/>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Article 21 – amendment due to objective circumstances</w:t>
            </w:r>
          </w:p>
          <w:p w14:paraId="7BB95699" w14:textId="77777777" w:rsidR="0023565A" w:rsidRPr="00896ADF" w:rsidRDefault="00491E8E" w:rsidP="003B0E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95021349"/>
                <w:placeholder>
                  <w:docPart w:val="3A809196DD2E461A8AE28E530EA5E48D"/>
                </w:placeholder>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fr-BE"/>
                  </w:rPr>
                  <w:t>☐</w:t>
                </w:r>
              </w:sdtContent>
            </w:sdt>
            <w:r w:rsidR="0023565A" w:rsidRPr="00896ADF">
              <w:rPr>
                <w:rFonts w:ascii="Times New Roman" w:eastAsia="Calibri" w:hAnsi="Times New Roman" w:cs="Times New Roman"/>
                <w:noProof/>
                <w:sz w:val="20"/>
                <w:szCs w:val="20"/>
                <w:lang w:val="fr-BE"/>
              </w:rPr>
              <w:t xml:space="preserve"> Article 21a – REPowerEU non-repayable financial support (ETS revenue)</w:t>
            </w:r>
          </w:p>
          <w:p w14:paraId="103C1875" w14:textId="77777777" w:rsidR="0023565A" w:rsidRPr="00896ADF" w:rsidRDefault="00491E8E" w:rsidP="003B0E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496615762"/>
                <w:placeholder>
                  <w:docPart w:val="3A809196DD2E461A8AE28E530EA5E48D"/>
                </w:placeholder>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en-IE"/>
                  </w:rPr>
                  <w:t>☐</w:t>
                </w:r>
              </w:sdtContent>
            </w:sdt>
            <w:r w:rsidR="0023565A" w:rsidRPr="00896ADF">
              <w:rPr>
                <w:rFonts w:ascii="Times New Roman" w:eastAsia="Calibri" w:hAnsi="Times New Roman" w:cs="Times New Roman"/>
                <w:noProof/>
                <w:sz w:val="20"/>
                <w:szCs w:val="20"/>
                <w:lang w:val="en-IE"/>
              </w:rPr>
              <w:t xml:space="preserve"> Article 21b (2) – BAR transfers</w:t>
            </w:r>
          </w:p>
          <w:p w14:paraId="6C82F121" w14:textId="77777777" w:rsidR="0023565A" w:rsidRPr="00896ADF" w:rsidRDefault="0023565A" w:rsidP="003B0E30">
            <w:pPr>
              <w:jc w:val="both"/>
              <w:rPr>
                <w:rFonts w:ascii="Times New Roman" w:eastAsia="Calibri" w:hAnsi="Times New Roman" w:cs="Times New Roman"/>
                <w:noProof/>
                <w:sz w:val="20"/>
                <w:szCs w:val="20"/>
                <w:lang w:val="en-US"/>
              </w:rPr>
            </w:pPr>
            <w:r w:rsidRPr="00896ADF">
              <w:rPr>
                <w:rFonts w:ascii="Segoe UI Symbol" w:eastAsia="MS Gothic" w:hAnsi="Segoe UI Symbol" w:cs="Segoe UI Symbol"/>
                <w:noProof/>
                <w:sz w:val="20"/>
                <w:szCs w:val="20"/>
                <w:lang w:val="en-US"/>
              </w:rPr>
              <w:t>☐</w:t>
            </w:r>
            <w:r w:rsidRPr="00896ADF">
              <w:rPr>
                <w:rFonts w:ascii="Times New Roman" w:eastAsia="Calibri" w:hAnsi="Times New Roman" w:cs="Times New Roman"/>
                <w:noProof/>
                <w:sz w:val="20"/>
                <w:szCs w:val="20"/>
                <w:lang w:val="en-US"/>
              </w:rPr>
              <w:t xml:space="preserve"> None of the above, correction of clerical error</w:t>
            </w:r>
          </w:p>
          <w:p w14:paraId="76697AC4" w14:textId="77777777" w:rsidR="0023565A" w:rsidRPr="00896ADF" w:rsidRDefault="0023565A" w:rsidP="003B0E30">
            <w:pPr>
              <w:jc w:val="both"/>
              <w:rPr>
                <w:rFonts w:ascii="Times New Roman" w:eastAsia="Calibri" w:hAnsi="Times New Roman" w:cs="Times New Roman"/>
                <w:noProof/>
                <w:sz w:val="20"/>
                <w:szCs w:val="20"/>
                <w:lang w:val="en-IE"/>
              </w:rPr>
            </w:pPr>
          </w:p>
        </w:tc>
      </w:tr>
      <w:tr w:rsidR="0023565A" w:rsidRPr="00896ADF" w14:paraId="7609EBFE" w14:textId="77777777" w:rsidTr="003B0E30">
        <w:tc>
          <w:tcPr>
            <w:tcW w:w="3227" w:type="dxa"/>
            <w:shd w:val="clear" w:color="auto" w:fill="BDD6EE"/>
          </w:tcPr>
          <w:p w14:paraId="21E52FE0" w14:textId="77777777" w:rsidR="0023565A" w:rsidRPr="00896ADF" w:rsidRDefault="0023565A"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lastRenderedPageBreak/>
              <w:t>Elements modified (only for modified measures)</w:t>
            </w:r>
          </w:p>
          <w:p w14:paraId="706A6376" w14:textId="77777777" w:rsidR="0023565A" w:rsidRPr="00896ADF" w:rsidRDefault="0023565A" w:rsidP="003B0E30">
            <w:pPr>
              <w:jc w:val="both"/>
              <w:rPr>
                <w:rFonts w:ascii="Times New Roman" w:eastAsia="Calibri" w:hAnsi="Times New Roman" w:cs="Times New Roman"/>
                <w:b/>
                <w:bCs/>
                <w:noProof/>
                <w:sz w:val="24"/>
                <w:szCs w:val="24"/>
                <w:u w:val="single"/>
                <w:lang w:val="en-IE"/>
              </w:rPr>
            </w:pPr>
          </w:p>
        </w:tc>
        <w:tc>
          <w:tcPr>
            <w:tcW w:w="5939" w:type="dxa"/>
          </w:tcPr>
          <w:p w14:paraId="3C76A3D2" w14:textId="77777777"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63217445"/>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Component / Measure description</w:t>
            </w:r>
          </w:p>
          <w:p w14:paraId="2E77962B" w14:textId="77777777"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50074634"/>
                <w:placeholder>
                  <w:docPart w:val="3A809196DD2E461A8AE28E530EA5E48D"/>
                </w:placeholder>
                <w14:checkbox>
                  <w14:checked w14:val="1"/>
                  <w14:checkedState w14:val="2612" w14:font="MS Gothic"/>
                  <w14:uncheckedState w14:val="2610" w14:font="MS Gothic"/>
                </w14:checkbox>
              </w:sdtPr>
              <w:sdtEndPr/>
              <w:sdtContent>
                <w:r w:rsidR="00175CFF" w:rsidRPr="00896ADF">
                  <w:rPr>
                    <w:rFonts w:ascii="MS Gothic" w:eastAsia="MS Gothic" w:hAnsi="MS Gothic" w:cs="Times New Roman" w:hint="eastAsia"/>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Milestones and targets</w:t>
            </w:r>
          </w:p>
          <w:p w14:paraId="3CC8B228" w14:textId="77777777"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5974572"/>
                <w14:checkbox>
                  <w14:checked w14:val="1"/>
                  <w14:checkedState w14:val="2612" w14:font="MS Gothic"/>
                  <w14:uncheckedState w14:val="2610" w14:font="MS Gothic"/>
                </w14:checkbox>
              </w:sdtPr>
              <w:sdtEndPr/>
              <w:sdtContent>
                <w:r w:rsidR="00175CFF" w:rsidRPr="00896ADF">
                  <w:rPr>
                    <w:rFonts w:ascii="MS Gothic" w:eastAsia="MS Gothic" w:hAnsi="MS Gothic" w:cs="Times New Roman" w:hint="eastAsia"/>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Estimated cost</w:t>
            </w:r>
          </w:p>
          <w:p w14:paraId="7A678DC2" w14:textId="77777777"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38924150"/>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71B63486" w14:textId="77777777" w:rsidR="0023565A" w:rsidRPr="00896ADF" w:rsidRDefault="00491E8E" w:rsidP="003B0E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351789867"/>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DNSH self-assessment</w:t>
            </w:r>
          </w:p>
        </w:tc>
      </w:tr>
    </w:tbl>
    <w:p w14:paraId="75AF5E17" w14:textId="77777777" w:rsidR="0023565A" w:rsidRPr="00896ADF" w:rsidRDefault="0023565A" w:rsidP="0023565A"/>
    <w:tbl>
      <w:tblPr>
        <w:tblStyle w:val="Mkatabulky"/>
        <w:tblW w:w="0" w:type="auto"/>
        <w:tblLook w:val="04A0" w:firstRow="1" w:lastRow="0" w:firstColumn="1" w:lastColumn="0" w:noHBand="0" w:noVBand="1"/>
      </w:tblPr>
      <w:tblGrid>
        <w:gridCol w:w="2235"/>
        <w:gridCol w:w="3260"/>
        <w:gridCol w:w="3747"/>
      </w:tblGrid>
      <w:tr w:rsidR="0023565A" w:rsidRPr="00896ADF" w14:paraId="60190EF9" w14:textId="77777777" w:rsidTr="2FBE3598">
        <w:tc>
          <w:tcPr>
            <w:tcW w:w="9242" w:type="dxa"/>
            <w:gridSpan w:val="3"/>
            <w:shd w:val="clear" w:color="auto" w:fill="1F3864"/>
          </w:tcPr>
          <w:p w14:paraId="63B98B12" w14:textId="77777777" w:rsidR="0023565A" w:rsidRPr="00896ADF" w:rsidRDefault="001973A1" w:rsidP="003B0E30">
            <w:pPr>
              <w:jc w:val="center"/>
              <w:rPr>
                <w:rFonts w:ascii="Times New Roman" w:eastAsia="Calibri" w:hAnsi="Times New Roman" w:cs="Times New Roman"/>
                <w:b/>
                <w:bCs/>
                <w:noProof/>
                <w:sz w:val="20"/>
                <w:szCs w:val="20"/>
                <w:lang w:val="en-IE"/>
              </w:rPr>
            </w:pPr>
            <w:r w:rsidRPr="00896ADF">
              <w:rPr>
                <w:rFonts w:ascii="Times New Roman" w:eastAsia="Calibri" w:hAnsi="Times New Roman" w:cs="Times New Roman"/>
                <w:b/>
                <w:bCs/>
                <w:noProof/>
                <w:sz w:val="20"/>
                <w:szCs w:val="20"/>
                <w:lang w:val="en-IE"/>
              </w:rPr>
              <w:t>Investment 2: Increasing the capacity of pre-school facilities</w:t>
            </w:r>
            <w:r w:rsidR="00175CFF" w:rsidRPr="00896ADF">
              <w:rPr>
                <w:rFonts w:ascii="Times New Roman" w:eastAsia="Calibri" w:hAnsi="Times New Roman" w:cs="Times New Roman"/>
                <w:b/>
                <w:bCs/>
                <w:noProof/>
                <w:sz w:val="20"/>
                <w:szCs w:val="20"/>
                <w:lang w:val="en-IE"/>
              </w:rPr>
              <w:t xml:space="preserve"> – Target 191</w:t>
            </w:r>
          </w:p>
        </w:tc>
      </w:tr>
      <w:tr w:rsidR="0023565A" w:rsidRPr="00896ADF" w14:paraId="5677F3C9" w14:textId="77777777" w:rsidTr="2FBE3598">
        <w:tc>
          <w:tcPr>
            <w:tcW w:w="9242" w:type="dxa"/>
            <w:gridSpan w:val="3"/>
            <w:shd w:val="clear" w:color="auto" w:fill="auto"/>
          </w:tcPr>
          <w:p w14:paraId="3C6053B4" w14:textId="77777777" w:rsidR="0023565A" w:rsidRPr="00896ADF" w:rsidRDefault="0023565A" w:rsidP="003B0E30">
            <w:pPr>
              <w:jc w:val="both"/>
              <w:rPr>
                <w:rFonts w:ascii="Times New Roman" w:eastAsia="Calibri" w:hAnsi="Times New Roman" w:cs="Times New Roman"/>
                <w:i/>
                <w:iCs/>
                <w:noProof/>
                <w:sz w:val="20"/>
                <w:szCs w:val="20"/>
                <w:lang w:val="en-IE"/>
              </w:rPr>
            </w:pPr>
            <w:r w:rsidRPr="00896ADF">
              <w:rPr>
                <w:rFonts w:ascii="Times New Roman" w:eastAsia="Calibri" w:hAnsi="Times New Roman" w:cs="Times New Roman"/>
                <w:i/>
                <w:iCs/>
                <w:noProof/>
                <w:sz w:val="20"/>
                <w:szCs w:val="20"/>
                <w:lang w:val="en-IE"/>
              </w:rPr>
              <w:t>Description and justification of the change</w:t>
            </w:r>
          </w:p>
        </w:tc>
      </w:tr>
      <w:tr w:rsidR="0023565A" w:rsidRPr="00896ADF" w14:paraId="30CCFC22" w14:textId="77777777" w:rsidTr="2FBE3598">
        <w:tc>
          <w:tcPr>
            <w:tcW w:w="2235" w:type="dxa"/>
            <w:shd w:val="clear" w:color="auto" w:fill="00B0F0"/>
          </w:tcPr>
          <w:p w14:paraId="52D0463A" w14:textId="77777777" w:rsidR="0023565A" w:rsidRPr="00896ADF" w:rsidRDefault="0023565A"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1B23019B" w14:textId="77777777" w:rsidR="0023565A" w:rsidRPr="00896ADF" w:rsidRDefault="0023565A"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29014551" w14:textId="77777777" w:rsidR="0023565A" w:rsidRPr="00896ADF" w:rsidRDefault="0023565A"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Amended version</w:t>
            </w:r>
          </w:p>
        </w:tc>
      </w:tr>
      <w:tr w:rsidR="0023565A" w:rsidRPr="00896ADF" w14:paraId="7EEEB8EA" w14:textId="77777777" w:rsidTr="2FBE3598">
        <w:tc>
          <w:tcPr>
            <w:tcW w:w="2235" w:type="dxa"/>
          </w:tcPr>
          <w:p w14:paraId="42F177AC" w14:textId="77777777" w:rsidR="0023565A" w:rsidRPr="00896ADF" w:rsidRDefault="0023565A"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4488DAB9" w14:textId="77777777" w:rsidR="0023565A" w:rsidRPr="00896ADF" w:rsidRDefault="00175CFF" w:rsidP="00175CFF">
            <w:pPr>
              <w:jc w:val="both"/>
              <w:rPr>
                <w:rFonts w:eastAsia="Calibri" w:cstheme="minorHAnsi"/>
                <w:i/>
                <w:noProof/>
                <w:sz w:val="20"/>
                <w:szCs w:val="20"/>
                <w:lang w:val="en-IE"/>
              </w:rPr>
            </w:pPr>
            <w:r w:rsidRPr="00896ADF">
              <w:rPr>
                <w:rFonts w:eastAsia="Calibri" w:cstheme="minorHAnsi"/>
                <w:i/>
                <w:noProof/>
                <w:sz w:val="20"/>
                <w:szCs w:val="20"/>
                <w:lang w:val="en-IE"/>
              </w:rPr>
              <w:t>-</w:t>
            </w:r>
          </w:p>
        </w:tc>
        <w:tc>
          <w:tcPr>
            <w:tcW w:w="3747" w:type="dxa"/>
          </w:tcPr>
          <w:p w14:paraId="513BD1DC" w14:textId="77777777" w:rsidR="0023565A" w:rsidRPr="00896ADF" w:rsidRDefault="00175CFF" w:rsidP="003B0E30">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r>
      <w:tr w:rsidR="0023565A" w:rsidRPr="00896ADF" w14:paraId="2C9DF4CF" w14:textId="77777777" w:rsidTr="2FBE3598">
        <w:tc>
          <w:tcPr>
            <w:tcW w:w="2235" w:type="dxa"/>
          </w:tcPr>
          <w:p w14:paraId="2738DA9A" w14:textId="77777777" w:rsidR="0023565A" w:rsidRPr="00896ADF" w:rsidRDefault="0023565A"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Milestones and targets </w:t>
            </w:r>
          </w:p>
        </w:tc>
        <w:tc>
          <w:tcPr>
            <w:tcW w:w="3260" w:type="dxa"/>
          </w:tcPr>
          <w:p w14:paraId="4B270782" w14:textId="77777777" w:rsidR="00175CFF" w:rsidRPr="00896ADF" w:rsidRDefault="00175CFF" w:rsidP="00175CFF">
            <w:pPr>
              <w:jc w:val="both"/>
              <w:rPr>
                <w:rFonts w:cstheme="minorHAnsi"/>
                <w:i/>
                <w:color w:val="000000" w:themeColor="text1"/>
                <w:sz w:val="20"/>
                <w:szCs w:val="20"/>
              </w:rPr>
            </w:pPr>
            <w:r w:rsidRPr="00896ADF">
              <w:rPr>
                <w:rFonts w:cstheme="minorHAnsi"/>
                <w:i/>
                <w:color w:val="000000" w:themeColor="text1"/>
                <w:sz w:val="20"/>
                <w:szCs w:val="20"/>
              </w:rPr>
              <w:t>Creation of at least 7430 new places in pre-school facilities for children below the age of three. These facilities shall be distinct from the facilities financed from other Union funding programmes.</w:t>
            </w:r>
          </w:p>
          <w:p w14:paraId="3357DD98" w14:textId="77777777" w:rsidR="00175CFF" w:rsidRPr="00896ADF" w:rsidRDefault="00175CFF" w:rsidP="00175CFF">
            <w:pPr>
              <w:jc w:val="both"/>
              <w:rPr>
                <w:rFonts w:cstheme="minorHAnsi"/>
                <w:i/>
                <w:color w:val="000000" w:themeColor="text1"/>
                <w:sz w:val="20"/>
                <w:szCs w:val="20"/>
                <w:lang w:val="en-IE"/>
              </w:rPr>
            </w:pPr>
          </w:p>
          <w:p w14:paraId="4CDCE21D" w14:textId="77777777" w:rsidR="0023565A" w:rsidRPr="00896ADF" w:rsidRDefault="00175CFF" w:rsidP="003B0E30">
            <w:pPr>
              <w:jc w:val="both"/>
              <w:rPr>
                <w:rFonts w:cstheme="minorHAnsi"/>
                <w:i/>
                <w:color w:val="000000" w:themeColor="text1"/>
                <w:sz w:val="20"/>
                <w:szCs w:val="20"/>
                <w:lang w:val="en-IE"/>
              </w:rPr>
            </w:pPr>
            <w:r w:rsidRPr="00896ADF">
              <w:rPr>
                <w:rFonts w:cstheme="minorHAnsi"/>
                <w:i/>
                <w:color w:val="000000" w:themeColor="text1"/>
                <w:sz w:val="20"/>
                <w:szCs w:val="20"/>
                <w:lang w:val="en-IE"/>
              </w:rPr>
              <w:t>By Q4/2025</w:t>
            </w:r>
          </w:p>
        </w:tc>
        <w:tc>
          <w:tcPr>
            <w:tcW w:w="3747" w:type="dxa"/>
          </w:tcPr>
          <w:p w14:paraId="50DB60D4" w14:textId="77777777" w:rsidR="00175CFF" w:rsidRPr="00896ADF" w:rsidRDefault="00175CFF" w:rsidP="00175CFF">
            <w:pPr>
              <w:jc w:val="both"/>
              <w:rPr>
                <w:rFonts w:cstheme="minorHAnsi"/>
                <w:i/>
                <w:color w:val="000000" w:themeColor="text1"/>
                <w:sz w:val="20"/>
                <w:szCs w:val="20"/>
              </w:rPr>
            </w:pPr>
            <w:r w:rsidRPr="00896ADF">
              <w:rPr>
                <w:rFonts w:cstheme="minorHAnsi"/>
                <w:i/>
                <w:color w:val="000000" w:themeColor="text1"/>
                <w:sz w:val="20"/>
                <w:szCs w:val="20"/>
              </w:rPr>
              <w:t>Creation of at least 7 430 new places in pre-school facilities for children below the age of three. These facilities shall be distinct from the facilities financed from other Union funding programmes.</w:t>
            </w:r>
          </w:p>
          <w:p w14:paraId="0B1E8D3F" w14:textId="77777777" w:rsidR="00175CFF" w:rsidRPr="00896ADF" w:rsidRDefault="00175CFF" w:rsidP="00175CFF">
            <w:pPr>
              <w:jc w:val="both"/>
              <w:rPr>
                <w:rFonts w:cstheme="minorHAnsi"/>
                <w:i/>
                <w:iCs/>
                <w:color w:val="000000" w:themeColor="text1"/>
                <w:sz w:val="20"/>
                <w:szCs w:val="20"/>
              </w:rPr>
            </w:pPr>
          </w:p>
          <w:p w14:paraId="2E1D5067" w14:textId="77777777" w:rsidR="00175CFF" w:rsidRPr="00896ADF" w:rsidRDefault="00175CFF" w:rsidP="00175CFF">
            <w:pPr>
              <w:jc w:val="both"/>
              <w:rPr>
                <w:rFonts w:cstheme="minorHAnsi"/>
                <w:b/>
                <w:bCs/>
                <w:i/>
                <w:color w:val="000000" w:themeColor="text1"/>
                <w:sz w:val="20"/>
                <w:szCs w:val="20"/>
                <w:lang w:val="en-IE"/>
              </w:rPr>
            </w:pPr>
          </w:p>
          <w:p w14:paraId="35A240D5" w14:textId="77777777" w:rsidR="0023565A" w:rsidRPr="00896ADF" w:rsidRDefault="00175CFF" w:rsidP="00175CFF">
            <w:pPr>
              <w:jc w:val="both"/>
              <w:rPr>
                <w:rFonts w:cstheme="minorHAnsi"/>
                <w:b/>
                <w:bCs/>
                <w:i/>
                <w:color w:val="000000" w:themeColor="text1"/>
                <w:sz w:val="20"/>
                <w:szCs w:val="20"/>
                <w:lang w:val="en-IE"/>
              </w:rPr>
            </w:pPr>
            <w:r w:rsidRPr="00896ADF">
              <w:rPr>
                <w:rFonts w:cstheme="minorHAnsi"/>
                <w:b/>
                <w:bCs/>
                <w:i/>
                <w:color w:val="000000" w:themeColor="text1"/>
                <w:sz w:val="20"/>
                <w:szCs w:val="20"/>
                <w:lang w:val="en-IE"/>
              </w:rPr>
              <w:t>By Q2/2026</w:t>
            </w:r>
          </w:p>
        </w:tc>
      </w:tr>
      <w:tr w:rsidR="00175CFF" w:rsidRPr="00896ADF" w14:paraId="78D7DB9A" w14:textId="77777777" w:rsidTr="2FBE3598">
        <w:tc>
          <w:tcPr>
            <w:tcW w:w="2235" w:type="dxa"/>
          </w:tcPr>
          <w:p w14:paraId="42C58357" w14:textId="77777777" w:rsidR="00175CFF" w:rsidRPr="00896ADF" w:rsidRDefault="00175CFF" w:rsidP="00175CFF">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Estimated cost</w:t>
            </w:r>
          </w:p>
        </w:tc>
        <w:tc>
          <w:tcPr>
            <w:tcW w:w="3260" w:type="dxa"/>
          </w:tcPr>
          <w:p w14:paraId="2E4C67CA" w14:textId="27BE2B2E" w:rsidR="00175CFF" w:rsidRPr="00896ADF" w:rsidRDefault="0080312D" w:rsidP="00175CFF">
            <w:pPr>
              <w:jc w:val="both"/>
              <w:rPr>
                <w:rFonts w:eastAsia="Calibri" w:cstheme="minorHAnsi"/>
                <w:i/>
                <w:noProof/>
                <w:sz w:val="20"/>
                <w:szCs w:val="20"/>
                <w:lang w:val="en-IE"/>
              </w:rPr>
            </w:pPr>
            <w:r w:rsidRPr="00896ADF">
              <w:rPr>
                <w:rFonts w:eastAsia="Calibri" w:cstheme="minorHAnsi"/>
                <w:noProof/>
                <w:sz w:val="20"/>
                <w:szCs w:val="20"/>
                <w:lang w:val="en-IE"/>
              </w:rPr>
              <w:t>6 993 mil. CZK</w:t>
            </w:r>
          </w:p>
        </w:tc>
        <w:tc>
          <w:tcPr>
            <w:tcW w:w="3747" w:type="dxa"/>
          </w:tcPr>
          <w:p w14:paraId="372ED52C" w14:textId="247A10C6" w:rsidR="00175CFF" w:rsidRPr="00896ADF" w:rsidRDefault="0AB637C8" w:rsidP="6BDED664">
            <w:pPr>
              <w:jc w:val="both"/>
              <w:rPr>
                <w:rFonts w:eastAsia="Calibri"/>
                <w:b/>
                <w:bCs/>
                <w:noProof/>
                <w:sz w:val="20"/>
                <w:szCs w:val="20"/>
                <w:lang w:val="en-IE"/>
              </w:rPr>
            </w:pPr>
            <w:r w:rsidRPr="00896ADF">
              <w:rPr>
                <w:rFonts w:eastAsia="Calibri"/>
                <w:b/>
                <w:bCs/>
                <w:noProof/>
                <w:sz w:val="20"/>
                <w:szCs w:val="20"/>
                <w:lang w:val="en-IE"/>
              </w:rPr>
              <w:t>8 485</w:t>
            </w:r>
            <w:r w:rsidR="45537E7C" w:rsidRPr="00896ADF">
              <w:rPr>
                <w:rFonts w:eastAsia="Calibri"/>
                <w:b/>
                <w:bCs/>
                <w:noProof/>
                <w:sz w:val="20"/>
                <w:szCs w:val="20"/>
                <w:lang w:val="en-IE"/>
              </w:rPr>
              <w:t>,6</w:t>
            </w:r>
            <w:r w:rsidR="57009E18" w:rsidRPr="00896ADF">
              <w:rPr>
                <w:rFonts w:eastAsia="Calibri"/>
                <w:b/>
                <w:bCs/>
                <w:noProof/>
                <w:sz w:val="20"/>
                <w:szCs w:val="20"/>
                <w:lang w:val="en-IE"/>
              </w:rPr>
              <w:t xml:space="preserve"> </w:t>
            </w:r>
            <w:r w:rsidRPr="00896ADF">
              <w:rPr>
                <w:rFonts w:eastAsia="Calibri"/>
                <w:b/>
                <w:bCs/>
                <w:noProof/>
                <w:sz w:val="20"/>
                <w:szCs w:val="20"/>
                <w:lang w:val="en-IE"/>
              </w:rPr>
              <w:t xml:space="preserve"> mil. CZK</w:t>
            </w:r>
          </w:p>
          <w:p w14:paraId="4436794A" w14:textId="792C9290" w:rsidR="00175CFF" w:rsidRPr="00896ADF" w:rsidRDefault="00175CFF" w:rsidP="6BDED664">
            <w:pPr>
              <w:jc w:val="both"/>
              <w:rPr>
                <w:rFonts w:eastAsia="Calibri"/>
                <w:b/>
                <w:bCs/>
                <w:noProof/>
                <w:sz w:val="20"/>
                <w:szCs w:val="20"/>
                <w:lang w:val="en-IE"/>
              </w:rPr>
            </w:pPr>
          </w:p>
        </w:tc>
      </w:tr>
      <w:tr w:rsidR="00175CFF" w:rsidRPr="00896ADF" w14:paraId="011920F7" w14:textId="77777777" w:rsidTr="2FBE3598">
        <w:tc>
          <w:tcPr>
            <w:tcW w:w="2235" w:type="dxa"/>
          </w:tcPr>
          <w:p w14:paraId="0C10AD57" w14:textId="77777777" w:rsidR="00175CFF" w:rsidRPr="00896ADF" w:rsidRDefault="00175CFF" w:rsidP="00175CFF">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Green and digital tagging</w:t>
            </w:r>
          </w:p>
        </w:tc>
        <w:tc>
          <w:tcPr>
            <w:tcW w:w="3260" w:type="dxa"/>
          </w:tcPr>
          <w:p w14:paraId="76D6A8F6" w14:textId="77777777" w:rsidR="00175CFF" w:rsidRPr="00896ADF" w:rsidRDefault="00175CFF" w:rsidP="00175CFF">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c>
          <w:tcPr>
            <w:tcW w:w="3747" w:type="dxa"/>
          </w:tcPr>
          <w:p w14:paraId="241CD4B6" w14:textId="77777777" w:rsidR="00175CFF" w:rsidRPr="00896ADF" w:rsidRDefault="00175CFF" w:rsidP="00175CFF">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r>
      <w:tr w:rsidR="00175CFF" w:rsidRPr="00896ADF" w14:paraId="0D08622D" w14:textId="77777777" w:rsidTr="2FBE3598">
        <w:tc>
          <w:tcPr>
            <w:tcW w:w="2235" w:type="dxa"/>
          </w:tcPr>
          <w:p w14:paraId="3C1244D9" w14:textId="77777777" w:rsidR="00175CFF" w:rsidRPr="00896ADF" w:rsidRDefault="00175CFF" w:rsidP="00175CFF">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DNSH self-assessment</w:t>
            </w:r>
          </w:p>
        </w:tc>
        <w:tc>
          <w:tcPr>
            <w:tcW w:w="3260" w:type="dxa"/>
          </w:tcPr>
          <w:p w14:paraId="23E81D9D" w14:textId="77777777" w:rsidR="00175CFF" w:rsidRPr="00896ADF" w:rsidRDefault="00175CFF" w:rsidP="00175CFF">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c>
          <w:tcPr>
            <w:tcW w:w="3747" w:type="dxa"/>
          </w:tcPr>
          <w:p w14:paraId="1AC4DABE" w14:textId="77777777" w:rsidR="00175CFF" w:rsidRPr="00896ADF" w:rsidRDefault="00175CFF" w:rsidP="00175CFF">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r>
    </w:tbl>
    <w:p w14:paraId="15AAFFD6" w14:textId="77777777" w:rsidR="0023565A" w:rsidRPr="00896ADF" w:rsidRDefault="0023565A" w:rsidP="0023565A"/>
    <w:p w14:paraId="17C9D4BB" w14:textId="77777777" w:rsidR="00B979CA" w:rsidRPr="00896ADF" w:rsidRDefault="00B979CA" w:rsidP="00622E82">
      <w:pPr>
        <w:jc w:val="both"/>
        <w:rPr>
          <w:sz w:val="20"/>
          <w:szCs w:val="20"/>
          <w:lang w:val="en-IE"/>
        </w:rPr>
      </w:pPr>
      <w:r w:rsidRPr="00896ADF">
        <w:rPr>
          <w:sz w:val="20"/>
          <w:szCs w:val="20"/>
          <w:lang w:val="en-IE"/>
        </w:rPr>
        <w:t>Future inflation was not taken into account in the original costing, i.e. the project budget was calculated for the entire implementation period at the same level and its determination took place in June 2021, therefore we take inflation into account in our calculations only now and we rely on data that are publicly available.</w:t>
      </w:r>
    </w:p>
    <w:p w14:paraId="2C49F65C" w14:textId="77777777" w:rsidR="00B979CA" w:rsidRPr="00896ADF" w:rsidRDefault="00B979CA" w:rsidP="00622E82">
      <w:pPr>
        <w:jc w:val="both"/>
        <w:rPr>
          <w:sz w:val="20"/>
          <w:szCs w:val="20"/>
          <w:lang w:val="en-IE"/>
        </w:rPr>
      </w:pPr>
      <w:r w:rsidRPr="00896ADF">
        <w:rPr>
          <w:sz w:val="20"/>
          <w:szCs w:val="20"/>
          <w:lang w:val="en-IE"/>
        </w:rPr>
        <w:t>In the original costing, inflation of 2% was used in the determination of the budgets, but only as a recalculation of the project budgets from 2015 (CZK 11.6 million) to the budget in 2021 (CZK 13.1 million) used in the costing in the creation of the CID/OA, i.e. The following is a way to determine the increase in the cost of projects over time and to take into account the reasons for the increase in allocation described earlier.</w:t>
      </w:r>
    </w:p>
    <w:p w14:paraId="1E611955" w14:textId="20C33F75" w:rsidR="00B979CA" w:rsidRPr="00896ADF" w:rsidRDefault="00B979CA" w:rsidP="00622E82">
      <w:pPr>
        <w:jc w:val="both"/>
        <w:rPr>
          <w:sz w:val="20"/>
          <w:szCs w:val="20"/>
          <w:lang w:val="en-IE"/>
        </w:rPr>
      </w:pPr>
      <w:r w:rsidRPr="00896ADF">
        <w:rPr>
          <w:sz w:val="20"/>
          <w:szCs w:val="20"/>
          <w:lang w:val="en-IE"/>
        </w:rPr>
        <w:t xml:space="preserve">The calculation is based on the </w:t>
      </w:r>
      <w:r w:rsidR="210C341F" w:rsidRPr="00896ADF">
        <w:rPr>
          <w:sz w:val="20"/>
          <w:szCs w:val="20"/>
          <w:lang w:val="en-IE"/>
        </w:rPr>
        <w:t>European comission</w:t>
      </w:r>
      <w:r w:rsidRPr="00896ADF">
        <w:rPr>
          <w:sz w:val="20"/>
          <w:szCs w:val="20"/>
          <w:lang w:val="en-IE"/>
        </w:rPr>
        <w:t>'s forecast of the expected inflation rate for 2022-2024, where the average project cost from January 2022 is multiplied by the expected inflation for 2022 of 15.8%, then multiplied by the expected inflation for 2023 and 2024. Although the overall inflation between 2021 and 2024 compared to the budget presented in the CID comes out to 36.83% , it cannot be applied to the total allocation for this objective. The inflation forecast in each year needs to be related to the estimates of the number of approved projects and their budgets in each year, see table below. We estimate that 10% of the total allocation will be approved in 2022 and 30% of the allocation each year thereafter. The new allocation needed to achieve the set targets is then equal to the product of the average budget and the number of projects in each year.</w:t>
      </w:r>
    </w:p>
    <w:p w14:paraId="1C4DCFCC" w14:textId="3EBD2FA0" w:rsidR="00900509" w:rsidRPr="00896ADF" w:rsidRDefault="00B979CA" w:rsidP="00CA545B">
      <w:pPr>
        <w:spacing w:before="100" w:beforeAutospacing="1" w:after="100" w:afterAutospacing="1"/>
        <w:jc w:val="both"/>
      </w:pPr>
      <w:r w:rsidRPr="00896ADF">
        <w:t>The project budget is divided into 10% of non-investment costs and 90% of investment costs.</w:t>
      </w:r>
    </w:p>
    <w:tbl>
      <w:tblPr>
        <w:tblW w:w="9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43"/>
        <w:gridCol w:w="1411"/>
        <w:gridCol w:w="1588"/>
        <w:gridCol w:w="1765"/>
        <w:gridCol w:w="1763"/>
        <w:gridCol w:w="1765"/>
      </w:tblGrid>
      <w:tr w:rsidR="00CA545B" w:rsidRPr="00896ADF" w14:paraId="5DA6EF3D" w14:textId="77777777" w:rsidTr="00CA545B">
        <w:trPr>
          <w:trHeight w:val="836"/>
        </w:trPr>
        <w:tc>
          <w:tcPr>
            <w:tcW w:w="1543" w:type="dxa"/>
            <w:shd w:val="clear" w:color="auto" w:fill="auto"/>
            <w:vAlign w:val="center"/>
          </w:tcPr>
          <w:p w14:paraId="65E50A63" w14:textId="77777777" w:rsidR="00CA545B" w:rsidRPr="00896ADF" w:rsidRDefault="00CA545B" w:rsidP="00CA545B">
            <w:pPr>
              <w:jc w:val="center"/>
              <w:rPr>
                <w:rFonts w:eastAsia="Times New Roman"/>
                <w:color w:val="000000"/>
                <w:sz w:val="20"/>
                <w:szCs w:val="20"/>
              </w:rPr>
            </w:pPr>
          </w:p>
        </w:tc>
        <w:tc>
          <w:tcPr>
            <w:tcW w:w="1411" w:type="dxa"/>
            <w:shd w:val="clear" w:color="auto" w:fill="auto"/>
            <w:vAlign w:val="center"/>
          </w:tcPr>
          <w:p w14:paraId="1ECC6703" w14:textId="1842F42B" w:rsidR="00CA545B" w:rsidRPr="00896ADF" w:rsidRDefault="00B979CA" w:rsidP="00CA545B">
            <w:pPr>
              <w:jc w:val="center"/>
              <w:rPr>
                <w:rFonts w:eastAsia="Times New Roman"/>
                <w:color w:val="000000"/>
                <w:sz w:val="20"/>
                <w:szCs w:val="20"/>
              </w:rPr>
            </w:pPr>
            <w:r w:rsidRPr="00896ADF">
              <w:rPr>
                <w:rFonts w:eastAsia="Times New Roman"/>
                <w:color w:val="000000"/>
                <w:sz w:val="20"/>
                <w:szCs w:val="20"/>
              </w:rPr>
              <w:t>Budget according to CID</w:t>
            </w:r>
          </w:p>
        </w:tc>
        <w:tc>
          <w:tcPr>
            <w:tcW w:w="1588" w:type="dxa"/>
            <w:shd w:val="clear" w:color="auto" w:fill="auto"/>
            <w:vAlign w:val="center"/>
          </w:tcPr>
          <w:p w14:paraId="229898E9" w14:textId="53BC21C4" w:rsidR="00CA545B" w:rsidRPr="00896ADF" w:rsidRDefault="00B979CA" w:rsidP="00CA545B">
            <w:pPr>
              <w:jc w:val="center"/>
              <w:rPr>
                <w:rFonts w:eastAsia="Times New Roman"/>
                <w:color w:val="000000"/>
                <w:sz w:val="20"/>
                <w:szCs w:val="20"/>
              </w:rPr>
            </w:pPr>
            <w:r w:rsidRPr="00896ADF">
              <w:rPr>
                <w:rFonts w:eastAsia="Times New Roman"/>
                <w:color w:val="000000"/>
                <w:sz w:val="20"/>
                <w:szCs w:val="20"/>
              </w:rPr>
              <w:t xml:space="preserve">Update to </w:t>
            </w:r>
            <w:r w:rsidR="0027099F" w:rsidRPr="00896ADF">
              <w:rPr>
                <w:rFonts w:eastAsia="Times New Roman"/>
                <w:color w:val="000000"/>
                <w:sz w:val="20"/>
                <w:szCs w:val="20"/>
              </w:rPr>
              <w:t>1/2022</w:t>
            </w:r>
          </w:p>
        </w:tc>
        <w:tc>
          <w:tcPr>
            <w:tcW w:w="1765" w:type="dxa"/>
            <w:shd w:val="clear" w:color="auto" w:fill="auto"/>
            <w:vAlign w:val="center"/>
          </w:tcPr>
          <w:p w14:paraId="532EECAC" w14:textId="7ECEA299" w:rsidR="00CA545B" w:rsidRPr="00896ADF" w:rsidRDefault="00DF768E" w:rsidP="00CA545B">
            <w:pPr>
              <w:jc w:val="center"/>
              <w:rPr>
                <w:rFonts w:eastAsia="Times New Roman"/>
                <w:color w:val="000000"/>
                <w:sz w:val="20"/>
                <w:szCs w:val="20"/>
              </w:rPr>
            </w:pPr>
            <w:r w:rsidRPr="00896ADF">
              <w:rPr>
                <w:rFonts w:eastAsia="Times New Roman"/>
                <w:color w:val="000000"/>
                <w:sz w:val="20"/>
                <w:szCs w:val="20"/>
              </w:rPr>
              <w:t>Accounting for inflation over the year 2022</w:t>
            </w:r>
          </w:p>
        </w:tc>
        <w:tc>
          <w:tcPr>
            <w:tcW w:w="1763" w:type="dxa"/>
            <w:shd w:val="clear" w:color="auto" w:fill="auto"/>
            <w:vAlign w:val="center"/>
          </w:tcPr>
          <w:p w14:paraId="4A3A6E02" w14:textId="71132ED0" w:rsidR="00CA545B" w:rsidRPr="00896ADF" w:rsidRDefault="000028F0" w:rsidP="00CA545B">
            <w:pPr>
              <w:jc w:val="center"/>
              <w:rPr>
                <w:rFonts w:eastAsia="Times New Roman"/>
                <w:color w:val="000000"/>
                <w:sz w:val="20"/>
                <w:szCs w:val="20"/>
              </w:rPr>
            </w:pPr>
            <w:r w:rsidRPr="00896ADF">
              <w:rPr>
                <w:rFonts w:eastAsia="Times New Roman"/>
                <w:color w:val="000000"/>
                <w:sz w:val="20"/>
                <w:szCs w:val="20"/>
              </w:rPr>
              <w:t>Accounting for inflation for the year 2023 (9,3 %)</w:t>
            </w:r>
          </w:p>
        </w:tc>
        <w:tc>
          <w:tcPr>
            <w:tcW w:w="1765" w:type="dxa"/>
            <w:shd w:val="clear" w:color="auto" w:fill="auto"/>
            <w:vAlign w:val="center"/>
          </w:tcPr>
          <w:p w14:paraId="3E9B0F4E" w14:textId="2B370425" w:rsidR="00CA545B" w:rsidRPr="00896ADF" w:rsidRDefault="007C7DD8" w:rsidP="00CA545B">
            <w:pPr>
              <w:jc w:val="center"/>
              <w:rPr>
                <w:rFonts w:eastAsia="Times New Roman"/>
                <w:color w:val="000000"/>
                <w:sz w:val="20"/>
                <w:szCs w:val="20"/>
              </w:rPr>
            </w:pPr>
            <w:r w:rsidRPr="00896ADF">
              <w:rPr>
                <w:rFonts w:eastAsia="Times New Roman"/>
                <w:color w:val="000000"/>
                <w:sz w:val="20"/>
                <w:szCs w:val="20"/>
              </w:rPr>
              <w:t>Accounting for inflation for the year 2024 (3,5 %)</w:t>
            </w:r>
          </w:p>
        </w:tc>
      </w:tr>
      <w:tr w:rsidR="00CA545B" w:rsidRPr="00896ADF" w14:paraId="5652A9B2" w14:textId="77777777" w:rsidTr="00CA545B">
        <w:trPr>
          <w:trHeight w:val="288"/>
        </w:trPr>
        <w:tc>
          <w:tcPr>
            <w:tcW w:w="1543" w:type="dxa"/>
            <w:shd w:val="clear" w:color="auto" w:fill="auto"/>
            <w:noWrap/>
            <w:vAlign w:val="center"/>
          </w:tcPr>
          <w:p w14:paraId="6834D112" w14:textId="78A6CF29" w:rsidR="00CA545B" w:rsidRPr="00896ADF" w:rsidRDefault="00DF768E" w:rsidP="00CA545B">
            <w:pPr>
              <w:jc w:val="center"/>
              <w:rPr>
                <w:rFonts w:eastAsia="Times New Roman"/>
                <w:color w:val="000000"/>
                <w:sz w:val="20"/>
                <w:szCs w:val="20"/>
              </w:rPr>
            </w:pPr>
            <w:r w:rsidRPr="00896ADF">
              <w:rPr>
                <w:rFonts w:eastAsia="Times New Roman"/>
                <w:color w:val="000000"/>
                <w:sz w:val="20"/>
                <w:szCs w:val="20"/>
              </w:rPr>
              <w:lastRenderedPageBreak/>
              <w:t>Project budget</w:t>
            </w:r>
          </w:p>
        </w:tc>
        <w:tc>
          <w:tcPr>
            <w:tcW w:w="1411" w:type="dxa"/>
            <w:shd w:val="clear" w:color="auto" w:fill="auto"/>
            <w:noWrap/>
            <w:vAlign w:val="center"/>
          </w:tcPr>
          <w:p w14:paraId="4D459E8B" w14:textId="77777777" w:rsidR="00CA545B" w:rsidRPr="00896ADF" w:rsidRDefault="00CA545B" w:rsidP="00CA545B">
            <w:pPr>
              <w:jc w:val="center"/>
              <w:rPr>
                <w:rFonts w:eastAsia="Times New Roman"/>
                <w:color w:val="000000"/>
                <w:sz w:val="20"/>
                <w:szCs w:val="20"/>
              </w:rPr>
            </w:pPr>
            <w:r w:rsidRPr="00896ADF">
              <w:rPr>
                <w:rFonts w:eastAsia="Times New Roman"/>
                <w:color w:val="000000"/>
                <w:sz w:val="20"/>
                <w:szCs w:val="20"/>
              </w:rPr>
              <w:t>13 100 000</w:t>
            </w:r>
          </w:p>
        </w:tc>
        <w:tc>
          <w:tcPr>
            <w:tcW w:w="1588" w:type="dxa"/>
            <w:shd w:val="clear" w:color="auto" w:fill="auto"/>
            <w:noWrap/>
            <w:vAlign w:val="center"/>
          </w:tcPr>
          <w:p w14:paraId="02E00FC5" w14:textId="77777777" w:rsidR="00CA545B" w:rsidRPr="00896ADF" w:rsidRDefault="00CA545B" w:rsidP="00CA545B">
            <w:pPr>
              <w:jc w:val="center"/>
              <w:rPr>
                <w:rFonts w:eastAsia="Times New Roman"/>
                <w:color w:val="000000"/>
                <w:sz w:val="20"/>
                <w:szCs w:val="20"/>
              </w:rPr>
            </w:pPr>
            <w:r w:rsidRPr="00896ADF">
              <w:rPr>
                <w:rFonts w:eastAsia="Times New Roman"/>
                <w:color w:val="000000"/>
                <w:sz w:val="20"/>
                <w:szCs w:val="20"/>
              </w:rPr>
              <w:t>14 000 000</w:t>
            </w:r>
          </w:p>
        </w:tc>
        <w:tc>
          <w:tcPr>
            <w:tcW w:w="1765" w:type="dxa"/>
            <w:shd w:val="clear" w:color="auto" w:fill="auto"/>
            <w:noWrap/>
            <w:vAlign w:val="center"/>
          </w:tcPr>
          <w:p w14:paraId="68C9A0CD" w14:textId="77777777" w:rsidR="00CA545B" w:rsidRPr="00896ADF" w:rsidRDefault="00CA545B" w:rsidP="00CA545B">
            <w:pPr>
              <w:jc w:val="center"/>
              <w:rPr>
                <w:rFonts w:eastAsia="Times New Roman"/>
                <w:color w:val="000000"/>
                <w:sz w:val="20"/>
                <w:szCs w:val="20"/>
              </w:rPr>
            </w:pPr>
            <w:r w:rsidRPr="00896ADF">
              <w:rPr>
                <w:rFonts w:eastAsia="Times New Roman"/>
                <w:color w:val="000000"/>
                <w:sz w:val="20"/>
                <w:szCs w:val="20"/>
              </w:rPr>
              <w:t>15 845 200</w:t>
            </w:r>
            <w:r w:rsidRPr="00896ADF">
              <w:rPr>
                <w:rStyle w:val="Znakapoznpodarou"/>
                <w:rFonts w:eastAsia="Times New Roman"/>
                <w:color w:val="000000"/>
              </w:rPr>
              <w:footnoteReference w:id="1"/>
            </w:r>
          </w:p>
        </w:tc>
        <w:tc>
          <w:tcPr>
            <w:tcW w:w="1763" w:type="dxa"/>
            <w:shd w:val="clear" w:color="auto" w:fill="auto"/>
            <w:noWrap/>
            <w:vAlign w:val="center"/>
          </w:tcPr>
          <w:p w14:paraId="1A2AC712" w14:textId="77777777" w:rsidR="00CA545B" w:rsidRPr="00896ADF" w:rsidRDefault="00CA545B" w:rsidP="00CA545B">
            <w:pPr>
              <w:jc w:val="center"/>
              <w:rPr>
                <w:rFonts w:eastAsia="Times New Roman"/>
                <w:color w:val="000000"/>
                <w:sz w:val="20"/>
                <w:szCs w:val="20"/>
              </w:rPr>
            </w:pPr>
            <w:r w:rsidRPr="00896ADF">
              <w:rPr>
                <w:rFonts w:eastAsia="Times New Roman"/>
                <w:color w:val="000000"/>
                <w:sz w:val="20"/>
                <w:szCs w:val="20"/>
              </w:rPr>
              <w:t>17 318 803,60</w:t>
            </w:r>
          </w:p>
        </w:tc>
        <w:tc>
          <w:tcPr>
            <w:tcW w:w="1765" w:type="dxa"/>
            <w:shd w:val="clear" w:color="auto" w:fill="auto"/>
            <w:noWrap/>
            <w:vAlign w:val="center"/>
          </w:tcPr>
          <w:p w14:paraId="7623CBE9" w14:textId="77777777" w:rsidR="00CA545B" w:rsidRPr="00896ADF" w:rsidRDefault="00CA545B" w:rsidP="00CA545B">
            <w:pPr>
              <w:jc w:val="center"/>
              <w:rPr>
                <w:rFonts w:eastAsia="Times New Roman"/>
                <w:color w:val="000000"/>
                <w:sz w:val="20"/>
                <w:szCs w:val="20"/>
              </w:rPr>
            </w:pPr>
            <w:r w:rsidRPr="00896ADF">
              <w:rPr>
                <w:rFonts w:eastAsia="Times New Roman"/>
                <w:color w:val="000000"/>
                <w:sz w:val="20"/>
                <w:szCs w:val="20"/>
              </w:rPr>
              <w:t>17 924 961,73</w:t>
            </w:r>
          </w:p>
        </w:tc>
      </w:tr>
      <w:tr w:rsidR="00CA545B" w:rsidRPr="00896ADF" w14:paraId="6DC52115" w14:textId="77777777" w:rsidTr="00CA545B">
        <w:trPr>
          <w:trHeight w:val="288"/>
        </w:trPr>
        <w:tc>
          <w:tcPr>
            <w:tcW w:w="1543" w:type="dxa"/>
            <w:shd w:val="clear" w:color="auto" w:fill="auto"/>
            <w:noWrap/>
            <w:vAlign w:val="center"/>
          </w:tcPr>
          <w:p w14:paraId="3C44FBD7" w14:textId="1CD5773E" w:rsidR="00CA545B" w:rsidRPr="00896ADF" w:rsidRDefault="00CF3B9C" w:rsidP="00CA545B">
            <w:pPr>
              <w:jc w:val="center"/>
              <w:rPr>
                <w:rFonts w:eastAsia="Times New Roman"/>
                <w:color w:val="000000"/>
                <w:sz w:val="20"/>
                <w:szCs w:val="20"/>
              </w:rPr>
            </w:pPr>
            <w:r w:rsidRPr="00896ADF">
              <w:rPr>
                <w:rFonts w:eastAsia="Times New Roman"/>
                <w:color w:val="000000"/>
                <w:sz w:val="20"/>
                <w:szCs w:val="20"/>
              </w:rPr>
              <w:t>Number of approved projects</w:t>
            </w:r>
          </w:p>
        </w:tc>
        <w:tc>
          <w:tcPr>
            <w:tcW w:w="1411" w:type="dxa"/>
            <w:shd w:val="clear" w:color="auto" w:fill="auto"/>
            <w:noWrap/>
            <w:vAlign w:val="center"/>
          </w:tcPr>
          <w:p w14:paraId="3D7E2958" w14:textId="77777777" w:rsidR="00CA545B" w:rsidRPr="00896ADF" w:rsidRDefault="00CA545B" w:rsidP="00CA545B">
            <w:pPr>
              <w:jc w:val="center"/>
              <w:rPr>
                <w:rFonts w:eastAsia="Times New Roman"/>
                <w:color w:val="000000"/>
                <w:sz w:val="20"/>
                <w:szCs w:val="20"/>
              </w:rPr>
            </w:pPr>
          </w:p>
        </w:tc>
        <w:tc>
          <w:tcPr>
            <w:tcW w:w="1588" w:type="dxa"/>
            <w:shd w:val="clear" w:color="auto" w:fill="auto"/>
            <w:noWrap/>
            <w:vAlign w:val="center"/>
          </w:tcPr>
          <w:p w14:paraId="2C04DE53" w14:textId="444C4E81" w:rsidR="00CA545B" w:rsidRPr="00896ADF" w:rsidRDefault="00CA545B" w:rsidP="00CA545B">
            <w:pPr>
              <w:jc w:val="center"/>
              <w:rPr>
                <w:color w:val="000000"/>
                <w:sz w:val="20"/>
                <w:szCs w:val="20"/>
              </w:rPr>
            </w:pPr>
            <w:r w:rsidRPr="00896ADF">
              <w:rPr>
                <w:color w:val="000000"/>
                <w:sz w:val="20"/>
                <w:szCs w:val="20"/>
              </w:rPr>
              <w:t xml:space="preserve">10 % </w:t>
            </w:r>
            <w:r w:rsidR="00C45E40" w:rsidRPr="00896ADF">
              <w:rPr>
                <w:color w:val="000000"/>
                <w:sz w:val="20"/>
                <w:szCs w:val="20"/>
              </w:rPr>
              <w:t>allocation</w:t>
            </w:r>
            <w:r w:rsidRPr="00896ADF">
              <w:rPr>
                <w:color w:val="000000"/>
                <w:sz w:val="20"/>
                <w:szCs w:val="20"/>
              </w:rPr>
              <w:t>,</w:t>
            </w:r>
          </w:p>
          <w:p w14:paraId="51D1E952" w14:textId="3E6C818E" w:rsidR="00CA545B" w:rsidRPr="00896ADF" w:rsidRDefault="00FC7BCF" w:rsidP="00CA545B">
            <w:pPr>
              <w:jc w:val="center"/>
              <w:rPr>
                <w:color w:val="000000"/>
                <w:sz w:val="20"/>
                <w:szCs w:val="20"/>
              </w:rPr>
            </w:pPr>
            <w:r w:rsidRPr="00896ADF">
              <w:rPr>
                <w:color w:val="000000"/>
                <w:sz w:val="20"/>
                <w:szCs w:val="20"/>
              </w:rPr>
              <w:t>i.e</w:t>
            </w:r>
            <w:r w:rsidR="00CA545B" w:rsidRPr="00896ADF">
              <w:rPr>
                <w:color w:val="000000"/>
                <w:sz w:val="20"/>
                <w:szCs w:val="20"/>
              </w:rPr>
              <w:t>. 38</w:t>
            </w:r>
          </w:p>
        </w:tc>
        <w:tc>
          <w:tcPr>
            <w:tcW w:w="1765" w:type="dxa"/>
            <w:shd w:val="clear" w:color="auto" w:fill="auto"/>
            <w:noWrap/>
            <w:vAlign w:val="center"/>
          </w:tcPr>
          <w:p w14:paraId="7CF0E074" w14:textId="63B3047E" w:rsidR="00CA545B" w:rsidRPr="00896ADF" w:rsidRDefault="00CA545B" w:rsidP="00CA545B">
            <w:pPr>
              <w:jc w:val="center"/>
              <w:rPr>
                <w:color w:val="000000"/>
                <w:sz w:val="20"/>
                <w:szCs w:val="20"/>
              </w:rPr>
            </w:pPr>
            <w:r w:rsidRPr="00896ADF">
              <w:rPr>
                <w:color w:val="000000"/>
                <w:sz w:val="20"/>
                <w:szCs w:val="20"/>
              </w:rPr>
              <w:t xml:space="preserve">30 % </w:t>
            </w:r>
            <w:r w:rsidR="00C45E40" w:rsidRPr="00896ADF">
              <w:rPr>
                <w:color w:val="000000"/>
                <w:sz w:val="20"/>
                <w:szCs w:val="20"/>
              </w:rPr>
              <w:t>allocation</w:t>
            </w:r>
            <w:r w:rsidRPr="00896ADF">
              <w:rPr>
                <w:color w:val="000000"/>
                <w:sz w:val="20"/>
                <w:szCs w:val="20"/>
              </w:rPr>
              <w:t>,</w:t>
            </w:r>
          </w:p>
          <w:p w14:paraId="3FDFB109" w14:textId="65C042CB" w:rsidR="00CA545B" w:rsidRPr="00896ADF" w:rsidRDefault="00FC7BCF" w:rsidP="00CA545B">
            <w:pPr>
              <w:jc w:val="center"/>
              <w:rPr>
                <w:color w:val="000000"/>
                <w:sz w:val="20"/>
                <w:szCs w:val="20"/>
              </w:rPr>
            </w:pPr>
            <w:r w:rsidRPr="00896ADF">
              <w:rPr>
                <w:color w:val="000000"/>
                <w:sz w:val="20"/>
                <w:szCs w:val="20"/>
              </w:rPr>
              <w:t>i.e</w:t>
            </w:r>
            <w:r w:rsidR="00CA545B" w:rsidRPr="00896ADF">
              <w:rPr>
                <w:color w:val="000000"/>
                <w:sz w:val="20"/>
                <w:szCs w:val="20"/>
              </w:rPr>
              <w:t>. 117</w:t>
            </w:r>
          </w:p>
        </w:tc>
        <w:tc>
          <w:tcPr>
            <w:tcW w:w="1763" w:type="dxa"/>
            <w:shd w:val="clear" w:color="auto" w:fill="auto"/>
            <w:noWrap/>
            <w:vAlign w:val="center"/>
          </w:tcPr>
          <w:p w14:paraId="03977985" w14:textId="1BCF4A9A" w:rsidR="00CA545B" w:rsidRPr="00896ADF" w:rsidRDefault="00CA545B" w:rsidP="00CA545B">
            <w:pPr>
              <w:jc w:val="center"/>
              <w:rPr>
                <w:color w:val="000000"/>
                <w:sz w:val="20"/>
                <w:szCs w:val="20"/>
              </w:rPr>
            </w:pPr>
            <w:r w:rsidRPr="00896ADF">
              <w:rPr>
                <w:color w:val="000000"/>
                <w:sz w:val="20"/>
                <w:szCs w:val="20"/>
              </w:rPr>
              <w:t xml:space="preserve">30 % </w:t>
            </w:r>
            <w:r w:rsidR="00C45E40" w:rsidRPr="00896ADF">
              <w:rPr>
                <w:color w:val="000000"/>
                <w:sz w:val="20"/>
                <w:szCs w:val="20"/>
              </w:rPr>
              <w:t>allocation</w:t>
            </w:r>
            <w:r w:rsidRPr="00896ADF">
              <w:rPr>
                <w:color w:val="000000"/>
                <w:sz w:val="20"/>
                <w:szCs w:val="20"/>
              </w:rPr>
              <w:t>,</w:t>
            </w:r>
          </w:p>
          <w:p w14:paraId="651D8F39" w14:textId="7A6DBC26" w:rsidR="00CA545B" w:rsidRPr="00896ADF" w:rsidRDefault="00FC7BCF" w:rsidP="00CA545B">
            <w:pPr>
              <w:jc w:val="center"/>
              <w:rPr>
                <w:color w:val="000000"/>
                <w:sz w:val="20"/>
                <w:szCs w:val="20"/>
              </w:rPr>
            </w:pPr>
            <w:r w:rsidRPr="00896ADF">
              <w:rPr>
                <w:color w:val="000000"/>
                <w:sz w:val="20"/>
                <w:szCs w:val="20"/>
              </w:rPr>
              <w:t>i.e</w:t>
            </w:r>
            <w:r w:rsidR="00CA545B" w:rsidRPr="00896ADF">
              <w:rPr>
                <w:color w:val="000000"/>
                <w:sz w:val="20"/>
                <w:szCs w:val="20"/>
              </w:rPr>
              <w:t>. 117</w:t>
            </w:r>
          </w:p>
        </w:tc>
        <w:tc>
          <w:tcPr>
            <w:tcW w:w="1765" w:type="dxa"/>
            <w:shd w:val="clear" w:color="auto" w:fill="auto"/>
            <w:noWrap/>
            <w:vAlign w:val="center"/>
          </w:tcPr>
          <w:p w14:paraId="3A0C687B" w14:textId="5ED80593" w:rsidR="00CA545B" w:rsidRPr="00896ADF" w:rsidRDefault="00CA545B" w:rsidP="00CA545B">
            <w:pPr>
              <w:jc w:val="center"/>
              <w:rPr>
                <w:color w:val="000000"/>
                <w:sz w:val="20"/>
                <w:szCs w:val="20"/>
              </w:rPr>
            </w:pPr>
            <w:r w:rsidRPr="00896ADF">
              <w:rPr>
                <w:color w:val="000000"/>
                <w:sz w:val="20"/>
                <w:szCs w:val="20"/>
              </w:rPr>
              <w:t xml:space="preserve">30 % </w:t>
            </w:r>
            <w:r w:rsidR="00C45E40" w:rsidRPr="00896ADF">
              <w:rPr>
                <w:color w:val="000000"/>
                <w:sz w:val="20"/>
                <w:szCs w:val="20"/>
              </w:rPr>
              <w:t>allocation</w:t>
            </w:r>
            <w:r w:rsidRPr="00896ADF">
              <w:rPr>
                <w:color w:val="000000"/>
                <w:sz w:val="20"/>
                <w:szCs w:val="20"/>
              </w:rPr>
              <w:t>,</w:t>
            </w:r>
          </w:p>
          <w:p w14:paraId="09110A4F" w14:textId="205AB757" w:rsidR="00CA545B" w:rsidRPr="00896ADF" w:rsidRDefault="00FC7BCF" w:rsidP="00CA545B">
            <w:pPr>
              <w:jc w:val="center"/>
              <w:rPr>
                <w:color w:val="000000"/>
                <w:sz w:val="20"/>
                <w:szCs w:val="20"/>
              </w:rPr>
            </w:pPr>
            <w:r w:rsidRPr="00896ADF">
              <w:rPr>
                <w:color w:val="000000"/>
                <w:sz w:val="20"/>
                <w:szCs w:val="20"/>
              </w:rPr>
              <w:t>i.e</w:t>
            </w:r>
            <w:r w:rsidR="00CA545B" w:rsidRPr="00896ADF">
              <w:rPr>
                <w:color w:val="000000"/>
                <w:sz w:val="20"/>
                <w:szCs w:val="20"/>
              </w:rPr>
              <w:t>. 119</w:t>
            </w:r>
          </w:p>
        </w:tc>
      </w:tr>
      <w:tr w:rsidR="00CA545B" w:rsidRPr="00896ADF" w14:paraId="2AFB3D4B" w14:textId="77777777" w:rsidTr="00CA545B">
        <w:trPr>
          <w:trHeight w:val="288"/>
        </w:trPr>
        <w:tc>
          <w:tcPr>
            <w:tcW w:w="1543" w:type="dxa"/>
            <w:shd w:val="clear" w:color="auto" w:fill="auto"/>
            <w:noWrap/>
            <w:vAlign w:val="center"/>
          </w:tcPr>
          <w:p w14:paraId="3E931F29" w14:textId="53383D66" w:rsidR="00CA545B" w:rsidRPr="00896ADF" w:rsidRDefault="00CF3B9C" w:rsidP="00CA545B">
            <w:pPr>
              <w:jc w:val="center"/>
              <w:rPr>
                <w:rFonts w:eastAsia="Times New Roman"/>
                <w:color w:val="000000"/>
                <w:sz w:val="20"/>
                <w:szCs w:val="20"/>
              </w:rPr>
            </w:pPr>
            <w:r w:rsidRPr="00896ADF">
              <w:rPr>
                <w:rFonts w:eastAsia="Times New Roman"/>
                <w:color w:val="000000"/>
                <w:sz w:val="20"/>
                <w:szCs w:val="20"/>
              </w:rPr>
              <w:t>Funds for approved projects</w:t>
            </w:r>
          </w:p>
        </w:tc>
        <w:tc>
          <w:tcPr>
            <w:tcW w:w="1411" w:type="dxa"/>
            <w:shd w:val="clear" w:color="auto" w:fill="auto"/>
            <w:noWrap/>
            <w:vAlign w:val="center"/>
          </w:tcPr>
          <w:p w14:paraId="2D1F3D8A" w14:textId="77777777" w:rsidR="00CA545B" w:rsidRPr="00896ADF" w:rsidRDefault="00CA545B" w:rsidP="00CA545B">
            <w:pPr>
              <w:jc w:val="center"/>
              <w:rPr>
                <w:rFonts w:eastAsia="Times New Roman"/>
                <w:color w:val="000000"/>
                <w:sz w:val="20"/>
                <w:szCs w:val="20"/>
              </w:rPr>
            </w:pPr>
          </w:p>
        </w:tc>
        <w:tc>
          <w:tcPr>
            <w:tcW w:w="1588" w:type="dxa"/>
            <w:shd w:val="clear" w:color="auto" w:fill="auto"/>
            <w:noWrap/>
            <w:vAlign w:val="center"/>
          </w:tcPr>
          <w:p w14:paraId="2288A237" w14:textId="77777777" w:rsidR="00CA545B" w:rsidRPr="00896ADF" w:rsidRDefault="00CA545B" w:rsidP="00CA545B">
            <w:pPr>
              <w:jc w:val="center"/>
              <w:rPr>
                <w:color w:val="000000"/>
                <w:sz w:val="20"/>
                <w:szCs w:val="20"/>
              </w:rPr>
            </w:pPr>
            <w:r w:rsidRPr="00896ADF">
              <w:rPr>
                <w:color w:val="000000"/>
                <w:sz w:val="20"/>
                <w:szCs w:val="20"/>
              </w:rPr>
              <w:t>532 000 000</w:t>
            </w:r>
          </w:p>
        </w:tc>
        <w:tc>
          <w:tcPr>
            <w:tcW w:w="1765" w:type="dxa"/>
            <w:shd w:val="clear" w:color="auto" w:fill="auto"/>
            <w:noWrap/>
            <w:vAlign w:val="center"/>
          </w:tcPr>
          <w:p w14:paraId="6EC3CB9B" w14:textId="77777777" w:rsidR="00CA545B" w:rsidRPr="00896ADF" w:rsidRDefault="00CA545B" w:rsidP="00CA545B">
            <w:pPr>
              <w:jc w:val="center"/>
              <w:rPr>
                <w:color w:val="000000"/>
                <w:sz w:val="20"/>
                <w:szCs w:val="20"/>
              </w:rPr>
            </w:pPr>
            <w:r w:rsidRPr="00896ADF">
              <w:rPr>
                <w:color w:val="000000"/>
                <w:sz w:val="20"/>
                <w:szCs w:val="20"/>
              </w:rPr>
              <w:t>1 853 888 400</w:t>
            </w:r>
          </w:p>
        </w:tc>
        <w:tc>
          <w:tcPr>
            <w:tcW w:w="1763" w:type="dxa"/>
            <w:shd w:val="clear" w:color="auto" w:fill="auto"/>
            <w:noWrap/>
            <w:vAlign w:val="center"/>
          </w:tcPr>
          <w:p w14:paraId="6866D8EA" w14:textId="77777777" w:rsidR="00CA545B" w:rsidRPr="00896ADF" w:rsidRDefault="00CA545B" w:rsidP="00CA545B">
            <w:pPr>
              <w:jc w:val="center"/>
              <w:rPr>
                <w:color w:val="000000"/>
                <w:sz w:val="20"/>
                <w:szCs w:val="20"/>
              </w:rPr>
            </w:pPr>
            <w:r w:rsidRPr="00896ADF">
              <w:rPr>
                <w:color w:val="000000"/>
                <w:sz w:val="20"/>
                <w:szCs w:val="20"/>
              </w:rPr>
              <w:t>2 026 300 021,20</w:t>
            </w:r>
          </w:p>
        </w:tc>
        <w:tc>
          <w:tcPr>
            <w:tcW w:w="1765" w:type="dxa"/>
            <w:shd w:val="clear" w:color="auto" w:fill="auto"/>
            <w:noWrap/>
            <w:vAlign w:val="center"/>
          </w:tcPr>
          <w:p w14:paraId="4C9C8085" w14:textId="77777777" w:rsidR="00CA545B" w:rsidRPr="00896ADF" w:rsidRDefault="00CA545B" w:rsidP="00CA545B">
            <w:pPr>
              <w:jc w:val="center"/>
              <w:rPr>
                <w:color w:val="000000"/>
                <w:sz w:val="20"/>
                <w:szCs w:val="20"/>
              </w:rPr>
            </w:pPr>
            <w:r w:rsidRPr="00896ADF">
              <w:rPr>
                <w:color w:val="000000"/>
                <w:sz w:val="20"/>
                <w:szCs w:val="20"/>
              </w:rPr>
              <w:t>2 133 070 445,87</w:t>
            </w:r>
          </w:p>
        </w:tc>
      </w:tr>
    </w:tbl>
    <w:p w14:paraId="036B2AF6" w14:textId="730D0297" w:rsidR="0023565A" w:rsidRPr="00896ADF" w:rsidRDefault="0023565A" w:rsidP="00605759"/>
    <w:p w14:paraId="30482C5E" w14:textId="04A03E90" w:rsidR="005333BA" w:rsidRPr="00896ADF" w:rsidRDefault="005333BA" w:rsidP="3ACCF10B">
      <w:pPr>
        <w:jc w:val="both"/>
        <w:rPr>
          <w:sz w:val="20"/>
          <w:szCs w:val="20"/>
          <w:lang w:val="en-IE"/>
        </w:rPr>
      </w:pPr>
      <w:r w:rsidRPr="00896ADF">
        <w:rPr>
          <w:sz w:val="20"/>
          <w:szCs w:val="20"/>
          <w:lang w:val="en-IE"/>
        </w:rPr>
        <w:t>The original allocation for this objective was CZK 5 128 200 000 (after deduction of 10% for equipment and facilities from the amount of CZK 5 699 500 000) and the new calculation is CZK 6 545 258 866.59. After adding 10 % for expenditure on equipment and facilities, the resulting allocation is equal to 7 272 509 852,30, an increase of 1 573 009 852,30 CZK.</w:t>
      </w:r>
      <w:r w:rsidR="2C7A181F" w:rsidRPr="00896ADF">
        <w:rPr>
          <w:sz w:val="20"/>
          <w:szCs w:val="20"/>
          <w:lang w:val="en-IE"/>
        </w:rPr>
        <w:t xml:space="preserve"> Podkladové </w:t>
      </w:r>
      <w:r w:rsidR="742566E0" w:rsidRPr="00896ADF">
        <w:rPr>
          <w:sz w:val="20"/>
          <w:szCs w:val="20"/>
          <w:lang w:val="en-IE"/>
        </w:rPr>
        <w:t xml:space="preserve">výpočtové </w:t>
      </w:r>
      <w:r w:rsidR="2C7A181F" w:rsidRPr="00896ADF">
        <w:rPr>
          <w:sz w:val="20"/>
          <w:szCs w:val="20"/>
          <w:lang w:val="en-IE"/>
        </w:rPr>
        <w:t>tabulky se liší od nově navrhovaného fi</w:t>
      </w:r>
      <w:r w:rsidR="54B91759" w:rsidRPr="00896ADF">
        <w:rPr>
          <w:sz w:val="20"/>
          <w:szCs w:val="20"/>
          <w:lang w:val="en-IE"/>
        </w:rPr>
        <w:t>na</w:t>
      </w:r>
      <w:r w:rsidR="2C7A181F" w:rsidRPr="00896ADF">
        <w:rPr>
          <w:sz w:val="20"/>
          <w:szCs w:val="20"/>
          <w:lang w:val="en-IE"/>
        </w:rPr>
        <w:t>nčního</w:t>
      </w:r>
      <w:r w:rsidR="36C1BF8F" w:rsidRPr="00896ADF">
        <w:rPr>
          <w:sz w:val="20"/>
          <w:szCs w:val="20"/>
          <w:lang w:val="en-IE"/>
        </w:rPr>
        <w:t xml:space="preserve"> požadavku</w:t>
      </w:r>
      <w:r w:rsidR="135DFC8B" w:rsidRPr="00896ADF">
        <w:rPr>
          <w:sz w:val="20"/>
          <w:szCs w:val="20"/>
          <w:lang w:val="en-IE"/>
        </w:rPr>
        <w:t xml:space="preserve"> </w:t>
      </w:r>
      <w:r w:rsidR="36C1BF8F" w:rsidRPr="00896ADF">
        <w:rPr>
          <w:sz w:val="20"/>
          <w:szCs w:val="20"/>
          <w:lang w:val="en-IE"/>
        </w:rPr>
        <w:t>z</w:t>
      </w:r>
      <w:r w:rsidR="6CE4EF65" w:rsidRPr="00896ADF">
        <w:rPr>
          <w:sz w:val="20"/>
          <w:szCs w:val="20"/>
          <w:lang w:val="en-IE"/>
        </w:rPr>
        <w:t xml:space="preserve"> </w:t>
      </w:r>
      <w:r w:rsidR="36C1BF8F" w:rsidRPr="00896ADF">
        <w:rPr>
          <w:sz w:val="20"/>
          <w:szCs w:val="20"/>
          <w:lang w:val="en-IE"/>
        </w:rPr>
        <w:t xml:space="preserve">důvodu nutnosti ponížit </w:t>
      </w:r>
      <w:r w:rsidR="01AF9F67" w:rsidRPr="00896ADF">
        <w:rPr>
          <w:sz w:val="20"/>
          <w:szCs w:val="20"/>
          <w:lang w:val="en-IE"/>
        </w:rPr>
        <w:t>celkovou grantovou alokaci plánu</w:t>
      </w:r>
      <w:r w:rsidR="722C3D01" w:rsidRPr="00896ADF">
        <w:rPr>
          <w:sz w:val="20"/>
          <w:szCs w:val="20"/>
          <w:lang w:val="en-IE"/>
        </w:rPr>
        <w:t>,aby nedošlo k jejímu překročení.</w:t>
      </w:r>
    </w:p>
    <w:p w14:paraId="52AB72BD" w14:textId="40B0EFFB" w:rsidR="005333BA" w:rsidRPr="00896ADF" w:rsidRDefault="005333BA" w:rsidP="3ACCF10B">
      <w:pPr>
        <w:jc w:val="both"/>
        <w:rPr>
          <w:sz w:val="20"/>
          <w:szCs w:val="20"/>
          <w:lang w:val="en-IE"/>
        </w:rPr>
      </w:pPr>
    </w:p>
    <w:tbl>
      <w:tblPr>
        <w:tblW w:w="0" w:type="auto"/>
        <w:tblLayout w:type="fixed"/>
        <w:tblLook w:val="06A0" w:firstRow="1" w:lastRow="0" w:firstColumn="1" w:lastColumn="0" w:noHBand="1" w:noVBand="1"/>
      </w:tblPr>
      <w:tblGrid>
        <w:gridCol w:w="4305"/>
        <w:gridCol w:w="2625"/>
        <w:gridCol w:w="2535"/>
      </w:tblGrid>
      <w:tr w:rsidR="199B201F" w:rsidRPr="00896ADF" w14:paraId="1C1D4B95" w14:textId="77777777" w:rsidTr="11F1BDA2">
        <w:trPr>
          <w:trHeight w:val="375"/>
        </w:trPr>
        <w:tc>
          <w:tcPr>
            <w:tcW w:w="4305" w:type="dxa"/>
            <w:tcBorders>
              <w:top w:val="single" w:sz="4" w:space="0" w:color="auto"/>
              <w:left w:val="single" w:sz="4" w:space="0" w:color="auto"/>
              <w:bottom w:val="single" w:sz="4" w:space="0" w:color="auto"/>
              <w:right w:val="single" w:sz="4" w:space="0" w:color="auto"/>
            </w:tcBorders>
            <w:vAlign w:val="bottom"/>
          </w:tcPr>
          <w:p w14:paraId="700C2EAD" w14:textId="1DB94ED1" w:rsidR="199B201F" w:rsidRPr="00896ADF" w:rsidRDefault="199B201F" w:rsidP="199B201F">
            <w:pPr>
              <w:spacing w:after="0"/>
              <w:rPr>
                <w:rFonts w:ascii="Calibri" w:eastAsia="Calibri" w:hAnsi="Calibri" w:cs="Calibri"/>
                <w:color w:val="000000" w:themeColor="text1"/>
              </w:rPr>
            </w:pPr>
          </w:p>
        </w:tc>
        <w:tc>
          <w:tcPr>
            <w:tcW w:w="2625" w:type="dxa"/>
            <w:tcBorders>
              <w:top w:val="single" w:sz="4" w:space="0" w:color="auto"/>
              <w:left w:val="single" w:sz="4" w:space="0" w:color="auto"/>
              <w:bottom w:val="single" w:sz="4" w:space="0" w:color="auto"/>
              <w:right w:val="single" w:sz="4" w:space="0" w:color="auto"/>
            </w:tcBorders>
            <w:vAlign w:val="bottom"/>
          </w:tcPr>
          <w:p w14:paraId="61C132C8" w14:textId="79066129" w:rsidR="199B201F" w:rsidRPr="00896ADF" w:rsidRDefault="199B201F" w:rsidP="11F1BDA2">
            <w:pPr>
              <w:spacing w:after="0"/>
              <w:rPr>
                <w:rFonts w:ascii="Calibri" w:eastAsia="Calibri" w:hAnsi="Calibri" w:cs="Calibri"/>
                <w:color w:val="000000" w:themeColor="text1"/>
              </w:rPr>
            </w:pPr>
            <w:r w:rsidRPr="00896ADF">
              <w:rPr>
                <w:rFonts w:ascii="Calibri" w:eastAsia="Calibri" w:hAnsi="Calibri" w:cs="Calibri"/>
                <w:color w:val="000000" w:themeColor="text1"/>
              </w:rPr>
              <w:t xml:space="preserve"> CID </w:t>
            </w:r>
          </w:p>
        </w:tc>
        <w:tc>
          <w:tcPr>
            <w:tcW w:w="2535" w:type="dxa"/>
            <w:tcBorders>
              <w:top w:val="single" w:sz="4" w:space="0" w:color="auto"/>
              <w:left w:val="single" w:sz="4" w:space="0" w:color="auto"/>
              <w:bottom w:val="single" w:sz="4" w:space="0" w:color="auto"/>
              <w:right w:val="single" w:sz="4" w:space="0" w:color="auto"/>
            </w:tcBorders>
            <w:vAlign w:val="bottom"/>
          </w:tcPr>
          <w:p w14:paraId="297032DB" w14:textId="37DBCE12" w:rsidR="199B201F" w:rsidRPr="00896ADF" w:rsidRDefault="199B201F" w:rsidP="11F1BDA2">
            <w:pPr>
              <w:spacing w:after="0"/>
              <w:rPr>
                <w:rFonts w:ascii="Calibri" w:eastAsia="Calibri" w:hAnsi="Calibri" w:cs="Calibri"/>
                <w:color w:val="000000" w:themeColor="text1"/>
              </w:rPr>
            </w:pPr>
            <w:r w:rsidRPr="00896ADF">
              <w:rPr>
                <w:rFonts w:ascii="Calibri" w:eastAsia="Calibri" w:hAnsi="Calibri" w:cs="Calibri"/>
                <w:color w:val="000000" w:themeColor="text1"/>
              </w:rPr>
              <w:t>new (after inflation)</w:t>
            </w:r>
          </w:p>
        </w:tc>
      </w:tr>
      <w:tr w:rsidR="199B201F" w:rsidRPr="00896ADF" w14:paraId="4EBCDB00" w14:textId="77777777" w:rsidTr="11F1BDA2">
        <w:trPr>
          <w:trHeight w:val="375"/>
        </w:trPr>
        <w:tc>
          <w:tcPr>
            <w:tcW w:w="4305" w:type="dxa"/>
            <w:tcBorders>
              <w:top w:val="single" w:sz="4" w:space="0" w:color="auto"/>
              <w:left w:val="single" w:sz="4" w:space="0" w:color="auto"/>
              <w:bottom w:val="single" w:sz="4" w:space="0" w:color="auto"/>
              <w:right w:val="single" w:sz="4" w:space="0" w:color="auto"/>
            </w:tcBorders>
            <w:vAlign w:val="bottom"/>
          </w:tcPr>
          <w:p w14:paraId="3878FE49" w14:textId="030C2A70" w:rsidR="199B201F" w:rsidRPr="00896ADF" w:rsidRDefault="199B201F" w:rsidP="11F1BDA2">
            <w:pPr>
              <w:spacing w:after="0"/>
              <w:rPr>
                <w:rFonts w:ascii="Calibri" w:eastAsia="Calibri" w:hAnsi="Calibri" w:cs="Calibri"/>
                <w:color w:val="000000" w:themeColor="text1"/>
              </w:rPr>
            </w:pPr>
            <w:r w:rsidRPr="00896ADF">
              <w:rPr>
                <w:rFonts w:ascii="Calibri" w:eastAsia="Calibri" w:hAnsi="Calibri" w:cs="Calibri"/>
                <w:color w:val="000000" w:themeColor="text1"/>
              </w:rPr>
              <w:t>budget for new facilities ( T 190)</w:t>
            </w:r>
          </w:p>
        </w:tc>
        <w:tc>
          <w:tcPr>
            <w:tcW w:w="2625" w:type="dxa"/>
            <w:tcBorders>
              <w:top w:val="single" w:sz="4" w:space="0" w:color="auto"/>
              <w:left w:val="single" w:sz="4" w:space="0" w:color="auto"/>
              <w:bottom w:val="single" w:sz="4" w:space="0" w:color="auto"/>
              <w:right w:val="single" w:sz="4" w:space="0" w:color="auto"/>
            </w:tcBorders>
            <w:vAlign w:val="bottom"/>
          </w:tcPr>
          <w:p w14:paraId="156CD67D" w14:textId="660A24E7" w:rsidR="199B201F" w:rsidRPr="00896ADF" w:rsidRDefault="199B201F" w:rsidP="11F1BDA2">
            <w:pPr>
              <w:spacing w:after="0"/>
              <w:rPr>
                <w:rFonts w:ascii="Calibri" w:eastAsia="Calibri" w:hAnsi="Calibri" w:cs="Calibri"/>
                <w:color w:val="000000" w:themeColor="text1"/>
              </w:rPr>
            </w:pPr>
            <w:r w:rsidRPr="00896ADF">
              <w:rPr>
                <w:rFonts w:ascii="Calibri" w:eastAsia="Calibri" w:hAnsi="Calibri" w:cs="Calibri"/>
                <w:color w:val="000000" w:themeColor="text1"/>
              </w:rPr>
              <w:t xml:space="preserve">                     5 128 200 000    </w:t>
            </w:r>
          </w:p>
        </w:tc>
        <w:tc>
          <w:tcPr>
            <w:tcW w:w="2535" w:type="dxa"/>
            <w:tcBorders>
              <w:top w:val="single" w:sz="4" w:space="0" w:color="auto"/>
              <w:left w:val="single" w:sz="4" w:space="0" w:color="auto"/>
              <w:bottom w:val="single" w:sz="4" w:space="0" w:color="auto"/>
              <w:right w:val="single" w:sz="4" w:space="0" w:color="auto"/>
            </w:tcBorders>
            <w:vAlign w:val="bottom"/>
          </w:tcPr>
          <w:p w14:paraId="4BC1E9E1" w14:textId="76DBDE64" w:rsidR="199B201F" w:rsidRPr="00896ADF" w:rsidRDefault="199B201F" w:rsidP="11F1BDA2">
            <w:pPr>
              <w:spacing w:after="0"/>
              <w:rPr>
                <w:rFonts w:ascii="Calibri" w:eastAsia="Calibri" w:hAnsi="Calibri" w:cs="Calibri"/>
                <w:color w:val="000000" w:themeColor="text1"/>
              </w:rPr>
            </w:pPr>
            <w:r w:rsidRPr="00896ADF">
              <w:rPr>
                <w:rFonts w:ascii="Calibri" w:eastAsia="Calibri" w:hAnsi="Calibri" w:cs="Calibri"/>
                <w:color w:val="000000" w:themeColor="text1"/>
              </w:rPr>
              <w:t xml:space="preserve">                     6 545 258 867    </w:t>
            </w:r>
          </w:p>
        </w:tc>
      </w:tr>
      <w:tr w:rsidR="199B201F" w:rsidRPr="00896ADF" w14:paraId="72AF812A" w14:textId="77777777" w:rsidTr="11F1BDA2">
        <w:trPr>
          <w:trHeight w:val="375"/>
        </w:trPr>
        <w:tc>
          <w:tcPr>
            <w:tcW w:w="4305" w:type="dxa"/>
            <w:tcBorders>
              <w:top w:val="single" w:sz="4" w:space="0" w:color="auto"/>
              <w:left w:val="single" w:sz="4" w:space="0" w:color="auto"/>
              <w:bottom w:val="single" w:sz="4" w:space="0" w:color="auto"/>
              <w:right w:val="single" w:sz="4" w:space="0" w:color="auto"/>
            </w:tcBorders>
            <w:vAlign w:val="bottom"/>
          </w:tcPr>
          <w:p w14:paraId="49DF2443" w14:textId="1999DB7E" w:rsidR="199B201F" w:rsidRPr="00896ADF" w:rsidRDefault="199B201F" w:rsidP="11F1BDA2">
            <w:pPr>
              <w:spacing w:after="0"/>
              <w:rPr>
                <w:rFonts w:ascii="Calibri" w:eastAsia="Calibri" w:hAnsi="Calibri" w:cs="Calibri"/>
                <w:color w:val="000000" w:themeColor="text1"/>
              </w:rPr>
            </w:pPr>
            <w:r w:rsidRPr="00896ADF">
              <w:rPr>
                <w:rFonts w:ascii="Calibri" w:eastAsia="Calibri" w:hAnsi="Calibri" w:cs="Calibri"/>
                <w:color w:val="000000" w:themeColor="text1"/>
              </w:rPr>
              <w:t>budget with 0% climate (calculated in T 189)</w:t>
            </w:r>
          </w:p>
        </w:tc>
        <w:tc>
          <w:tcPr>
            <w:tcW w:w="2625" w:type="dxa"/>
            <w:tcBorders>
              <w:top w:val="single" w:sz="4" w:space="0" w:color="auto"/>
              <w:left w:val="single" w:sz="4" w:space="0" w:color="auto"/>
              <w:bottom w:val="single" w:sz="4" w:space="0" w:color="auto"/>
              <w:right w:val="single" w:sz="4" w:space="0" w:color="auto"/>
            </w:tcBorders>
            <w:vAlign w:val="bottom"/>
          </w:tcPr>
          <w:p w14:paraId="711A941F" w14:textId="1953CD75" w:rsidR="199B201F" w:rsidRPr="00896ADF" w:rsidRDefault="199B201F" w:rsidP="11F1BDA2">
            <w:pPr>
              <w:spacing w:after="0"/>
              <w:rPr>
                <w:rFonts w:ascii="Calibri" w:eastAsia="Calibri" w:hAnsi="Calibri" w:cs="Calibri"/>
                <w:color w:val="000000" w:themeColor="text1"/>
              </w:rPr>
            </w:pPr>
            <w:r w:rsidRPr="00896ADF">
              <w:rPr>
                <w:rFonts w:ascii="Calibri" w:eastAsia="Calibri" w:hAnsi="Calibri" w:cs="Calibri"/>
                <w:color w:val="000000" w:themeColor="text1"/>
              </w:rPr>
              <w:t xml:space="preserve">                         569 950 000    </w:t>
            </w:r>
          </w:p>
        </w:tc>
        <w:tc>
          <w:tcPr>
            <w:tcW w:w="2535" w:type="dxa"/>
            <w:tcBorders>
              <w:top w:val="single" w:sz="4" w:space="0" w:color="auto"/>
              <w:left w:val="single" w:sz="4" w:space="0" w:color="auto"/>
              <w:bottom w:val="single" w:sz="4" w:space="0" w:color="auto"/>
              <w:right w:val="single" w:sz="4" w:space="0" w:color="auto"/>
            </w:tcBorders>
            <w:vAlign w:val="bottom"/>
          </w:tcPr>
          <w:p w14:paraId="4E5540EF" w14:textId="41070501" w:rsidR="199B201F" w:rsidRPr="00896ADF" w:rsidRDefault="199B201F" w:rsidP="11F1BDA2">
            <w:pPr>
              <w:spacing w:after="0"/>
              <w:rPr>
                <w:rFonts w:ascii="Calibri" w:eastAsia="Calibri" w:hAnsi="Calibri" w:cs="Calibri"/>
                <w:color w:val="000000" w:themeColor="text1"/>
              </w:rPr>
            </w:pPr>
            <w:r w:rsidRPr="00896ADF">
              <w:rPr>
                <w:rFonts w:ascii="Calibri" w:eastAsia="Calibri" w:hAnsi="Calibri" w:cs="Calibri"/>
                <w:color w:val="000000" w:themeColor="text1"/>
              </w:rPr>
              <w:t xml:space="preserve">                       727 250 985    </w:t>
            </w:r>
          </w:p>
        </w:tc>
      </w:tr>
      <w:tr w:rsidR="199B201F" w:rsidRPr="00896ADF" w14:paraId="788DF198" w14:textId="77777777" w:rsidTr="11F1BDA2">
        <w:trPr>
          <w:trHeight w:val="375"/>
        </w:trPr>
        <w:tc>
          <w:tcPr>
            <w:tcW w:w="4305" w:type="dxa"/>
            <w:tcBorders>
              <w:top w:val="single" w:sz="4" w:space="0" w:color="auto"/>
              <w:left w:val="single" w:sz="4" w:space="0" w:color="auto"/>
              <w:bottom w:val="single" w:sz="4" w:space="0" w:color="auto"/>
              <w:right w:val="single" w:sz="4" w:space="0" w:color="auto"/>
            </w:tcBorders>
            <w:vAlign w:val="bottom"/>
          </w:tcPr>
          <w:p w14:paraId="03E231D9" w14:textId="13374DDD" w:rsidR="199B201F" w:rsidRPr="00896ADF" w:rsidRDefault="199B201F" w:rsidP="11F1BDA2">
            <w:pPr>
              <w:spacing w:after="0"/>
              <w:rPr>
                <w:rFonts w:ascii="Calibri" w:eastAsia="Calibri" w:hAnsi="Calibri" w:cs="Calibri"/>
                <w:i/>
                <w:iCs/>
                <w:color w:val="000000" w:themeColor="text1"/>
              </w:rPr>
            </w:pPr>
            <w:r w:rsidRPr="00896ADF">
              <w:rPr>
                <w:rFonts w:ascii="Calibri" w:eastAsia="Calibri" w:hAnsi="Calibri" w:cs="Calibri"/>
                <w:i/>
                <w:iCs/>
                <w:color w:val="000000" w:themeColor="text1"/>
              </w:rPr>
              <w:t>Sub total budget</w:t>
            </w:r>
          </w:p>
        </w:tc>
        <w:tc>
          <w:tcPr>
            <w:tcW w:w="2625" w:type="dxa"/>
            <w:tcBorders>
              <w:top w:val="single" w:sz="4" w:space="0" w:color="auto"/>
              <w:left w:val="single" w:sz="4" w:space="0" w:color="auto"/>
              <w:bottom w:val="single" w:sz="4" w:space="0" w:color="auto"/>
              <w:right w:val="single" w:sz="4" w:space="0" w:color="auto"/>
            </w:tcBorders>
            <w:vAlign w:val="bottom"/>
          </w:tcPr>
          <w:p w14:paraId="6317C6DE" w14:textId="64858DF6" w:rsidR="199B201F" w:rsidRPr="00896ADF" w:rsidRDefault="199B201F" w:rsidP="11F1BDA2">
            <w:pPr>
              <w:spacing w:after="0"/>
              <w:rPr>
                <w:rFonts w:ascii="Calibri" w:eastAsia="Calibri" w:hAnsi="Calibri" w:cs="Calibri"/>
                <w:i/>
                <w:iCs/>
                <w:color w:val="000000" w:themeColor="text1"/>
              </w:rPr>
            </w:pPr>
            <w:r w:rsidRPr="00896ADF">
              <w:rPr>
                <w:rFonts w:ascii="Calibri" w:eastAsia="Calibri" w:hAnsi="Calibri" w:cs="Calibri"/>
                <w:i/>
                <w:iCs/>
                <w:color w:val="000000" w:themeColor="text1"/>
              </w:rPr>
              <w:t xml:space="preserve"> </w:t>
            </w:r>
          </w:p>
        </w:tc>
        <w:tc>
          <w:tcPr>
            <w:tcW w:w="2535" w:type="dxa"/>
            <w:tcBorders>
              <w:top w:val="single" w:sz="4" w:space="0" w:color="auto"/>
              <w:left w:val="single" w:sz="4" w:space="0" w:color="auto"/>
              <w:bottom w:val="single" w:sz="4" w:space="0" w:color="auto"/>
              <w:right w:val="single" w:sz="4" w:space="0" w:color="auto"/>
            </w:tcBorders>
            <w:vAlign w:val="bottom"/>
          </w:tcPr>
          <w:p w14:paraId="2796C83C" w14:textId="44E772B8" w:rsidR="199B201F" w:rsidRPr="00896ADF" w:rsidRDefault="199B201F" w:rsidP="11F1BDA2">
            <w:pPr>
              <w:spacing w:after="0"/>
              <w:rPr>
                <w:rFonts w:ascii="Calibri" w:eastAsia="Calibri" w:hAnsi="Calibri" w:cs="Calibri"/>
                <w:i/>
                <w:iCs/>
                <w:color w:val="000000" w:themeColor="text1"/>
              </w:rPr>
            </w:pPr>
            <w:r w:rsidRPr="00896ADF">
              <w:rPr>
                <w:rFonts w:ascii="Calibri" w:eastAsia="Calibri" w:hAnsi="Calibri" w:cs="Calibri"/>
                <w:i/>
                <w:iCs/>
                <w:color w:val="000000" w:themeColor="text1"/>
              </w:rPr>
              <w:t xml:space="preserve">                    7 272 509 852    </w:t>
            </w:r>
          </w:p>
        </w:tc>
      </w:tr>
      <w:tr w:rsidR="199B201F" w:rsidRPr="00896ADF" w14:paraId="6383DA17" w14:textId="77777777" w:rsidTr="11F1BDA2">
        <w:trPr>
          <w:trHeight w:val="885"/>
        </w:trPr>
        <w:tc>
          <w:tcPr>
            <w:tcW w:w="4305" w:type="dxa"/>
            <w:tcBorders>
              <w:top w:val="single" w:sz="4" w:space="0" w:color="auto"/>
              <w:left w:val="single" w:sz="4" w:space="0" w:color="auto"/>
              <w:bottom w:val="single" w:sz="4" w:space="0" w:color="auto"/>
              <w:right w:val="single" w:sz="4" w:space="0" w:color="auto"/>
            </w:tcBorders>
            <w:vAlign w:val="bottom"/>
          </w:tcPr>
          <w:p w14:paraId="77ADD734" w14:textId="0498AB78" w:rsidR="199B201F" w:rsidRPr="00896ADF" w:rsidRDefault="199B201F" w:rsidP="11F1BDA2">
            <w:pPr>
              <w:spacing w:after="0"/>
              <w:rPr>
                <w:rFonts w:ascii="Calibri" w:eastAsia="Calibri" w:hAnsi="Calibri" w:cs="Calibri"/>
                <w:color w:val="000000" w:themeColor="text1"/>
              </w:rPr>
            </w:pPr>
            <w:r w:rsidRPr="00896ADF">
              <w:rPr>
                <w:rFonts w:ascii="Calibri" w:eastAsia="Calibri" w:hAnsi="Calibri" w:cs="Calibri"/>
                <w:color w:val="000000" w:themeColor="text1"/>
              </w:rPr>
              <w:t>budget for reconstruction of existing facilities (T 189)</w:t>
            </w:r>
          </w:p>
        </w:tc>
        <w:tc>
          <w:tcPr>
            <w:tcW w:w="2625" w:type="dxa"/>
            <w:tcBorders>
              <w:top w:val="single" w:sz="4" w:space="0" w:color="auto"/>
              <w:left w:val="single" w:sz="4" w:space="0" w:color="auto"/>
              <w:bottom w:val="single" w:sz="4" w:space="0" w:color="auto"/>
              <w:right w:val="single" w:sz="4" w:space="0" w:color="auto"/>
            </w:tcBorders>
            <w:vAlign w:val="bottom"/>
          </w:tcPr>
          <w:p w14:paraId="71FD5C65" w14:textId="4B1F6B5C" w:rsidR="199B201F" w:rsidRPr="00896ADF" w:rsidRDefault="199B201F" w:rsidP="11F1BDA2">
            <w:pPr>
              <w:spacing w:after="0"/>
              <w:rPr>
                <w:rFonts w:ascii="Calibri" w:eastAsia="Calibri" w:hAnsi="Calibri" w:cs="Calibri"/>
                <w:color w:val="000000" w:themeColor="text1"/>
              </w:rPr>
            </w:pPr>
            <w:r w:rsidRPr="00896ADF">
              <w:rPr>
                <w:rFonts w:ascii="Calibri" w:eastAsia="Calibri" w:hAnsi="Calibri" w:cs="Calibri"/>
                <w:color w:val="000000" w:themeColor="text1"/>
              </w:rPr>
              <w:t xml:space="preserve">                      1 294 850 000    </w:t>
            </w:r>
          </w:p>
        </w:tc>
        <w:tc>
          <w:tcPr>
            <w:tcW w:w="2535" w:type="dxa"/>
            <w:tcBorders>
              <w:top w:val="single" w:sz="4" w:space="0" w:color="auto"/>
              <w:left w:val="single" w:sz="4" w:space="0" w:color="auto"/>
              <w:bottom w:val="single" w:sz="4" w:space="0" w:color="auto"/>
              <w:right w:val="single" w:sz="4" w:space="0" w:color="auto"/>
            </w:tcBorders>
            <w:vAlign w:val="bottom"/>
          </w:tcPr>
          <w:p w14:paraId="4959BD74" w14:textId="216159AC" w:rsidR="199B201F" w:rsidRPr="00896ADF" w:rsidRDefault="199B201F" w:rsidP="11F1BDA2">
            <w:pPr>
              <w:spacing w:after="0"/>
              <w:rPr>
                <w:rFonts w:ascii="Calibri" w:eastAsia="Calibri" w:hAnsi="Calibri" w:cs="Calibri"/>
                <w:color w:val="000000" w:themeColor="text1"/>
              </w:rPr>
            </w:pPr>
            <w:r w:rsidRPr="00896ADF">
              <w:rPr>
                <w:rFonts w:ascii="Calibri" w:eastAsia="Calibri" w:hAnsi="Calibri" w:cs="Calibri"/>
                <w:color w:val="000000" w:themeColor="text1"/>
              </w:rPr>
              <w:t xml:space="preserve">                    1 294 850 000    </w:t>
            </w:r>
          </w:p>
        </w:tc>
      </w:tr>
      <w:tr w:rsidR="199B201F" w:rsidRPr="00896ADF" w14:paraId="0B8DAB62" w14:textId="77777777" w:rsidTr="11F1BDA2">
        <w:trPr>
          <w:trHeight w:val="375"/>
        </w:trPr>
        <w:tc>
          <w:tcPr>
            <w:tcW w:w="4305" w:type="dxa"/>
            <w:tcBorders>
              <w:top w:val="single" w:sz="4" w:space="0" w:color="auto"/>
              <w:left w:val="single" w:sz="4" w:space="0" w:color="auto"/>
              <w:bottom w:val="single" w:sz="4" w:space="0" w:color="auto"/>
              <w:right w:val="single" w:sz="4" w:space="0" w:color="auto"/>
            </w:tcBorders>
            <w:vAlign w:val="bottom"/>
          </w:tcPr>
          <w:p w14:paraId="62CE604C" w14:textId="0430D591" w:rsidR="199B201F" w:rsidRPr="00896ADF" w:rsidRDefault="199B201F" w:rsidP="11F1BDA2">
            <w:pPr>
              <w:spacing w:after="0"/>
              <w:rPr>
                <w:rFonts w:ascii="Calibri" w:eastAsia="Calibri" w:hAnsi="Calibri" w:cs="Calibri"/>
                <w:b/>
                <w:bCs/>
                <w:color w:val="000000" w:themeColor="text1"/>
              </w:rPr>
            </w:pPr>
            <w:r w:rsidRPr="00896ADF">
              <w:rPr>
                <w:rFonts w:ascii="Calibri" w:eastAsia="Calibri" w:hAnsi="Calibri" w:cs="Calibri"/>
                <w:b/>
                <w:bCs/>
                <w:color w:val="000000" w:themeColor="text1"/>
              </w:rPr>
              <w:t>Total budget for 189 and 190</w:t>
            </w:r>
          </w:p>
        </w:tc>
        <w:tc>
          <w:tcPr>
            <w:tcW w:w="2625" w:type="dxa"/>
            <w:tcBorders>
              <w:top w:val="single" w:sz="4" w:space="0" w:color="auto"/>
              <w:left w:val="single" w:sz="4" w:space="0" w:color="auto"/>
              <w:bottom w:val="single" w:sz="4" w:space="0" w:color="auto"/>
              <w:right w:val="single" w:sz="4" w:space="0" w:color="auto"/>
            </w:tcBorders>
            <w:vAlign w:val="bottom"/>
          </w:tcPr>
          <w:p w14:paraId="216628F5" w14:textId="4EEF5A18" w:rsidR="199B201F" w:rsidRPr="00896ADF" w:rsidRDefault="199B201F" w:rsidP="11F1BDA2">
            <w:pPr>
              <w:spacing w:after="0"/>
              <w:rPr>
                <w:rFonts w:ascii="Calibri" w:eastAsia="Calibri" w:hAnsi="Calibri" w:cs="Calibri"/>
                <w:b/>
                <w:bCs/>
                <w:color w:val="000000" w:themeColor="text1"/>
              </w:rPr>
            </w:pPr>
            <w:r w:rsidRPr="00896ADF">
              <w:rPr>
                <w:rFonts w:ascii="Calibri" w:eastAsia="Calibri" w:hAnsi="Calibri" w:cs="Calibri"/>
                <w:b/>
                <w:bCs/>
                <w:color w:val="000000" w:themeColor="text1"/>
              </w:rPr>
              <w:t xml:space="preserve">                      6 993 000 000    </w:t>
            </w:r>
          </w:p>
        </w:tc>
        <w:tc>
          <w:tcPr>
            <w:tcW w:w="2535" w:type="dxa"/>
            <w:tcBorders>
              <w:top w:val="single" w:sz="4" w:space="0" w:color="auto"/>
              <w:left w:val="single" w:sz="4" w:space="0" w:color="auto"/>
              <w:bottom w:val="single" w:sz="4" w:space="0" w:color="auto"/>
              <w:right w:val="single" w:sz="4" w:space="0" w:color="auto"/>
            </w:tcBorders>
            <w:vAlign w:val="bottom"/>
          </w:tcPr>
          <w:p w14:paraId="25D2C8C6" w14:textId="00A569FE" w:rsidR="199B201F" w:rsidRPr="00896ADF" w:rsidRDefault="199B201F" w:rsidP="11F1BDA2">
            <w:pPr>
              <w:spacing w:after="0"/>
              <w:rPr>
                <w:rFonts w:ascii="Calibri" w:eastAsia="Calibri" w:hAnsi="Calibri" w:cs="Calibri"/>
                <w:b/>
                <w:bCs/>
                <w:color w:val="000000" w:themeColor="text1"/>
              </w:rPr>
            </w:pPr>
            <w:r w:rsidRPr="00896ADF">
              <w:rPr>
                <w:rFonts w:ascii="Calibri" w:eastAsia="Calibri" w:hAnsi="Calibri" w:cs="Calibri"/>
                <w:b/>
                <w:bCs/>
                <w:color w:val="000000" w:themeColor="text1"/>
              </w:rPr>
              <w:t xml:space="preserve">                   8 567 359 852    </w:t>
            </w:r>
          </w:p>
        </w:tc>
      </w:tr>
    </w:tbl>
    <w:p w14:paraId="0BCE3ECA" w14:textId="09E64505" w:rsidR="199B201F" w:rsidRPr="00896ADF" w:rsidRDefault="199B201F" w:rsidP="199B201F">
      <w:pPr>
        <w:jc w:val="both"/>
        <w:rPr>
          <w:sz w:val="20"/>
          <w:szCs w:val="20"/>
          <w:lang w:val="en-IE"/>
        </w:rPr>
      </w:pPr>
    </w:p>
    <w:p w14:paraId="415BC222" w14:textId="2941BA40" w:rsidR="0023565A" w:rsidRPr="00896ADF" w:rsidRDefault="0023565A" w:rsidP="00CA545B">
      <w:pPr>
        <w:spacing w:before="100" w:beforeAutospacing="1" w:after="100" w:afterAutospacing="1"/>
        <w:jc w:val="both"/>
        <w:rPr>
          <w:b/>
          <w:bCs/>
          <w:sz w:val="20"/>
          <w:szCs w:val="20"/>
        </w:rPr>
      </w:pPr>
    </w:p>
    <w:tbl>
      <w:tblPr>
        <w:tblStyle w:val="Mkatabulky"/>
        <w:tblW w:w="0" w:type="auto"/>
        <w:tblLook w:val="04A0" w:firstRow="1" w:lastRow="0" w:firstColumn="1" w:lastColumn="0" w:noHBand="0" w:noVBand="1"/>
      </w:tblPr>
      <w:tblGrid>
        <w:gridCol w:w="3227"/>
        <w:gridCol w:w="5939"/>
      </w:tblGrid>
      <w:tr w:rsidR="0082363E" w:rsidRPr="00896ADF" w14:paraId="076F44AC" w14:textId="77777777" w:rsidTr="00B979CA">
        <w:tc>
          <w:tcPr>
            <w:tcW w:w="9166" w:type="dxa"/>
            <w:gridSpan w:val="2"/>
            <w:shd w:val="clear" w:color="auto" w:fill="1F3864"/>
          </w:tcPr>
          <w:p w14:paraId="5E79F315" w14:textId="77777777" w:rsidR="0082363E" w:rsidRPr="00896ADF" w:rsidRDefault="0082363E" w:rsidP="00B979CA">
            <w:pPr>
              <w:jc w:val="center"/>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Component 3.3 MODERNISATION OF EMPLOYMENT SERVICES AND LABOUR MARKET DEVELOPMENT</w:t>
            </w:r>
          </w:p>
        </w:tc>
      </w:tr>
      <w:tr w:rsidR="0082363E" w:rsidRPr="00896ADF" w14:paraId="5027D714" w14:textId="77777777" w:rsidTr="00B979CA">
        <w:tc>
          <w:tcPr>
            <w:tcW w:w="3227" w:type="dxa"/>
            <w:shd w:val="clear" w:color="auto" w:fill="00B0F0"/>
          </w:tcPr>
          <w:p w14:paraId="52AA3E5E" w14:textId="77777777" w:rsidR="0082363E" w:rsidRPr="00896ADF" w:rsidRDefault="0082363E" w:rsidP="00B979CA">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8278BB7" w14:textId="2B3CE83D" w:rsidR="0082363E" w:rsidRPr="00896ADF" w:rsidRDefault="0082363E" w:rsidP="00B979CA">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Reform 3</w:t>
            </w:r>
          </w:p>
        </w:tc>
      </w:tr>
      <w:tr w:rsidR="0082363E" w:rsidRPr="00896ADF" w14:paraId="01586643" w14:textId="77777777" w:rsidTr="00B979CA">
        <w:tc>
          <w:tcPr>
            <w:tcW w:w="3227" w:type="dxa"/>
            <w:shd w:val="clear" w:color="auto" w:fill="00B0F0"/>
          </w:tcPr>
          <w:p w14:paraId="2372EDD0" w14:textId="77777777" w:rsidR="0082363E" w:rsidRPr="00896ADF" w:rsidRDefault="0082363E" w:rsidP="00B979CA">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0B1A0C59" w14:textId="0327E57C" w:rsidR="0082363E" w:rsidRPr="00896ADF" w:rsidRDefault="0082363E" w:rsidP="00B979CA">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Reform of long-term care</w:t>
            </w:r>
          </w:p>
        </w:tc>
      </w:tr>
      <w:tr w:rsidR="0082363E" w:rsidRPr="00896ADF" w14:paraId="1DD7DD53" w14:textId="77777777" w:rsidTr="00B979CA">
        <w:tc>
          <w:tcPr>
            <w:tcW w:w="3227" w:type="dxa"/>
            <w:shd w:val="clear" w:color="auto" w:fill="BDD6EE"/>
          </w:tcPr>
          <w:p w14:paraId="3757C719" w14:textId="77777777" w:rsidR="0082363E" w:rsidRPr="00896ADF" w:rsidRDefault="0082363E" w:rsidP="00B979CA">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Type of change compared to CID</w:t>
            </w:r>
          </w:p>
        </w:tc>
        <w:tc>
          <w:tcPr>
            <w:tcW w:w="5939" w:type="dxa"/>
          </w:tcPr>
          <w:p w14:paraId="3D7DCABF" w14:textId="2C9B84D7" w:rsidR="0082363E" w:rsidRPr="00896ADF" w:rsidRDefault="0082363E" w:rsidP="00B979CA">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noProof/>
                <w:sz w:val="20"/>
                <w:szCs w:val="20"/>
                <w:lang w:val="en-US"/>
              </w:rPr>
              <w:t>modified</w:t>
            </w:r>
          </w:p>
        </w:tc>
      </w:tr>
      <w:tr w:rsidR="0082363E" w:rsidRPr="00896ADF" w14:paraId="12CBED77" w14:textId="77777777" w:rsidTr="00B979CA">
        <w:tc>
          <w:tcPr>
            <w:tcW w:w="3227" w:type="dxa"/>
            <w:shd w:val="clear" w:color="auto" w:fill="BDD6EE"/>
          </w:tcPr>
          <w:p w14:paraId="7D528E1E" w14:textId="77777777" w:rsidR="0082363E" w:rsidRPr="00896ADF" w:rsidRDefault="0082363E" w:rsidP="00B979CA">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Legal base of the change (select at least one)</w:t>
            </w:r>
          </w:p>
        </w:tc>
        <w:tc>
          <w:tcPr>
            <w:tcW w:w="5939" w:type="dxa"/>
          </w:tcPr>
          <w:p w14:paraId="6323145A" w14:textId="77777777" w:rsidR="0082363E" w:rsidRPr="00896ADF" w:rsidRDefault="00491E8E" w:rsidP="00B979C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07802491"/>
                <w14:checkbox>
                  <w14:checked w14:val="0"/>
                  <w14:checkedState w14:val="2612" w14:font="MS Gothic"/>
                  <w14:uncheckedState w14:val="2610" w14:font="MS Gothic"/>
                </w14:checkbox>
              </w:sdtPr>
              <w:sdtEndPr/>
              <w:sdtContent>
                <w:r w:rsidR="0082363E" w:rsidRPr="00896ADF">
                  <w:rPr>
                    <w:rFonts w:ascii="Segoe UI Symbol" w:eastAsia="Calibri" w:hAnsi="Segoe UI Symbol" w:cs="Segoe UI Symbol"/>
                    <w:noProof/>
                    <w:color w:val="2B579A"/>
                    <w:sz w:val="20"/>
                    <w:szCs w:val="20"/>
                    <w:shd w:val="clear" w:color="auto" w:fill="E6E6E6"/>
                    <w:lang w:val="en-US"/>
                  </w:rPr>
                  <w:t>☐</w:t>
                </w:r>
              </w:sdtContent>
            </w:sdt>
            <w:r w:rsidR="0082363E" w:rsidRPr="00896ADF">
              <w:rPr>
                <w:rFonts w:ascii="Times New Roman" w:eastAsia="Calibri" w:hAnsi="Times New Roman" w:cs="Times New Roman"/>
                <w:noProof/>
                <w:sz w:val="20"/>
                <w:szCs w:val="20"/>
                <w:lang w:val="en-US"/>
              </w:rPr>
              <w:t xml:space="preserve"> Article 14(2) – loan request</w:t>
            </w:r>
          </w:p>
          <w:p w14:paraId="53D0997C" w14:textId="79217193" w:rsidR="0082363E" w:rsidRPr="00896ADF" w:rsidRDefault="00491E8E" w:rsidP="00B979C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17848452"/>
                <w14:checkbox>
                  <w14:checked w14:val="0"/>
                  <w14:checkedState w14:val="2612" w14:font="MS Gothic"/>
                  <w14:uncheckedState w14:val="2610" w14:font="MS Gothic"/>
                </w14:checkbox>
              </w:sdtPr>
              <w:sdtEndPr/>
              <w:sdtContent>
                <w:r w:rsidR="0082363E" w:rsidRPr="00896ADF">
                  <w:rPr>
                    <w:rFonts w:ascii="MS Gothic" w:eastAsia="MS Gothic" w:hAnsi="MS Gothic" w:cs="Times New Roman" w:hint="eastAsia"/>
                    <w:noProof/>
                    <w:color w:val="2B579A"/>
                    <w:sz w:val="20"/>
                    <w:szCs w:val="20"/>
                    <w:shd w:val="clear" w:color="auto" w:fill="E6E6E6"/>
                    <w:lang w:val="en-US"/>
                  </w:rPr>
                  <w:t>☐</w:t>
                </w:r>
              </w:sdtContent>
            </w:sdt>
            <w:r w:rsidR="0082363E" w:rsidRPr="00896ADF">
              <w:rPr>
                <w:rFonts w:ascii="Times New Roman" w:eastAsia="Calibri" w:hAnsi="Times New Roman" w:cs="Times New Roman"/>
                <w:noProof/>
                <w:sz w:val="20"/>
                <w:szCs w:val="20"/>
                <w:lang w:val="en-US"/>
              </w:rPr>
              <w:t xml:space="preserve"> Article 18(2) – update of the maximum financial contribution</w:t>
            </w:r>
          </w:p>
          <w:p w14:paraId="049D0D42" w14:textId="77777777" w:rsidR="0082363E" w:rsidRPr="00896ADF" w:rsidRDefault="00491E8E" w:rsidP="00B979CA">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0957662"/>
                <w:placeholder>
                  <w:docPart w:val="F9D04AEB75B4460083F99922A999E1C8"/>
                </w:placeholder>
                <w14:checkbox>
                  <w14:checked w14:val="1"/>
                  <w14:checkedState w14:val="2612" w14:font="MS Gothic"/>
                  <w14:uncheckedState w14:val="2610" w14:font="MS Gothic"/>
                </w14:checkbox>
              </w:sdtPr>
              <w:sdtEndPr/>
              <w:sdtContent>
                <w:r w:rsidR="0082363E" w:rsidRPr="00896ADF">
                  <w:rPr>
                    <w:rFonts w:ascii="MS Gothic" w:eastAsia="MS Gothic" w:hAnsi="MS Gothic" w:cs="Times New Roman" w:hint="eastAsia"/>
                    <w:noProof/>
                    <w:color w:val="2B579A"/>
                    <w:sz w:val="20"/>
                    <w:szCs w:val="20"/>
                    <w:shd w:val="clear" w:color="auto" w:fill="E6E6E6"/>
                    <w:lang w:val="en-US"/>
                  </w:rPr>
                  <w:t>☒</w:t>
                </w:r>
              </w:sdtContent>
            </w:sdt>
            <w:r w:rsidR="0082363E" w:rsidRPr="00896ADF">
              <w:rPr>
                <w:rFonts w:ascii="Times New Roman" w:eastAsia="Calibri" w:hAnsi="Times New Roman" w:cs="Times New Roman"/>
                <w:noProof/>
                <w:sz w:val="20"/>
                <w:szCs w:val="20"/>
                <w:lang w:val="en-US"/>
              </w:rPr>
              <w:t xml:space="preserve"> Article 21 – amendment due to objective circumstances</w:t>
            </w:r>
          </w:p>
          <w:p w14:paraId="18123CF9" w14:textId="77777777" w:rsidR="0082363E" w:rsidRPr="00896ADF" w:rsidRDefault="00491E8E" w:rsidP="00B979CA">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25709057"/>
                <w:placeholder>
                  <w:docPart w:val="F9D04AEB75B4460083F99922A999E1C8"/>
                </w:placeholder>
                <w14:checkbox>
                  <w14:checked w14:val="0"/>
                  <w14:checkedState w14:val="2612" w14:font="MS Gothic"/>
                  <w14:uncheckedState w14:val="2610" w14:font="MS Gothic"/>
                </w14:checkbox>
              </w:sdtPr>
              <w:sdtEndPr/>
              <w:sdtContent>
                <w:r w:rsidR="0082363E" w:rsidRPr="00896ADF">
                  <w:rPr>
                    <w:rFonts w:ascii="Segoe UI Symbol" w:eastAsia="Calibri" w:hAnsi="Segoe UI Symbol" w:cs="Segoe UI Symbol"/>
                    <w:noProof/>
                    <w:color w:val="2B579A"/>
                    <w:sz w:val="20"/>
                    <w:szCs w:val="20"/>
                    <w:shd w:val="clear" w:color="auto" w:fill="E6E6E6"/>
                    <w:lang w:val="fr-BE"/>
                  </w:rPr>
                  <w:t>☐</w:t>
                </w:r>
              </w:sdtContent>
            </w:sdt>
            <w:r w:rsidR="0082363E" w:rsidRPr="00896ADF">
              <w:rPr>
                <w:rFonts w:ascii="Times New Roman" w:eastAsia="Calibri" w:hAnsi="Times New Roman" w:cs="Times New Roman"/>
                <w:noProof/>
                <w:sz w:val="20"/>
                <w:szCs w:val="20"/>
                <w:lang w:val="fr-BE"/>
              </w:rPr>
              <w:t xml:space="preserve"> Article 21a – REPowerEU non-repayable financial support (ETS revenue)</w:t>
            </w:r>
          </w:p>
          <w:p w14:paraId="0EB9E571" w14:textId="77777777" w:rsidR="0082363E" w:rsidRPr="00896ADF" w:rsidRDefault="00491E8E" w:rsidP="00B979CA">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776945561"/>
                <w:placeholder>
                  <w:docPart w:val="F9D04AEB75B4460083F99922A999E1C8"/>
                </w:placeholder>
                <w14:checkbox>
                  <w14:checked w14:val="0"/>
                  <w14:checkedState w14:val="2612" w14:font="MS Gothic"/>
                  <w14:uncheckedState w14:val="2610" w14:font="MS Gothic"/>
                </w14:checkbox>
              </w:sdtPr>
              <w:sdtEndPr/>
              <w:sdtContent>
                <w:r w:rsidR="0082363E" w:rsidRPr="00896ADF">
                  <w:rPr>
                    <w:rFonts w:ascii="Segoe UI Symbol" w:eastAsia="Calibri" w:hAnsi="Segoe UI Symbol" w:cs="Segoe UI Symbol"/>
                    <w:noProof/>
                    <w:color w:val="2B579A"/>
                    <w:sz w:val="20"/>
                    <w:szCs w:val="20"/>
                    <w:shd w:val="clear" w:color="auto" w:fill="E6E6E6"/>
                    <w:lang w:val="en-IE"/>
                  </w:rPr>
                  <w:t>☐</w:t>
                </w:r>
              </w:sdtContent>
            </w:sdt>
            <w:r w:rsidR="0082363E" w:rsidRPr="00896ADF">
              <w:rPr>
                <w:rFonts w:ascii="Times New Roman" w:eastAsia="Calibri" w:hAnsi="Times New Roman" w:cs="Times New Roman"/>
                <w:noProof/>
                <w:sz w:val="20"/>
                <w:szCs w:val="20"/>
                <w:lang w:val="en-IE"/>
              </w:rPr>
              <w:t xml:space="preserve"> Article 21b (2) – BAR transfers</w:t>
            </w:r>
          </w:p>
          <w:p w14:paraId="0CA3D062" w14:textId="77777777" w:rsidR="0082363E" w:rsidRPr="00896ADF" w:rsidRDefault="0082363E" w:rsidP="00B979CA">
            <w:pPr>
              <w:jc w:val="both"/>
              <w:rPr>
                <w:rFonts w:ascii="Times New Roman" w:eastAsia="Calibri" w:hAnsi="Times New Roman" w:cs="Times New Roman"/>
                <w:noProof/>
                <w:sz w:val="20"/>
                <w:szCs w:val="20"/>
                <w:lang w:val="en-US"/>
              </w:rPr>
            </w:pPr>
            <w:r w:rsidRPr="00896ADF">
              <w:rPr>
                <w:rFonts w:ascii="Segoe UI Symbol" w:eastAsia="MS Gothic" w:hAnsi="Segoe UI Symbol" w:cs="Segoe UI Symbol"/>
                <w:noProof/>
                <w:sz w:val="20"/>
                <w:szCs w:val="20"/>
                <w:lang w:val="en-US"/>
              </w:rPr>
              <w:t>☐</w:t>
            </w:r>
            <w:r w:rsidRPr="00896ADF">
              <w:rPr>
                <w:rFonts w:ascii="Times New Roman" w:eastAsia="Calibri" w:hAnsi="Times New Roman" w:cs="Times New Roman"/>
                <w:noProof/>
                <w:sz w:val="20"/>
                <w:szCs w:val="20"/>
                <w:lang w:val="en-US"/>
              </w:rPr>
              <w:t xml:space="preserve"> None of the above, correction of clerical error</w:t>
            </w:r>
          </w:p>
          <w:p w14:paraId="037DF927" w14:textId="77777777" w:rsidR="0082363E" w:rsidRPr="00896ADF" w:rsidRDefault="0082363E" w:rsidP="00B979CA">
            <w:pPr>
              <w:jc w:val="both"/>
              <w:rPr>
                <w:rFonts w:ascii="Times New Roman" w:eastAsia="Calibri" w:hAnsi="Times New Roman" w:cs="Times New Roman"/>
                <w:noProof/>
                <w:sz w:val="20"/>
                <w:szCs w:val="20"/>
                <w:lang w:val="en-IE"/>
              </w:rPr>
            </w:pPr>
          </w:p>
        </w:tc>
      </w:tr>
      <w:tr w:rsidR="0082363E" w:rsidRPr="00896ADF" w14:paraId="385997F3" w14:textId="77777777" w:rsidTr="00B979CA">
        <w:tc>
          <w:tcPr>
            <w:tcW w:w="3227" w:type="dxa"/>
            <w:shd w:val="clear" w:color="auto" w:fill="BDD6EE"/>
          </w:tcPr>
          <w:p w14:paraId="3461ACB9" w14:textId="77777777" w:rsidR="0082363E" w:rsidRPr="00896ADF" w:rsidRDefault="0082363E" w:rsidP="00B979CA">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lastRenderedPageBreak/>
              <w:t>Elements modified (only for modified measures)</w:t>
            </w:r>
          </w:p>
          <w:p w14:paraId="222BFB6B" w14:textId="77777777" w:rsidR="0082363E" w:rsidRPr="00896ADF" w:rsidRDefault="0082363E" w:rsidP="00B979CA">
            <w:pPr>
              <w:jc w:val="both"/>
              <w:rPr>
                <w:rFonts w:ascii="Times New Roman" w:eastAsia="Calibri" w:hAnsi="Times New Roman" w:cs="Times New Roman"/>
                <w:b/>
                <w:bCs/>
                <w:noProof/>
                <w:sz w:val="24"/>
                <w:szCs w:val="24"/>
                <w:u w:val="single"/>
                <w:lang w:val="en-IE"/>
              </w:rPr>
            </w:pPr>
          </w:p>
        </w:tc>
        <w:tc>
          <w:tcPr>
            <w:tcW w:w="5939" w:type="dxa"/>
          </w:tcPr>
          <w:p w14:paraId="0C58F2EB" w14:textId="77777777" w:rsidR="0082363E" w:rsidRPr="00896ADF" w:rsidRDefault="00491E8E" w:rsidP="00B979C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73184310"/>
                <w14:checkbox>
                  <w14:checked w14:val="0"/>
                  <w14:checkedState w14:val="2612" w14:font="MS Gothic"/>
                  <w14:uncheckedState w14:val="2610" w14:font="MS Gothic"/>
                </w14:checkbox>
              </w:sdtPr>
              <w:sdtEndPr/>
              <w:sdtContent>
                <w:r w:rsidR="0082363E" w:rsidRPr="00896ADF">
                  <w:rPr>
                    <w:rFonts w:ascii="Segoe UI Symbol" w:eastAsia="Calibri" w:hAnsi="Segoe UI Symbol" w:cs="Segoe UI Symbol"/>
                    <w:noProof/>
                    <w:color w:val="2B579A"/>
                    <w:sz w:val="20"/>
                    <w:szCs w:val="20"/>
                    <w:shd w:val="clear" w:color="auto" w:fill="E6E6E6"/>
                    <w:lang w:val="en-US"/>
                  </w:rPr>
                  <w:t>☐</w:t>
                </w:r>
              </w:sdtContent>
            </w:sdt>
            <w:r w:rsidR="0082363E" w:rsidRPr="00896ADF">
              <w:rPr>
                <w:rFonts w:ascii="Times New Roman" w:eastAsia="Calibri" w:hAnsi="Times New Roman" w:cs="Times New Roman"/>
                <w:noProof/>
                <w:sz w:val="20"/>
                <w:szCs w:val="20"/>
                <w:lang w:val="en-US"/>
              </w:rPr>
              <w:t xml:space="preserve"> Component / Measure description</w:t>
            </w:r>
          </w:p>
          <w:p w14:paraId="4B6BD9F1" w14:textId="77777777" w:rsidR="0082363E" w:rsidRPr="00896ADF" w:rsidRDefault="00491E8E" w:rsidP="00B979C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913075381"/>
                <w:placeholder>
                  <w:docPart w:val="F9D04AEB75B4460083F99922A999E1C8"/>
                </w:placeholder>
                <w14:checkbox>
                  <w14:checked w14:val="1"/>
                  <w14:checkedState w14:val="2612" w14:font="MS Gothic"/>
                  <w14:uncheckedState w14:val="2610" w14:font="MS Gothic"/>
                </w14:checkbox>
              </w:sdtPr>
              <w:sdtEndPr/>
              <w:sdtContent>
                <w:r w:rsidR="0082363E" w:rsidRPr="00896ADF">
                  <w:rPr>
                    <w:rFonts w:ascii="MS Gothic" w:eastAsia="MS Gothic" w:hAnsi="MS Gothic" w:cs="Times New Roman" w:hint="eastAsia"/>
                    <w:noProof/>
                    <w:color w:val="2B579A"/>
                    <w:sz w:val="20"/>
                    <w:szCs w:val="20"/>
                    <w:shd w:val="clear" w:color="auto" w:fill="E6E6E6"/>
                    <w:lang w:val="en-US"/>
                  </w:rPr>
                  <w:t>☒</w:t>
                </w:r>
              </w:sdtContent>
            </w:sdt>
            <w:r w:rsidR="0082363E" w:rsidRPr="00896ADF">
              <w:rPr>
                <w:rFonts w:ascii="Times New Roman" w:eastAsia="Calibri" w:hAnsi="Times New Roman" w:cs="Times New Roman"/>
                <w:noProof/>
                <w:sz w:val="20"/>
                <w:szCs w:val="20"/>
                <w:lang w:val="en-US"/>
              </w:rPr>
              <w:t>Milestones and targets</w:t>
            </w:r>
          </w:p>
          <w:p w14:paraId="0394D1B7" w14:textId="44377466" w:rsidR="0082363E" w:rsidRPr="00896ADF" w:rsidRDefault="00491E8E" w:rsidP="00B979C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17397871"/>
                <w14:checkbox>
                  <w14:checked w14:val="0"/>
                  <w14:checkedState w14:val="2612" w14:font="MS Gothic"/>
                  <w14:uncheckedState w14:val="2610" w14:font="MS Gothic"/>
                </w14:checkbox>
              </w:sdtPr>
              <w:sdtEndPr/>
              <w:sdtContent>
                <w:r w:rsidR="0082363E" w:rsidRPr="00896ADF">
                  <w:rPr>
                    <w:rFonts w:ascii="MS Gothic" w:eastAsia="MS Gothic" w:hAnsi="MS Gothic" w:cs="Times New Roman" w:hint="eastAsia"/>
                    <w:noProof/>
                    <w:color w:val="2B579A"/>
                    <w:sz w:val="20"/>
                    <w:szCs w:val="20"/>
                    <w:shd w:val="clear" w:color="auto" w:fill="E6E6E6"/>
                    <w:lang w:val="en-US"/>
                  </w:rPr>
                  <w:t>☐</w:t>
                </w:r>
              </w:sdtContent>
            </w:sdt>
            <w:r w:rsidR="0082363E" w:rsidRPr="00896ADF">
              <w:rPr>
                <w:rFonts w:ascii="Times New Roman" w:eastAsia="Calibri" w:hAnsi="Times New Roman" w:cs="Times New Roman"/>
                <w:noProof/>
                <w:sz w:val="20"/>
                <w:szCs w:val="20"/>
                <w:lang w:val="en-US"/>
              </w:rPr>
              <w:t xml:space="preserve"> Estimated cost</w:t>
            </w:r>
          </w:p>
          <w:p w14:paraId="7F3E00D0" w14:textId="77777777" w:rsidR="0082363E" w:rsidRPr="00896ADF" w:rsidRDefault="00491E8E" w:rsidP="00B979CA">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68928159"/>
                <w14:checkbox>
                  <w14:checked w14:val="0"/>
                  <w14:checkedState w14:val="2612" w14:font="MS Gothic"/>
                  <w14:uncheckedState w14:val="2610" w14:font="MS Gothic"/>
                </w14:checkbox>
              </w:sdtPr>
              <w:sdtEndPr/>
              <w:sdtContent>
                <w:r w:rsidR="0082363E" w:rsidRPr="00896ADF">
                  <w:rPr>
                    <w:rFonts w:ascii="Segoe UI Symbol" w:eastAsia="Calibri" w:hAnsi="Segoe UI Symbol" w:cs="Segoe UI Symbol"/>
                    <w:noProof/>
                    <w:color w:val="2B579A"/>
                    <w:sz w:val="20"/>
                    <w:szCs w:val="20"/>
                    <w:shd w:val="clear" w:color="auto" w:fill="E6E6E6"/>
                    <w:lang w:val="en-US"/>
                  </w:rPr>
                  <w:t>☐</w:t>
                </w:r>
              </w:sdtContent>
            </w:sdt>
            <w:r w:rsidR="0082363E" w:rsidRPr="00896ADF">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08B239A1" w14:textId="77777777" w:rsidR="0082363E" w:rsidRPr="00896ADF" w:rsidRDefault="00491E8E" w:rsidP="00B979CA">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064458557"/>
                <w14:checkbox>
                  <w14:checked w14:val="0"/>
                  <w14:checkedState w14:val="2612" w14:font="MS Gothic"/>
                  <w14:uncheckedState w14:val="2610" w14:font="MS Gothic"/>
                </w14:checkbox>
              </w:sdtPr>
              <w:sdtEndPr/>
              <w:sdtContent>
                <w:r w:rsidR="0082363E" w:rsidRPr="00896ADF">
                  <w:rPr>
                    <w:rFonts w:ascii="Segoe UI Symbol" w:eastAsia="Calibri" w:hAnsi="Segoe UI Symbol" w:cs="Segoe UI Symbol"/>
                    <w:noProof/>
                    <w:color w:val="2B579A"/>
                    <w:sz w:val="20"/>
                    <w:szCs w:val="20"/>
                    <w:shd w:val="clear" w:color="auto" w:fill="E6E6E6"/>
                    <w:lang w:val="en-US"/>
                  </w:rPr>
                  <w:t>☐</w:t>
                </w:r>
              </w:sdtContent>
            </w:sdt>
            <w:r w:rsidR="0082363E" w:rsidRPr="00896ADF">
              <w:rPr>
                <w:rFonts w:ascii="Times New Roman" w:eastAsia="Calibri" w:hAnsi="Times New Roman" w:cs="Times New Roman"/>
                <w:noProof/>
                <w:sz w:val="20"/>
                <w:szCs w:val="20"/>
                <w:lang w:val="en-US"/>
              </w:rPr>
              <w:t xml:space="preserve"> DNSH self-assessment</w:t>
            </w:r>
          </w:p>
        </w:tc>
      </w:tr>
    </w:tbl>
    <w:p w14:paraId="60272389" w14:textId="77777777" w:rsidR="0082363E" w:rsidRPr="00896ADF" w:rsidRDefault="0082363E" w:rsidP="0082363E"/>
    <w:tbl>
      <w:tblPr>
        <w:tblStyle w:val="Mkatabulky"/>
        <w:tblW w:w="0" w:type="auto"/>
        <w:tblLook w:val="04A0" w:firstRow="1" w:lastRow="0" w:firstColumn="1" w:lastColumn="0" w:noHBand="0" w:noVBand="1"/>
      </w:tblPr>
      <w:tblGrid>
        <w:gridCol w:w="2235"/>
        <w:gridCol w:w="3260"/>
        <w:gridCol w:w="3747"/>
      </w:tblGrid>
      <w:tr w:rsidR="0082363E" w:rsidRPr="00896ADF" w14:paraId="6E2188FA" w14:textId="77777777" w:rsidTr="11F1BDA2">
        <w:tc>
          <w:tcPr>
            <w:tcW w:w="9242" w:type="dxa"/>
            <w:gridSpan w:val="3"/>
            <w:shd w:val="clear" w:color="auto" w:fill="1F3864"/>
          </w:tcPr>
          <w:p w14:paraId="588B2BF0" w14:textId="7D663049" w:rsidR="0082363E" w:rsidRPr="00896ADF" w:rsidRDefault="58C90BE6" w:rsidP="00B979CA">
            <w:pPr>
              <w:jc w:val="center"/>
              <w:rPr>
                <w:rFonts w:ascii="Times New Roman" w:eastAsia="Calibri" w:hAnsi="Times New Roman" w:cs="Times New Roman"/>
                <w:b/>
                <w:bCs/>
                <w:noProof/>
                <w:sz w:val="20"/>
                <w:szCs w:val="20"/>
                <w:lang w:val="en-IE"/>
              </w:rPr>
            </w:pPr>
            <w:r w:rsidRPr="00896ADF">
              <w:rPr>
                <w:rFonts w:ascii="Times New Roman" w:eastAsia="Calibri" w:hAnsi="Times New Roman" w:cs="Times New Roman"/>
                <w:b/>
                <w:bCs/>
                <w:noProof/>
                <w:sz w:val="20"/>
                <w:szCs w:val="20"/>
                <w:lang w:val="en-IE"/>
              </w:rPr>
              <w:t>Reform 3: Reform of long-term care</w:t>
            </w:r>
            <w:r w:rsidR="6558AAFC" w:rsidRPr="00896ADF">
              <w:rPr>
                <w:rFonts w:ascii="Times New Roman" w:eastAsia="Calibri" w:hAnsi="Times New Roman" w:cs="Times New Roman"/>
                <w:b/>
                <w:bCs/>
                <w:noProof/>
                <w:sz w:val="20"/>
                <w:szCs w:val="20"/>
                <w:lang w:val="en-IE"/>
              </w:rPr>
              <w:t xml:space="preserve"> – Target 193</w:t>
            </w:r>
          </w:p>
        </w:tc>
      </w:tr>
      <w:tr w:rsidR="0082363E" w:rsidRPr="00896ADF" w14:paraId="279B6B0A" w14:textId="77777777" w:rsidTr="11F1BDA2">
        <w:tc>
          <w:tcPr>
            <w:tcW w:w="9242" w:type="dxa"/>
            <w:gridSpan w:val="3"/>
            <w:shd w:val="clear" w:color="auto" w:fill="auto"/>
          </w:tcPr>
          <w:p w14:paraId="1790C327" w14:textId="77777777" w:rsidR="0082363E" w:rsidRPr="00896ADF" w:rsidRDefault="0082363E" w:rsidP="00B979CA">
            <w:pPr>
              <w:jc w:val="both"/>
              <w:rPr>
                <w:rFonts w:ascii="Times New Roman" w:eastAsia="Calibri" w:hAnsi="Times New Roman" w:cs="Times New Roman"/>
                <w:i/>
                <w:iCs/>
                <w:noProof/>
                <w:sz w:val="20"/>
                <w:szCs w:val="20"/>
                <w:lang w:val="en-IE"/>
              </w:rPr>
            </w:pPr>
            <w:r w:rsidRPr="00896ADF">
              <w:rPr>
                <w:rFonts w:ascii="Times New Roman" w:eastAsia="Calibri" w:hAnsi="Times New Roman" w:cs="Times New Roman"/>
                <w:i/>
                <w:iCs/>
                <w:noProof/>
                <w:sz w:val="20"/>
                <w:szCs w:val="20"/>
                <w:lang w:val="en-IE"/>
              </w:rPr>
              <w:t>Description and justification of the change</w:t>
            </w:r>
          </w:p>
        </w:tc>
      </w:tr>
      <w:tr w:rsidR="0082363E" w:rsidRPr="00896ADF" w14:paraId="005E73BD" w14:textId="77777777" w:rsidTr="11F1BDA2">
        <w:tc>
          <w:tcPr>
            <w:tcW w:w="2235" w:type="dxa"/>
            <w:shd w:val="clear" w:color="auto" w:fill="00B0F0"/>
          </w:tcPr>
          <w:p w14:paraId="10661722" w14:textId="77777777" w:rsidR="0082363E" w:rsidRPr="00896ADF" w:rsidRDefault="0082363E" w:rsidP="00B979CA">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3792252E" w14:textId="77777777" w:rsidR="0082363E" w:rsidRPr="00896ADF" w:rsidRDefault="0082363E" w:rsidP="00B979CA">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7CA92787" w14:textId="77777777" w:rsidR="0082363E" w:rsidRPr="00896ADF" w:rsidRDefault="0082363E" w:rsidP="00B979CA">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Amended version</w:t>
            </w:r>
          </w:p>
        </w:tc>
      </w:tr>
      <w:tr w:rsidR="0082363E" w:rsidRPr="00896ADF" w14:paraId="6674C6EC" w14:textId="77777777" w:rsidTr="11F1BDA2">
        <w:tc>
          <w:tcPr>
            <w:tcW w:w="2235" w:type="dxa"/>
          </w:tcPr>
          <w:p w14:paraId="428AB95B" w14:textId="77777777" w:rsidR="0082363E" w:rsidRPr="00896ADF" w:rsidRDefault="0082363E" w:rsidP="00B979CA">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EF5AB87" w14:textId="490B6134" w:rsidR="0082363E" w:rsidRPr="00896ADF" w:rsidRDefault="0082363E" w:rsidP="00B979CA">
            <w:pPr>
              <w:jc w:val="both"/>
              <w:rPr>
                <w:rFonts w:cstheme="minorHAnsi"/>
                <w:color w:val="000000" w:themeColor="text1"/>
                <w:sz w:val="20"/>
                <w:szCs w:val="20"/>
                <w:lang w:val="en-IE"/>
              </w:rPr>
            </w:pPr>
            <w:r w:rsidRPr="00896ADF">
              <w:rPr>
                <w:rFonts w:cstheme="minorHAnsi"/>
                <w:color w:val="000000" w:themeColor="text1"/>
                <w:sz w:val="20"/>
                <w:szCs w:val="20"/>
                <w:lang w:val="en-IE"/>
              </w:rPr>
              <w:t>No change</w:t>
            </w:r>
          </w:p>
        </w:tc>
        <w:tc>
          <w:tcPr>
            <w:tcW w:w="3747" w:type="dxa"/>
          </w:tcPr>
          <w:p w14:paraId="11C24F9C" w14:textId="549CD1C5" w:rsidR="0082363E" w:rsidRPr="00896ADF" w:rsidRDefault="0082363E" w:rsidP="00B979CA">
            <w:pPr>
              <w:jc w:val="both"/>
              <w:rPr>
                <w:rFonts w:cstheme="minorHAnsi"/>
                <w:color w:val="000000" w:themeColor="text1"/>
                <w:sz w:val="20"/>
                <w:szCs w:val="20"/>
                <w:lang w:val="en-IE"/>
              </w:rPr>
            </w:pPr>
            <w:r w:rsidRPr="00896ADF">
              <w:rPr>
                <w:rFonts w:cstheme="minorHAnsi"/>
                <w:color w:val="000000" w:themeColor="text1"/>
                <w:sz w:val="20"/>
                <w:szCs w:val="20"/>
                <w:lang w:val="en-IE"/>
              </w:rPr>
              <w:t>No change</w:t>
            </w:r>
          </w:p>
        </w:tc>
      </w:tr>
      <w:tr w:rsidR="0082363E" w:rsidRPr="00896ADF" w14:paraId="651071FC" w14:textId="77777777" w:rsidTr="11F1BDA2">
        <w:tc>
          <w:tcPr>
            <w:tcW w:w="2235" w:type="dxa"/>
          </w:tcPr>
          <w:p w14:paraId="29002EDE" w14:textId="77777777" w:rsidR="0082363E" w:rsidRPr="00896ADF" w:rsidRDefault="0082363E" w:rsidP="00B979CA">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Milestones and targets </w:t>
            </w:r>
          </w:p>
        </w:tc>
        <w:tc>
          <w:tcPr>
            <w:tcW w:w="3260" w:type="dxa"/>
          </w:tcPr>
          <w:p w14:paraId="77FF8A82" w14:textId="23AEE09F" w:rsidR="005C4FD3" w:rsidRPr="00896ADF" w:rsidRDefault="005C4FD3" w:rsidP="008B263A">
            <w:pPr>
              <w:jc w:val="both"/>
              <w:rPr>
                <w:rFonts w:cstheme="minorHAnsi"/>
                <w:color w:val="000000" w:themeColor="text1"/>
                <w:sz w:val="20"/>
                <w:szCs w:val="20"/>
                <w:lang w:val="en-IE"/>
              </w:rPr>
            </w:pPr>
            <w:r w:rsidRPr="00896ADF">
              <w:rPr>
                <w:rFonts w:cstheme="minorHAnsi"/>
                <w:color w:val="000000" w:themeColor="text1"/>
                <w:sz w:val="20"/>
                <w:szCs w:val="20"/>
                <w:lang w:val="en-IE"/>
              </w:rPr>
              <w:t>Entry into force of the law on long-term care</w:t>
            </w:r>
          </w:p>
          <w:p w14:paraId="1BFC95F4" w14:textId="77777777" w:rsidR="005C4FD3" w:rsidRPr="00896ADF" w:rsidRDefault="005C4FD3" w:rsidP="008B263A">
            <w:pPr>
              <w:jc w:val="both"/>
              <w:rPr>
                <w:rFonts w:cstheme="minorHAnsi"/>
                <w:color w:val="000000" w:themeColor="text1"/>
                <w:sz w:val="20"/>
                <w:szCs w:val="20"/>
                <w:lang w:val="en-IE"/>
              </w:rPr>
            </w:pPr>
          </w:p>
          <w:p w14:paraId="69C90927" w14:textId="21718B60" w:rsidR="008B263A" w:rsidRPr="00896ADF" w:rsidRDefault="008B263A" w:rsidP="008B263A">
            <w:pPr>
              <w:jc w:val="both"/>
              <w:rPr>
                <w:rFonts w:cstheme="minorHAnsi"/>
                <w:color w:val="000000" w:themeColor="text1"/>
                <w:sz w:val="20"/>
                <w:szCs w:val="20"/>
                <w:lang w:val="en-IE"/>
              </w:rPr>
            </w:pPr>
            <w:r w:rsidRPr="00896ADF">
              <w:rPr>
                <w:rFonts w:cstheme="minorHAnsi"/>
                <w:color w:val="000000" w:themeColor="text1"/>
                <w:sz w:val="20"/>
                <w:szCs w:val="20"/>
                <w:lang w:val="en-IE"/>
              </w:rPr>
              <w:t xml:space="preserve">The law on long-term care shall </w:t>
            </w:r>
          </w:p>
          <w:p w14:paraId="607106AB" w14:textId="77777777" w:rsidR="008B263A" w:rsidRPr="00896ADF" w:rsidRDefault="008B263A" w:rsidP="008B263A">
            <w:pPr>
              <w:jc w:val="both"/>
              <w:rPr>
                <w:rFonts w:cstheme="minorHAnsi"/>
                <w:color w:val="000000" w:themeColor="text1"/>
                <w:sz w:val="20"/>
                <w:szCs w:val="20"/>
                <w:lang w:val="en-IE"/>
              </w:rPr>
            </w:pPr>
            <w:r w:rsidRPr="00896ADF">
              <w:rPr>
                <w:rFonts w:cstheme="minorHAnsi"/>
                <w:color w:val="000000" w:themeColor="text1"/>
                <w:sz w:val="20"/>
                <w:szCs w:val="20"/>
                <w:lang w:val="en-IE"/>
              </w:rPr>
              <w:t>•</w:t>
            </w:r>
            <w:r w:rsidRPr="00896ADF">
              <w:rPr>
                <w:rFonts w:cstheme="minorHAnsi"/>
                <w:color w:val="000000" w:themeColor="text1"/>
                <w:sz w:val="20"/>
                <w:szCs w:val="20"/>
                <w:lang w:val="en-IE"/>
              </w:rPr>
              <w:tab/>
              <w:t xml:space="preserve">aim at integrating health and social long-term care; </w:t>
            </w:r>
          </w:p>
          <w:p w14:paraId="6B19B55F" w14:textId="77777777" w:rsidR="008B263A" w:rsidRPr="00896ADF" w:rsidRDefault="008B263A" w:rsidP="008B263A">
            <w:pPr>
              <w:jc w:val="both"/>
              <w:rPr>
                <w:rFonts w:cstheme="minorHAnsi"/>
                <w:color w:val="000000" w:themeColor="text1"/>
                <w:sz w:val="20"/>
                <w:szCs w:val="20"/>
                <w:lang w:val="en-IE"/>
              </w:rPr>
            </w:pPr>
            <w:r w:rsidRPr="00896ADF">
              <w:rPr>
                <w:rFonts w:cstheme="minorHAnsi"/>
                <w:color w:val="000000" w:themeColor="text1"/>
                <w:sz w:val="20"/>
                <w:szCs w:val="20"/>
                <w:lang w:val="en-IE"/>
              </w:rPr>
              <w:t>•</w:t>
            </w:r>
            <w:r w:rsidRPr="00896ADF">
              <w:rPr>
                <w:rFonts w:cstheme="minorHAnsi"/>
                <w:color w:val="000000" w:themeColor="text1"/>
                <w:sz w:val="20"/>
                <w:szCs w:val="20"/>
                <w:lang w:val="en-IE"/>
              </w:rPr>
              <w:tab/>
              <w:t>ensure high quality standards for all types of long-term care services;</w:t>
            </w:r>
          </w:p>
          <w:p w14:paraId="544FE2E4" w14:textId="77777777" w:rsidR="008B263A" w:rsidRPr="00896ADF" w:rsidRDefault="008B263A" w:rsidP="008B263A">
            <w:pPr>
              <w:jc w:val="both"/>
              <w:rPr>
                <w:rFonts w:cstheme="minorHAnsi"/>
                <w:color w:val="000000" w:themeColor="text1"/>
                <w:sz w:val="20"/>
                <w:szCs w:val="20"/>
                <w:lang w:val="en-IE"/>
              </w:rPr>
            </w:pPr>
            <w:r w:rsidRPr="00896ADF">
              <w:rPr>
                <w:rFonts w:cstheme="minorHAnsi"/>
                <w:color w:val="000000" w:themeColor="text1"/>
                <w:sz w:val="20"/>
                <w:szCs w:val="20"/>
                <w:lang w:val="en-IE"/>
              </w:rPr>
              <w:t>•</w:t>
            </w:r>
            <w:r w:rsidRPr="00896ADF">
              <w:rPr>
                <w:rFonts w:cstheme="minorHAnsi"/>
                <w:color w:val="000000" w:themeColor="text1"/>
                <w:sz w:val="20"/>
                <w:szCs w:val="20"/>
                <w:lang w:val="en-IE"/>
              </w:rPr>
              <w:tab/>
              <w:t>promote community-based care and home care ensuring independent living in natural environment ;</w:t>
            </w:r>
          </w:p>
          <w:p w14:paraId="17C01587" w14:textId="77777777" w:rsidR="008B263A" w:rsidRPr="00896ADF" w:rsidRDefault="008B263A" w:rsidP="008B263A">
            <w:pPr>
              <w:jc w:val="both"/>
              <w:rPr>
                <w:rFonts w:cstheme="minorHAnsi"/>
                <w:color w:val="000000" w:themeColor="text1"/>
                <w:sz w:val="20"/>
                <w:szCs w:val="20"/>
                <w:lang w:val="en-IE"/>
              </w:rPr>
            </w:pPr>
            <w:r w:rsidRPr="00896ADF">
              <w:rPr>
                <w:rFonts w:cstheme="minorHAnsi"/>
                <w:color w:val="000000" w:themeColor="text1"/>
                <w:sz w:val="20"/>
                <w:szCs w:val="20"/>
                <w:lang w:val="en-IE"/>
              </w:rPr>
              <w:t>•</w:t>
            </w:r>
            <w:r w:rsidRPr="00896ADF">
              <w:rPr>
                <w:rFonts w:cstheme="minorHAnsi"/>
                <w:color w:val="000000" w:themeColor="text1"/>
                <w:sz w:val="20"/>
                <w:szCs w:val="20"/>
                <w:lang w:val="en-IE"/>
              </w:rPr>
              <w:tab/>
              <w:t>ensure a stable system of adequate financing of the long-term care services, including for community-based and home care;</w:t>
            </w:r>
          </w:p>
          <w:p w14:paraId="3F06A792" w14:textId="77777777" w:rsidR="008B263A" w:rsidRPr="00896ADF" w:rsidRDefault="008B263A" w:rsidP="008B263A">
            <w:pPr>
              <w:jc w:val="both"/>
              <w:rPr>
                <w:rFonts w:cstheme="minorHAnsi"/>
                <w:color w:val="000000" w:themeColor="text1"/>
                <w:sz w:val="20"/>
                <w:szCs w:val="20"/>
                <w:lang w:val="en-IE"/>
              </w:rPr>
            </w:pPr>
            <w:r w:rsidRPr="00896ADF">
              <w:rPr>
                <w:rFonts w:cstheme="minorHAnsi"/>
                <w:color w:val="000000" w:themeColor="text1"/>
                <w:sz w:val="20"/>
                <w:szCs w:val="20"/>
                <w:lang w:val="en-IE"/>
              </w:rPr>
              <w:t>•</w:t>
            </w:r>
            <w:r w:rsidRPr="00896ADF">
              <w:rPr>
                <w:rFonts w:cstheme="minorHAnsi"/>
                <w:color w:val="000000" w:themeColor="text1"/>
                <w:sz w:val="20"/>
                <w:szCs w:val="20"/>
                <w:lang w:val="en-IE"/>
              </w:rPr>
              <w:tab/>
              <w:t>define rules on monitoring of quality of care, requirements for the staff (including qualifications) and equipment;</w:t>
            </w:r>
          </w:p>
          <w:p w14:paraId="5ABD826F" w14:textId="77777777" w:rsidR="0082363E" w:rsidRPr="00896ADF" w:rsidRDefault="008B263A" w:rsidP="008B263A">
            <w:pPr>
              <w:jc w:val="both"/>
              <w:rPr>
                <w:rFonts w:cstheme="minorHAnsi"/>
                <w:color w:val="000000" w:themeColor="text1"/>
                <w:sz w:val="20"/>
                <w:szCs w:val="20"/>
                <w:lang w:val="en-IE"/>
              </w:rPr>
            </w:pPr>
            <w:r w:rsidRPr="00896ADF">
              <w:rPr>
                <w:rFonts w:cstheme="minorHAnsi"/>
                <w:color w:val="000000" w:themeColor="text1"/>
                <w:sz w:val="20"/>
                <w:szCs w:val="20"/>
                <w:lang w:val="en-IE"/>
              </w:rPr>
              <w:t>•</w:t>
            </w:r>
            <w:r w:rsidRPr="00896ADF">
              <w:rPr>
                <w:rFonts w:cstheme="minorHAnsi"/>
                <w:color w:val="000000" w:themeColor="text1"/>
                <w:sz w:val="20"/>
                <w:szCs w:val="20"/>
                <w:lang w:val="en-IE"/>
              </w:rPr>
              <w:tab/>
              <w:t>allow for access of private LTC providers while applying the same rules and quality standards to all providers.</w:t>
            </w:r>
          </w:p>
          <w:p w14:paraId="5C891A7E" w14:textId="1A59783A" w:rsidR="008B263A" w:rsidRPr="00896ADF" w:rsidRDefault="005C4FD3" w:rsidP="11F1BDA2">
            <w:pPr>
              <w:jc w:val="both"/>
              <w:rPr>
                <w:color w:val="000000" w:themeColor="text1"/>
                <w:sz w:val="20"/>
                <w:szCs w:val="20"/>
                <w:lang w:val="en-IE"/>
              </w:rPr>
            </w:pPr>
            <w:r w:rsidRPr="00896ADF">
              <w:rPr>
                <w:color w:val="000000" w:themeColor="text1"/>
                <w:sz w:val="20"/>
                <w:szCs w:val="20"/>
                <w:lang w:val="en-IE"/>
              </w:rPr>
              <w:t>Q4/2023</w:t>
            </w:r>
          </w:p>
        </w:tc>
        <w:tc>
          <w:tcPr>
            <w:tcW w:w="3747" w:type="dxa"/>
          </w:tcPr>
          <w:p w14:paraId="26519B75" w14:textId="4308CDB1" w:rsidR="005C4FD3" w:rsidRPr="00896ADF" w:rsidRDefault="005C4FD3" w:rsidP="005C4FD3">
            <w:pPr>
              <w:jc w:val="both"/>
              <w:rPr>
                <w:rFonts w:cstheme="minorHAnsi"/>
                <w:color w:val="000000" w:themeColor="text1"/>
                <w:sz w:val="20"/>
                <w:szCs w:val="20"/>
                <w:lang w:val="en-IE"/>
              </w:rPr>
            </w:pPr>
            <w:r w:rsidRPr="00896ADF">
              <w:rPr>
                <w:rFonts w:cstheme="minorHAnsi"/>
                <w:color w:val="000000" w:themeColor="text1"/>
                <w:sz w:val="20"/>
                <w:szCs w:val="20"/>
                <w:lang w:val="en-IE"/>
              </w:rPr>
              <w:t>Entry into force of the law on long-term care</w:t>
            </w:r>
          </w:p>
          <w:p w14:paraId="71DDF263" w14:textId="77777777" w:rsidR="005C4FD3" w:rsidRPr="00896ADF" w:rsidRDefault="005C4FD3" w:rsidP="005C4FD3">
            <w:pPr>
              <w:jc w:val="both"/>
              <w:rPr>
                <w:rFonts w:cstheme="minorHAnsi"/>
                <w:color w:val="000000" w:themeColor="text1"/>
                <w:sz w:val="20"/>
                <w:szCs w:val="20"/>
                <w:lang w:val="en-IE"/>
              </w:rPr>
            </w:pPr>
          </w:p>
          <w:p w14:paraId="1DAD4CB6" w14:textId="15F71413" w:rsidR="005C4FD3" w:rsidRPr="00896ADF" w:rsidRDefault="7826A58B" w:rsidP="199B201F">
            <w:pPr>
              <w:jc w:val="both"/>
              <w:rPr>
                <w:color w:val="000000" w:themeColor="text1"/>
                <w:sz w:val="20"/>
                <w:szCs w:val="20"/>
                <w:lang w:val="en-IE"/>
              </w:rPr>
            </w:pPr>
            <w:r w:rsidRPr="00896ADF">
              <w:rPr>
                <w:color w:val="000000" w:themeColor="text1"/>
                <w:sz w:val="20"/>
                <w:szCs w:val="20"/>
                <w:lang w:val="en-IE"/>
              </w:rPr>
              <w:t>No change</w:t>
            </w:r>
          </w:p>
          <w:p w14:paraId="075ACE29" w14:textId="77777777" w:rsidR="005C4FD3" w:rsidRPr="00896ADF" w:rsidRDefault="005C4FD3" w:rsidP="005C4FD3">
            <w:pPr>
              <w:jc w:val="both"/>
              <w:rPr>
                <w:rFonts w:cstheme="minorHAnsi"/>
                <w:color w:val="000000" w:themeColor="text1"/>
                <w:sz w:val="20"/>
                <w:szCs w:val="20"/>
                <w:lang w:val="en-IE"/>
              </w:rPr>
            </w:pPr>
          </w:p>
          <w:p w14:paraId="3F3A2620" w14:textId="77777777" w:rsidR="005C4FD3" w:rsidRPr="00896ADF" w:rsidRDefault="005C4FD3" w:rsidP="005C4FD3">
            <w:pPr>
              <w:jc w:val="both"/>
              <w:rPr>
                <w:rFonts w:cstheme="minorHAnsi"/>
                <w:color w:val="000000" w:themeColor="text1"/>
                <w:sz w:val="20"/>
                <w:szCs w:val="20"/>
                <w:lang w:val="en-IE"/>
              </w:rPr>
            </w:pPr>
          </w:p>
          <w:p w14:paraId="796E2869" w14:textId="77777777" w:rsidR="005C4FD3" w:rsidRPr="00896ADF" w:rsidRDefault="005C4FD3" w:rsidP="005C4FD3">
            <w:pPr>
              <w:jc w:val="both"/>
              <w:rPr>
                <w:rFonts w:cstheme="minorHAnsi"/>
                <w:color w:val="000000" w:themeColor="text1"/>
                <w:sz w:val="20"/>
                <w:szCs w:val="20"/>
                <w:lang w:val="en-IE"/>
              </w:rPr>
            </w:pPr>
          </w:p>
          <w:p w14:paraId="3B863B5C" w14:textId="77777777" w:rsidR="005C4FD3" w:rsidRPr="00896ADF" w:rsidRDefault="005C4FD3" w:rsidP="005C4FD3">
            <w:pPr>
              <w:jc w:val="both"/>
              <w:rPr>
                <w:rFonts w:cstheme="minorHAnsi"/>
                <w:color w:val="000000" w:themeColor="text1"/>
                <w:sz w:val="20"/>
                <w:szCs w:val="20"/>
                <w:lang w:val="en-IE"/>
              </w:rPr>
            </w:pPr>
          </w:p>
          <w:p w14:paraId="7F143147" w14:textId="64D66790" w:rsidR="199B201F" w:rsidRPr="00896ADF" w:rsidRDefault="199B201F" w:rsidP="199B201F">
            <w:pPr>
              <w:jc w:val="both"/>
              <w:rPr>
                <w:color w:val="000000" w:themeColor="text1"/>
                <w:sz w:val="20"/>
                <w:szCs w:val="20"/>
                <w:lang w:val="en-IE"/>
              </w:rPr>
            </w:pPr>
          </w:p>
          <w:p w14:paraId="3724B8F3" w14:textId="5A0E784D" w:rsidR="199B201F" w:rsidRPr="00896ADF" w:rsidRDefault="199B201F" w:rsidP="199B201F">
            <w:pPr>
              <w:jc w:val="both"/>
              <w:rPr>
                <w:color w:val="000000" w:themeColor="text1"/>
                <w:sz w:val="20"/>
                <w:szCs w:val="20"/>
                <w:lang w:val="en-IE"/>
              </w:rPr>
            </w:pPr>
          </w:p>
          <w:p w14:paraId="41E2E238" w14:textId="11887CC0" w:rsidR="199B201F" w:rsidRPr="00896ADF" w:rsidRDefault="199B201F" w:rsidP="199B201F">
            <w:pPr>
              <w:jc w:val="both"/>
              <w:rPr>
                <w:color w:val="000000" w:themeColor="text1"/>
                <w:sz w:val="20"/>
                <w:szCs w:val="20"/>
                <w:lang w:val="en-IE"/>
              </w:rPr>
            </w:pPr>
          </w:p>
          <w:p w14:paraId="79ED665D" w14:textId="652CF78D" w:rsidR="199B201F" w:rsidRPr="00896ADF" w:rsidRDefault="199B201F" w:rsidP="199B201F">
            <w:pPr>
              <w:jc w:val="both"/>
              <w:rPr>
                <w:color w:val="000000" w:themeColor="text1"/>
                <w:sz w:val="20"/>
                <w:szCs w:val="20"/>
                <w:lang w:val="en-IE"/>
              </w:rPr>
            </w:pPr>
          </w:p>
          <w:p w14:paraId="1D027376" w14:textId="0976CCD1" w:rsidR="199B201F" w:rsidRPr="00896ADF" w:rsidRDefault="199B201F" w:rsidP="199B201F">
            <w:pPr>
              <w:jc w:val="both"/>
              <w:rPr>
                <w:color w:val="000000" w:themeColor="text1"/>
                <w:sz w:val="20"/>
                <w:szCs w:val="20"/>
                <w:lang w:val="en-IE"/>
              </w:rPr>
            </w:pPr>
          </w:p>
          <w:p w14:paraId="7AFF016B" w14:textId="7E1DAF8B" w:rsidR="199B201F" w:rsidRPr="00896ADF" w:rsidRDefault="199B201F" w:rsidP="199B201F">
            <w:pPr>
              <w:jc w:val="both"/>
              <w:rPr>
                <w:color w:val="000000" w:themeColor="text1"/>
                <w:sz w:val="20"/>
                <w:szCs w:val="20"/>
                <w:lang w:val="en-IE"/>
              </w:rPr>
            </w:pPr>
          </w:p>
          <w:p w14:paraId="6BF5F4E0" w14:textId="0B35B8C4" w:rsidR="199B201F" w:rsidRPr="00896ADF" w:rsidRDefault="199B201F" w:rsidP="199B201F">
            <w:pPr>
              <w:jc w:val="both"/>
              <w:rPr>
                <w:color w:val="000000" w:themeColor="text1"/>
                <w:sz w:val="20"/>
                <w:szCs w:val="20"/>
                <w:lang w:val="en-IE"/>
              </w:rPr>
            </w:pPr>
          </w:p>
          <w:p w14:paraId="373B21B4" w14:textId="4E831FA2" w:rsidR="199B201F" w:rsidRPr="00896ADF" w:rsidRDefault="199B201F" w:rsidP="199B201F">
            <w:pPr>
              <w:jc w:val="both"/>
              <w:rPr>
                <w:color w:val="000000" w:themeColor="text1"/>
                <w:sz w:val="20"/>
                <w:szCs w:val="20"/>
                <w:lang w:val="en-IE"/>
              </w:rPr>
            </w:pPr>
          </w:p>
          <w:p w14:paraId="0C6E1E80" w14:textId="196F44BE" w:rsidR="199B201F" w:rsidRPr="00896ADF" w:rsidRDefault="199B201F" w:rsidP="199B201F">
            <w:pPr>
              <w:jc w:val="both"/>
              <w:rPr>
                <w:color w:val="000000" w:themeColor="text1"/>
                <w:sz w:val="20"/>
                <w:szCs w:val="20"/>
                <w:lang w:val="en-IE"/>
              </w:rPr>
            </w:pPr>
          </w:p>
          <w:p w14:paraId="7BE47EDF" w14:textId="0C795085" w:rsidR="199B201F" w:rsidRPr="00896ADF" w:rsidRDefault="199B201F" w:rsidP="199B201F">
            <w:pPr>
              <w:jc w:val="both"/>
              <w:rPr>
                <w:color w:val="000000" w:themeColor="text1"/>
                <w:sz w:val="20"/>
                <w:szCs w:val="20"/>
                <w:lang w:val="en-IE"/>
              </w:rPr>
            </w:pPr>
          </w:p>
          <w:p w14:paraId="6F1F8521" w14:textId="1D730E38" w:rsidR="199B201F" w:rsidRPr="00896ADF" w:rsidRDefault="199B201F" w:rsidP="199B201F">
            <w:pPr>
              <w:jc w:val="both"/>
              <w:rPr>
                <w:color w:val="000000" w:themeColor="text1"/>
                <w:sz w:val="20"/>
                <w:szCs w:val="20"/>
                <w:lang w:val="en-IE"/>
              </w:rPr>
            </w:pPr>
          </w:p>
          <w:p w14:paraId="44DC23EB" w14:textId="5E153E02" w:rsidR="199B201F" w:rsidRPr="00896ADF" w:rsidRDefault="199B201F" w:rsidP="199B201F">
            <w:pPr>
              <w:jc w:val="both"/>
              <w:rPr>
                <w:color w:val="000000" w:themeColor="text1"/>
                <w:sz w:val="20"/>
                <w:szCs w:val="20"/>
                <w:lang w:val="en-IE"/>
              </w:rPr>
            </w:pPr>
          </w:p>
          <w:p w14:paraId="11B19792" w14:textId="7FA4BA59" w:rsidR="0082363E" w:rsidRPr="00896ADF" w:rsidRDefault="0DBC8758" w:rsidP="199B201F">
            <w:pPr>
              <w:jc w:val="both"/>
              <w:rPr>
                <w:color w:val="000000" w:themeColor="text1"/>
                <w:sz w:val="20"/>
                <w:szCs w:val="20"/>
                <w:lang w:val="en-IE"/>
              </w:rPr>
            </w:pPr>
            <w:r w:rsidRPr="00896ADF">
              <w:rPr>
                <w:color w:val="000000" w:themeColor="text1"/>
                <w:sz w:val="20"/>
                <w:szCs w:val="20"/>
                <w:lang w:val="en-IE"/>
              </w:rPr>
              <w:t>Q</w:t>
            </w:r>
            <w:r w:rsidR="00A5F2C1" w:rsidRPr="00896ADF">
              <w:rPr>
                <w:color w:val="000000" w:themeColor="text1"/>
                <w:sz w:val="20"/>
                <w:szCs w:val="20"/>
                <w:lang w:val="en-IE"/>
              </w:rPr>
              <w:t>4</w:t>
            </w:r>
            <w:r w:rsidRPr="00896ADF">
              <w:rPr>
                <w:color w:val="000000" w:themeColor="text1"/>
                <w:sz w:val="20"/>
                <w:szCs w:val="20"/>
                <w:lang w:val="en-IE"/>
              </w:rPr>
              <w:t>/202</w:t>
            </w:r>
            <w:r w:rsidR="29E908ED" w:rsidRPr="00896ADF">
              <w:rPr>
                <w:color w:val="000000" w:themeColor="text1"/>
                <w:sz w:val="20"/>
                <w:szCs w:val="20"/>
                <w:lang w:val="en-IE"/>
              </w:rPr>
              <w:t>4</w:t>
            </w:r>
          </w:p>
        </w:tc>
      </w:tr>
      <w:tr w:rsidR="0082363E" w:rsidRPr="00896ADF" w14:paraId="2CD938A4" w14:textId="77777777" w:rsidTr="11F1BDA2">
        <w:tc>
          <w:tcPr>
            <w:tcW w:w="2235" w:type="dxa"/>
          </w:tcPr>
          <w:p w14:paraId="42F1C85B" w14:textId="77777777" w:rsidR="0082363E" w:rsidRPr="00896ADF" w:rsidRDefault="0082363E" w:rsidP="00B979CA">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Estimated cost</w:t>
            </w:r>
          </w:p>
        </w:tc>
        <w:tc>
          <w:tcPr>
            <w:tcW w:w="3260" w:type="dxa"/>
          </w:tcPr>
          <w:p w14:paraId="50A035E8" w14:textId="27E11846" w:rsidR="0082363E" w:rsidRPr="00896ADF" w:rsidRDefault="0082363E" w:rsidP="00B979CA">
            <w:pPr>
              <w:jc w:val="both"/>
              <w:rPr>
                <w:rFonts w:cstheme="minorHAnsi"/>
                <w:color w:val="000000" w:themeColor="text1"/>
                <w:sz w:val="20"/>
                <w:szCs w:val="20"/>
                <w:lang w:val="en-IE"/>
              </w:rPr>
            </w:pPr>
            <w:r w:rsidRPr="00896ADF">
              <w:rPr>
                <w:rFonts w:cstheme="minorHAnsi"/>
                <w:color w:val="000000" w:themeColor="text1"/>
                <w:sz w:val="20"/>
                <w:szCs w:val="20"/>
                <w:lang w:val="en-IE"/>
              </w:rPr>
              <w:t>No change</w:t>
            </w:r>
          </w:p>
        </w:tc>
        <w:tc>
          <w:tcPr>
            <w:tcW w:w="3747" w:type="dxa"/>
          </w:tcPr>
          <w:p w14:paraId="2D40DFDF" w14:textId="77777777" w:rsidR="0082363E" w:rsidRPr="00896ADF" w:rsidRDefault="0082363E" w:rsidP="00B979CA">
            <w:pPr>
              <w:jc w:val="both"/>
              <w:rPr>
                <w:rFonts w:cstheme="minorHAnsi"/>
                <w:color w:val="000000" w:themeColor="text1"/>
                <w:sz w:val="20"/>
                <w:szCs w:val="20"/>
                <w:lang w:val="en-IE"/>
              </w:rPr>
            </w:pPr>
            <w:r w:rsidRPr="00896ADF">
              <w:rPr>
                <w:rFonts w:cstheme="minorHAnsi"/>
                <w:color w:val="000000" w:themeColor="text1"/>
                <w:sz w:val="20"/>
                <w:szCs w:val="20"/>
                <w:lang w:val="en-IE"/>
              </w:rPr>
              <w:t>No change</w:t>
            </w:r>
          </w:p>
        </w:tc>
      </w:tr>
      <w:tr w:rsidR="0082363E" w:rsidRPr="00896ADF" w14:paraId="4055E5C5" w14:textId="77777777" w:rsidTr="11F1BDA2">
        <w:tc>
          <w:tcPr>
            <w:tcW w:w="2235" w:type="dxa"/>
          </w:tcPr>
          <w:p w14:paraId="245EC21F" w14:textId="77777777" w:rsidR="0082363E" w:rsidRPr="00896ADF" w:rsidRDefault="0082363E" w:rsidP="00B979CA">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Green and digital tagging</w:t>
            </w:r>
          </w:p>
        </w:tc>
        <w:tc>
          <w:tcPr>
            <w:tcW w:w="3260" w:type="dxa"/>
          </w:tcPr>
          <w:p w14:paraId="6249F13B" w14:textId="77777777" w:rsidR="0082363E" w:rsidRPr="00896ADF" w:rsidRDefault="0082363E" w:rsidP="00B979CA">
            <w:pPr>
              <w:jc w:val="both"/>
              <w:rPr>
                <w:rFonts w:cstheme="minorHAnsi"/>
                <w:color w:val="000000" w:themeColor="text1"/>
                <w:sz w:val="20"/>
                <w:szCs w:val="20"/>
                <w:lang w:val="en-IE"/>
              </w:rPr>
            </w:pPr>
            <w:r w:rsidRPr="00896ADF">
              <w:rPr>
                <w:rFonts w:cstheme="minorHAnsi"/>
                <w:color w:val="000000" w:themeColor="text1"/>
                <w:sz w:val="20"/>
                <w:szCs w:val="20"/>
                <w:lang w:val="en-IE"/>
              </w:rPr>
              <w:t>No change</w:t>
            </w:r>
          </w:p>
        </w:tc>
        <w:tc>
          <w:tcPr>
            <w:tcW w:w="3747" w:type="dxa"/>
          </w:tcPr>
          <w:p w14:paraId="49B859B2" w14:textId="77777777" w:rsidR="0082363E" w:rsidRPr="00896ADF" w:rsidRDefault="0082363E" w:rsidP="00B979CA">
            <w:pPr>
              <w:jc w:val="both"/>
              <w:rPr>
                <w:rFonts w:cstheme="minorHAnsi"/>
                <w:color w:val="000000" w:themeColor="text1"/>
                <w:sz w:val="20"/>
                <w:szCs w:val="20"/>
                <w:lang w:val="en-IE"/>
              </w:rPr>
            </w:pPr>
            <w:r w:rsidRPr="00896ADF">
              <w:rPr>
                <w:rFonts w:cstheme="minorHAnsi"/>
                <w:color w:val="000000" w:themeColor="text1"/>
                <w:sz w:val="20"/>
                <w:szCs w:val="20"/>
                <w:lang w:val="en-IE"/>
              </w:rPr>
              <w:t>No change</w:t>
            </w:r>
          </w:p>
        </w:tc>
      </w:tr>
      <w:tr w:rsidR="0082363E" w:rsidRPr="00896ADF" w14:paraId="0670AB92" w14:textId="77777777" w:rsidTr="11F1BDA2">
        <w:tc>
          <w:tcPr>
            <w:tcW w:w="2235" w:type="dxa"/>
          </w:tcPr>
          <w:p w14:paraId="3A5C83D1" w14:textId="77777777" w:rsidR="0082363E" w:rsidRPr="00896ADF" w:rsidRDefault="0082363E" w:rsidP="00B979CA">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DNSH self-assessment</w:t>
            </w:r>
          </w:p>
        </w:tc>
        <w:tc>
          <w:tcPr>
            <w:tcW w:w="3260" w:type="dxa"/>
          </w:tcPr>
          <w:p w14:paraId="0A39CD2F" w14:textId="77777777" w:rsidR="0082363E" w:rsidRPr="00896ADF" w:rsidRDefault="0082363E" w:rsidP="00B979CA">
            <w:pPr>
              <w:jc w:val="both"/>
              <w:rPr>
                <w:rFonts w:cstheme="minorHAnsi"/>
                <w:color w:val="000000" w:themeColor="text1"/>
                <w:sz w:val="20"/>
                <w:szCs w:val="20"/>
                <w:lang w:val="en-IE"/>
              </w:rPr>
            </w:pPr>
            <w:r w:rsidRPr="00896ADF">
              <w:rPr>
                <w:rFonts w:cstheme="minorHAnsi"/>
                <w:color w:val="000000" w:themeColor="text1"/>
                <w:sz w:val="20"/>
                <w:szCs w:val="20"/>
                <w:lang w:val="en-IE"/>
              </w:rPr>
              <w:t>No change</w:t>
            </w:r>
          </w:p>
        </w:tc>
        <w:tc>
          <w:tcPr>
            <w:tcW w:w="3747" w:type="dxa"/>
          </w:tcPr>
          <w:p w14:paraId="668138E6" w14:textId="77777777" w:rsidR="0082363E" w:rsidRPr="00896ADF" w:rsidRDefault="0082363E" w:rsidP="00B979CA">
            <w:pPr>
              <w:jc w:val="both"/>
              <w:rPr>
                <w:rFonts w:cstheme="minorHAnsi"/>
                <w:color w:val="000000" w:themeColor="text1"/>
                <w:sz w:val="20"/>
                <w:szCs w:val="20"/>
                <w:lang w:val="en-IE"/>
              </w:rPr>
            </w:pPr>
            <w:r w:rsidRPr="00896ADF">
              <w:rPr>
                <w:rFonts w:cstheme="minorHAnsi"/>
                <w:color w:val="000000" w:themeColor="text1"/>
                <w:sz w:val="20"/>
                <w:szCs w:val="20"/>
                <w:lang w:val="en-IE"/>
              </w:rPr>
              <w:t>No change</w:t>
            </w:r>
          </w:p>
        </w:tc>
      </w:tr>
    </w:tbl>
    <w:p w14:paraId="72BCA691" w14:textId="0A5DA229" w:rsidR="0082363E" w:rsidRPr="00896ADF" w:rsidRDefault="0082363E" w:rsidP="00CA545B">
      <w:pPr>
        <w:spacing w:before="100" w:beforeAutospacing="1" w:after="100" w:afterAutospacing="1"/>
        <w:jc w:val="both"/>
        <w:rPr>
          <w:b/>
          <w:bCs/>
          <w:sz w:val="20"/>
          <w:szCs w:val="20"/>
        </w:rPr>
      </w:pPr>
    </w:p>
    <w:p w14:paraId="5FCE306C" w14:textId="2E452B03" w:rsidR="005C4FD3" w:rsidRPr="00896ADF" w:rsidRDefault="005C4FD3" w:rsidP="005C4FD3">
      <w:pPr>
        <w:jc w:val="both"/>
        <w:rPr>
          <w:sz w:val="18"/>
          <w:szCs w:val="18"/>
        </w:rPr>
      </w:pPr>
      <w:r w:rsidRPr="00896ADF">
        <w:rPr>
          <w:sz w:val="18"/>
          <w:szCs w:val="18"/>
        </w:rPr>
        <w:t>The Czech Republic, represented by the Ministry of Labour and Social Affairs, requests for Measure No. 193 "Reform No. 3: Reform in the field of long-term care" to postpone the deadline of the milestone "Adoption of the Long-Term Care Act", which is currently set for Q4 2023, to a new deadline of Q</w:t>
      </w:r>
      <w:r w:rsidR="517636DA" w:rsidRPr="00896ADF">
        <w:rPr>
          <w:sz w:val="18"/>
          <w:szCs w:val="18"/>
        </w:rPr>
        <w:t>4</w:t>
      </w:r>
      <w:r w:rsidRPr="00896ADF">
        <w:rPr>
          <w:sz w:val="18"/>
          <w:szCs w:val="18"/>
        </w:rPr>
        <w:t xml:space="preserve"> 202</w:t>
      </w:r>
      <w:r w:rsidR="54D123D4" w:rsidRPr="00896ADF">
        <w:rPr>
          <w:sz w:val="18"/>
          <w:szCs w:val="18"/>
        </w:rPr>
        <w:t>4</w:t>
      </w:r>
      <w:r w:rsidRPr="00896ADF">
        <w:rPr>
          <w:sz w:val="18"/>
          <w:szCs w:val="18"/>
        </w:rPr>
        <w:t>.</w:t>
      </w:r>
    </w:p>
    <w:p w14:paraId="04248DE8" w14:textId="77777777" w:rsidR="005C4FD3" w:rsidRPr="00896ADF" w:rsidRDefault="005C4FD3" w:rsidP="005C4FD3">
      <w:pPr>
        <w:jc w:val="both"/>
        <w:rPr>
          <w:sz w:val="18"/>
          <w:szCs w:val="18"/>
        </w:rPr>
      </w:pPr>
      <w:r w:rsidRPr="00896ADF">
        <w:rPr>
          <w:sz w:val="18"/>
          <w:szCs w:val="18"/>
        </w:rPr>
        <w:t>Rationale: The Ministry of Labour and Social Affairs is currently working on comprehensive fundamental reform legislation affecting three areas:</w:t>
      </w:r>
    </w:p>
    <w:p w14:paraId="0964BBA0" w14:textId="77777777" w:rsidR="005C4FD3" w:rsidRPr="00896ADF" w:rsidRDefault="005C4FD3" w:rsidP="005C4FD3">
      <w:pPr>
        <w:jc w:val="both"/>
        <w:rPr>
          <w:sz w:val="18"/>
          <w:szCs w:val="18"/>
        </w:rPr>
      </w:pPr>
    </w:p>
    <w:p w14:paraId="787EA165" w14:textId="77777777" w:rsidR="005C4FD3" w:rsidRPr="00896ADF" w:rsidRDefault="005C4FD3" w:rsidP="00896ADF">
      <w:pPr>
        <w:pStyle w:val="Odstavecseseznamem"/>
        <w:numPr>
          <w:ilvl w:val="0"/>
          <w:numId w:val="20"/>
        </w:numPr>
        <w:spacing w:line="259" w:lineRule="auto"/>
        <w:jc w:val="both"/>
        <w:rPr>
          <w:sz w:val="18"/>
          <w:szCs w:val="18"/>
          <w:lang w:val="en-GB"/>
        </w:rPr>
      </w:pPr>
      <w:r w:rsidRPr="00896ADF">
        <w:rPr>
          <w:sz w:val="18"/>
          <w:szCs w:val="18"/>
          <w:lang w:val="en-GB"/>
        </w:rPr>
        <w:t xml:space="preserve">reform of social services, </w:t>
      </w:r>
    </w:p>
    <w:p w14:paraId="2D028957" w14:textId="77777777" w:rsidR="005C4FD3" w:rsidRPr="00896ADF" w:rsidRDefault="005C4FD3" w:rsidP="00896ADF">
      <w:pPr>
        <w:pStyle w:val="Odstavecseseznamem"/>
        <w:numPr>
          <w:ilvl w:val="0"/>
          <w:numId w:val="20"/>
        </w:numPr>
        <w:spacing w:line="259" w:lineRule="auto"/>
        <w:jc w:val="both"/>
        <w:rPr>
          <w:sz w:val="18"/>
          <w:szCs w:val="18"/>
          <w:lang w:val="en-GB"/>
        </w:rPr>
      </w:pPr>
      <w:r w:rsidRPr="00896ADF">
        <w:rPr>
          <w:sz w:val="18"/>
          <w:szCs w:val="18"/>
          <w:lang w:val="en-GB"/>
        </w:rPr>
        <w:t>reform of the legal framework for the regulation of social workers and social service workers; and</w:t>
      </w:r>
    </w:p>
    <w:p w14:paraId="555BACF0" w14:textId="77777777" w:rsidR="005C4FD3" w:rsidRPr="00896ADF" w:rsidRDefault="005C4FD3" w:rsidP="00896ADF">
      <w:pPr>
        <w:pStyle w:val="Odstavecseseznamem"/>
        <w:numPr>
          <w:ilvl w:val="0"/>
          <w:numId w:val="20"/>
        </w:numPr>
        <w:spacing w:line="259" w:lineRule="auto"/>
        <w:jc w:val="both"/>
        <w:rPr>
          <w:sz w:val="18"/>
          <w:szCs w:val="18"/>
          <w:lang w:val="en-GB"/>
        </w:rPr>
      </w:pPr>
      <w:r w:rsidRPr="00896ADF">
        <w:rPr>
          <w:sz w:val="18"/>
          <w:szCs w:val="18"/>
          <w:lang w:val="en-GB"/>
        </w:rPr>
        <w:t>reform of child protection and family support.</w:t>
      </w:r>
    </w:p>
    <w:p w14:paraId="4522B6DE" w14:textId="4BCB3862" w:rsidR="005C4FD3" w:rsidRPr="00896ADF" w:rsidRDefault="005C4FD3" w:rsidP="199B201F">
      <w:pPr>
        <w:spacing w:before="100" w:beforeAutospacing="1" w:after="100" w:afterAutospacing="1"/>
        <w:jc w:val="both"/>
        <w:rPr>
          <w:sz w:val="18"/>
          <w:szCs w:val="18"/>
        </w:rPr>
      </w:pPr>
      <w:r w:rsidRPr="00896ADF">
        <w:rPr>
          <w:sz w:val="18"/>
          <w:szCs w:val="18"/>
        </w:rPr>
        <w:lastRenderedPageBreak/>
        <w:t xml:space="preserve">All three laws will be submitted to the Government of the Czech Republic at the turn of 2023/2024 and the legislative process will start in Q1 2024. The reforms are scheduled to take effect </w:t>
      </w:r>
      <w:r w:rsidR="58B2D81D" w:rsidRPr="00896ADF">
        <w:rPr>
          <w:sz w:val="18"/>
          <w:szCs w:val="18"/>
        </w:rPr>
        <w:t>on</w:t>
      </w:r>
      <w:r w:rsidR="2BBC5010" w:rsidRPr="00896ADF">
        <w:rPr>
          <w:sz w:val="18"/>
          <w:szCs w:val="18"/>
        </w:rPr>
        <w:t xml:space="preserve"> January 1, 2025.</w:t>
      </w:r>
    </w:p>
    <w:p w14:paraId="2A8A9FB5" w14:textId="231DB208" w:rsidR="005C4FD3" w:rsidRPr="00896ADF" w:rsidRDefault="005C4FD3" w:rsidP="005C4FD3">
      <w:pPr>
        <w:spacing w:before="100" w:beforeAutospacing="1" w:after="100" w:afterAutospacing="1"/>
        <w:jc w:val="both"/>
        <w:rPr>
          <w:b/>
          <w:bCs/>
          <w:sz w:val="20"/>
          <w:szCs w:val="20"/>
        </w:rPr>
      </w:pPr>
      <w:r w:rsidRPr="00896ADF">
        <w:rPr>
          <w:rFonts w:cstheme="minorHAnsi"/>
          <w:sz w:val="20"/>
          <w:szCs w:val="20"/>
          <w:lang w:val="en-IE"/>
        </w:rPr>
        <w:t>The first two laws are very closely related to the area of long-term care, because although this issue is anchored in several legal norms in the Czech Republic, the Social Services Act is the key one. The planned changes in the area of social services and regulation of social workers and social service workers are aimed, among other things, at improving access to affordable high-quality long-term care, including adjustments in areas such as the quality of care provided or setting up appropriate mechanisms to link and coordinate the previously separate spheres of social and health care aimed at improving the quality of life of persons. In addition, these reforms are also intended to address the currently inequitable financial remuneration of workers, both on the basis of gender and employer (public administration x non-profit sector x private sector).</w:t>
      </w:r>
    </w:p>
    <w:p w14:paraId="4CB157C7" w14:textId="32AF7651" w:rsidR="005C4FD3" w:rsidRPr="00896ADF" w:rsidRDefault="005C4FD3" w:rsidP="199B201F">
      <w:pPr>
        <w:spacing w:after="0"/>
        <w:jc w:val="both"/>
        <w:rPr>
          <w:sz w:val="18"/>
          <w:szCs w:val="18"/>
        </w:rPr>
      </w:pPr>
      <w:r w:rsidRPr="00896ADF">
        <w:rPr>
          <w:sz w:val="18"/>
          <w:szCs w:val="18"/>
        </w:rPr>
        <w:t>While finalizing the mentioned laws, we found that it is very inefficient to solve the reform of social services and long-term care separately, and it is also now evident that it is risky to create personnel standards in the conditions of long-term care, if the reform legislation addressing the status of social workers and workers is not completed in social services.</w:t>
      </w:r>
      <w:r w:rsidR="52F35A87" w:rsidRPr="00896ADF">
        <w:rPr>
          <w:rFonts w:ascii="Calibri" w:eastAsia="Calibri" w:hAnsi="Calibri" w:cs="Calibri"/>
          <w:color w:val="FF0000"/>
          <w:sz w:val="18"/>
          <w:szCs w:val="18"/>
        </w:rPr>
        <w:t xml:space="preserve"> Konkrétně se jedná o tyto oblasti:</w:t>
      </w:r>
    </w:p>
    <w:p w14:paraId="12455E4D" w14:textId="172EA453" w:rsidR="005C4FD3" w:rsidRPr="00896ADF" w:rsidRDefault="52F35A87" w:rsidP="00896ADF">
      <w:pPr>
        <w:pStyle w:val="Odstavecseseznamem"/>
        <w:numPr>
          <w:ilvl w:val="0"/>
          <w:numId w:val="1"/>
        </w:numPr>
        <w:spacing w:after="0"/>
        <w:jc w:val="both"/>
        <w:rPr>
          <w:rFonts w:ascii="Calibri" w:eastAsia="Calibri" w:hAnsi="Calibri" w:cs="Calibri"/>
          <w:color w:val="FF0000"/>
          <w:sz w:val="18"/>
          <w:szCs w:val="18"/>
          <w:lang w:val="en-GB"/>
        </w:rPr>
      </w:pPr>
      <w:r w:rsidRPr="00896ADF">
        <w:rPr>
          <w:rFonts w:ascii="Calibri" w:eastAsia="Calibri" w:hAnsi="Calibri" w:cs="Calibri"/>
          <w:color w:val="FF0000"/>
          <w:sz w:val="18"/>
          <w:szCs w:val="18"/>
          <w:lang w:val="en-GB"/>
        </w:rPr>
        <w:t>posílení sociální práce na obcích, jako základního nástroje pomoci v území, ve vlastním prostředí občanů,</w:t>
      </w:r>
    </w:p>
    <w:p w14:paraId="052449E2" w14:textId="6F3CF336" w:rsidR="005C4FD3" w:rsidRPr="00896ADF" w:rsidRDefault="52F35A87" w:rsidP="00896ADF">
      <w:pPr>
        <w:pStyle w:val="Odstavecseseznamem"/>
        <w:numPr>
          <w:ilvl w:val="0"/>
          <w:numId w:val="1"/>
        </w:numPr>
        <w:spacing w:after="0"/>
        <w:jc w:val="both"/>
        <w:rPr>
          <w:rFonts w:ascii="Calibri" w:eastAsia="Calibri" w:hAnsi="Calibri" w:cs="Calibri"/>
          <w:color w:val="FF0000"/>
          <w:sz w:val="18"/>
          <w:szCs w:val="18"/>
          <w:lang w:val="en-GB"/>
        </w:rPr>
      </w:pPr>
      <w:r w:rsidRPr="00896ADF">
        <w:rPr>
          <w:rFonts w:ascii="Calibri" w:eastAsia="Calibri" w:hAnsi="Calibri" w:cs="Calibri"/>
          <w:color w:val="FF0000"/>
          <w:sz w:val="18"/>
          <w:szCs w:val="18"/>
          <w:lang w:val="en-GB"/>
        </w:rPr>
        <w:t xml:space="preserve">vytvoření účinného nástroje jednotného a koordinovaného sběru dat, jako základního nástroje pro plánování dostupnosti efektivní, kvalitní a cenově dostupné pomoci, </w:t>
      </w:r>
    </w:p>
    <w:p w14:paraId="36D6FC0C" w14:textId="796E3E77" w:rsidR="005C4FD3" w:rsidRPr="00896ADF" w:rsidRDefault="52F35A87" w:rsidP="00896ADF">
      <w:pPr>
        <w:pStyle w:val="Odstavecseseznamem"/>
        <w:numPr>
          <w:ilvl w:val="0"/>
          <w:numId w:val="1"/>
        </w:numPr>
        <w:spacing w:after="0"/>
        <w:jc w:val="both"/>
        <w:rPr>
          <w:rFonts w:ascii="Calibri" w:eastAsia="Calibri" w:hAnsi="Calibri" w:cs="Calibri"/>
          <w:color w:val="FF0000"/>
          <w:sz w:val="18"/>
          <w:szCs w:val="18"/>
          <w:lang w:val="en-GB"/>
        </w:rPr>
      </w:pPr>
      <w:r w:rsidRPr="00896ADF">
        <w:rPr>
          <w:rFonts w:ascii="Calibri" w:eastAsia="Calibri" w:hAnsi="Calibri" w:cs="Calibri"/>
          <w:color w:val="FF0000"/>
          <w:sz w:val="18"/>
          <w:szCs w:val="18"/>
          <w:lang w:val="en-GB"/>
        </w:rPr>
        <w:t>vytvoření účinného nástroje flexibilní pomoci v území, který bude reagovat na individuální potřebu pomoci,</w:t>
      </w:r>
    </w:p>
    <w:p w14:paraId="04CF3700" w14:textId="51C0FF4A" w:rsidR="005C4FD3" w:rsidRPr="00896ADF" w:rsidRDefault="52F35A87" w:rsidP="00896ADF">
      <w:pPr>
        <w:pStyle w:val="Odstavecseseznamem"/>
        <w:numPr>
          <w:ilvl w:val="0"/>
          <w:numId w:val="1"/>
        </w:numPr>
        <w:spacing w:after="0"/>
        <w:jc w:val="both"/>
        <w:rPr>
          <w:rFonts w:ascii="Calibri" w:eastAsia="Calibri" w:hAnsi="Calibri" w:cs="Calibri"/>
          <w:color w:val="FF0000"/>
          <w:sz w:val="18"/>
          <w:szCs w:val="18"/>
          <w:lang w:val="en-GB"/>
        </w:rPr>
      </w:pPr>
      <w:r w:rsidRPr="00896ADF">
        <w:rPr>
          <w:rFonts w:ascii="Calibri" w:eastAsia="Calibri" w:hAnsi="Calibri" w:cs="Calibri"/>
          <w:color w:val="FF0000"/>
          <w:sz w:val="18"/>
          <w:szCs w:val="18"/>
          <w:lang w:val="en-GB"/>
        </w:rPr>
        <w:t>zjednodušení dvojí sociálně zdravotní agendy</w:t>
      </w:r>
    </w:p>
    <w:p w14:paraId="37854634" w14:textId="3CC9060F" w:rsidR="005C4FD3" w:rsidRPr="00896ADF" w:rsidRDefault="52F35A87" w:rsidP="199B201F">
      <w:pPr>
        <w:jc w:val="both"/>
        <w:rPr>
          <w:rFonts w:ascii="Calibri" w:eastAsia="Calibri" w:hAnsi="Calibri" w:cs="Calibri"/>
          <w:sz w:val="18"/>
          <w:szCs w:val="18"/>
        </w:rPr>
      </w:pPr>
      <w:r w:rsidRPr="00896ADF">
        <w:rPr>
          <w:rFonts w:ascii="Calibri" w:eastAsia="Calibri" w:hAnsi="Calibri" w:cs="Calibri"/>
          <w:color w:val="FF0000"/>
          <w:sz w:val="18"/>
          <w:szCs w:val="18"/>
        </w:rPr>
        <w:t>Nyní probíhají velmi intenzivní spolupráce všech aktérů  (municipality lokální a regionální, poskytovatelé, pacientské a klientské organizace, ministerstva, profesní spolky, asociace, akademická sféra, odborníci). Je předpoklad větší a velmi efektivní změny</w:t>
      </w:r>
    </w:p>
    <w:p w14:paraId="0EE31787" w14:textId="77777777" w:rsidR="005C4FD3" w:rsidRPr="00896ADF" w:rsidRDefault="005C4FD3" w:rsidP="005C4FD3">
      <w:pPr>
        <w:jc w:val="both"/>
        <w:rPr>
          <w:sz w:val="18"/>
          <w:szCs w:val="18"/>
        </w:rPr>
      </w:pPr>
      <w:r w:rsidRPr="00896ADF">
        <w:rPr>
          <w:sz w:val="18"/>
          <w:szCs w:val="18"/>
        </w:rPr>
        <w:t>For these reasons, we would like to request a postponement of the deadline for meeting the mentioned milestone, so that the legal regulation of the field of long-term care can be coordinated in terms of time and content with a comprehensive package of reform regulations, including mutual interdependence, since these two areas cannot be dealt with separately.</w:t>
      </w:r>
    </w:p>
    <w:p w14:paraId="390A5954" w14:textId="77777777" w:rsidR="005C4FD3" w:rsidRPr="00896ADF" w:rsidRDefault="005C4FD3" w:rsidP="005C4FD3">
      <w:pPr>
        <w:jc w:val="both"/>
        <w:rPr>
          <w:sz w:val="18"/>
          <w:szCs w:val="18"/>
        </w:rPr>
      </w:pPr>
      <w:r w:rsidRPr="00896ADF">
        <w:rPr>
          <w:sz w:val="18"/>
          <w:szCs w:val="18"/>
        </w:rPr>
        <w:t>If our request is approved, we would continuously inform the European Commission about the fulfilment of individual partial steps (submission of legislation to the government, approval of legislation by the government, initiation and termination of the legislative process).</w:t>
      </w:r>
    </w:p>
    <w:p w14:paraId="0E8FCDDB" w14:textId="77777777" w:rsidR="00015FA9" w:rsidRPr="00896ADF" w:rsidRDefault="00015FA9" w:rsidP="00015FA9"/>
    <w:tbl>
      <w:tblPr>
        <w:tblStyle w:val="Mkatabulky"/>
        <w:tblW w:w="0" w:type="auto"/>
        <w:tblLook w:val="04A0" w:firstRow="1" w:lastRow="0" w:firstColumn="1" w:lastColumn="0" w:noHBand="0" w:noVBand="1"/>
      </w:tblPr>
      <w:tblGrid>
        <w:gridCol w:w="3227"/>
        <w:gridCol w:w="5939"/>
      </w:tblGrid>
      <w:tr w:rsidR="0023565A" w:rsidRPr="00896ADF" w14:paraId="623F3CC0" w14:textId="77777777" w:rsidTr="49A58454">
        <w:tc>
          <w:tcPr>
            <w:tcW w:w="9166" w:type="dxa"/>
            <w:gridSpan w:val="2"/>
            <w:shd w:val="clear" w:color="auto" w:fill="1F3864"/>
          </w:tcPr>
          <w:p w14:paraId="696852D9" w14:textId="77777777" w:rsidR="0023565A" w:rsidRPr="00896ADF" w:rsidRDefault="005A3470" w:rsidP="003B0E30">
            <w:pPr>
              <w:jc w:val="center"/>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Component 3.3 MODERNISATION OF EMPLOYMENT SERVICES AND LABOUR MARKET DEVELOPMENT</w:t>
            </w:r>
          </w:p>
        </w:tc>
      </w:tr>
      <w:tr w:rsidR="0023565A" w:rsidRPr="00896ADF" w14:paraId="22D75D4E" w14:textId="77777777" w:rsidTr="49A58454">
        <w:tc>
          <w:tcPr>
            <w:tcW w:w="3227" w:type="dxa"/>
            <w:shd w:val="clear" w:color="auto" w:fill="00B0F0"/>
          </w:tcPr>
          <w:p w14:paraId="2F0A7D80" w14:textId="77777777" w:rsidR="0023565A" w:rsidRPr="00896ADF" w:rsidRDefault="0023565A"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407D529E" w14:textId="77777777" w:rsidR="0023565A" w:rsidRPr="00896ADF" w:rsidRDefault="00BF2584"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Investment 3</w:t>
            </w:r>
          </w:p>
        </w:tc>
      </w:tr>
      <w:tr w:rsidR="0023565A" w:rsidRPr="00896ADF" w14:paraId="201EEA70" w14:textId="77777777" w:rsidTr="49A58454">
        <w:tc>
          <w:tcPr>
            <w:tcW w:w="3227" w:type="dxa"/>
            <w:shd w:val="clear" w:color="auto" w:fill="00B0F0"/>
          </w:tcPr>
          <w:p w14:paraId="3B232E03" w14:textId="77777777" w:rsidR="0023565A" w:rsidRPr="00896ADF" w:rsidRDefault="0023565A"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4FA8F72A" w14:textId="77777777" w:rsidR="0023565A" w:rsidRPr="00896ADF" w:rsidRDefault="00BF2584"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Development and modernisation of social care infrastructure</w:t>
            </w:r>
          </w:p>
        </w:tc>
      </w:tr>
      <w:tr w:rsidR="0023565A" w:rsidRPr="00896ADF" w14:paraId="3D996012" w14:textId="77777777" w:rsidTr="49A58454">
        <w:tc>
          <w:tcPr>
            <w:tcW w:w="3227" w:type="dxa"/>
            <w:shd w:val="clear" w:color="auto" w:fill="BDD6EE"/>
          </w:tcPr>
          <w:p w14:paraId="5D149EE8" w14:textId="77777777" w:rsidR="0023565A" w:rsidRPr="00896ADF" w:rsidRDefault="0023565A"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Type of change compared to CID</w:t>
            </w:r>
          </w:p>
        </w:tc>
        <w:tc>
          <w:tcPr>
            <w:tcW w:w="5939" w:type="dxa"/>
          </w:tcPr>
          <w:p w14:paraId="7B210A69" w14:textId="77777777" w:rsidR="0023565A" w:rsidRPr="00896ADF" w:rsidRDefault="0023565A"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noProof/>
                <w:sz w:val="20"/>
                <w:szCs w:val="20"/>
                <w:lang w:val="en-US"/>
              </w:rPr>
              <w:t>[modified]</w:t>
            </w:r>
          </w:p>
        </w:tc>
      </w:tr>
      <w:tr w:rsidR="0023565A" w:rsidRPr="00896ADF" w14:paraId="2C1982F1" w14:textId="77777777" w:rsidTr="49A58454">
        <w:tc>
          <w:tcPr>
            <w:tcW w:w="3227" w:type="dxa"/>
            <w:shd w:val="clear" w:color="auto" w:fill="BDD6EE"/>
          </w:tcPr>
          <w:p w14:paraId="40076B2E" w14:textId="77777777" w:rsidR="0023565A" w:rsidRPr="00896ADF" w:rsidRDefault="0023565A"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Legal base of the change (select at least one)</w:t>
            </w:r>
          </w:p>
        </w:tc>
        <w:tc>
          <w:tcPr>
            <w:tcW w:w="5939" w:type="dxa"/>
          </w:tcPr>
          <w:p w14:paraId="77A798FA" w14:textId="77777777"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82568148"/>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Article 14(2) – loan request</w:t>
            </w:r>
          </w:p>
          <w:p w14:paraId="73A4A3C8" w14:textId="545756FB"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800686847"/>
                <w14:checkbox>
                  <w14:checked w14:val="0"/>
                  <w14:checkedState w14:val="2612" w14:font="MS Gothic"/>
                  <w14:uncheckedState w14:val="2610" w14:font="MS Gothic"/>
                </w14:checkbox>
              </w:sdtPr>
              <w:sdtEndPr/>
              <w:sdtContent>
                <w:r w:rsidR="002411E9" w:rsidRPr="00896ADF">
                  <w:rPr>
                    <w:rFonts w:ascii="MS Gothic" w:eastAsia="MS Gothic" w:hAnsi="MS Gothic" w:cs="Times New Roman" w:hint="eastAsia"/>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Article 18(2) – update of the maximum financial contribution</w:t>
            </w:r>
          </w:p>
          <w:p w14:paraId="0E2C1E54" w14:textId="2E7C8BAA" w:rsidR="0023565A" w:rsidRPr="00896ADF" w:rsidRDefault="00491E8E" w:rsidP="003B0E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71496387"/>
                <w:placeholder>
                  <w:docPart w:val="DFE95909B31D4623AD4D60E000C45905"/>
                </w:placeholder>
                <w14:checkbox>
                  <w14:checked w14:val="1"/>
                  <w14:checkedState w14:val="2612" w14:font="MS Gothic"/>
                  <w14:uncheckedState w14:val="2610" w14:font="MS Gothic"/>
                </w14:checkbox>
              </w:sdtPr>
              <w:sdtEndPr/>
              <w:sdtContent>
                <w:r w:rsidR="002411E9" w:rsidRPr="00896ADF">
                  <w:rPr>
                    <w:rFonts w:ascii="MS Gothic" w:eastAsia="MS Gothic" w:hAnsi="MS Gothic" w:cs="Times New Roman" w:hint="eastAsia"/>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Article 21 – amendment due to objective circumstances</w:t>
            </w:r>
          </w:p>
          <w:p w14:paraId="4D943AEE" w14:textId="06239781" w:rsidR="0023565A" w:rsidRPr="00896ADF" w:rsidRDefault="00491E8E" w:rsidP="003B0E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2132507170"/>
                <w:placeholder>
                  <w:docPart w:val="DFE95909B31D4623AD4D60E000C45905"/>
                </w:placeholder>
                <w14:checkbox>
                  <w14:checked w14:val="0"/>
                  <w14:checkedState w14:val="2612" w14:font="MS Gothic"/>
                  <w14:uncheckedState w14:val="2610" w14:font="MS Gothic"/>
                </w14:checkbox>
              </w:sdtPr>
              <w:sdtEndPr/>
              <w:sdtContent>
                <w:r w:rsidR="00F60674" w:rsidRPr="00896ADF">
                  <w:rPr>
                    <w:rFonts w:ascii="MS Gothic" w:eastAsia="MS Gothic" w:hAnsi="MS Gothic" w:cs="Times New Roman" w:hint="eastAsia"/>
                    <w:noProof/>
                    <w:color w:val="2B579A"/>
                    <w:sz w:val="20"/>
                    <w:szCs w:val="20"/>
                    <w:shd w:val="clear" w:color="auto" w:fill="E6E6E6"/>
                    <w:lang w:val="fr-BE"/>
                  </w:rPr>
                  <w:t>☐</w:t>
                </w:r>
              </w:sdtContent>
            </w:sdt>
            <w:r w:rsidR="0023565A" w:rsidRPr="00896ADF">
              <w:rPr>
                <w:rFonts w:ascii="Times New Roman" w:eastAsia="Calibri" w:hAnsi="Times New Roman" w:cs="Times New Roman"/>
                <w:noProof/>
                <w:sz w:val="20"/>
                <w:szCs w:val="20"/>
                <w:lang w:val="fr-BE"/>
              </w:rPr>
              <w:t xml:space="preserve"> Article 21a – REPowerEU non-repayable financial support (ETS revenue)</w:t>
            </w:r>
          </w:p>
          <w:p w14:paraId="4AA5A210" w14:textId="30746BEB" w:rsidR="0023565A" w:rsidRPr="00896ADF" w:rsidRDefault="00491E8E" w:rsidP="003B0E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261823953"/>
                <w:placeholder>
                  <w:docPart w:val="DFE95909B31D4623AD4D60E000C45905"/>
                </w:placeholder>
                <w14:checkbox>
                  <w14:checked w14:val="0"/>
                  <w14:checkedState w14:val="2612" w14:font="MS Gothic"/>
                  <w14:uncheckedState w14:val="2610" w14:font="MS Gothic"/>
                </w14:checkbox>
              </w:sdtPr>
              <w:sdtEndPr/>
              <w:sdtContent>
                <w:r w:rsidR="002411E9" w:rsidRPr="00896ADF">
                  <w:rPr>
                    <w:rFonts w:ascii="MS Gothic" w:eastAsia="MS Gothic" w:hAnsi="MS Gothic" w:cs="Times New Roman" w:hint="eastAsia"/>
                    <w:noProof/>
                    <w:color w:val="2B579A"/>
                    <w:sz w:val="20"/>
                    <w:szCs w:val="20"/>
                    <w:shd w:val="clear" w:color="auto" w:fill="E6E6E6"/>
                    <w:lang w:val="en-IE"/>
                  </w:rPr>
                  <w:t>☐</w:t>
                </w:r>
              </w:sdtContent>
            </w:sdt>
            <w:r w:rsidR="0023565A" w:rsidRPr="00896ADF">
              <w:rPr>
                <w:rFonts w:ascii="Times New Roman" w:eastAsia="Calibri" w:hAnsi="Times New Roman" w:cs="Times New Roman"/>
                <w:noProof/>
                <w:sz w:val="20"/>
                <w:szCs w:val="20"/>
                <w:lang w:val="en-IE"/>
              </w:rPr>
              <w:t xml:space="preserve"> Article 21b (2) – BAR transfers</w:t>
            </w:r>
          </w:p>
          <w:p w14:paraId="4F472557" w14:textId="35B0BBC4" w:rsidR="0023565A" w:rsidRPr="00896ADF" w:rsidRDefault="002411E9" w:rsidP="003B0E30">
            <w:pPr>
              <w:jc w:val="both"/>
              <w:rPr>
                <w:rFonts w:ascii="Times New Roman" w:eastAsia="Calibri" w:hAnsi="Times New Roman" w:cs="Times New Roman"/>
                <w:noProof/>
                <w:sz w:val="20"/>
                <w:szCs w:val="20"/>
                <w:lang w:val="en-US"/>
              </w:rPr>
            </w:pPr>
            <w:r w:rsidRPr="00896ADF">
              <w:rPr>
                <w:rFonts w:ascii="MS Gothic" w:eastAsia="MS Gothic" w:hAnsi="MS Gothic" w:cs="Segoe UI Symbol" w:hint="eastAsia"/>
                <w:noProof/>
                <w:color w:val="2B579A"/>
                <w:sz w:val="20"/>
                <w:szCs w:val="20"/>
                <w:shd w:val="clear" w:color="auto" w:fill="E6E6E6"/>
                <w:lang w:val="en-IE"/>
              </w:rPr>
              <w:t>☒</w:t>
            </w:r>
            <w:r w:rsidR="0023565A" w:rsidRPr="00896ADF">
              <w:rPr>
                <w:rFonts w:ascii="Times New Roman" w:eastAsia="Calibri" w:hAnsi="Times New Roman" w:cs="Times New Roman"/>
                <w:noProof/>
                <w:sz w:val="20"/>
                <w:szCs w:val="20"/>
                <w:lang w:val="en-US"/>
              </w:rPr>
              <w:t xml:space="preserve"> None of the above, correction of clerical error</w:t>
            </w:r>
          </w:p>
          <w:p w14:paraId="77705929" w14:textId="77777777" w:rsidR="0023565A" w:rsidRPr="00896ADF" w:rsidRDefault="0023565A" w:rsidP="003B0E30">
            <w:pPr>
              <w:jc w:val="both"/>
              <w:rPr>
                <w:rFonts w:ascii="Times New Roman" w:eastAsia="Calibri" w:hAnsi="Times New Roman" w:cs="Times New Roman"/>
                <w:noProof/>
                <w:sz w:val="20"/>
                <w:szCs w:val="20"/>
                <w:lang w:val="en-IE"/>
              </w:rPr>
            </w:pPr>
          </w:p>
        </w:tc>
      </w:tr>
      <w:tr w:rsidR="0023565A" w:rsidRPr="00896ADF" w14:paraId="28A83F37" w14:textId="77777777" w:rsidTr="49A58454">
        <w:tc>
          <w:tcPr>
            <w:tcW w:w="3227" w:type="dxa"/>
            <w:shd w:val="clear" w:color="auto" w:fill="BDD6EE"/>
          </w:tcPr>
          <w:p w14:paraId="69C11391" w14:textId="77777777" w:rsidR="0023565A" w:rsidRPr="00896ADF" w:rsidRDefault="0023565A"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Elements modified (only for modified measures)</w:t>
            </w:r>
          </w:p>
          <w:p w14:paraId="2F188E79" w14:textId="77777777" w:rsidR="0023565A" w:rsidRPr="00896ADF" w:rsidRDefault="0023565A" w:rsidP="003B0E30">
            <w:pPr>
              <w:jc w:val="both"/>
              <w:rPr>
                <w:rFonts w:ascii="Times New Roman" w:eastAsia="Calibri" w:hAnsi="Times New Roman" w:cs="Times New Roman"/>
                <w:b/>
                <w:bCs/>
                <w:noProof/>
                <w:sz w:val="24"/>
                <w:szCs w:val="24"/>
                <w:u w:val="single"/>
                <w:lang w:val="en-IE"/>
              </w:rPr>
            </w:pPr>
          </w:p>
        </w:tc>
        <w:tc>
          <w:tcPr>
            <w:tcW w:w="5939" w:type="dxa"/>
          </w:tcPr>
          <w:p w14:paraId="5C1E87E7" w14:textId="58202D36"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60310657"/>
                <w14:checkbox>
                  <w14:checked w14:val="1"/>
                  <w14:checkedState w14:val="2612" w14:font="MS Gothic"/>
                  <w14:uncheckedState w14:val="2610" w14:font="MS Gothic"/>
                </w14:checkbox>
              </w:sdtPr>
              <w:sdtEndPr/>
              <w:sdtContent>
                <w:r w:rsidR="002411E9" w:rsidRPr="00896ADF">
                  <w:rPr>
                    <w:rFonts w:ascii="MS Gothic" w:eastAsia="MS Gothic" w:hAnsi="MS Gothic" w:cs="Segoe UI Symbol" w:hint="eastAsia"/>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Component / Measure description</w:t>
            </w:r>
          </w:p>
          <w:p w14:paraId="1A50A1DB" w14:textId="77777777"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504091038"/>
                <w:placeholder>
                  <w:docPart w:val="DFE95909B31D4623AD4D60E000C45905"/>
                </w:placeholder>
                <w14:checkbox>
                  <w14:checked w14:val="1"/>
                  <w14:checkedState w14:val="2612" w14:font="MS Gothic"/>
                  <w14:uncheckedState w14:val="2610" w14:font="MS Gothic"/>
                </w14:checkbox>
              </w:sdtPr>
              <w:sdtEndPr/>
              <w:sdtContent>
                <w:r w:rsidR="00CA545B" w:rsidRPr="00896ADF">
                  <w:rPr>
                    <w:rFonts w:ascii="MS Gothic" w:eastAsia="MS Gothic" w:hAnsi="MS Gothic" w:cs="Times New Roman" w:hint="eastAsia"/>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Milestones and targets</w:t>
            </w:r>
          </w:p>
          <w:p w14:paraId="225E087B" w14:textId="657356BE"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67817786"/>
                <w14:checkbox>
                  <w14:checked w14:val="0"/>
                  <w14:checkedState w14:val="2612" w14:font="MS Gothic"/>
                  <w14:uncheckedState w14:val="2610" w14:font="MS Gothic"/>
                </w14:checkbox>
              </w:sdtPr>
              <w:sdtEndPr/>
              <w:sdtContent>
                <w:r w:rsidR="002411E9" w:rsidRPr="00896ADF">
                  <w:rPr>
                    <w:rFonts w:ascii="MS Gothic" w:eastAsia="MS Gothic" w:hAnsi="MS Gothic" w:cs="Times New Roman" w:hint="eastAsia"/>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Estimated cost</w:t>
            </w:r>
          </w:p>
          <w:p w14:paraId="0C7819D3" w14:textId="77777777" w:rsidR="0023565A"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79381910"/>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76835D89" w14:textId="77777777" w:rsidR="0023565A" w:rsidRPr="00896ADF" w:rsidRDefault="00491E8E" w:rsidP="003B0E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840773773"/>
                <w14:checkbox>
                  <w14:checked w14:val="0"/>
                  <w14:checkedState w14:val="2612" w14:font="MS Gothic"/>
                  <w14:uncheckedState w14:val="2610" w14:font="MS Gothic"/>
                </w14:checkbox>
              </w:sdtPr>
              <w:sdtEndPr/>
              <w:sdtContent>
                <w:r w:rsidR="0023565A" w:rsidRPr="00896ADF">
                  <w:rPr>
                    <w:rFonts w:ascii="Segoe UI Symbol" w:eastAsia="Calibri" w:hAnsi="Segoe UI Symbol" w:cs="Segoe UI Symbol"/>
                    <w:noProof/>
                    <w:color w:val="2B579A"/>
                    <w:sz w:val="20"/>
                    <w:szCs w:val="20"/>
                    <w:shd w:val="clear" w:color="auto" w:fill="E6E6E6"/>
                    <w:lang w:val="en-US"/>
                  </w:rPr>
                  <w:t>☐</w:t>
                </w:r>
              </w:sdtContent>
            </w:sdt>
            <w:r w:rsidR="0023565A" w:rsidRPr="00896ADF">
              <w:rPr>
                <w:rFonts w:ascii="Times New Roman" w:eastAsia="Calibri" w:hAnsi="Times New Roman" w:cs="Times New Roman"/>
                <w:noProof/>
                <w:sz w:val="20"/>
                <w:szCs w:val="20"/>
                <w:lang w:val="en-US"/>
              </w:rPr>
              <w:t xml:space="preserve"> DNSH self-assessment</w:t>
            </w:r>
          </w:p>
        </w:tc>
      </w:tr>
    </w:tbl>
    <w:p w14:paraId="598DF0ED" w14:textId="77777777" w:rsidR="0023565A" w:rsidRPr="00896ADF" w:rsidRDefault="0023565A" w:rsidP="0023565A"/>
    <w:tbl>
      <w:tblPr>
        <w:tblStyle w:val="Mkatabulky"/>
        <w:tblW w:w="0" w:type="auto"/>
        <w:tblLook w:val="04A0" w:firstRow="1" w:lastRow="0" w:firstColumn="1" w:lastColumn="0" w:noHBand="0" w:noVBand="1"/>
      </w:tblPr>
      <w:tblGrid>
        <w:gridCol w:w="2235"/>
        <w:gridCol w:w="3260"/>
        <w:gridCol w:w="3747"/>
      </w:tblGrid>
      <w:tr w:rsidR="0023565A" w:rsidRPr="00896ADF" w14:paraId="58DAEC30" w14:textId="77777777" w:rsidTr="571FA6C3">
        <w:tc>
          <w:tcPr>
            <w:tcW w:w="9242" w:type="dxa"/>
            <w:gridSpan w:val="3"/>
            <w:shd w:val="clear" w:color="auto" w:fill="1F3864"/>
          </w:tcPr>
          <w:p w14:paraId="3560AD08" w14:textId="77777777" w:rsidR="0023565A" w:rsidRPr="00896ADF" w:rsidRDefault="001347FF" w:rsidP="003B0E30">
            <w:pPr>
              <w:jc w:val="center"/>
              <w:rPr>
                <w:rFonts w:ascii="Times New Roman" w:eastAsia="Calibri" w:hAnsi="Times New Roman" w:cs="Times New Roman"/>
                <w:b/>
                <w:bCs/>
                <w:noProof/>
                <w:sz w:val="20"/>
                <w:szCs w:val="20"/>
                <w:lang w:val="en-IE"/>
              </w:rPr>
            </w:pPr>
            <w:r w:rsidRPr="00896ADF">
              <w:rPr>
                <w:rFonts w:ascii="Times New Roman" w:eastAsia="Calibri" w:hAnsi="Times New Roman" w:cs="Times New Roman"/>
                <w:b/>
                <w:bCs/>
                <w:noProof/>
                <w:sz w:val="20"/>
                <w:szCs w:val="20"/>
                <w:lang w:val="en-IE"/>
              </w:rPr>
              <w:t>Investment 3: Development and modernisation of social care infrastructure</w:t>
            </w:r>
            <w:r w:rsidR="00CA545B" w:rsidRPr="00896ADF">
              <w:rPr>
                <w:rFonts w:ascii="Times New Roman" w:eastAsia="Calibri" w:hAnsi="Times New Roman" w:cs="Times New Roman"/>
                <w:b/>
                <w:bCs/>
                <w:noProof/>
                <w:sz w:val="20"/>
                <w:szCs w:val="20"/>
                <w:lang w:val="en-IE"/>
              </w:rPr>
              <w:t xml:space="preserve"> – Target 194</w:t>
            </w:r>
          </w:p>
        </w:tc>
      </w:tr>
      <w:tr w:rsidR="0023565A" w:rsidRPr="00896ADF" w14:paraId="6579856F" w14:textId="77777777" w:rsidTr="571FA6C3">
        <w:tc>
          <w:tcPr>
            <w:tcW w:w="9242" w:type="dxa"/>
            <w:gridSpan w:val="3"/>
            <w:shd w:val="clear" w:color="auto" w:fill="auto"/>
          </w:tcPr>
          <w:p w14:paraId="61A3D6EF" w14:textId="77777777" w:rsidR="0023565A" w:rsidRPr="00896ADF" w:rsidRDefault="0023565A" w:rsidP="003B0E30">
            <w:pPr>
              <w:jc w:val="both"/>
              <w:rPr>
                <w:rFonts w:ascii="Times New Roman" w:eastAsia="Calibri" w:hAnsi="Times New Roman" w:cs="Times New Roman"/>
                <w:i/>
                <w:iCs/>
                <w:noProof/>
                <w:sz w:val="20"/>
                <w:szCs w:val="20"/>
                <w:lang w:val="en-IE"/>
              </w:rPr>
            </w:pPr>
            <w:r w:rsidRPr="00896ADF">
              <w:rPr>
                <w:rFonts w:ascii="Times New Roman" w:eastAsia="Calibri" w:hAnsi="Times New Roman" w:cs="Times New Roman"/>
                <w:i/>
                <w:iCs/>
                <w:noProof/>
                <w:sz w:val="20"/>
                <w:szCs w:val="20"/>
                <w:lang w:val="en-IE"/>
              </w:rPr>
              <w:t>Description and justification of the change</w:t>
            </w:r>
          </w:p>
        </w:tc>
      </w:tr>
      <w:tr w:rsidR="0023565A" w:rsidRPr="00896ADF" w14:paraId="1D124C43" w14:textId="77777777" w:rsidTr="571FA6C3">
        <w:tc>
          <w:tcPr>
            <w:tcW w:w="2235" w:type="dxa"/>
            <w:shd w:val="clear" w:color="auto" w:fill="00B0F0"/>
          </w:tcPr>
          <w:p w14:paraId="0200E1C6" w14:textId="77777777" w:rsidR="0023565A" w:rsidRPr="00896ADF" w:rsidRDefault="0023565A"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lastRenderedPageBreak/>
              <w:t>Modified elements</w:t>
            </w:r>
          </w:p>
        </w:tc>
        <w:tc>
          <w:tcPr>
            <w:tcW w:w="3260" w:type="dxa"/>
            <w:shd w:val="clear" w:color="auto" w:fill="00B0F0"/>
          </w:tcPr>
          <w:p w14:paraId="76E2125D" w14:textId="77777777" w:rsidR="0023565A" w:rsidRPr="00896ADF" w:rsidRDefault="0023565A"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59E764C9" w14:textId="77777777" w:rsidR="0023565A" w:rsidRPr="00896ADF" w:rsidRDefault="0023565A"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Amended version</w:t>
            </w:r>
          </w:p>
        </w:tc>
      </w:tr>
      <w:tr w:rsidR="0023565A" w:rsidRPr="00896ADF" w14:paraId="2DAAD75B" w14:textId="77777777" w:rsidTr="571FA6C3">
        <w:tc>
          <w:tcPr>
            <w:tcW w:w="2235" w:type="dxa"/>
          </w:tcPr>
          <w:p w14:paraId="620466A0" w14:textId="77777777" w:rsidR="0023565A" w:rsidRPr="00896ADF" w:rsidRDefault="0023565A"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0172C9C1" w14:textId="1F25783A" w:rsidR="49A58454" w:rsidRPr="00896ADF" w:rsidRDefault="49A58454" w:rsidP="49A58454">
            <w:pPr>
              <w:spacing w:before="120" w:after="120"/>
              <w:jc w:val="both"/>
              <w:rPr>
                <w:rFonts w:eastAsiaTheme="minorEastAsia"/>
                <w:i/>
                <w:iCs/>
                <w:noProof/>
                <w:sz w:val="20"/>
                <w:szCs w:val="20"/>
              </w:rPr>
            </w:pPr>
            <w:r w:rsidRPr="00896ADF">
              <w:rPr>
                <w:rFonts w:eastAsiaTheme="minorEastAsia"/>
                <w:b/>
                <w:bCs/>
                <w:i/>
                <w:iCs/>
                <w:noProof/>
                <w:sz w:val="20"/>
                <w:szCs w:val="20"/>
              </w:rPr>
              <w:t>Investment 3: Development and modernisation of social care infrastructure</w:t>
            </w:r>
            <w:r w:rsidRPr="00896ADF">
              <w:rPr>
                <w:rFonts w:eastAsiaTheme="minorEastAsia"/>
                <w:i/>
                <w:iCs/>
                <w:noProof/>
                <w:sz w:val="20"/>
                <w:szCs w:val="20"/>
              </w:rPr>
              <w:t xml:space="preserve">This measure aims at addressing the lack of social care infrastructure and the need to support the transition towards community-based social and long-term care in the Czech Republic. </w:t>
            </w:r>
          </w:p>
          <w:p w14:paraId="536247C3" w14:textId="5A06A191" w:rsidR="49A58454" w:rsidRPr="00896ADF" w:rsidRDefault="58654302" w:rsidP="11F1BDA2">
            <w:pPr>
              <w:spacing w:before="120" w:after="120"/>
              <w:jc w:val="both"/>
              <w:rPr>
                <w:rFonts w:eastAsiaTheme="minorEastAsia"/>
                <w:i/>
                <w:iCs/>
                <w:noProof/>
                <w:sz w:val="20"/>
                <w:szCs w:val="20"/>
              </w:rPr>
            </w:pPr>
            <w:r w:rsidRPr="00896ADF">
              <w:rPr>
                <w:rFonts w:eastAsiaTheme="minorEastAsia"/>
                <w:i/>
                <w:iCs/>
                <w:noProof/>
                <w:sz w:val="20"/>
                <w:szCs w:val="20"/>
              </w:rPr>
              <w:t xml:space="preserve">Investments shall support the establishment of additional social care facilities infrastructure, either by reconstruction of existing building or by new constructions. These investment projects shall be implemented by the autonomous municipalities based on the assessment of territorial needs; ensuring that new and refurbished residential places are aligned to the UN Convention on the Rights of Persons with Disabilities. Investment into home-based and community-based care settings shall be favoured and the principle of freedom of choice and independent living shall be respected for all investment projects. </w:t>
            </w:r>
          </w:p>
          <w:p w14:paraId="7F90FBCA" w14:textId="3369B884" w:rsidR="49A58454" w:rsidRPr="00896ADF" w:rsidRDefault="49A58454" w:rsidP="11F1BDA2">
            <w:pPr>
              <w:spacing w:before="120" w:after="120"/>
              <w:jc w:val="both"/>
              <w:rPr>
                <w:rFonts w:eastAsiaTheme="minorEastAsia"/>
                <w:i/>
                <w:iCs/>
                <w:noProof/>
                <w:sz w:val="20"/>
                <w:szCs w:val="20"/>
              </w:rPr>
            </w:pPr>
          </w:p>
          <w:p w14:paraId="3B6D2FA1" w14:textId="48859712" w:rsidR="49A58454" w:rsidRPr="00896ADF" w:rsidRDefault="49A58454" w:rsidP="11F1BDA2">
            <w:pPr>
              <w:spacing w:before="120" w:after="120"/>
              <w:jc w:val="both"/>
              <w:rPr>
                <w:rFonts w:eastAsiaTheme="minorEastAsia"/>
                <w:i/>
                <w:iCs/>
                <w:noProof/>
                <w:sz w:val="20"/>
                <w:szCs w:val="20"/>
              </w:rPr>
            </w:pPr>
          </w:p>
          <w:p w14:paraId="051309B7" w14:textId="6C966B7C" w:rsidR="49A58454" w:rsidRPr="00896ADF" w:rsidRDefault="49A58454" w:rsidP="11F1BDA2">
            <w:pPr>
              <w:spacing w:before="120" w:after="120"/>
              <w:jc w:val="both"/>
              <w:rPr>
                <w:rFonts w:eastAsiaTheme="minorEastAsia"/>
                <w:i/>
                <w:iCs/>
                <w:noProof/>
                <w:sz w:val="20"/>
                <w:szCs w:val="20"/>
              </w:rPr>
            </w:pPr>
          </w:p>
          <w:p w14:paraId="4FD5F35E" w14:textId="0DD86A47" w:rsidR="49A58454" w:rsidRPr="00896ADF" w:rsidRDefault="49A58454" w:rsidP="11F1BDA2">
            <w:pPr>
              <w:spacing w:before="120" w:after="120"/>
              <w:jc w:val="both"/>
              <w:rPr>
                <w:rFonts w:eastAsiaTheme="minorEastAsia"/>
                <w:i/>
                <w:iCs/>
                <w:noProof/>
                <w:sz w:val="20"/>
                <w:szCs w:val="20"/>
              </w:rPr>
            </w:pPr>
          </w:p>
          <w:p w14:paraId="7A2DA005" w14:textId="769BBB0C" w:rsidR="49A58454" w:rsidRPr="00896ADF" w:rsidRDefault="49A58454" w:rsidP="11F1BDA2">
            <w:pPr>
              <w:spacing w:before="120" w:after="120"/>
              <w:jc w:val="both"/>
              <w:rPr>
                <w:rFonts w:eastAsiaTheme="minorEastAsia"/>
                <w:i/>
                <w:iCs/>
                <w:noProof/>
                <w:sz w:val="20"/>
                <w:szCs w:val="20"/>
              </w:rPr>
            </w:pPr>
          </w:p>
          <w:p w14:paraId="7F5C66A7" w14:textId="587CCD32" w:rsidR="49A58454" w:rsidRPr="00896ADF" w:rsidRDefault="49A58454" w:rsidP="11F1BDA2">
            <w:pPr>
              <w:spacing w:before="120" w:after="120"/>
              <w:jc w:val="both"/>
              <w:rPr>
                <w:rFonts w:eastAsiaTheme="minorEastAsia"/>
                <w:i/>
                <w:iCs/>
                <w:noProof/>
                <w:sz w:val="20"/>
                <w:szCs w:val="20"/>
              </w:rPr>
            </w:pPr>
          </w:p>
          <w:p w14:paraId="66143E8A" w14:textId="4F958F1C" w:rsidR="49A58454" w:rsidRPr="00896ADF" w:rsidRDefault="49A58454" w:rsidP="11F1BDA2">
            <w:pPr>
              <w:spacing w:before="120" w:after="120"/>
              <w:jc w:val="both"/>
              <w:rPr>
                <w:rFonts w:eastAsiaTheme="minorEastAsia"/>
                <w:i/>
                <w:iCs/>
                <w:noProof/>
                <w:sz w:val="20"/>
                <w:szCs w:val="20"/>
              </w:rPr>
            </w:pPr>
          </w:p>
          <w:p w14:paraId="6AE8CEB0" w14:textId="192C601B" w:rsidR="49A58454" w:rsidRPr="00896ADF" w:rsidRDefault="49A58454" w:rsidP="11F1BDA2">
            <w:pPr>
              <w:spacing w:before="120" w:after="120"/>
              <w:jc w:val="both"/>
              <w:rPr>
                <w:rFonts w:eastAsiaTheme="minorEastAsia"/>
                <w:i/>
                <w:iCs/>
                <w:noProof/>
                <w:sz w:val="20"/>
                <w:szCs w:val="20"/>
              </w:rPr>
            </w:pPr>
          </w:p>
          <w:p w14:paraId="5D913BCF" w14:textId="04EA4CA4" w:rsidR="49A58454" w:rsidRPr="00896ADF" w:rsidRDefault="49A58454" w:rsidP="11F1BDA2">
            <w:pPr>
              <w:spacing w:before="120" w:after="120"/>
              <w:jc w:val="both"/>
              <w:rPr>
                <w:rFonts w:eastAsiaTheme="minorEastAsia"/>
                <w:i/>
                <w:iCs/>
                <w:noProof/>
                <w:sz w:val="20"/>
                <w:szCs w:val="20"/>
              </w:rPr>
            </w:pPr>
          </w:p>
          <w:p w14:paraId="602D4C6A" w14:textId="41F74AD8" w:rsidR="49A58454" w:rsidRPr="00896ADF" w:rsidRDefault="58654302" w:rsidP="199B201F">
            <w:pPr>
              <w:spacing w:before="120" w:after="120"/>
              <w:jc w:val="both"/>
              <w:rPr>
                <w:rFonts w:eastAsiaTheme="minorEastAsia"/>
                <w:i/>
                <w:iCs/>
                <w:noProof/>
                <w:sz w:val="20"/>
                <w:szCs w:val="20"/>
              </w:rPr>
            </w:pPr>
            <w:r w:rsidRPr="00896ADF">
              <w:rPr>
                <w:rFonts w:eastAsiaTheme="minorEastAsia"/>
                <w:i/>
                <w:iCs/>
                <w:noProof/>
                <w:sz w:val="20"/>
                <w:szCs w:val="20"/>
              </w:rPr>
              <w:t>Investment in new capacities shall contribute to climate objectives by increasing energy efficiency as follows:</w:t>
            </w:r>
          </w:p>
          <w:p w14:paraId="57AE8101" w14:textId="2C3C5869" w:rsidR="49A58454" w:rsidRPr="00896ADF" w:rsidRDefault="3886384D" w:rsidP="00896ADF">
            <w:pPr>
              <w:pStyle w:val="Odstavecseseznamem"/>
              <w:numPr>
                <w:ilvl w:val="0"/>
                <w:numId w:val="3"/>
              </w:numPr>
              <w:spacing w:after="0" w:line="259" w:lineRule="auto"/>
              <w:jc w:val="both"/>
              <w:rPr>
                <w:rFonts w:ascii="Arial" w:eastAsia="Arial" w:hAnsi="Arial" w:cs="Arial"/>
                <w:noProof/>
                <w:sz w:val="24"/>
                <w:szCs w:val="24"/>
                <w:lang w:val="en-GB"/>
              </w:rPr>
            </w:pPr>
            <w:r w:rsidRPr="00896ADF">
              <w:rPr>
                <w:rFonts w:ascii="Arial" w:eastAsia="Arial" w:hAnsi="Arial" w:cs="Arial"/>
                <w:noProof/>
                <w:sz w:val="24"/>
                <w:szCs w:val="24"/>
                <w:lang w:val="en-GB"/>
              </w:rPr>
              <w:t>one third of the allocation shall support new constructions with primary energy demand at least 20% below the nearly zero-energy buildings requirement.</w:t>
            </w:r>
          </w:p>
          <w:p w14:paraId="096CEDF0" w14:textId="6141AFA9" w:rsidR="49A58454" w:rsidRPr="00896ADF" w:rsidRDefault="3886384D" w:rsidP="00896ADF">
            <w:pPr>
              <w:pStyle w:val="Odstavecseseznamem"/>
              <w:numPr>
                <w:ilvl w:val="0"/>
                <w:numId w:val="3"/>
              </w:numPr>
              <w:spacing w:after="0" w:line="257" w:lineRule="auto"/>
              <w:jc w:val="both"/>
              <w:rPr>
                <w:rFonts w:ascii="Arial" w:eastAsia="Arial" w:hAnsi="Arial" w:cs="Arial"/>
                <w:noProof/>
                <w:sz w:val="24"/>
                <w:szCs w:val="24"/>
                <w:lang w:val="en-GB"/>
              </w:rPr>
            </w:pPr>
            <w:r w:rsidRPr="00896ADF">
              <w:rPr>
                <w:rFonts w:ascii="Arial" w:eastAsia="Arial" w:hAnsi="Arial" w:cs="Arial"/>
                <w:noProof/>
                <w:sz w:val="24"/>
                <w:szCs w:val="24"/>
                <w:lang w:val="en-GB"/>
              </w:rPr>
              <w:lastRenderedPageBreak/>
              <w:t>one third of the allocation shall be earmarked for renovations achieving on average either at least 30% primary energy savings or at least 30% reduction of direct and indirect greenhouse gas emissions;</w:t>
            </w:r>
          </w:p>
          <w:p w14:paraId="3C4ED2A3" w14:textId="4345927B" w:rsidR="49A58454" w:rsidRPr="00896ADF" w:rsidRDefault="3886384D" w:rsidP="00896ADF">
            <w:pPr>
              <w:pStyle w:val="Odstavecseseznamem"/>
              <w:numPr>
                <w:ilvl w:val="0"/>
                <w:numId w:val="3"/>
              </w:numPr>
              <w:spacing w:after="0" w:line="257" w:lineRule="auto"/>
              <w:jc w:val="both"/>
              <w:rPr>
                <w:rFonts w:ascii="Arial" w:eastAsia="Arial" w:hAnsi="Arial" w:cs="Arial"/>
                <w:noProof/>
                <w:sz w:val="24"/>
                <w:szCs w:val="24"/>
                <w:lang w:val="en-GB"/>
              </w:rPr>
            </w:pPr>
            <w:r w:rsidRPr="00896ADF">
              <w:rPr>
                <w:rFonts w:ascii="Arial" w:eastAsia="Arial" w:hAnsi="Arial" w:cs="Arial"/>
                <w:noProof/>
                <w:sz w:val="24"/>
                <w:szCs w:val="24"/>
                <w:lang w:val="en-GB"/>
              </w:rPr>
              <w:t>one third of the allocation shall be earmarked for renovations achieving on average neither at least 30% primary energy savings nor at least 30% reduction of direct and indirect greenhouse gas emissions.</w:t>
            </w:r>
          </w:p>
          <w:p w14:paraId="2B8C67CB" w14:textId="128D6DD9" w:rsidR="49A58454" w:rsidRPr="00896ADF" w:rsidRDefault="08554881" w:rsidP="11F1BDA2">
            <w:pPr>
              <w:spacing w:before="117"/>
              <w:jc w:val="both"/>
              <w:rPr>
                <w:rFonts w:ascii="Times New Roman" w:eastAsia="Times New Roman" w:hAnsi="Times New Roman" w:cs="Times New Roman"/>
                <w:noProof/>
                <w:sz w:val="24"/>
                <w:szCs w:val="24"/>
              </w:rPr>
            </w:pPr>
            <w:r w:rsidRPr="00896ADF">
              <w:rPr>
                <w:rFonts w:ascii="Times New Roman" w:eastAsia="Times New Roman" w:hAnsi="Times New Roman" w:cs="Times New Roman"/>
                <w:noProof/>
                <w:sz w:val="24"/>
                <w:szCs w:val="24"/>
              </w:rPr>
              <w:t>The investment shall be completed by 31 December 2025.</w:t>
            </w:r>
          </w:p>
          <w:p w14:paraId="44C656BB" w14:textId="19070608" w:rsidR="49A58454" w:rsidRPr="00896ADF" w:rsidRDefault="49A58454" w:rsidP="199B201F">
            <w:pPr>
              <w:jc w:val="both"/>
              <w:rPr>
                <w:rFonts w:ascii="Arial" w:eastAsia="Arial" w:hAnsi="Arial" w:cs="Arial"/>
                <w:i/>
                <w:iCs/>
                <w:noProof/>
                <w:sz w:val="20"/>
                <w:szCs w:val="20"/>
              </w:rPr>
            </w:pPr>
          </w:p>
        </w:tc>
        <w:tc>
          <w:tcPr>
            <w:tcW w:w="3747" w:type="dxa"/>
          </w:tcPr>
          <w:p w14:paraId="58C3AF6E" w14:textId="3F4B09AC" w:rsidR="72E0AE51" w:rsidRPr="00896ADF" w:rsidRDefault="72E0AE51" w:rsidP="49A58454">
            <w:pPr>
              <w:spacing w:before="120" w:after="120"/>
              <w:jc w:val="both"/>
              <w:rPr>
                <w:rFonts w:eastAsiaTheme="minorEastAsia"/>
                <w:b/>
                <w:bCs/>
                <w:i/>
                <w:iCs/>
                <w:noProof/>
                <w:sz w:val="20"/>
                <w:szCs w:val="20"/>
              </w:rPr>
            </w:pPr>
            <w:r w:rsidRPr="00896ADF">
              <w:rPr>
                <w:rFonts w:eastAsiaTheme="minorEastAsia"/>
                <w:b/>
                <w:bCs/>
                <w:i/>
                <w:iCs/>
                <w:noProof/>
                <w:sz w:val="20"/>
                <w:szCs w:val="20"/>
              </w:rPr>
              <w:lastRenderedPageBreak/>
              <w:t>I</w:t>
            </w:r>
            <w:r w:rsidR="49A58454" w:rsidRPr="00896ADF">
              <w:rPr>
                <w:rFonts w:eastAsiaTheme="minorEastAsia"/>
                <w:b/>
                <w:bCs/>
                <w:i/>
                <w:iCs/>
                <w:noProof/>
                <w:sz w:val="20"/>
                <w:szCs w:val="20"/>
              </w:rPr>
              <w:t>nvestment 3: Development and modernisation of social care infrastructure</w:t>
            </w:r>
          </w:p>
          <w:p w14:paraId="324C57F4" w14:textId="3E3B1E85" w:rsidR="49A58454" w:rsidRPr="00896ADF" w:rsidRDefault="49A58454" w:rsidP="49A58454">
            <w:pPr>
              <w:spacing w:before="120" w:after="120"/>
              <w:jc w:val="both"/>
              <w:rPr>
                <w:rFonts w:eastAsiaTheme="minorEastAsia"/>
                <w:i/>
                <w:iCs/>
                <w:noProof/>
                <w:sz w:val="20"/>
                <w:szCs w:val="20"/>
              </w:rPr>
            </w:pPr>
            <w:r w:rsidRPr="00896ADF">
              <w:rPr>
                <w:rFonts w:eastAsiaTheme="minorEastAsia"/>
                <w:i/>
                <w:iCs/>
                <w:noProof/>
                <w:sz w:val="20"/>
                <w:szCs w:val="20"/>
              </w:rPr>
              <w:t xml:space="preserve">This measure aims at addressing the lack of social care infrastructure and the need to support the transition towards community-based social and long-term care in the Czech Republic. </w:t>
            </w:r>
          </w:p>
          <w:p w14:paraId="76C08D70" w14:textId="29F45D76" w:rsidR="49A58454" w:rsidRPr="00896ADF" w:rsidRDefault="58654302" w:rsidP="11F1BDA2">
            <w:pPr>
              <w:spacing w:before="120" w:after="120"/>
              <w:jc w:val="both"/>
              <w:rPr>
                <w:i/>
                <w:iCs/>
                <w:sz w:val="20"/>
                <w:szCs w:val="20"/>
                <w:lang w:val="en-IE"/>
              </w:rPr>
            </w:pPr>
            <w:r w:rsidRPr="00896ADF">
              <w:rPr>
                <w:rFonts w:eastAsiaTheme="minorEastAsia"/>
                <w:i/>
                <w:iCs/>
                <w:noProof/>
                <w:sz w:val="20"/>
                <w:szCs w:val="20"/>
              </w:rPr>
              <w:t>Investments shall support the establishment of additional social care facilities infrastructure, either by reconstruction of existing building or by new constructions</w:t>
            </w:r>
            <w:r w:rsidR="520AB1EB" w:rsidRPr="00896ADF">
              <w:rPr>
                <w:rFonts w:eastAsiaTheme="minorEastAsia"/>
                <w:i/>
                <w:iCs/>
                <w:noProof/>
                <w:sz w:val="20"/>
                <w:szCs w:val="20"/>
              </w:rPr>
              <w:t xml:space="preserve"> and the development of the infrastructure of social services for prevention and consulting.</w:t>
            </w:r>
            <w:r w:rsidRPr="00896ADF">
              <w:rPr>
                <w:rFonts w:eastAsiaTheme="minorEastAsia"/>
                <w:i/>
                <w:iCs/>
                <w:noProof/>
                <w:sz w:val="20"/>
                <w:szCs w:val="20"/>
              </w:rPr>
              <w:t xml:space="preserve"> These investment projects shall be implemented </w:t>
            </w:r>
            <w:r w:rsidRPr="00896ADF">
              <w:rPr>
                <w:rFonts w:eastAsiaTheme="minorEastAsia"/>
                <w:i/>
                <w:iCs/>
                <w:strike/>
                <w:noProof/>
                <w:sz w:val="20"/>
                <w:szCs w:val="20"/>
              </w:rPr>
              <w:t>by the autonomous municipalities</w:t>
            </w:r>
            <w:r w:rsidRPr="00896ADF">
              <w:rPr>
                <w:rFonts w:eastAsiaTheme="minorEastAsia"/>
                <w:i/>
                <w:iCs/>
                <w:noProof/>
                <w:sz w:val="20"/>
                <w:szCs w:val="20"/>
              </w:rPr>
              <w:t xml:space="preserve"> based on the assessment of territorial needs; </w:t>
            </w:r>
            <w:r w:rsidR="5AE49D9C" w:rsidRPr="00896ADF">
              <w:rPr>
                <w:i/>
                <w:iCs/>
                <w:sz w:val="20"/>
                <w:szCs w:val="20"/>
                <w:lang w:val="en-IE"/>
              </w:rPr>
              <w:t>The facilities shall ensure progress towards deinstitutionalisation of persons with disabilities in line with the UN Convention on the Rights of Persons with Disabilities, in particular the principles of independent living and inclusion in the community, notably freedom of choic</w:t>
            </w:r>
            <w:r w:rsidR="2D8D1C03" w:rsidRPr="00896ADF">
              <w:rPr>
                <w:i/>
                <w:iCs/>
                <w:sz w:val="20"/>
                <w:szCs w:val="20"/>
                <w:lang w:val="en-IE"/>
              </w:rPr>
              <w:t>e.</w:t>
            </w:r>
          </w:p>
          <w:p w14:paraId="430EFD70" w14:textId="6EB8AFA4" w:rsidR="49A58454" w:rsidRPr="00896ADF" w:rsidRDefault="2D8D1C03" w:rsidP="11F1BDA2">
            <w:pPr>
              <w:spacing w:before="120" w:after="120"/>
              <w:jc w:val="both"/>
              <w:rPr>
                <w:rFonts w:eastAsiaTheme="minorEastAsia"/>
                <w:i/>
                <w:iCs/>
                <w:noProof/>
                <w:sz w:val="20"/>
                <w:szCs w:val="20"/>
              </w:rPr>
            </w:pPr>
            <w:r w:rsidRPr="00896ADF">
              <w:rPr>
                <w:rFonts w:eastAsiaTheme="minorEastAsia"/>
                <w:i/>
                <w:iCs/>
                <w:noProof/>
                <w:sz w:val="20"/>
                <w:szCs w:val="20"/>
              </w:rPr>
              <w:t>Furthermore, to ensure progress towards the Convention, the Social Services Act shall be amended, in particular in areas linked to social service inspections and a complaint mechanism for the clients of social services.</w:t>
            </w:r>
          </w:p>
          <w:p w14:paraId="63A93F44" w14:textId="346B0D8B" w:rsidR="49A58454" w:rsidRPr="00896ADF" w:rsidRDefault="5AE49D9C" w:rsidP="11F1BDA2">
            <w:pPr>
              <w:spacing w:before="120" w:after="120"/>
              <w:jc w:val="both"/>
              <w:rPr>
                <w:rFonts w:eastAsiaTheme="minorEastAsia"/>
                <w:i/>
                <w:iCs/>
                <w:noProof/>
                <w:sz w:val="20"/>
                <w:szCs w:val="20"/>
              </w:rPr>
            </w:pPr>
            <w:r w:rsidRPr="00896ADF">
              <w:rPr>
                <w:rFonts w:eastAsiaTheme="minorEastAsia"/>
                <w:i/>
                <w:iCs/>
                <w:noProof/>
                <w:sz w:val="20"/>
                <w:szCs w:val="20"/>
              </w:rPr>
              <w:t xml:space="preserve"> </w:t>
            </w:r>
            <w:r w:rsidR="58654302" w:rsidRPr="00896ADF">
              <w:rPr>
                <w:rFonts w:eastAsiaTheme="minorEastAsia"/>
                <w:i/>
                <w:iCs/>
                <w:noProof/>
                <w:sz w:val="20"/>
                <w:szCs w:val="20"/>
              </w:rPr>
              <w:t>Investment in new capacities shall contribute to climate objectives by increasing energy efficiency as follows:</w:t>
            </w:r>
          </w:p>
          <w:p w14:paraId="5CA78430" w14:textId="11851A2E" w:rsidR="49A58454" w:rsidRPr="00896ADF" w:rsidRDefault="647B8C74" w:rsidP="00896ADF">
            <w:pPr>
              <w:pStyle w:val="Odstavecseseznamem"/>
              <w:numPr>
                <w:ilvl w:val="0"/>
                <w:numId w:val="2"/>
              </w:numPr>
              <w:spacing w:after="0" w:line="257" w:lineRule="auto"/>
              <w:jc w:val="both"/>
              <w:rPr>
                <w:rFonts w:ascii="Calibri" w:eastAsia="Calibri" w:hAnsi="Calibri" w:cs="Calibri"/>
                <w:noProof/>
                <w:sz w:val="20"/>
                <w:szCs w:val="20"/>
                <w:lang w:val="en-GB"/>
              </w:rPr>
            </w:pPr>
            <w:r w:rsidRPr="00896ADF">
              <w:rPr>
                <w:rFonts w:ascii="Calibri" w:eastAsia="Calibri" w:hAnsi="Calibri" w:cs="Calibri"/>
                <w:noProof/>
                <w:sz w:val="20"/>
                <w:szCs w:val="20"/>
                <w:lang w:val="en-GB"/>
              </w:rPr>
              <w:t>one third of the allocation shall be earmarked for renovations achieving on average either at least 30% primary energy savings or at least 30% reduction of direct and indirect greenhouse gas emissions;</w:t>
            </w:r>
          </w:p>
          <w:p w14:paraId="67D063A3" w14:textId="0ABA35F8" w:rsidR="49A58454" w:rsidRPr="00896ADF" w:rsidRDefault="647B8C74" w:rsidP="00896ADF">
            <w:pPr>
              <w:pStyle w:val="Odstavecseseznamem"/>
              <w:numPr>
                <w:ilvl w:val="0"/>
                <w:numId w:val="2"/>
              </w:numPr>
              <w:spacing w:after="0" w:line="257" w:lineRule="auto"/>
              <w:jc w:val="both"/>
              <w:rPr>
                <w:rFonts w:ascii="Times New Roman" w:eastAsia="Times New Roman" w:hAnsi="Times New Roman" w:cs="Times New Roman"/>
                <w:noProof/>
                <w:color w:val="006100"/>
                <w:sz w:val="18"/>
                <w:szCs w:val="18"/>
                <w:lang w:val="en-GB"/>
              </w:rPr>
            </w:pPr>
            <w:r w:rsidRPr="00896ADF">
              <w:rPr>
                <w:rFonts w:ascii="Calibri" w:eastAsia="Calibri" w:hAnsi="Calibri" w:cs="Calibri"/>
                <w:noProof/>
                <w:sz w:val="20"/>
                <w:szCs w:val="20"/>
                <w:lang w:val="en-GB"/>
              </w:rPr>
              <w:t xml:space="preserve">two thirds of the allocation shall be earmarked </w:t>
            </w:r>
            <w:r w:rsidR="33457205" w:rsidRPr="00896ADF">
              <w:rPr>
                <w:rFonts w:ascii="Calibri" w:eastAsia="Calibri" w:hAnsi="Calibri" w:cs="Calibri"/>
                <w:noProof/>
                <w:sz w:val="20"/>
                <w:szCs w:val="20"/>
                <w:lang w:val="en-GB"/>
              </w:rPr>
              <w:t>for</w:t>
            </w:r>
            <w:r w:rsidRPr="00896ADF">
              <w:rPr>
                <w:rFonts w:ascii="Calibri" w:eastAsia="Calibri" w:hAnsi="Calibri" w:cs="Calibri"/>
                <w:noProof/>
                <w:sz w:val="20"/>
                <w:szCs w:val="20"/>
                <w:lang w:val="en-GB"/>
              </w:rPr>
              <w:t xml:space="preserve"> new constructions</w:t>
            </w:r>
            <w:r w:rsidR="3C623E06" w:rsidRPr="00896ADF">
              <w:rPr>
                <w:rFonts w:ascii="Calibri" w:eastAsia="Calibri" w:hAnsi="Calibri" w:cs="Calibri"/>
                <w:noProof/>
                <w:sz w:val="20"/>
                <w:szCs w:val="20"/>
                <w:lang w:val="en-GB"/>
              </w:rPr>
              <w:t xml:space="preserve"> </w:t>
            </w:r>
            <w:r w:rsidRPr="00896ADF">
              <w:rPr>
                <w:rFonts w:ascii="Calibri" w:eastAsia="Calibri" w:hAnsi="Calibri" w:cs="Calibri"/>
                <w:noProof/>
                <w:sz w:val="20"/>
                <w:szCs w:val="20"/>
                <w:lang w:val="en-GB"/>
              </w:rPr>
              <w:t xml:space="preserve"> with primary energy demand at least 20% below the nearly zero-energy buildings requirement.</w:t>
            </w:r>
            <w:r w:rsidR="4D8C6908" w:rsidRPr="00896ADF">
              <w:rPr>
                <w:rFonts w:ascii="Calibri" w:eastAsia="Calibri" w:hAnsi="Calibri" w:cs="Calibri"/>
                <w:noProof/>
                <w:sz w:val="20"/>
                <w:szCs w:val="20"/>
                <w:lang w:val="en-GB"/>
              </w:rPr>
              <w:t xml:space="preserve"> </w:t>
            </w:r>
            <w:r w:rsidR="4D8C6908" w:rsidRPr="00896ADF">
              <w:rPr>
                <w:rFonts w:ascii="Times New Roman" w:eastAsia="Times New Roman" w:hAnsi="Times New Roman" w:cs="Times New Roman"/>
                <w:noProof/>
                <w:color w:val="006100"/>
                <w:sz w:val="18"/>
                <w:szCs w:val="18"/>
                <w:lang w:val="en-GB"/>
              </w:rPr>
              <w:t xml:space="preserve">or </w:t>
            </w:r>
            <w:r w:rsidR="6B83C0D2" w:rsidRPr="00896ADF">
              <w:rPr>
                <w:rFonts w:ascii="Times New Roman" w:eastAsia="Times New Roman" w:hAnsi="Times New Roman" w:cs="Times New Roman"/>
                <w:noProof/>
                <w:color w:val="006100"/>
                <w:sz w:val="18"/>
                <w:szCs w:val="18"/>
                <w:lang w:val="en-GB"/>
              </w:rPr>
              <w:t>for</w:t>
            </w:r>
            <w:r w:rsidR="4D8C6908" w:rsidRPr="00896ADF">
              <w:rPr>
                <w:rFonts w:ascii="Times New Roman" w:eastAsia="Times New Roman" w:hAnsi="Times New Roman" w:cs="Times New Roman"/>
                <w:noProof/>
                <w:color w:val="006100"/>
                <w:sz w:val="18"/>
                <w:szCs w:val="18"/>
                <w:lang w:val="en-GB"/>
              </w:rPr>
              <w:t xml:space="preserve"> other energy efficiency renovations.</w:t>
            </w:r>
          </w:p>
          <w:p w14:paraId="75C16FC7" w14:textId="031A7554" w:rsidR="49A58454" w:rsidRPr="00896ADF" w:rsidRDefault="49A58454" w:rsidP="11F1BDA2">
            <w:pPr>
              <w:jc w:val="both"/>
              <w:rPr>
                <w:rFonts w:eastAsia="Calibri"/>
                <w:i/>
                <w:iCs/>
                <w:noProof/>
                <w:sz w:val="20"/>
                <w:szCs w:val="20"/>
                <w:lang w:val="en-IE"/>
              </w:rPr>
            </w:pPr>
          </w:p>
          <w:p w14:paraId="0C05F271" w14:textId="2C389992" w:rsidR="49A58454" w:rsidRPr="00896ADF" w:rsidRDefault="49A58454" w:rsidP="11F1BDA2">
            <w:pPr>
              <w:jc w:val="both"/>
              <w:rPr>
                <w:rFonts w:eastAsia="Calibri"/>
                <w:i/>
                <w:iCs/>
                <w:noProof/>
                <w:sz w:val="20"/>
                <w:szCs w:val="20"/>
                <w:lang w:val="en-IE"/>
              </w:rPr>
            </w:pPr>
          </w:p>
          <w:p w14:paraId="71783267" w14:textId="34022695" w:rsidR="49A58454" w:rsidRPr="00896ADF" w:rsidRDefault="49A58454" w:rsidP="11F1BDA2">
            <w:pPr>
              <w:jc w:val="both"/>
              <w:rPr>
                <w:rFonts w:eastAsia="Calibri"/>
                <w:i/>
                <w:iCs/>
                <w:noProof/>
                <w:sz w:val="20"/>
                <w:szCs w:val="20"/>
                <w:lang w:val="en-IE"/>
              </w:rPr>
            </w:pPr>
          </w:p>
          <w:p w14:paraId="2DCF2725" w14:textId="59EA1351" w:rsidR="49A58454" w:rsidRPr="00896ADF" w:rsidRDefault="49A58454" w:rsidP="11F1BDA2">
            <w:pPr>
              <w:jc w:val="both"/>
              <w:rPr>
                <w:rFonts w:eastAsia="Calibri"/>
                <w:i/>
                <w:iCs/>
                <w:noProof/>
                <w:sz w:val="20"/>
                <w:szCs w:val="20"/>
                <w:lang w:val="en-IE"/>
              </w:rPr>
            </w:pPr>
          </w:p>
          <w:p w14:paraId="436C57AB" w14:textId="27C2980A" w:rsidR="49A58454" w:rsidRPr="00896ADF" w:rsidRDefault="49A58454" w:rsidP="11F1BDA2">
            <w:pPr>
              <w:jc w:val="both"/>
              <w:rPr>
                <w:rFonts w:eastAsia="Calibri"/>
                <w:i/>
                <w:iCs/>
                <w:noProof/>
                <w:sz w:val="20"/>
                <w:szCs w:val="20"/>
                <w:lang w:val="en-IE"/>
              </w:rPr>
            </w:pPr>
          </w:p>
          <w:p w14:paraId="2ED60B9A" w14:textId="152C05E5" w:rsidR="49A58454" w:rsidRPr="00896ADF" w:rsidRDefault="3BB39C33" w:rsidP="11F1BDA2">
            <w:pPr>
              <w:jc w:val="both"/>
              <w:rPr>
                <w:rFonts w:eastAsia="Calibri"/>
                <w:i/>
                <w:iCs/>
                <w:noProof/>
                <w:sz w:val="20"/>
                <w:szCs w:val="20"/>
                <w:lang w:val="en-IE"/>
              </w:rPr>
            </w:pPr>
            <w:r w:rsidRPr="00896ADF">
              <w:rPr>
                <w:rFonts w:eastAsia="Calibri"/>
                <w:i/>
                <w:iCs/>
                <w:noProof/>
                <w:sz w:val="20"/>
                <w:szCs w:val="20"/>
                <w:lang w:val="en-IE"/>
              </w:rPr>
              <w:t>V původním CID</w:t>
            </w:r>
            <w:r w:rsidR="0725AE2D" w:rsidRPr="00896ADF">
              <w:rPr>
                <w:rFonts w:eastAsia="Calibri"/>
                <w:i/>
                <w:iCs/>
                <w:noProof/>
                <w:sz w:val="20"/>
                <w:szCs w:val="20"/>
                <w:lang w:val="en-IE"/>
              </w:rPr>
              <w:t xml:space="preserve"> </w:t>
            </w:r>
            <w:r w:rsidRPr="00896ADF">
              <w:rPr>
                <w:rFonts w:eastAsia="Calibri"/>
                <w:i/>
                <w:iCs/>
                <w:noProof/>
                <w:sz w:val="20"/>
                <w:szCs w:val="20"/>
                <w:lang w:val="en-IE"/>
              </w:rPr>
              <w:t>je uveden chybně 3</w:t>
            </w:r>
            <w:r w:rsidR="00BF17C9" w:rsidRPr="00896ADF">
              <w:rPr>
                <w:rFonts w:eastAsia="Calibri"/>
                <w:i/>
                <w:iCs/>
                <w:noProof/>
                <w:sz w:val="20"/>
                <w:szCs w:val="20"/>
                <w:lang w:val="en-IE"/>
              </w:rPr>
              <w:t xml:space="preserve">. typ klimatického koeficientu (opakuje se první a 3. </w:t>
            </w:r>
            <w:r w:rsidR="1D4E5CB7" w:rsidRPr="00896ADF">
              <w:rPr>
                <w:rFonts w:eastAsia="Calibri"/>
                <w:i/>
                <w:iCs/>
                <w:noProof/>
                <w:sz w:val="20"/>
                <w:szCs w:val="20"/>
                <w:lang w:val="en-IE"/>
              </w:rPr>
              <w:t>bod - prosíme o úpravu v původním znění</w:t>
            </w:r>
            <w:r w:rsidR="577148D0" w:rsidRPr="00896ADF">
              <w:rPr>
                <w:rFonts w:eastAsia="Calibri"/>
                <w:i/>
                <w:iCs/>
                <w:noProof/>
                <w:sz w:val="20"/>
                <w:szCs w:val="20"/>
                <w:lang w:val="en-IE"/>
              </w:rPr>
              <w:t>. M</w:t>
            </w:r>
            <w:r w:rsidR="1D4E5CB7" w:rsidRPr="00896ADF">
              <w:rPr>
                <w:rFonts w:eastAsia="Calibri"/>
                <w:i/>
                <w:iCs/>
                <w:noProof/>
                <w:sz w:val="20"/>
                <w:szCs w:val="20"/>
                <w:lang w:val="en-IE"/>
              </w:rPr>
              <w:t>á být  3</w:t>
            </w:r>
            <w:r w:rsidR="4943B0DE" w:rsidRPr="00896ADF">
              <w:rPr>
                <w:rFonts w:eastAsia="Calibri"/>
                <w:i/>
                <w:iCs/>
                <w:noProof/>
                <w:sz w:val="20"/>
                <w:szCs w:val="20"/>
                <w:lang w:val="en-IE"/>
              </w:rPr>
              <w:t xml:space="preserve">. </w:t>
            </w:r>
            <w:r w:rsidRPr="00896ADF">
              <w:rPr>
                <w:rFonts w:eastAsia="Calibri"/>
                <w:i/>
                <w:iCs/>
                <w:noProof/>
                <w:sz w:val="20"/>
                <w:szCs w:val="20"/>
                <w:lang w:val="en-IE"/>
              </w:rPr>
              <w:t xml:space="preserve">One third </w:t>
            </w:r>
            <w:r w:rsidR="236DC44B" w:rsidRPr="00896ADF">
              <w:rPr>
                <w:rFonts w:eastAsia="Calibri"/>
                <w:i/>
                <w:iCs/>
                <w:noProof/>
                <w:sz w:val="20"/>
                <w:szCs w:val="20"/>
                <w:lang w:val="en-IE"/>
              </w:rPr>
              <w:t>o</w:t>
            </w:r>
            <w:r w:rsidRPr="00896ADF">
              <w:rPr>
                <w:rFonts w:eastAsia="Calibri"/>
                <w:i/>
                <w:iCs/>
                <w:noProof/>
                <w:sz w:val="20"/>
                <w:szCs w:val="20"/>
                <w:lang w:val="en-IE"/>
              </w:rPr>
              <w:t xml:space="preserve">f the allocation shall </w:t>
            </w:r>
            <w:r w:rsidRPr="00896ADF">
              <w:rPr>
                <w:rFonts w:eastAsia="Calibri"/>
                <w:i/>
                <w:iCs/>
                <w:noProof/>
                <w:sz w:val="20"/>
                <w:szCs w:val="20"/>
                <w:lang w:val="en-IE"/>
              </w:rPr>
              <w:lastRenderedPageBreak/>
              <w:t>be earmarked to other efficienci renovations</w:t>
            </w:r>
          </w:p>
          <w:p w14:paraId="56465282" w14:textId="73FAA7DF" w:rsidR="49A58454" w:rsidRPr="00896ADF" w:rsidRDefault="49A58454" w:rsidP="11F1BDA2">
            <w:pPr>
              <w:jc w:val="both"/>
              <w:rPr>
                <w:rFonts w:eastAsia="Calibri"/>
                <w:i/>
                <w:iCs/>
                <w:noProof/>
                <w:sz w:val="20"/>
                <w:szCs w:val="20"/>
                <w:lang w:val="en-IE"/>
              </w:rPr>
            </w:pPr>
          </w:p>
          <w:p w14:paraId="702F853D" w14:textId="66025CEC" w:rsidR="49A58454" w:rsidRPr="00896ADF" w:rsidRDefault="49A58454" w:rsidP="11F1BDA2">
            <w:pPr>
              <w:jc w:val="both"/>
              <w:rPr>
                <w:rFonts w:eastAsia="Calibri"/>
                <w:i/>
                <w:iCs/>
                <w:noProof/>
                <w:sz w:val="20"/>
                <w:szCs w:val="20"/>
                <w:lang w:val="en-IE"/>
              </w:rPr>
            </w:pPr>
          </w:p>
          <w:p w14:paraId="6C230F81" w14:textId="5FC64FDD" w:rsidR="49A58454" w:rsidRPr="00896ADF" w:rsidRDefault="49A58454" w:rsidP="11F1BDA2">
            <w:pPr>
              <w:jc w:val="both"/>
              <w:rPr>
                <w:rFonts w:eastAsia="Calibri"/>
                <w:i/>
                <w:iCs/>
                <w:noProof/>
                <w:sz w:val="20"/>
                <w:szCs w:val="20"/>
                <w:lang w:val="en-IE"/>
              </w:rPr>
            </w:pPr>
          </w:p>
          <w:p w14:paraId="3387CAB5" w14:textId="0021967D" w:rsidR="49A58454" w:rsidRPr="00896ADF" w:rsidRDefault="49A58454" w:rsidP="11F1BDA2">
            <w:pPr>
              <w:jc w:val="both"/>
              <w:rPr>
                <w:rFonts w:eastAsia="Calibri"/>
                <w:i/>
                <w:iCs/>
                <w:noProof/>
                <w:sz w:val="20"/>
                <w:szCs w:val="20"/>
                <w:lang w:val="en-IE"/>
              </w:rPr>
            </w:pPr>
          </w:p>
          <w:p w14:paraId="2C9DFC4C" w14:textId="68282E7C" w:rsidR="49A58454" w:rsidRPr="00896ADF" w:rsidRDefault="647B8C74" w:rsidP="199B201F">
            <w:pPr>
              <w:jc w:val="both"/>
              <w:rPr>
                <w:rFonts w:ascii="Times New Roman" w:eastAsia="Times New Roman" w:hAnsi="Times New Roman" w:cs="Times New Roman"/>
                <w:noProof/>
                <w:sz w:val="24"/>
                <w:szCs w:val="24"/>
              </w:rPr>
            </w:pPr>
            <w:r w:rsidRPr="00896ADF">
              <w:rPr>
                <w:rFonts w:ascii="Times New Roman" w:eastAsia="Times New Roman" w:hAnsi="Times New Roman" w:cs="Times New Roman"/>
                <w:noProof/>
                <w:sz w:val="24"/>
                <w:szCs w:val="24"/>
              </w:rPr>
              <w:t>The investment shall be completed by 30 June 2026.</w:t>
            </w:r>
          </w:p>
          <w:p w14:paraId="05EEB539" w14:textId="53310C00" w:rsidR="49A58454" w:rsidRPr="00896ADF" w:rsidRDefault="49A58454" w:rsidP="199B201F">
            <w:pPr>
              <w:jc w:val="both"/>
              <w:rPr>
                <w:rFonts w:eastAsia="Calibri"/>
                <w:i/>
                <w:iCs/>
                <w:noProof/>
                <w:sz w:val="20"/>
                <w:szCs w:val="20"/>
                <w:lang w:val="en-IE"/>
              </w:rPr>
            </w:pPr>
          </w:p>
        </w:tc>
      </w:tr>
      <w:tr w:rsidR="0023565A" w:rsidRPr="00896ADF" w14:paraId="1D9D9BD3" w14:textId="77777777" w:rsidTr="571FA6C3">
        <w:tc>
          <w:tcPr>
            <w:tcW w:w="2235" w:type="dxa"/>
          </w:tcPr>
          <w:p w14:paraId="0E14956E" w14:textId="77777777" w:rsidR="0023565A" w:rsidRPr="00896ADF" w:rsidRDefault="0023565A"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lastRenderedPageBreak/>
              <w:t xml:space="preserve">Milestones and targets </w:t>
            </w:r>
          </w:p>
        </w:tc>
        <w:tc>
          <w:tcPr>
            <w:tcW w:w="3260" w:type="dxa"/>
          </w:tcPr>
          <w:p w14:paraId="46B5487F" w14:textId="77777777" w:rsidR="00CA545B" w:rsidRPr="00896ADF" w:rsidRDefault="00CA545B" w:rsidP="00CA545B">
            <w:pPr>
              <w:pStyle w:val="TableParagraph"/>
              <w:spacing w:before="117"/>
              <w:ind w:left="110"/>
              <w:rPr>
                <w:rFonts w:asciiTheme="minorHAnsi" w:hAnsiTheme="minorHAnsi" w:cstheme="minorHAnsi"/>
                <w:color w:val="000000" w:themeColor="text1"/>
                <w:sz w:val="20"/>
                <w:szCs w:val="20"/>
              </w:rPr>
            </w:pPr>
            <w:r w:rsidRPr="00896ADF">
              <w:rPr>
                <w:rFonts w:asciiTheme="minorHAnsi" w:hAnsiTheme="minorHAnsi" w:cstheme="minorHAnsi"/>
                <w:color w:val="000000" w:themeColor="text1"/>
                <w:sz w:val="20"/>
                <w:szCs w:val="20"/>
                <w:u w:val="single"/>
              </w:rPr>
              <w:t>Number of community-based residential facilities constructed or reconstructed</w:t>
            </w:r>
          </w:p>
          <w:p w14:paraId="33AAF812" w14:textId="77777777" w:rsidR="00CA545B" w:rsidRPr="00896ADF" w:rsidRDefault="00CA545B" w:rsidP="00CA545B">
            <w:pPr>
              <w:pStyle w:val="TableParagraph"/>
              <w:spacing w:before="117"/>
              <w:ind w:left="110"/>
              <w:rPr>
                <w:rFonts w:asciiTheme="minorHAnsi" w:hAnsiTheme="minorHAnsi" w:cstheme="minorHAnsi"/>
                <w:color w:val="000000" w:themeColor="text1"/>
                <w:sz w:val="20"/>
                <w:szCs w:val="20"/>
              </w:rPr>
            </w:pPr>
            <w:r w:rsidRPr="00896ADF">
              <w:rPr>
                <w:rFonts w:asciiTheme="minorHAnsi" w:hAnsiTheme="minorHAnsi" w:cstheme="minorHAnsi"/>
                <w:color w:val="000000" w:themeColor="text1"/>
                <w:sz w:val="20"/>
                <w:szCs w:val="20"/>
              </w:rPr>
              <w:t>At least 121 facilities shall be created, of which:</w:t>
            </w:r>
          </w:p>
          <w:p w14:paraId="40FB8C67" w14:textId="77777777" w:rsidR="00CA545B" w:rsidRPr="00896ADF" w:rsidRDefault="00CA545B" w:rsidP="00896ADF">
            <w:pPr>
              <w:pStyle w:val="TableParagraph"/>
              <w:numPr>
                <w:ilvl w:val="0"/>
                <w:numId w:val="17"/>
              </w:numPr>
              <w:tabs>
                <w:tab w:val="left" w:pos="831"/>
                <w:tab w:val="left" w:pos="832"/>
              </w:tabs>
              <w:spacing w:before="119"/>
              <w:ind w:right="118"/>
              <w:jc w:val="both"/>
              <w:rPr>
                <w:rFonts w:asciiTheme="minorHAnsi" w:hAnsiTheme="minorHAnsi" w:cstheme="minorHAnsi"/>
                <w:color w:val="000000" w:themeColor="text1"/>
                <w:sz w:val="20"/>
                <w:szCs w:val="20"/>
              </w:rPr>
            </w:pPr>
            <w:r w:rsidRPr="00896ADF">
              <w:rPr>
                <w:rFonts w:asciiTheme="minorHAnsi" w:hAnsiTheme="minorHAnsi" w:cstheme="minorHAnsi"/>
                <w:color w:val="000000" w:themeColor="text1"/>
                <w:sz w:val="20"/>
                <w:szCs w:val="20"/>
              </w:rPr>
              <w:t>69 facilities shall be new constructions with</w:t>
            </w:r>
            <w:r w:rsidRPr="00896ADF">
              <w:rPr>
                <w:rFonts w:asciiTheme="minorHAnsi" w:hAnsiTheme="minorHAnsi" w:cstheme="minorHAnsi"/>
                <w:color w:val="000000" w:themeColor="text1"/>
                <w:spacing w:val="-12"/>
                <w:sz w:val="20"/>
                <w:szCs w:val="20"/>
              </w:rPr>
              <w:t xml:space="preserve"> </w:t>
            </w:r>
            <w:r w:rsidRPr="00896ADF">
              <w:rPr>
                <w:rFonts w:asciiTheme="minorHAnsi" w:hAnsiTheme="minorHAnsi" w:cstheme="minorHAnsi"/>
                <w:color w:val="000000" w:themeColor="text1"/>
                <w:sz w:val="20"/>
                <w:szCs w:val="20"/>
              </w:rPr>
              <w:t>primary energy demand at least 20% below the nearly zero- energy buildings</w:t>
            </w:r>
            <w:r w:rsidRPr="00896ADF">
              <w:rPr>
                <w:rFonts w:asciiTheme="minorHAnsi" w:hAnsiTheme="minorHAnsi" w:cstheme="minorHAnsi"/>
                <w:color w:val="000000" w:themeColor="text1"/>
                <w:spacing w:val="-5"/>
                <w:sz w:val="20"/>
                <w:szCs w:val="20"/>
              </w:rPr>
              <w:t xml:space="preserve"> </w:t>
            </w:r>
            <w:r w:rsidRPr="00896ADF">
              <w:rPr>
                <w:rFonts w:asciiTheme="minorHAnsi" w:hAnsiTheme="minorHAnsi" w:cstheme="minorHAnsi"/>
                <w:color w:val="000000" w:themeColor="text1"/>
                <w:sz w:val="20"/>
                <w:szCs w:val="20"/>
              </w:rPr>
              <w:t>requirement;</w:t>
            </w:r>
          </w:p>
          <w:p w14:paraId="0D46184C" w14:textId="77777777" w:rsidR="00CA545B" w:rsidRPr="00896ADF" w:rsidRDefault="00CA545B" w:rsidP="00896ADF">
            <w:pPr>
              <w:pStyle w:val="TableParagraph"/>
              <w:numPr>
                <w:ilvl w:val="0"/>
                <w:numId w:val="17"/>
              </w:numPr>
              <w:tabs>
                <w:tab w:val="left" w:pos="831"/>
                <w:tab w:val="left" w:pos="832"/>
              </w:tabs>
              <w:spacing w:before="120"/>
              <w:ind w:right="122"/>
              <w:jc w:val="both"/>
              <w:rPr>
                <w:rFonts w:asciiTheme="minorHAnsi" w:hAnsiTheme="minorHAnsi" w:cstheme="minorHAnsi"/>
                <w:color w:val="000000" w:themeColor="text1"/>
                <w:sz w:val="20"/>
                <w:szCs w:val="20"/>
              </w:rPr>
            </w:pPr>
            <w:r w:rsidRPr="00896ADF">
              <w:rPr>
                <w:rFonts w:asciiTheme="minorHAnsi" w:hAnsiTheme="minorHAnsi" w:cstheme="minorHAnsi"/>
                <w:color w:val="000000" w:themeColor="text1"/>
                <w:sz w:val="20"/>
                <w:szCs w:val="20"/>
              </w:rPr>
              <w:t>26 facilities shall be renovated achieving on</w:t>
            </w:r>
            <w:r w:rsidRPr="00896ADF">
              <w:rPr>
                <w:rFonts w:asciiTheme="minorHAnsi" w:hAnsiTheme="minorHAnsi" w:cstheme="minorHAnsi"/>
                <w:color w:val="000000" w:themeColor="text1"/>
                <w:spacing w:val="-16"/>
                <w:sz w:val="20"/>
                <w:szCs w:val="20"/>
              </w:rPr>
              <w:t xml:space="preserve"> </w:t>
            </w:r>
            <w:r w:rsidRPr="00896ADF">
              <w:rPr>
                <w:rFonts w:asciiTheme="minorHAnsi" w:hAnsiTheme="minorHAnsi" w:cstheme="minorHAnsi"/>
                <w:color w:val="000000" w:themeColor="text1"/>
                <w:sz w:val="20"/>
                <w:szCs w:val="20"/>
              </w:rPr>
              <w:t>average either at least 30% primary energy savings or at least 30% reduction of direct and indirect greenhouse gas</w:t>
            </w:r>
            <w:r w:rsidRPr="00896ADF">
              <w:rPr>
                <w:rFonts w:asciiTheme="minorHAnsi" w:hAnsiTheme="minorHAnsi" w:cstheme="minorHAnsi"/>
                <w:color w:val="000000" w:themeColor="text1"/>
                <w:spacing w:val="-2"/>
                <w:sz w:val="20"/>
                <w:szCs w:val="20"/>
              </w:rPr>
              <w:t xml:space="preserve"> </w:t>
            </w:r>
            <w:r w:rsidRPr="00896ADF">
              <w:rPr>
                <w:rFonts w:asciiTheme="minorHAnsi" w:hAnsiTheme="minorHAnsi" w:cstheme="minorHAnsi"/>
                <w:color w:val="000000" w:themeColor="text1"/>
                <w:sz w:val="20"/>
                <w:szCs w:val="20"/>
              </w:rPr>
              <w:t>emissions.</w:t>
            </w:r>
          </w:p>
          <w:p w14:paraId="551EDD05" w14:textId="77777777" w:rsidR="00CA545B" w:rsidRPr="00896ADF" w:rsidRDefault="3C398BBE" w:rsidP="00896ADF">
            <w:pPr>
              <w:pStyle w:val="TableParagraph"/>
              <w:numPr>
                <w:ilvl w:val="0"/>
                <w:numId w:val="17"/>
              </w:numPr>
              <w:tabs>
                <w:tab w:val="left" w:pos="831"/>
                <w:tab w:val="left" w:pos="832"/>
              </w:tabs>
              <w:spacing w:before="118"/>
              <w:ind w:right="735"/>
              <w:jc w:val="both"/>
              <w:rPr>
                <w:rFonts w:asciiTheme="minorHAnsi" w:hAnsiTheme="minorHAnsi" w:cstheme="minorHAnsi"/>
                <w:color w:val="000000" w:themeColor="text1"/>
                <w:sz w:val="20"/>
                <w:szCs w:val="20"/>
              </w:rPr>
            </w:pPr>
            <w:r w:rsidRPr="00896ADF">
              <w:rPr>
                <w:rFonts w:asciiTheme="minorHAnsi" w:hAnsiTheme="minorHAnsi" w:cstheme="minorBidi"/>
                <w:color w:val="000000" w:themeColor="text1"/>
                <w:sz w:val="20"/>
                <w:szCs w:val="20"/>
              </w:rPr>
              <w:t>26 facilities shall be other energy efficiency renovations</w:t>
            </w:r>
          </w:p>
          <w:p w14:paraId="4A190EF5" w14:textId="5D5B978F"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699F5AB8" w14:textId="2559705E"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0E818D90" w14:textId="5B3B3EDE"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2E34A862" w14:textId="5EEB61A8"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6658A292" w14:textId="7B5B2326"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19467A16" w14:textId="2EFC0916"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00D5A3CE" w14:textId="1CC6D9DF"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445A7D33" w14:textId="3846E1AC"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02A10D2F" w14:textId="5F1E718A"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1BF95A9F" w14:textId="09F0610F"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36386743" w14:textId="525457CF"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354B4489" w14:textId="2F70DE0E"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449936BD" w14:textId="5762420B"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6E2EBF4B" w14:textId="1FB3C02A"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134AE26A" w14:textId="31D67930"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416596E1" w14:textId="639FDEC4" w:rsidR="00CA545B" w:rsidRPr="00896ADF" w:rsidRDefault="00CA545B" w:rsidP="199B201F">
            <w:pPr>
              <w:widowControl w:val="0"/>
              <w:tabs>
                <w:tab w:val="left" w:pos="479"/>
              </w:tabs>
              <w:autoSpaceDE w:val="0"/>
              <w:autoSpaceDN w:val="0"/>
              <w:spacing w:before="162"/>
              <w:ind w:right="117"/>
              <w:jc w:val="both"/>
              <w:rPr>
                <w:color w:val="000000" w:themeColor="text1"/>
                <w:sz w:val="20"/>
                <w:szCs w:val="20"/>
              </w:rPr>
            </w:pPr>
          </w:p>
          <w:p w14:paraId="1C11F89D" w14:textId="0DCF991C" w:rsidR="00CA545B" w:rsidRPr="00896ADF" w:rsidRDefault="3C398BBE" w:rsidP="199B201F">
            <w:pPr>
              <w:widowControl w:val="0"/>
              <w:tabs>
                <w:tab w:val="left" w:pos="479"/>
              </w:tabs>
              <w:autoSpaceDE w:val="0"/>
              <w:autoSpaceDN w:val="0"/>
              <w:spacing w:before="162"/>
              <w:ind w:right="117"/>
              <w:jc w:val="both"/>
              <w:rPr>
                <w:color w:val="000000" w:themeColor="text1"/>
                <w:sz w:val="20"/>
                <w:szCs w:val="20"/>
              </w:rPr>
            </w:pPr>
            <w:r w:rsidRPr="00896ADF">
              <w:rPr>
                <w:color w:val="000000" w:themeColor="text1"/>
                <w:sz w:val="20"/>
                <w:szCs w:val="20"/>
              </w:rPr>
              <w:t>The facilities shall be built/reconstructed in accordance with the conditions of the UN Convention on the Rights of Persons with Disabilities, in particular the principles of freedom of choice and independent living.</w:t>
            </w:r>
          </w:p>
          <w:p w14:paraId="4143DD7E" w14:textId="77777777" w:rsidR="005C4FD3" w:rsidRPr="00896ADF" w:rsidRDefault="005C4FD3" w:rsidP="00CA545B">
            <w:pPr>
              <w:widowControl w:val="0"/>
              <w:tabs>
                <w:tab w:val="left" w:pos="479"/>
              </w:tabs>
              <w:autoSpaceDE w:val="0"/>
              <w:autoSpaceDN w:val="0"/>
              <w:spacing w:before="162"/>
              <w:ind w:right="117"/>
              <w:jc w:val="both"/>
              <w:rPr>
                <w:rFonts w:cstheme="minorHAnsi"/>
                <w:sz w:val="20"/>
                <w:szCs w:val="20"/>
              </w:rPr>
            </w:pPr>
          </w:p>
          <w:p w14:paraId="28DF9038" w14:textId="77777777" w:rsidR="005C4FD3" w:rsidRPr="00896ADF" w:rsidRDefault="005C4FD3" w:rsidP="00CA545B">
            <w:pPr>
              <w:widowControl w:val="0"/>
              <w:tabs>
                <w:tab w:val="left" w:pos="479"/>
              </w:tabs>
              <w:autoSpaceDE w:val="0"/>
              <w:autoSpaceDN w:val="0"/>
              <w:spacing w:before="162"/>
              <w:ind w:right="117"/>
              <w:jc w:val="both"/>
              <w:rPr>
                <w:rFonts w:cstheme="minorHAnsi"/>
                <w:sz w:val="20"/>
                <w:szCs w:val="20"/>
              </w:rPr>
            </w:pPr>
          </w:p>
          <w:p w14:paraId="787B52CF" w14:textId="402429EF" w:rsidR="0023565A" w:rsidRPr="00896ADF" w:rsidRDefault="3C398BBE" w:rsidP="199B201F">
            <w:pPr>
              <w:widowControl w:val="0"/>
              <w:tabs>
                <w:tab w:val="left" w:pos="479"/>
              </w:tabs>
              <w:autoSpaceDE w:val="0"/>
              <w:autoSpaceDN w:val="0"/>
              <w:spacing w:before="162"/>
              <w:ind w:right="117"/>
              <w:jc w:val="both"/>
              <w:rPr>
                <w:sz w:val="20"/>
                <w:szCs w:val="20"/>
              </w:rPr>
            </w:pPr>
            <w:r w:rsidRPr="00896ADF">
              <w:rPr>
                <w:sz w:val="20"/>
                <w:szCs w:val="20"/>
              </w:rPr>
              <w:t>By Q4/2024</w:t>
            </w:r>
          </w:p>
        </w:tc>
        <w:tc>
          <w:tcPr>
            <w:tcW w:w="3747" w:type="dxa"/>
          </w:tcPr>
          <w:p w14:paraId="7AEC1999" w14:textId="04A87702" w:rsidR="378EB1E1" w:rsidRPr="00896ADF" w:rsidRDefault="49842554" w:rsidP="317C4C32">
            <w:pPr>
              <w:widowControl w:val="0"/>
              <w:tabs>
                <w:tab w:val="left" w:pos="479"/>
              </w:tabs>
              <w:spacing w:before="162" w:line="259" w:lineRule="auto"/>
              <w:ind w:right="117"/>
              <w:jc w:val="both"/>
              <w:rPr>
                <w:rFonts w:eastAsiaTheme="minorEastAsia"/>
                <w:sz w:val="20"/>
                <w:szCs w:val="20"/>
                <w:lang w:val="en-US"/>
              </w:rPr>
            </w:pPr>
            <w:r w:rsidRPr="00896ADF">
              <w:rPr>
                <w:rFonts w:ascii="Arial" w:eastAsia="Arial" w:hAnsi="Arial" w:cs="Arial"/>
                <w:b/>
                <w:bCs/>
                <w:sz w:val="20"/>
                <w:szCs w:val="20"/>
                <w:u w:val="single"/>
                <w:lang w:val="en-US"/>
              </w:rPr>
              <w:lastRenderedPageBreak/>
              <w:t xml:space="preserve"> </w:t>
            </w:r>
            <w:r w:rsidRPr="00896ADF">
              <w:rPr>
                <w:rFonts w:eastAsiaTheme="minorEastAsia"/>
                <w:b/>
                <w:bCs/>
                <w:sz w:val="20"/>
                <w:szCs w:val="20"/>
                <w:u w:val="single"/>
                <w:lang w:val="en-US"/>
              </w:rPr>
              <w:t>N</w:t>
            </w:r>
            <w:r w:rsidRPr="00896ADF">
              <w:rPr>
                <w:rFonts w:eastAsiaTheme="minorEastAsia"/>
                <w:b/>
                <w:bCs/>
                <w:i/>
                <w:iCs/>
                <w:sz w:val="20"/>
                <w:szCs w:val="20"/>
                <w:u w:val="single"/>
                <w:lang w:val="en-US"/>
              </w:rPr>
              <w:t>umber of community-based residential, outpatient, outreach,</w:t>
            </w:r>
            <w:r w:rsidRPr="00896ADF">
              <w:rPr>
                <w:rFonts w:eastAsiaTheme="minorEastAsia"/>
                <w:i/>
                <w:iCs/>
                <w:sz w:val="20"/>
                <w:szCs w:val="20"/>
                <w:u w:val="single"/>
                <w:lang w:val="en-US"/>
              </w:rPr>
              <w:t xml:space="preserve"> </w:t>
            </w:r>
            <w:r w:rsidRPr="00896ADF">
              <w:rPr>
                <w:rFonts w:eastAsiaTheme="minorEastAsia"/>
                <w:b/>
                <w:bCs/>
                <w:i/>
                <w:iCs/>
                <w:sz w:val="20"/>
                <w:szCs w:val="20"/>
                <w:u w:val="single"/>
                <w:lang w:val="en-US"/>
              </w:rPr>
              <w:t>prevention and counselling facilities constructed or reconstructed</w:t>
            </w:r>
          </w:p>
          <w:p w14:paraId="2E24BCBF" w14:textId="67D76E77" w:rsidR="00CA545B" w:rsidRPr="00896ADF" w:rsidRDefault="00CA545B" w:rsidP="00CA545B">
            <w:pPr>
              <w:pStyle w:val="TableParagraph"/>
              <w:spacing w:before="117"/>
              <w:ind w:left="110"/>
              <w:rPr>
                <w:rFonts w:asciiTheme="minorHAnsi" w:hAnsiTheme="minorHAnsi" w:cstheme="minorHAnsi"/>
                <w:color w:val="000000" w:themeColor="text1"/>
                <w:sz w:val="20"/>
                <w:szCs w:val="20"/>
              </w:rPr>
            </w:pPr>
          </w:p>
          <w:p w14:paraId="1FDFC79A" w14:textId="161931C7" w:rsidR="79BABF97" w:rsidRPr="00896ADF" w:rsidRDefault="4A12C948" w:rsidP="199B201F">
            <w:pPr>
              <w:pStyle w:val="TableParagraph"/>
              <w:spacing w:before="117"/>
              <w:ind w:left="110"/>
              <w:rPr>
                <w:rFonts w:ascii="Calibri" w:hAnsi="Calibri" w:cs="Calibri"/>
                <w:color w:val="000000" w:themeColor="text1"/>
                <w:sz w:val="20"/>
                <w:szCs w:val="20"/>
              </w:rPr>
            </w:pPr>
            <w:r w:rsidRPr="00896ADF">
              <w:rPr>
                <w:rFonts w:ascii="Calibri" w:hAnsi="Calibri" w:cs="Calibri"/>
                <w:color w:val="000000" w:themeColor="text1"/>
                <w:sz w:val="20"/>
                <w:szCs w:val="20"/>
              </w:rPr>
              <w:t>At least 94 facilities shall be created, of which at least 20 facilities shall be renovated achieving on average either at least 30% primary energy savings or at least 30% reduction of direct and indirect greenhouse gas emissions.</w:t>
            </w:r>
          </w:p>
          <w:p w14:paraId="71D43C44" w14:textId="5E54221C" w:rsidR="199B201F" w:rsidRPr="00896ADF" w:rsidRDefault="199B201F" w:rsidP="199B201F">
            <w:pPr>
              <w:pStyle w:val="TableParagraph"/>
              <w:spacing w:before="117"/>
              <w:ind w:left="110"/>
              <w:rPr>
                <w:rFonts w:ascii="Calibri" w:hAnsi="Calibri" w:cs="Calibri"/>
                <w:color w:val="000000" w:themeColor="text1"/>
                <w:sz w:val="20"/>
                <w:szCs w:val="20"/>
              </w:rPr>
            </w:pPr>
          </w:p>
          <w:p w14:paraId="1965F644" w14:textId="2C3C7C0D" w:rsidR="19F73C21" w:rsidRPr="00896ADF" w:rsidRDefault="19F73C21" w:rsidP="199B201F">
            <w:pPr>
              <w:pStyle w:val="TableParagraph"/>
              <w:spacing w:before="117"/>
              <w:ind w:left="110"/>
              <w:rPr>
                <w:rFonts w:ascii="Calibri" w:hAnsi="Calibri" w:cs="Calibri"/>
                <w:color w:val="000000" w:themeColor="text1"/>
                <w:sz w:val="20"/>
                <w:szCs w:val="20"/>
              </w:rPr>
            </w:pPr>
            <w:r w:rsidRPr="00896ADF">
              <w:rPr>
                <w:rFonts w:ascii="Calibri" w:hAnsi="Calibri" w:cs="Calibri"/>
                <w:color w:val="000000" w:themeColor="text1"/>
                <w:sz w:val="20"/>
                <w:szCs w:val="20"/>
              </w:rPr>
              <w:t>Furthermore, the relevant calls shall require that all facilities shall be new constructions with primary energy demand at least 20% below the nearly zero-energy buildings requirement or shall be other energy efficiency renovations.</w:t>
            </w:r>
          </w:p>
          <w:p w14:paraId="275B36BC" w14:textId="47774AA1" w:rsidR="199B201F" w:rsidRPr="00896ADF" w:rsidRDefault="199B201F" w:rsidP="199B201F">
            <w:pPr>
              <w:pStyle w:val="TableParagraph"/>
              <w:spacing w:before="117"/>
              <w:ind w:left="110"/>
              <w:rPr>
                <w:rFonts w:ascii="Calibri" w:hAnsi="Calibri" w:cs="Calibri"/>
                <w:color w:val="000000" w:themeColor="text1"/>
                <w:sz w:val="20"/>
                <w:szCs w:val="20"/>
              </w:rPr>
            </w:pPr>
          </w:p>
          <w:p w14:paraId="624C1E8A" w14:textId="5C5F641D" w:rsidR="589834A6" w:rsidRPr="00896ADF" w:rsidRDefault="589834A6" w:rsidP="11F1BDA2">
            <w:pPr>
              <w:jc w:val="both"/>
              <w:rPr>
                <w:i/>
                <w:iCs/>
                <w:sz w:val="20"/>
                <w:szCs w:val="20"/>
                <w:lang w:val="en-IE"/>
              </w:rPr>
            </w:pPr>
            <w:r w:rsidRPr="00896ADF">
              <w:rPr>
                <w:i/>
                <w:iCs/>
                <w:sz w:val="20"/>
                <w:szCs w:val="20"/>
                <w:lang w:val="en-IE"/>
              </w:rPr>
              <w:t xml:space="preserve">The facilities shall ensure progress towards deinstitutionalisation of persons with disabilities in line with the UN Convention on the Rights of Persons with Disabilities, in </w:t>
            </w:r>
            <w:r w:rsidRPr="00896ADF">
              <w:rPr>
                <w:i/>
                <w:iCs/>
                <w:sz w:val="20"/>
                <w:szCs w:val="20"/>
                <w:lang w:val="en-IE"/>
              </w:rPr>
              <w:lastRenderedPageBreak/>
              <w:t xml:space="preserve">particular the principles of independent living and inclusion in the community, notably freedom of choice of where and with whom to live, control over daily activities and access to services in the community.  </w:t>
            </w:r>
          </w:p>
          <w:p w14:paraId="1C239F29" w14:textId="210163AC" w:rsidR="0023565A" w:rsidRPr="00896ADF" w:rsidRDefault="00CA545B" w:rsidP="11F1BDA2">
            <w:pPr>
              <w:jc w:val="both"/>
              <w:rPr>
                <w:b/>
                <w:bCs/>
                <w:sz w:val="20"/>
                <w:szCs w:val="20"/>
                <w:lang w:val="en-IE"/>
              </w:rPr>
            </w:pPr>
            <w:r w:rsidRPr="00896ADF">
              <w:rPr>
                <w:b/>
                <w:bCs/>
                <w:sz w:val="20"/>
                <w:szCs w:val="20"/>
                <w:lang w:val="en-IE"/>
              </w:rPr>
              <w:t xml:space="preserve">By </w:t>
            </w:r>
            <w:r w:rsidR="00E24BBA" w:rsidRPr="00896ADF">
              <w:rPr>
                <w:b/>
                <w:bCs/>
                <w:sz w:val="20"/>
                <w:szCs w:val="20"/>
                <w:lang w:val="en-IE"/>
              </w:rPr>
              <w:t>Q4/2025</w:t>
            </w:r>
          </w:p>
        </w:tc>
      </w:tr>
      <w:tr w:rsidR="0023565A" w:rsidRPr="00896ADF" w14:paraId="62A86C78" w14:textId="77777777" w:rsidTr="571FA6C3">
        <w:tc>
          <w:tcPr>
            <w:tcW w:w="2235" w:type="dxa"/>
          </w:tcPr>
          <w:p w14:paraId="426F9C68" w14:textId="77777777" w:rsidR="0023565A" w:rsidRPr="00896ADF" w:rsidRDefault="0023565A"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lastRenderedPageBreak/>
              <w:t>Estimated cost</w:t>
            </w:r>
          </w:p>
        </w:tc>
        <w:tc>
          <w:tcPr>
            <w:tcW w:w="3260" w:type="dxa"/>
          </w:tcPr>
          <w:p w14:paraId="4ED028CF" w14:textId="77777777" w:rsidR="0023565A" w:rsidRPr="00896ADF" w:rsidRDefault="00CA545B" w:rsidP="003B0E30">
            <w:pPr>
              <w:jc w:val="both"/>
              <w:rPr>
                <w:rFonts w:ascii="Times New Roman" w:eastAsia="Calibri" w:hAnsi="Times New Roman" w:cs="Times New Roman"/>
                <w:noProof/>
                <w:sz w:val="20"/>
                <w:szCs w:val="20"/>
                <w:lang w:val="en-IE"/>
              </w:rPr>
            </w:pPr>
            <w:r w:rsidRPr="00896ADF">
              <w:rPr>
                <w:rFonts w:cstheme="minorHAnsi"/>
                <w:sz w:val="20"/>
                <w:szCs w:val="20"/>
                <w:lang w:val="en-IE"/>
              </w:rPr>
              <w:t>8 328 mil. CZK</w:t>
            </w:r>
          </w:p>
        </w:tc>
        <w:tc>
          <w:tcPr>
            <w:tcW w:w="3747" w:type="dxa"/>
          </w:tcPr>
          <w:p w14:paraId="22BA5DAD" w14:textId="617E9A12" w:rsidR="0023565A" w:rsidRPr="00896ADF" w:rsidRDefault="00E24BBA" w:rsidP="003B0E30">
            <w:pPr>
              <w:jc w:val="both"/>
              <w:rPr>
                <w:rFonts w:ascii="Times New Roman" w:eastAsia="Calibri" w:hAnsi="Times New Roman" w:cs="Times New Roman"/>
                <w:noProof/>
                <w:sz w:val="20"/>
                <w:szCs w:val="20"/>
                <w:lang w:val="en-IE"/>
              </w:rPr>
            </w:pPr>
            <w:r w:rsidRPr="00896ADF">
              <w:rPr>
                <w:rFonts w:cstheme="minorHAnsi"/>
                <w:sz w:val="20"/>
                <w:szCs w:val="20"/>
                <w:lang w:val="en-IE"/>
              </w:rPr>
              <w:t>No change</w:t>
            </w:r>
          </w:p>
        </w:tc>
      </w:tr>
      <w:tr w:rsidR="0023565A" w:rsidRPr="00896ADF" w14:paraId="2078E5E8" w14:textId="77777777" w:rsidTr="571FA6C3">
        <w:tc>
          <w:tcPr>
            <w:tcW w:w="2235" w:type="dxa"/>
          </w:tcPr>
          <w:p w14:paraId="72562164" w14:textId="77777777" w:rsidR="0023565A" w:rsidRPr="00896ADF" w:rsidRDefault="0023565A" w:rsidP="003B0E30">
            <w:pPr>
              <w:jc w:val="both"/>
              <w:rPr>
                <w:rFonts w:cstheme="minorHAnsi"/>
                <w:sz w:val="20"/>
                <w:szCs w:val="20"/>
                <w:lang w:val="en-IE"/>
              </w:rPr>
            </w:pPr>
            <w:r w:rsidRPr="00896ADF">
              <w:rPr>
                <w:rFonts w:cstheme="minorHAnsi"/>
                <w:sz w:val="20"/>
                <w:szCs w:val="20"/>
                <w:lang w:val="en-IE"/>
              </w:rPr>
              <w:t>Green and digital tagging</w:t>
            </w:r>
          </w:p>
        </w:tc>
        <w:tc>
          <w:tcPr>
            <w:tcW w:w="3260" w:type="dxa"/>
          </w:tcPr>
          <w:p w14:paraId="6D4BE572" w14:textId="77777777" w:rsidR="0023565A" w:rsidRPr="00896ADF" w:rsidRDefault="00CA545B" w:rsidP="003B0E30">
            <w:pPr>
              <w:jc w:val="both"/>
              <w:rPr>
                <w:rFonts w:cstheme="minorHAnsi"/>
                <w:sz w:val="20"/>
                <w:szCs w:val="20"/>
                <w:lang w:val="en-IE"/>
              </w:rPr>
            </w:pPr>
            <w:r w:rsidRPr="00896ADF">
              <w:rPr>
                <w:rFonts w:cstheme="minorHAnsi"/>
                <w:sz w:val="20"/>
                <w:szCs w:val="20"/>
                <w:lang w:val="en-IE"/>
              </w:rPr>
              <w:t>No change</w:t>
            </w:r>
          </w:p>
        </w:tc>
        <w:tc>
          <w:tcPr>
            <w:tcW w:w="3747" w:type="dxa"/>
          </w:tcPr>
          <w:p w14:paraId="13AE4AD1" w14:textId="77777777" w:rsidR="0023565A" w:rsidRPr="00896ADF" w:rsidRDefault="00CA545B" w:rsidP="003B0E30">
            <w:pPr>
              <w:jc w:val="both"/>
              <w:rPr>
                <w:rFonts w:cstheme="minorHAnsi"/>
                <w:sz w:val="20"/>
                <w:szCs w:val="20"/>
                <w:lang w:val="en-IE"/>
              </w:rPr>
            </w:pPr>
            <w:r w:rsidRPr="00896ADF">
              <w:rPr>
                <w:rFonts w:cstheme="minorHAnsi"/>
                <w:sz w:val="20"/>
                <w:szCs w:val="20"/>
                <w:lang w:val="en-IE"/>
              </w:rPr>
              <w:t>No change</w:t>
            </w:r>
          </w:p>
        </w:tc>
      </w:tr>
      <w:tr w:rsidR="0023565A" w:rsidRPr="00896ADF" w14:paraId="0BF2D769" w14:textId="77777777" w:rsidTr="571FA6C3">
        <w:tc>
          <w:tcPr>
            <w:tcW w:w="2235" w:type="dxa"/>
          </w:tcPr>
          <w:p w14:paraId="5918AEAD" w14:textId="77777777" w:rsidR="0023565A" w:rsidRPr="00896ADF" w:rsidRDefault="0023565A" w:rsidP="003B0E30">
            <w:pPr>
              <w:jc w:val="both"/>
              <w:rPr>
                <w:rFonts w:cstheme="minorHAnsi"/>
                <w:sz w:val="20"/>
                <w:szCs w:val="20"/>
                <w:lang w:val="en-IE"/>
              </w:rPr>
            </w:pPr>
            <w:r w:rsidRPr="00896ADF">
              <w:rPr>
                <w:rFonts w:cstheme="minorHAnsi"/>
                <w:sz w:val="20"/>
                <w:szCs w:val="20"/>
                <w:lang w:val="en-IE"/>
              </w:rPr>
              <w:t>DNSH self-assessment</w:t>
            </w:r>
          </w:p>
        </w:tc>
        <w:tc>
          <w:tcPr>
            <w:tcW w:w="3260" w:type="dxa"/>
          </w:tcPr>
          <w:p w14:paraId="22F201EF" w14:textId="77777777" w:rsidR="0023565A" w:rsidRPr="00896ADF" w:rsidRDefault="00CA545B" w:rsidP="003B0E30">
            <w:pPr>
              <w:jc w:val="both"/>
              <w:rPr>
                <w:rFonts w:cstheme="minorHAnsi"/>
                <w:sz w:val="20"/>
                <w:szCs w:val="20"/>
                <w:lang w:val="en-IE"/>
              </w:rPr>
            </w:pPr>
            <w:r w:rsidRPr="00896ADF">
              <w:rPr>
                <w:rFonts w:cstheme="minorHAnsi"/>
                <w:sz w:val="20"/>
                <w:szCs w:val="20"/>
                <w:lang w:val="en-IE"/>
              </w:rPr>
              <w:t>No change</w:t>
            </w:r>
          </w:p>
        </w:tc>
        <w:tc>
          <w:tcPr>
            <w:tcW w:w="3747" w:type="dxa"/>
          </w:tcPr>
          <w:p w14:paraId="3940F48F" w14:textId="77777777" w:rsidR="0023565A" w:rsidRPr="00896ADF" w:rsidRDefault="00CA545B" w:rsidP="003B0E30">
            <w:pPr>
              <w:jc w:val="both"/>
              <w:rPr>
                <w:rFonts w:cstheme="minorHAnsi"/>
                <w:sz w:val="20"/>
                <w:szCs w:val="20"/>
                <w:lang w:val="en-IE"/>
              </w:rPr>
            </w:pPr>
            <w:r w:rsidRPr="00896ADF">
              <w:rPr>
                <w:rFonts w:cstheme="minorHAnsi"/>
                <w:sz w:val="20"/>
                <w:szCs w:val="20"/>
                <w:lang w:val="en-IE"/>
              </w:rPr>
              <w:t>No change</w:t>
            </w:r>
          </w:p>
        </w:tc>
      </w:tr>
    </w:tbl>
    <w:p w14:paraId="7E3E993A" w14:textId="0D9280C4" w:rsidR="00C83FD3" w:rsidRPr="00896ADF" w:rsidRDefault="00C83FD3">
      <w:pPr>
        <w:spacing w:after="0" w:line="240" w:lineRule="auto"/>
        <w:jc w:val="both"/>
        <w:rPr>
          <w:rFonts w:cstheme="minorHAnsi"/>
          <w:sz w:val="20"/>
          <w:szCs w:val="20"/>
          <w:lang w:val="en-IE"/>
        </w:rPr>
      </w:pPr>
    </w:p>
    <w:p w14:paraId="791472C0" w14:textId="77777777" w:rsidR="005E6931" w:rsidRPr="00896ADF" w:rsidRDefault="005E6931" w:rsidP="005E6931">
      <w:pPr>
        <w:jc w:val="both"/>
        <w:rPr>
          <w:b/>
          <w:bCs/>
          <w:sz w:val="20"/>
          <w:szCs w:val="20"/>
        </w:rPr>
      </w:pPr>
      <w:r w:rsidRPr="00896ADF">
        <w:rPr>
          <w:b/>
          <w:bCs/>
          <w:sz w:val="20"/>
          <w:szCs w:val="20"/>
        </w:rPr>
        <w:t>Facilities will be built/reconstructed in accordance with the technical parameters for social services within the National Recovery Plan, discussed and agreed upon by relevant stakeholders. The aim of the investment support is to gradually align the conditions of social care services with the UN Convention on the Rights of Persons with Disabilities.</w:t>
      </w:r>
    </w:p>
    <w:p w14:paraId="4AB5582B" w14:textId="77777777" w:rsidR="00322FE9" w:rsidRPr="00896ADF" w:rsidRDefault="00322FE9" w:rsidP="00322FE9">
      <w:pPr>
        <w:widowControl w:val="0"/>
        <w:tabs>
          <w:tab w:val="left" w:pos="479"/>
        </w:tabs>
        <w:autoSpaceDE w:val="0"/>
        <w:autoSpaceDN w:val="0"/>
        <w:spacing w:before="162"/>
        <w:ind w:right="117"/>
        <w:jc w:val="both"/>
        <w:rPr>
          <w:rFonts w:cstheme="minorHAnsi"/>
          <w:b/>
          <w:bCs/>
          <w:sz w:val="20"/>
          <w:szCs w:val="20"/>
        </w:rPr>
      </w:pPr>
      <w:r w:rsidRPr="00896ADF">
        <w:rPr>
          <w:rFonts w:eastAsia="Times New Roman"/>
          <w:b/>
          <w:bCs/>
          <w:color w:val="000000" w:themeColor="text1"/>
          <w:sz w:val="20"/>
          <w:szCs w:val="20"/>
          <w:lang w:eastAsia="en-IE"/>
        </w:rPr>
        <w:t>Compromise</w:t>
      </w:r>
      <w:r w:rsidRPr="00896ADF">
        <w:rPr>
          <w:rFonts w:eastAsia="Times New Roman"/>
          <w:color w:val="000000" w:themeColor="text1"/>
          <w:sz w:val="20"/>
          <w:szCs w:val="20"/>
          <w:lang w:eastAsia="en-IE"/>
        </w:rPr>
        <w:t xml:space="preserve"> with the stakeholders on the technical parameters for social infrastructure</w:t>
      </w:r>
      <w:r w:rsidRPr="00896ADF">
        <w:rPr>
          <w:rFonts w:eastAsia="Times New Roman"/>
          <w:sz w:val="20"/>
          <w:szCs w:val="20"/>
          <w:lang w:eastAsia="en-IE"/>
        </w:rPr>
        <w:t>.</w:t>
      </w:r>
    </w:p>
    <w:p w14:paraId="2A044928" w14:textId="77777777" w:rsidR="00322FE9" w:rsidRPr="00896ADF" w:rsidRDefault="00322FE9" w:rsidP="009B37B5">
      <w:pPr>
        <w:spacing w:after="160"/>
        <w:jc w:val="both"/>
        <w:rPr>
          <w:rFonts w:eastAsia="Arial Narrow" w:cstheme="minorHAnsi"/>
          <w:sz w:val="20"/>
          <w:szCs w:val="20"/>
          <w:lang w:eastAsia="cs-CZ"/>
        </w:rPr>
      </w:pPr>
      <w:r w:rsidRPr="00896ADF">
        <w:rPr>
          <w:rFonts w:cstheme="minorHAnsi"/>
          <w:sz w:val="20"/>
          <w:szCs w:val="20"/>
        </w:rPr>
        <w:t xml:space="preserve">A report confirming that the specifications, including technical specifications, of the projects are in line with the description of the target and the description of the investment in the CID as well as with the further specifications set out in these operational arrangements (including the technical parameters for social services, as </w:t>
      </w:r>
      <w:r w:rsidRPr="00896ADF">
        <w:rPr>
          <w:rFonts w:cstheme="minorHAnsi"/>
          <w:b/>
          <w:bCs/>
          <w:sz w:val="20"/>
          <w:szCs w:val="20"/>
        </w:rPr>
        <w:t>compromised</w:t>
      </w:r>
      <w:r w:rsidRPr="00896ADF">
        <w:rPr>
          <w:rFonts w:cstheme="minorHAnsi"/>
          <w:sz w:val="20"/>
          <w:szCs w:val="20"/>
        </w:rPr>
        <w:t xml:space="preserve"> with all relevant stakeholders). This report does not have to cover the requirements associated with energy savings.</w:t>
      </w:r>
    </w:p>
    <w:p w14:paraId="48053D0B" w14:textId="0C03BB92" w:rsidR="00F1214C" w:rsidRPr="00896ADF" w:rsidRDefault="00F1214C" w:rsidP="00322FE9">
      <w:pPr>
        <w:spacing w:after="0" w:line="240" w:lineRule="auto"/>
        <w:jc w:val="both"/>
        <w:rPr>
          <w:rFonts w:cstheme="minorHAnsi"/>
          <w:sz w:val="20"/>
          <w:szCs w:val="20"/>
          <w:lang w:val="en-IE"/>
        </w:rPr>
      </w:pPr>
    </w:p>
    <w:p w14:paraId="063F8B16" w14:textId="4EC78390" w:rsidR="00F1214C" w:rsidRPr="00896ADF" w:rsidRDefault="00F1214C">
      <w:pPr>
        <w:spacing w:after="0" w:line="240" w:lineRule="auto"/>
        <w:jc w:val="both"/>
        <w:rPr>
          <w:rFonts w:cstheme="minorHAnsi"/>
          <w:sz w:val="20"/>
          <w:szCs w:val="20"/>
          <w:lang w:val="en-IE"/>
        </w:rPr>
      </w:pPr>
    </w:p>
    <w:p w14:paraId="570F0A78" w14:textId="77777777" w:rsidR="00F1214C" w:rsidRPr="00896ADF" w:rsidRDefault="00F1214C" w:rsidP="009B37B5">
      <w:pPr>
        <w:spacing w:after="0" w:line="240" w:lineRule="auto"/>
        <w:jc w:val="both"/>
        <w:rPr>
          <w:rFonts w:cstheme="minorHAnsi"/>
          <w:sz w:val="20"/>
          <w:szCs w:val="20"/>
          <w:lang w:val="en-IE"/>
        </w:rPr>
      </w:pPr>
    </w:p>
    <w:tbl>
      <w:tblPr>
        <w:tblStyle w:val="Mkatabulky"/>
        <w:tblW w:w="0" w:type="auto"/>
        <w:tblLook w:val="04A0" w:firstRow="1" w:lastRow="0" w:firstColumn="1" w:lastColumn="0" w:noHBand="0" w:noVBand="1"/>
      </w:tblPr>
      <w:tblGrid>
        <w:gridCol w:w="3227"/>
        <w:gridCol w:w="5939"/>
      </w:tblGrid>
      <w:tr w:rsidR="00C83FD3" w:rsidRPr="00896ADF" w14:paraId="288A6F78" w14:textId="77777777" w:rsidTr="49A58454">
        <w:tc>
          <w:tcPr>
            <w:tcW w:w="9166" w:type="dxa"/>
            <w:gridSpan w:val="2"/>
            <w:shd w:val="clear" w:color="auto" w:fill="1F3864"/>
          </w:tcPr>
          <w:p w14:paraId="42894E37" w14:textId="77777777" w:rsidR="00C83FD3" w:rsidRPr="00896ADF" w:rsidRDefault="005A3470" w:rsidP="003B0E30">
            <w:pPr>
              <w:jc w:val="center"/>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Component 3.3 MODERNISATION OF EMPLOYMENT SERVICES AND LABOUR MARKET DEVELOPMENT</w:t>
            </w:r>
          </w:p>
        </w:tc>
      </w:tr>
      <w:tr w:rsidR="00C83FD3" w:rsidRPr="00896ADF" w14:paraId="6B525529" w14:textId="77777777" w:rsidTr="49A58454">
        <w:tc>
          <w:tcPr>
            <w:tcW w:w="3227" w:type="dxa"/>
            <w:shd w:val="clear" w:color="auto" w:fill="00B0F0"/>
          </w:tcPr>
          <w:p w14:paraId="61E3201D" w14:textId="77777777" w:rsidR="00C83FD3" w:rsidRPr="00896ADF" w:rsidRDefault="00C83FD3"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6153EA59" w14:textId="77777777" w:rsidR="00C83FD3" w:rsidRPr="00896ADF" w:rsidRDefault="00B67381"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Investment 3</w:t>
            </w:r>
          </w:p>
        </w:tc>
      </w:tr>
      <w:tr w:rsidR="00C83FD3" w:rsidRPr="00896ADF" w14:paraId="1477C506" w14:textId="77777777" w:rsidTr="49A58454">
        <w:tc>
          <w:tcPr>
            <w:tcW w:w="3227" w:type="dxa"/>
            <w:shd w:val="clear" w:color="auto" w:fill="00B0F0"/>
          </w:tcPr>
          <w:p w14:paraId="5099F743" w14:textId="77777777" w:rsidR="00C83FD3" w:rsidRPr="00896ADF" w:rsidRDefault="00C83FD3"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lastRenderedPageBreak/>
              <w:t>Investment/ reform name</w:t>
            </w:r>
          </w:p>
        </w:tc>
        <w:tc>
          <w:tcPr>
            <w:tcW w:w="5939" w:type="dxa"/>
            <w:shd w:val="clear" w:color="auto" w:fill="00B0F0"/>
          </w:tcPr>
          <w:p w14:paraId="3DAF9870" w14:textId="77777777" w:rsidR="00C83FD3" w:rsidRPr="00896ADF" w:rsidRDefault="00B67381"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Development and modernisation of social care infrastructure</w:t>
            </w:r>
          </w:p>
        </w:tc>
      </w:tr>
      <w:tr w:rsidR="00C83FD3" w:rsidRPr="00896ADF" w14:paraId="1DF50E0C" w14:textId="77777777" w:rsidTr="49A58454">
        <w:tc>
          <w:tcPr>
            <w:tcW w:w="3227" w:type="dxa"/>
            <w:shd w:val="clear" w:color="auto" w:fill="BDD6EE"/>
          </w:tcPr>
          <w:p w14:paraId="51CE43D5" w14:textId="77777777" w:rsidR="00C83FD3" w:rsidRPr="00896ADF" w:rsidRDefault="00C83FD3"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Type of change compared to CID</w:t>
            </w:r>
          </w:p>
        </w:tc>
        <w:tc>
          <w:tcPr>
            <w:tcW w:w="5939" w:type="dxa"/>
          </w:tcPr>
          <w:p w14:paraId="710D153F" w14:textId="77777777" w:rsidR="00C83FD3" w:rsidRPr="00896ADF" w:rsidRDefault="00C83FD3"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noProof/>
                <w:sz w:val="20"/>
                <w:szCs w:val="20"/>
                <w:lang w:val="en-US"/>
              </w:rPr>
              <w:t>modified</w:t>
            </w:r>
          </w:p>
        </w:tc>
      </w:tr>
      <w:tr w:rsidR="00C83FD3" w:rsidRPr="00896ADF" w14:paraId="076F42D5" w14:textId="77777777" w:rsidTr="49A58454">
        <w:tc>
          <w:tcPr>
            <w:tcW w:w="3227" w:type="dxa"/>
            <w:shd w:val="clear" w:color="auto" w:fill="BDD6EE"/>
          </w:tcPr>
          <w:p w14:paraId="5D289516" w14:textId="77777777" w:rsidR="00C83FD3" w:rsidRPr="00896ADF" w:rsidRDefault="00C83FD3"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Legal base of the change (select at least one)</w:t>
            </w:r>
          </w:p>
        </w:tc>
        <w:tc>
          <w:tcPr>
            <w:tcW w:w="5939" w:type="dxa"/>
          </w:tcPr>
          <w:p w14:paraId="78EC45B4" w14:textId="77777777" w:rsidR="00C83FD3"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48905685"/>
                <w14:checkbox>
                  <w14:checked w14:val="0"/>
                  <w14:checkedState w14:val="2612" w14:font="MS Gothic"/>
                  <w14:uncheckedState w14:val="2610" w14:font="MS Gothic"/>
                </w14:checkbox>
              </w:sdtPr>
              <w:sdtEndPr/>
              <w:sdtContent>
                <w:r w:rsidR="00C83FD3" w:rsidRPr="00896ADF">
                  <w:rPr>
                    <w:rFonts w:ascii="Segoe UI Symbol" w:eastAsia="Calibri" w:hAnsi="Segoe UI Symbol" w:cs="Segoe UI Symbol"/>
                    <w:noProof/>
                    <w:color w:val="2B579A"/>
                    <w:sz w:val="20"/>
                    <w:szCs w:val="20"/>
                    <w:shd w:val="clear" w:color="auto" w:fill="E6E6E6"/>
                    <w:lang w:val="en-US"/>
                  </w:rPr>
                  <w:t>☐</w:t>
                </w:r>
              </w:sdtContent>
            </w:sdt>
            <w:r w:rsidR="00C83FD3" w:rsidRPr="00896ADF">
              <w:rPr>
                <w:rFonts w:ascii="Times New Roman" w:eastAsia="Calibri" w:hAnsi="Times New Roman" w:cs="Times New Roman"/>
                <w:noProof/>
                <w:sz w:val="20"/>
                <w:szCs w:val="20"/>
                <w:lang w:val="en-US"/>
              </w:rPr>
              <w:t xml:space="preserve"> Article 14(2) – loan request</w:t>
            </w:r>
          </w:p>
          <w:p w14:paraId="1B3B0CFE" w14:textId="4DEA2B64" w:rsidR="00C83FD3"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27380880"/>
                <w14:checkbox>
                  <w14:checked w14:val="0"/>
                  <w14:checkedState w14:val="2612" w14:font="MS Gothic"/>
                  <w14:uncheckedState w14:val="2610" w14:font="MS Gothic"/>
                </w14:checkbox>
              </w:sdtPr>
              <w:sdtEndPr/>
              <w:sdtContent>
                <w:r w:rsidR="002411E9" w:rsidRPr="00896ADF">
                  <w:rPr>
                    <w:rFonts w:ascii="MS Gothic" w:eastAsia="MS Gothic" w:hAnsi="MS Gothic" w:cs="Times New Roman" w:hint="eastAsia"/>
                    <w:noProof/>
                    <w:color w:val="2B579A"/>
                    <w:sz w:val="20"/>
                    <w:szCs w:val="20"/>
                    <w:shd w:val="clear" w:color="auto" w:fill="E6E6E6"/>
                    <w:lang w:val="en-US"/>
                  </w:rPr>
                  <w:t>☐</w:t>
                </w:r>
              </w:sdtContent>
            </w:sdt>
            <w:r w:rsidR="00C83FD3" w:rsidRPr="00896ADF">
              <w:rPr>
                <w:rFonts w:ascii="Times New Roman" w:eastAsia="Calibri" w:hAnsi="Times New Roman" w:cs="Times New Roman"/>
                <w:noProof/>
                <w:sz w:val="20"/>
                <w:szCs w:val="20"/>
                <w:lang w:val="en-US"/>
              </w:rPr>
              <w:t xml:space="preserve"> Article 18(2) – update of the maximum financial contribution</w:t>
            </w:r>
          </w:p>
          <w:p w14:paraId="436E36D4" w14:textId="6D6889BA" w:rsidR="00C83FD3" w:rsidRPr="00896ADF" w:rsidRDefault="00491E8E" w:rsidP="003B0E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161431081"/>
                <w:placeholder>
                  <w:docPart w:val="60FBA697FBD24680AAD600ABB41598A6"/>
                </w:placeholder>
                <w14:checkbox>
                  <w14:checked w14:val="1"/>
                  <w14:checkedState w14:val="2612" w14:font="MS Gothic"/>
                  <w14:uncheckedState w14:val="2610" w14:font="MS Gothic"/>
                </w14:checkbox>
              </w:sdtPr>
              <w:sdtEndPr/>
              <w:sdtContent>
                <w:r w:rsidR="002411E9" w:rsidRPr="00896ADF">
                  <w:rPr>
                    <w:rFonts w:ascii="MS Gothic" w:eastAsia="MS Gothic" w:hAnsi="MS Gothic" w:cs="Times New Roman" w:hint="eastAsia"/>
                    <w:noProof/>
                    <w:color w:val="2B579A"/>
                    <w:sz w:val="20"/>
                    <w:szCs w:val="20"/>
                    <w:shd w:val="clear" w:color="auto" w:fill="E6E6E6"/>
                    <w:lang w:val="en-US"/>
                  </w:rPr>
                  <w:t>☒</w:t>
                </w:r>
              </w:sdtContent>
            </w:sdt>
            <w:r w:rsidR="00C83FD3" w:rsidRPr="00896ADF">
              <w:rPr>
                <w:rFonts w:ascii="Times New Roman" w:eastAsia="Calibri" w:hAnsi="Times New Roman" w:cs="Times New Roman"/>
                <w:noProof/>
                <w:sz w:val="20"/>
                <w:szCs w:val="20"/>
                <w:lang w:val="en-US"/>
              </w:rPr>
              <w:t xml:space="preserve"> Article 21 – amendment due to objective circumstances</w:t>
            </w:r>
          </w:p>
          <w:p w14:paraId="763A3296" w14:textId="77777777" w:rsidR="00C83FD3" w:rsidRPr="00896ADF" w:rsidRDefault="00491E8E" w:rsidP="003B0E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276982985"/>
                <w:placeholder>
                  <w:docPart w:val="60FBA697FBD24680AAD600ABB41598A6"/>
                </w:placeholder>
                <w14:checkbox>
                  <w14:checked w14:val="0"/>
                  <w14:checkedState w14:val="2612" w14:font="MS Gothic"/>
                  <w14:uncheckedState w14:val="2610" w14:font="MS Gothic"/>
                </w14:checkbox>
              </w:sdtPr>
              <w:sdtEndPr/>
              <w:sdtContent>
                <w:r w:rsidR="00C83FD3" w:rsidRPr="00896ADF">
                  <w:rPr>
                    <w:rFonts w:ascii="Segoe UI Symbol" w:eastAsia="Calibri" w:hAnsi="Segoe UI Symbol" w:cs="Segoe UI Symbol"/>
                    <w:noProof/>
                    <w:color w:val="2B579A"/>
                    <w:sz w:val="20"/>
                    <w:szCs w:val="20"/>
                    <w:shd w:val="clear" w:color="auto" w:fill="E6E6E6"/>
                    <w:lang w:val="fr-BE"/>
                  </w:rPr>
                  <w:t>☐</w:t>
                </w:r>
              </w:sdtContent>
            </w:sdt>
            <w:r w:rsidR="00C83FD3" w:rsidRPr="00896ADF">
              <w:rPr>
                <w:rFonts w:ascii="Times New Roman" w:eastAsia="Calibri" w:hAnsi="Times New Roman" w:cs="Times New Roman"/>
                <w:noProof/>
                <w:sz w:val="20"/>
                <w:szCs w:val="20"/>
                <w:lang w:val="fr-BE"/>
              </w:rPr>
              <w:t xml:space="preserve"> Article 21a – REPowerEU non-repayable financial support (ETS revenue)</w:t>
            </w:r>
          </w:p>
          <w:p w14:paraId="31B3A0F3" w14:textId="77777777" w:rsidR="00C83FD3" w:rsidRPr="00896ADF" w:rsidRDefault="00491E8E" w:rsidP="003B0E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77486866"/>
                <w:placeholder>
                  <w:docPart w:val="60FBA697FBD24680AAD600ABB41598A6"/>
                </w:placeholder>
                <w14:checkbox>
                  <w14:checked w14:val="0"/>
                  <w14:checkedState w14:val="2612" w14:font="MS Gothic"/>
                  <w14:uncheckedState w14:val="2610" w14:font="MS Gothic"/>
                </w14:checkbox>
              </w:sdtPr>
              <w:sdtEndPr/>
              <w:sdtContent>
                <w:r w:rsidR="00C83FD3" w:rsidRPr="00896ADF">
                  <w:rPr>
                    <w:rFonts w:ascii="Segoe UI Symbol" w:eastAsia="Calibri" w:hAnsi="Segoe UI Symbol" w:cs="Segoe UI Symbol"/>
                    <w:noProof/>
                    <w:color w:val="2B579A"/>
                    <w:sz w:val="20"/>
                    <w:szCs w:val="20"/>
                    <w:shd w:val="clear" w:color="auto" w:fill="E6E6E6"/>
                    <w:lang w:val="en-IE"/>
                  </w:rPr>
                  <w:t>☐</w:t>
                </w:r>
              </w:sdtContent>
            </w:sdt>
            <w:r w:rsidR="00C83FD3" w:rsidRPr="00896ADF">
              <w:rPr>
                <w:rFonts w:ascii="Times New Roman" w:eastAsia="Calibri" w:hAnsi="Times New Roman" w:cs="Times New Roman"/>
                <w:noProof/>
                <w:sz w:val="20"/>
                <w:szCs w:val="20"/>
                <w:lang w:val="en-IE"/>
              </w:rPr>
              <w:t xml:space="preserve"> Article 21b (2) – BAR transfers</w:t>
            </w:r>
          </w:p>
          <w:p w14:paraId="533258E0" w14:textId="57B6AFBB" w:rsidR="00C83FD3" w:rsidRPr="00896ADF" w:rsidRDefault="00491E8E" w:rsidP="003B0E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16227318"/>
                <w:placeholder>
                  <w:docPart w:val="A9665E9D76664D69A6913F59667373D5"/>
                </w:placeholder>
                <w14:checkbox>
                  <w14:checked w14:val="1"/>
                  <w14:checkedState w14:val="2612" w14:font="MS Gothic"/>
                  <w14:uncheckedState w14:val="2610" w14:font="MS Gothic"/>
                </w14:checkbox>
              </w:sdtPr>
              <w:sdtEndPr/>
              <w:sdtContent>
                <w:r w:rsidR="002411E9" w:rsidRPr="00896ADF">
                  <w:rPr>
                    <w:rFonts w:ascii="MS Gothic" w:eastAsia="MS Gothic" w:hAnsi="MS Gothic" w:cs="Times New Roman" w:hint="eastAsia"/>
                    <w:noProof/>
                    <w:color w:val="2B579A"/>
                    <w:sz w:val="20"/>
                    <w:szCs w:val="20"/>
                    <w:shd w:val="clear" w:color="auto" w:fill="E6E6E6"/>
                    <w:lang w:val="en-US"/>
                  </w:rPr>
                  <w:t>☒</w:t>
                </w:r>
              </w:sdtContent>
            </w:sdt>
            <w:r w:rsidR="002411E9" w:rsidRPr="00896ADF">
              <w:rPr>
                <w:rFonts w:ascii="Times New Roman" w:eastAsia="Calibri" w:hAnsi="Times New Roman" w:cs="Times New Roman"/>
                <w:noProof/>
                <w:color w:val="2B579A"/>
                <w:sz w:val="20"/>
                <w:szCs w:val="20"/>
                <w:shd w:val="clear" w:color="auto" w:fill="E6E6E6"/>
                <w:lang w:val="en-US"/>
              </w:rPr>
              <w:t xml:space="preserve"> </w:t>
            </w:r>
            <w:r w:rsidR="31A52003" w:rsidRPr="00896ADF">
              <w:rPr>
                <w:rFonts w:ascii="Times New Roman" w:eastAsia="Calibri" w:hAnsi="Times New Roman" w:cs="Times New Roman"/>
                <w:noProof/>
                <w:sz w:val="20"/>
                <w:szCs w:val="20"/>
                <w:lang w:val="en-US"/>
              </w:rPr>
              <w:t>None of the above, correction of clerical error</w:t>
            </w:r>
          </w:p>
          <w:p w14:paraId="4D8877F8" w14:textId="77777777" w:rsidR="00C83FD3" w:rsidRPr="00896ADF" w:rsidRDefault="00C83FD3" w:rsidP="003B0E30">
            <w:pPr>
              <w:jc w:val="both"/>
              <w:rPr>
                <w:rFonts w:ascii="Times New Roman" w:eastAsia="Calibri" w:hAnsi="Times New Roman" w:cs="Times New Roman"/>
                <w:noProof/>
                <w:sz w:val="20"/>
                <w:szCs w:val="20"/>
                <w:lang w:val="en-IE"/>
              </w:rPr>
            </w:pPr>
          </w:p>
        </w:tc>
      </w:tr>
      <w:tr w:rsidR="00C83FD3" w:rsidRPr="00896ADF" w14:paraId="3D10AE38" w14:textId="77777777" w:rsidTr="49A58454">
        <w:tc>
          <w:tcPr>
            <w:tcW w:w="3227" w:type="dxa"/>
            <w:shd w:val="clear" w:color="auto" w:fill="BDD6EE"/>
          </w:tcPr>
          <w:p w14:paraId="5263A1C5" w14:textId="77777777" w:rsidR="00C83FD3" w:rsidRPr="00896ADF" w:rsidRDefault="00C83FD3"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Elements modified (only for modified measures)</w:t>
            </w:r>
          </w:p>
          <w:p w14:paraId="5341EBD7" w14:textId="77777777" w:rsidR="00C83FD3" w:rsidRPr="00896ADF" w:rsidRDefault="00C83FD3" w:rsidP="003B0E30">
            <w:pPr>
              <w:jc w:val="both"/>
              <w:rPr>
                <w:rFonts w:ascii="Times New Roman" w:eastAsia="Calibri" w:hAnsi="Times New Roman" w:cs="Times New Roman"/>
                <w:b/>
                <w:bCs/>
                <w:noProof/>
                <w:sz w:val="24"/>
                <w:szCs w:val="24"/>
                <w:u w:val="single"/>
                <w:lang w:val="en-IE"/>
              </w:rPr>
            </w:pPr>
          </w:p>
        </w:tc>
        <w:tc>
          <w:tcPr>
            <w:tcW w:w="5939" w:type="dxa"/>
          </w:tcPr>
          <w:p w14:paraId="230178D0" w14:textId="7BD8F278" w:rsidR="00C83FD3"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556129581"/>
                <w14:checkbox>
                  <w14:checked w14:val="1"/>
                  <w14:checkedState w14:val="2612" w14:font="MS Gothic"/>
                  <w14:uncheckedState w14:val="2610" w14:font="MS Gothic"/>
                </w14:checkbox>
              </w:sdtPr>
              <w:sdtEndPr/>
              <w:sdtContent>
                <w:r w:rsidR="002411E9" w:rsidRPr="00896ADF">
                  <w:rPr>
                    <w:rFonts w:ascii="MS Gothic" w:eastAsia="MS Gothic" w:hAnsi="MS Gothic" w:cs="Segoe UI Symbol" w:hint="eastAsia"/>
                    <w:noProof/>
                    <w:color w:val="2B579A"/>
                    <w:sz w:val="20"/>
                    <w:szCs w:val="20"/>
                    <w:shd w:val="clear" w:color="auto" w:fill="E6E6E6"/>
                    <w:lang w:val="en-US"/>
                  </w:rPr>
                  <w:t>☒</w:t>
                </w:r>
              </w:sdtContent>
            </w:sdt>
            <w:r w:rsidR="24B83584" w:rsidRPr="00896ADF">
              <w:rPr>
                <w:rFonts w:ascii="Times New Roman" w:eastAsia="Calibri" w:hAnsi="Times New Roman" w:cs="Times New Roman"/>
                <w:noProof/>
                <w:sz w:val="20"/>
                <w:szCs w:val="20"/>
                <w:lang w:val="en-US"/>
              </w:rPr>
              <w:t xml:space="preserve"> Component / Measure description</w:t>
            </w:r>
          </w:p>
          <w:p w14:paraId="0A849803" w14:textId="77777777" w:rsidR="00C83FD3"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045790364"/>
                <w:placeholder>
                  <w:docPart w:val="60FBA697FBD24680AAD600ABB41598A6"/>
                </w:placeholder>
                <w14:checkbox>
                  <w14:checked w14:val="1"/>
                  <w14:checkedState w14:val="2612" w14:font="MS Gothic"/>
                  <w14:uncheckedState w14:val="2610" w14:font="MS Gothic"/>
                </w14:checkbox>
              </w:sdtPr>
              <w:sdtEndPr/>
              <w:sdtContent>
                <w:r w:rsidR="00CA545B" w:rsidRPr="00896ADF">
                  <w:rPr>
                    <w:rFonts w:ascii="MS Gothic" w:eastAsia="MS Gothic" w:hAnsi="MS Gothic" w:cs="Times New Roman" w:hint="eastAsia"/>
                    <w:noProof/>
                    <w:color w:val="2B579A"/>
                    <w:sz w:val="20"/>
                    <w:szCs w:val="20"/>
                    <w:shd w:val="clear" w:color="auto" w:fill="E6E6E6"/>
                    <w:lang w:val="en-US"/>
                  </w:rPr>
                  <w:t>☒</w:t>
                </w:r>
              </w:sdtContent>
            </w:sdt>
            <w:r w:rsidR="00C83FD3" w:rsidRPr="00896ADF">
              <w:rPr>
                <w:rFonts w:ascii="Times New Roman" w:eastAsia="Calibri" w:hAnsi="Times New Roman" w:cs="Times New Roman"/>
                <w:noProof/>
                <w:sz w:val="20"/>
                <w:szCs w:val="20"/>
                <w:lang w:val="en-US"/>
              </w:rPr>
              <w:t>Milestones and targets</w:t>
            </w:r>
          </w:p>
          <w:p w14:paraId="1BC85367" w14:textId="0B028C9C" w:rsidR="00C83FD3"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95219519"/>
                <w14:checkbox>
                  <w14:checked w14:val="0"/>
                  <w14:checkedState w14:val="2612" w14:font="MS Gothic"/>
                  <w14:uncheckedState w14:val="2610" w14:font="MS Gothic"/>
                </w14:checkbox>
              </w:sdtPr>
              <w:sdtEndPr/>
              <w:sdtContent>
                <w:r w:rsidR="002411E9" w:rsidRPr="00896ADF">
                  <w:rPr>
                    <w:rFonts w:ascii="MS Gothic" w:eastAsia="MS Gothic" w:hAnsi="MS Gothic" w:cs="Times New Roman" w:hint="eastAsia"/>
                    <w:noProof/>
                    <w:color w:val="2B579A"/>
                    <w:sz w:val="20"/>
                    <w:szCs w:val="20"/>
                    <w:shd w:val="clear" w:color="auto" w:fill="E6E6E6"/>
                    <w:lang w:val="en-US"/>
                  </w:rPr>
                  <w:t>☐</w:t>
                </w:r>
              </w:sdtContent>
            </w:sdt>
            <w:r w:rsidR="00C83FD3" w:rsidRPr="00896ADF">
              <w:rPr>
                <w:rFonts w:ascii="Times New Roman" w:eastAsia="Calibri" w:hAnsi="Times New Roman" w:cs="Times New Roman"/>
                <w:noProof/>
                <w:sz w:val="20"/>
                <w:szCs w:val="20"/>
                <w:lang w:val="en-US"/>
              </w:rPr>
              <w:t xml:space="preserve"> Estimated cost</w:t>
            </w:r>
          </w:p>
          <w:p w14:paraId="6F34659D" w14:textId="77777777" w:rsidR="00C83FD3"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99112742"/>
                <w14:checkbox>
                  <w14:checked w14:val="0"/>
                  <w14:checkedState w14:val="2612" w14:font="MS Gothic"/>
                  <w14:uncheckedState w14:val="2610" w14:font="MS Gothic"/>
                </w14:checkbox>
              </w:sdtPr>
              <w:sdtEndPr/>
              <w:sdtContent>
                <w:r w:rsidR="00C83FD3" w:rsidRPr="00896ADF">
                  <w:rPr>
                    <w:rFonts w:ascii="Segoe UI Symbol" w:eastAsia="Calibri" w:hAnsi="Segoe UI Symbol" w:cs="Segoe UI Symbol"/>
                    <w:noProof/>
                    <w:color w:val="2B579A"/>
                    <w:sz w:val="20"/>
                    <w:szCs w:val="20"/>
                    <w:shd w:val="clear" w:color="auto" w:fill="E6E6E6"/>
                    <w:lang w:val="en-US"/>
                  </w:rPr>
                  <w:t>☐</w:t>
                </w:r>
              </w:sdtContent>
            </w:sdt>
            <w:r w:rsidR="00C83FD3" w:rsidRPr="00896ADF">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482B3803" w14:textId="77777777" w:rsidR="00C83FD3" w:rsidRPr="00896ADF" w:rsidRDefault="00491E8E" w:rsidP="003B0E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600764488"/>
                <w14:checkbox>
                  <w14:checked w14:val="0"/>
                  <w14:checkedState w14:val="2612" w14:font="MS Gothic"/>
                  <w14:uncheckedState w14:val="2610" w14:font="MS Gothic"/>
                </w14:checkbox>
              </w:sdtPr>
              <w:sdtEndPr/>
              <w:sdtContent>
                <w:r w:rsidR="00C83FD3" w:rsidRPr="00896ADF">
                  <w:rPr>
                    <w:rFonts w:ascii="Segoe UI Symbol" w:eastAsia="Calibri" w:hAnsi="Segoe UI Symbol" w:cs="Segoe UI Symbol"/>
                    <w:noProof/>
                    <w:color w:val="2B579A"/>
                    <w:sz w:val="20"/>
                    <w:szCs w:val="20"/>
                    <w:shd w:val="clear" w:color="auto" w:fill="E6E6E6"/>
                    <w:lang w:val="en-US"/>
                  </w:rPr>
                  <w:t>☐</w:t>
                </w:r>
              </w:sdtContent>
            </w:sdt>
            <w:r w:rsidR="00C83FD3" w:rsidRPr="00896ADF">
              <w:rPr>
                <w:rFonts w:ascii="Times New Roman" w:eastAsia="Calibri" w:hAnsi="Times New Roman" w:cs="Times New Roman"/>
                <w:noProof/>
                <w:sz w:val="20"/>
                <w:szCs w:val="20"/>
                <w:lang w:val="en-US"/>
              </w:rPr>
              <w:t xml:space="preserve"> DNSH self-assessment</w:t>
            </w:r>
          </w:p>
        </w:tc>
      </w:tr>
    </w:tbl>
    <w:p w14:paraId="43F88019" w14:textId="77777777" w:rsidR="00C83FD3" w:rsidRPr="00896ADF" w:rsidRDefault="00C83FD3" w:rsidP="00C83FD3"/>
    <w:tbl>
      <w:tblPr>
        <w:tblStyle w:val="Mkatabulky"/>
        <w:tblW w:w="0" w:type="auto"/>
        <w:tblLook w:val="04A0" w:firstRow="1" w:lastRow="0" w:firstColumn="1" w:lastColumn="0" w:noHBand="0" w:noVBand="1"/>
      </w:tblPr>
      <w:tblGrid>
        <w:gridCol w:w="2235"/>
        <w:gridCol w:w="3260"/>
        <w:gridCol w:w="3747"/>
      </w:tblGrid>
      <w:tr w:rsidR="00C83FD3" w:rsidRPr="00896ADF" w14:paraId="397B3D64" w14:textId="77777777" w:rsidTr="11F1BDA2">
        <w:tc>
          <w:tcPr>
            <w:tcW w:w="9242" w:type="dxa"/>
            <w:gridSpan w:val="3"/>
            <w:shd w:val="clear" w:color="auto" w:fill="1F3864"/>
          </w:tcPr>
          <w:p w14:paraId="2F570C2F" w14:textId="77777777" w:rsidR="00C83FD3" w:rsidRPr="00896ADF" w:rsidRDefault="00A57179" w:rsidP="003B0E30">
            <w:pPr>
              <w:jc w:val="center"/>
              <w:rPr>
                <w:rFonts w:ascii="Times New Roman" w:eastAsia="Calibri" w:hAnsi="Times New Roman" w:cs="Times New Roman"/>
                <w:b/>
                <w:bCs/>
                <w:noProof/>
                <w:sz w:val="20"/>
                <w:szCs w:val="20"/>
                <w:lang w:val="en-IE"/>
              </w:rPr>
            </w:pPr>
            <w:r w:rsidRPr="00896ADF">
              <w:rPr>
                <w:rFonts w:ascii="Times New Roman" w:eastAsia="Calibri" w:hAnsi="Times New Roman" w:cs="Times New Roman"/>
                <w:b/>
                <w:bCs/>
                <w:noProof/>
                <w:sz w:val="20"/>
                <w:szCs w:val="20"/>
                <w:lang w:val="en-IE"/>
              </w:rPr>
              <w:t>Investment 3: Development and modernisation of social care infrastructure</w:t>
            </w:r>
            <w:r w:rsidR="002A75C2" w:rsidRPr="00896ADF">
              <w:rPr>
                <w:rFonts w:ascii="Times New Roman" w:eastAsia="Calibri" w:hAnsi="Times New Roman" w:cs="Times New Roman"/>
                <w:b/>
                <w:bCs/>
                <w:noProof/>
                <w:sz w:val="20"/>
                <w:szCs w:val="20"/>
                <w:lang w:val="en-IE"/>
              </w:rPr>
              <w:t xml:space="preserve"> – Target 195</w:t>
            </w:r>
          </w:p>
        </w:tc>
      </w:tr>
      <w:tr w:rsidR="00C83FD3" w:rsidRPr="00896ADF" w14:paraId="382FD5BD" w14:textId="77777777" w:rsidTr="11F1BDA2">
        <w:tc>
          <w:tcPr>
            <w:tcW w:w="9242" w:type="dxa"/>
            <w:gridSpan w:val="3"/>
            <w:shd w:val="clear" w:color="auto" w:fill="auto"/>
          </w:tcPr>
          <w:p w14:paraId="47EF08C2" w14:textId="77777777" w:rsidR="00C83FD3" w:rsidRPr="00896ADF" w:rsidRDefault="00C83FD3" w:rsidP="003B0E30">
            <w:pPr>
              <w:jc w:val="both"/>
              <w:rPr>
                <w:rFonts w:ascii="Times New Roman" w:eastAsia="Calibri" w:hAnsi="Times New Roman" w:cs="Times New Roman"/>
                <w:i/>
                <w:iCs/>
                <w:noProof/>
                <w:sz w:val="20"/>
                <w:szCs w:val="20"/>
                <w:lang w:val="en-IE"/>
              </w:rPr>
            </w:pPr>
            <w:r w:rsidRPr="00896ADF">
              <w:rPr>
                <w:rFonts w:ascii="Times New Roman" w:eastAsia="Calibri" w:hAnsi="Times New Roman" w:cs="Times New Roman"/>
                <w:i/>
                <w:iCs/>
                <w:noProof/>
                <w:sz w:val="20"/>
                <w:szCs w:val="20"/>
                <w:lang w:val="en-IE"/>
              </w:rPr>
              <w:t>Description and justification of the change</w:t>
            </w:r>
          </w:p>
        </w:tc>
      </w:tr>
      <w:tr w:rsidR="00C83FD3" w:rsidRPr="00896ADF" w14:paraId="065D37EB" w14:textId="77777777" w:rsidTr="11F1BDA2">
        <w:tc>
          <w:tcPr>
            <w:tcW w:w="2235" w:type="dxa"/>
            <w:shd w:val="clear" w:color="auto" w:fill="00B0F0"/>
          </w:tcPr>
          <w:p w14:paraId="1E2796A5" w14:textId="77777777" w:rsidR="00C83FD3" w:rsidRPr="00896ADF" w:rsidRDefault="00C83FD3"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6FCAE964" w14:textId="77777777" w:rsidR="00C83FD3" w:rsidRPr="00896ADF" w:rsidRDefault="00C83FD3"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56689D09" w14:textId="77777777" w:rsidR="00C83FD3" w:rsidRPr="00896ADF" w:rsidRDefault="00C83FD3"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Amended version</w:t>
            </w:r>
          </w:p>
        </w:tc>
      </w:tr>
      <w:tr w:rsidR="00C83FD3" w:rsidRPr="00896ADF" w14:paraId="13F288E5" w14:textId="77777777" w:rsidTr="11F1BDA2">
        <w:tc>
          <w:tcPr>
            <w:tcW w:w="2235" w:type="dxa"/>
          </w:tcPr>
          <w:p w14:paraId="4136D716" w14:textId="77777777" w:rsidR="00C83FD3" w:rsidRPr="00896ADF" w:rsidRDefault="00C83FD3"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6FE640FA" w14:textId="77F8C560" w:rsidR="00C83FD3" w:rsidRPr="00896ADF" w:rsidRDefault="6B7FE65D" w:rsidP="199B201F">
            <w:pPr>
              <w:jc w:val="both"/>
              <w:rPr>
                <w:rFonts w:ascii="Arial" w:eastAsia="Arial" w:hAnsi="Arial" w:cs="Arial"/>
                <w:i/>
                <w:iCs/>
                <w:noProof/>
                <w:sz w:val="20"/>
                <w:szCs w:val="20"/>
              </w:rPr>
            </w:pPr>
            <w:r w:rsidRPr="00896ADF">
              <w:rPr>
                <w:rFonts w:ascii="Arial" w:eastAsia="Arial" w:hAnsi="Arial" w:cs="Arial"/>
                <w:i/>
                <w:iCs/>
                <w:noProof/>
                <w:sz w:val="20"/>
                <w:szCs w:val="20"/>
              </w:rPr>
              <w:t>Dtto 194</w:t>
            </w:r>
          </w:p>
        </w:tc>
        <w:tc>
          <w:tcPr>
            <w:tcW w:w="3747" w:type="dxa"/>
          </w:tcPr>
          <w:p w14:paraId="40BB6CA9" w14:textId="0FD390BF" w:rsidR="00C83FD3" w:rsidRPr="00896ADF" w:rsidRDefault="6B7FE65D" w:rsidP="11F1BDA2">
            <w:pPr>
              <w:spacing w:before="120" w:after="120"/>
              <w:jc w:val="both"/>
              <w:rPr>
                <w:rFonts w:eastAsiaTheme="minorEastAsia"/>
                <w:b/>
                <w:bCs/>
                <w:i/>
                <w:iCs/>
                <w:noProof/>
                <w:sz w:val="20"/>
                <w:szCs w:val="20"/>
              </w:rPr>
            </w:pPr>
            <w:r w:rsidRPr="00896ADF">
              <w:rPr>
                <w:rFonts w:eastAsiaTheme="minorEastAsia"/>
                <w:b/>
                <w:bCs/>
                <w:i/>
                <w:iCs/>
                <w:noProof/>
                <w:sz w:val="20"/>
                <w:szCs w:val="20"/>
              </w:rPr>
              <w:t>Dtto 194</w:t>
            </w:r>
          </w:p>
          <w:p w14:paraId="6F57BCCA" w14:textId="79AA14C8" w:rsidR="00C83FD3" w:rsidRPr="00896ADF" w:rsidRDefault="00C83FD3" w:rsidP="199B201F">
            <w:pPr>
              <w:spacing w:before="120" w:after="120"/>
              <w:jc w:val="both"/>
              <w:rPr>
                <w:rFonts w:eastAsiaTheme="minorEastAsia"/>
                <w:b/>
                <w:bCs/>
                <w:i/>
                <w:iCs/>
                <w:noProof/>
                <w:sz w:val="20"/>
                <w:szCs w:val="20"/>
                <w:lang w:val="en-IE"/>
              </w:rPr>
            </w:pPr>
          </w:p>
        </w:tc>
      </w:tr>
      <w:tr w:rsidR="00C83FD3" w:rsidRPr="00896ADF" w14:paraId="56A6BB1A" w14:textId="77777777" w:rsidTr="11F1BDA2">
        <w:tc>
          <w:tcPr>
            <w:tcW w:w="2235" w:type="dxa"/>
          </w:tcPr>
          <w:p w14:paraId="5A7A883D" w14:textId="77777777" w:rsidR="00C83FD3" w:rsidRPr="00896ADF" w:rsidRDefault="00C83FD3"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Milestones and targets </w:t>
            </w:r>
          </w:p>
        </w:tc>
        <w:tc>
          <w:tcPr>
            <w:tcW w:w="3260" w:type="dxa"/>
          </w:tcPr>
          <w:p w14:paraId="29C97E34" w14:textId="77777777" w:rsidR="002A75C2" w:rsidRPr="00896ADF" w:rsidRDefault="002A75C2" w:rsidP="002A75C2">
            <w:pPr>
              <w:widowControl w:val="0"/>
              <w:tabs>
                <w:tab w:val="left" w:pos="479"/>
              </w:tabs>
              <w:autoSpaceDE w:val="0"/>
              <w:autoSpaceDN w:val="0"/>
              <w:spacing w:before="162" w:line="259" w:lineRule="auto"/>
              <w:ind w:right="117"/>
              <w:jc w:val="both"/>
              <w:rPr>
                <w:rFonts w:cstheme="minorHAnsi"/>
                <w:i/>
                <w:color w:val="000000" w:themeColor="text1"/>
                <w:sz w:val="20"/>
                <w:szCs w:val="20"/>
                <w:u w:val="single"/>
              </w:rPr>
            </w:pPr>
            <w:r w:rsidRPr="00896ADF">
              <w:rPr>
                <w:rFonts w:cstheme="minorHAnsi"/>
                <w:i/>
                <w:color w:val="000000" w:themeColor="text1"/>
                <w:sz w:val="20"/>
                <w:szCs w:val="20"/>
                <w:u w:val="single"/>
              </w:rPr>
              <w:t>Number of community-based residential facilities constructed or reconstructed</w:t>
            </w:r>
          </w:p>
          <w:p w14:paraId="31FB55E7" w14:textId="77777777" w:rsidR="002A75C2" w:rsidRPr="00896ADF" w:rsidRDefault="002A75C2" w:rsidP="002A75C2">
            <w:pPr>
              <w:pStyle w:val="TableParagraph"/>
              <w:spacing w:before="117"/>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At least 288 facilities shall be created, of which:</w:t>
            </w:r>
          </w:p>
          <w:p w14:paraId="121B3D90" w14:textId="77777777" w:rsidR="002A75C2" w:rsidRPr="00896ADF" w:rsidRDefault="002A75C2" w:rsidP="00896ADF">
            <w:pPr>
              <w:pStyle w:val="TableParagraph"/>
              <w:numPr>
                <w:ilvl w:val="0"/>
                <w:numId w:val="18"/>
              </w:numPr>
              <w:tabs>
                <w:tab w:val="left" w:pos="831"/>
                <w:tab w:val="left" w:pos="832"/>
              </w:tabs>
              <w:spacing w:before="120" w:line="259" w:lineRule="auto"/>
              <w:ind w:right="222"/>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116 facilities shall be new constructions with primary energy demand at least 20% below the nearly zero-energy buildings requirement;</w:t>
            </w:r>
          </w:p>
          <w:p w14:paraId="3A156B18" w14:textId="77777777" w:rsidR="002A75C2" w:rsidRPr="00896ADF" w:rsidRDefault="002A75C2" w:rsidP="00896ADF">
            <w:pPr>
              <w:pStyle w:val="TableParagraph"/>
              <w:numPr>
                <w:ilvl w:val="0"/>
                <w:numId w:val="18"/>
              </w:numPr>
              <w:tabs>
                <w:tab w:val="left" w:pos="831"/>
                <w:tab w:val="left" w:pos="832"/>
              </w:tabs>
              <w:spacing w:before="120" w:line="259" w:lineRule="auto"/>
              <w:ind w:right="222"/>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106 facilities shall be renovated, achieving on average either at least 30% primary energy</w:t>
            </w:r>
            <w:r w:rsidRPr="00896ADF">
              <w:rPr>
                <w:rFonts w:asciiTheme="minorHAnsi" w:hAnsiTheme="minorHAnsi" w:cstheme="minorHAnsi"/>
                <w:i/>
                <w:color w:val="000000" w:themeColor="text1"/>
                <w:spacing w:val="-18"/>
                <w:sz w:val="20"/>
                <w:szCs w:val="20"/>
              </w:rPr>
              <w:t xml:space="preserve"> </w:t>
            </w:r>
            <w:r w:rsidRPr="00896ADF">
              <w:rPr>
                <w:rFonts w:asciiTheme="minorHAnsi" w:hAnsiTheme="minorHAnsi" w:cstheme="minorHAnsi"/>
                <w:i/>
                <w:color w:val="000000" w:themeColor="text1"/>
                <w:sz w:val="20"/>
                <w:szCs w:val="20"/>
              </w:rPr>
              <w:t>savings or at least 30% reduction of direct and indirect greenhouse gas</w:t>
            </w:r>
            <w:r w:rsidRPr="00896ADF">
              <w:rPr>
                <w:rFonts w:asciiTheme="minorHAnsi" w:hAnsiTheme="minorHAnsi" w:cstheme="minorHAnsi"/>
                <w:i/>
                <w:color w:val="000000" w:themeColor="text1"/>
                <w:spacing w:val="-2"/>
                <w:sz w:val="20"/>
                <w:szCs w:val="20"/>
              </w:rPr>
              <w:t xml:space="preserve"> </w:t>
            </w:r>
            <w:r w:rsidRPr="00896ADF">
              <w:rPr>
                <w:rFonts w:asciiTheme="minorHAnsi" w:hAnsiTheme="minorHAnsi" w:cstheme="minorHAnsi"/>
                <w:i/>
                <w:color w:val="000000" w:themeColor="text1"/>
                <w:sz w:val="20"/>
                <w:szCs w:val="20"/>
              </w:rPr>
              <w:t>emissions.</w:t>
            </w:r>
          </w:p>
          <w:p w14:paraId="62BA50E2" w14:textId="77777777" w:rsidR="002A75C2" w:rsidRPr="00896ADF" w:rsidRDefault="1015958C" w:rsidP="00896ADF">
            <w:pPr>
              <w:pStyle w:val="TableParagraph"/>
              <w:numPr>
                <w:ilvl w:val="0"/>
                <w:numId w:val="18"/>
              </w:numPr>
              <w:tabs>
                <w:tab w:val="left" w:pos="831"/>
                <w:tab w:val="left" w:pos="832"/>
              </w:tabs>
              <w:spacing w:before="121" w:line="259" w:lineRule="auto"/>
              <w:ind w:right="118"/>
              <w:jc w:val="both"/>
              <w:rPr>
                <w:rFonts w:asciiTheme="minorHAnsi" w:hAnsiTheme="minorHAnsi" w:cstheme="minorHAnsi"/>
                <w:i/>
                <w:color w:val="000000" w:themeColor="text1"/>
                <w:sz w:val="20"/>
                <w:szCs w:val="20"/>
              </w:rPr>
            </w:pPr>
            <w:r w:rsidRPr="00896ADF">
              <w:rPr>
                <w:rFonts w:asciiTheme="minorHAnsi" w:hAnsiTheme="minorHAnsi" w:cstheme="minorBidi"/>
                <w:i/>
                <w:iCs/>
                <w:color w:val="000000" w:themeColor="text1"/>
                <w:sz w:val="20"/>
                <w:szCs w:val="20"/>
              </w:rPr>
              <w:t xml:space="preserve">66 facilities shall be other energy efficiency renovations achieving on average neither at least 30% primary energy The facilities shall be built/reconstructed in accordance with the conditions of the UN Convention on the Rights of </w:t>
            </w:r>
            <w:r w:rsidRPr="00896ADF">
              <w:rPr>
                <w:rFonts w:asciiTheme="minorHAnsi" w:hAnsiTheme="minorHAnsi" w:cstheme="minorBidi"/>
                <w:i/>
                <w:iCs/>
                <w:color w:val="000000" w:themeColor="text1"/>
                <w:sz w:val="20"/>
                <w:szCs w:val="20"/>
              </w:rPr>
              <w:lastRenderedPageBreak/>
              <w:t>Persons with Disabilities, in particular the</w:t>
            </w:r>
            <w:r w:rsidRPr="00896ADF">
              <w:rPr>
                <w:rFonts w:asciiTheme="minorHAnsi" w:hAnsiTheme="minorHAnsi" w:cstheme="minorBidi"/>
                <w:i/>
                <w:iCs/>
                <w:color w:val="000000" w:themeColor="text1"/>
                <w:spacing w:val="-12"/>
                <w:sz w:val="20"/>
                <w:szCs w:val="20"/>
              </w:rPr>
              <w:t xml:space="preserve"> </w:t>
            </w:r>
            <w:r w:rsidRPr="00896ADF">
              <w:rPr>
                <w:rFonts w:asciiTheme="minorHAnsi" w:hAnsiTheme="minorHAnsi" w:cstheme="minorBidi"/>
                <w:i/>
                <w:iCs/>
                <w:color w:val="000000" w:themeColor="text1"/>
                <w:sz w:val="20"/>
                <w:szCs w:val="20"/>
              </w:rPr>
              <w:t>principles of freedom of choice and independent</w:t>
            </w:r>
            <w:r w:rsidRPr="00896ADF">
              <w:rPr>
                <w:rFonts w:asciiTheme="minorHAnsi" w:hAnsiTheme="minorHAnsi" w:cstheme="minorBidi"/>
                <w:i/>
                <w:iCs/>
                <w:color w:val="000000" w:themeColor="text1"/>
                <w:spacing w:val="-9"/>
                <w:sz w:val="20"/>
                <w:szCs w:val="20"/>
              </w:rPr>
              <w:t xml:space="preserve"> </w:t>
            </w:r>
            <w:r w:rsidRPr="00896ADF">
              <w:rPr>
                <w:rFonts w:asciiTheme="minorHAnsi" w:hAnsiTheme="minorHAnsi" w:cstheme="minorBidi"/>
                <w:i/>
                <w:iCs/>
                <w:color w:val="000000" w:themeColor="text1"/>
                <w:sz w:val="20"/>
                <w:szCs w:val="20"/>
              </w:rPr>
              <w:t>living.</w:t>
            </w:r>
          </w:p>
          <w:p w14:paraId="758D5ADE" w14:textId="53F4E00A" w:rsidR="199B201F" w:rsidRPr="00896ADF" w:rsidRDefault="199B201F" w:rsidP="11F1BDA2">
            <w:pPr>
              <w:widowControl w:val="0"/>
              <w:tabs>
                <w:tab w:val="left" w:pos="479"/>
              </w:tabs>
              <w:spacing w:before="162" w:line="259" w:lineRule="auto"/>
              <w:ind w:right="117"/>
              <w:jc w:val="both"/>
              <w:rPr>
                <w:i/>
                <w:iCs/>
                <w:color w:val="000000" w:themeColor="text1"/>
                <w:sz w:val="20"/>
                <w:szCs w:val="20"/>
              </w:rPr>
            </w:pPr>
          </w:p>
          <w:p w14:paraId="4E33D802" w14:textId="443FD20B" w:rsidR="199B201F" w:rsidRPr="00896ADF" w:rsidRDefault="199B201F" w:rsidP="11F1BDA2">
            <w:pPr>
              <w:widowControl w:val="0"/>
              <w:tabs>
                <w:tab w:val="left" w:pos="479"/>
              </w:tabs>
              <w:spacing w:before="162" w:line="259" w:lineRule="auto"/>
              <w:ind w:right="117"/>
              <w:jc w:val="both"/>
              <w:rPr>
                <w:i/>
                <w:iCs/>
                <w:color w:val="000000" w:themeColor="text1"/>
                <w:sz w:val="20"/>
                <w:szCs w:val="20"/>
              </w:rPr>
            </w:pPr>
          </w:p>
          <w:p w14:paraId="4C3E13DB" w14:textId="6A6171B3" w:rsidR="199B201F" w:rsidRPr="00896ADF" w:rsidRDefault="199B201F" w:rsidP="11F1BDA2">
            <w:pPr>
              <w:widowControl w:val="0"/>
              <w:tabs>
                <w:tab w:val="left" w:pos="479"/>
              </w:tabs>
              <w:spacing w:before="162" w:line="259" w:lineRule="auto"/>
              <w:ind w:right="117"/>
              <w:jc w:val="both"/>
              <w:rPr>
                <w:i/>
                <w:iCs/>
                <w:color w:val="000000" w:themeColor="text1"/>
                <w:sz w:val="20"/>
                <w:szCs w:val="20"/>
              </w:rPr>
            </w:pPr>
          </w:p>
          <w:p w14:paraId="20BDCDCA" w14:textId="1DCF5322" w:rsidR="002A75C2" w:rsidRPr="00896ADF" w:rsidRDefault="002A75C2" w:rsidP="002A75C2">
            <w:pPr>
              <w:widowControl w:val="0"/>
              <w:tabs>
                <w:tab w:val="left" w:pos="479"/>
              </w:tabs>
              <w:autoSpaceDE w:val="0"/>
              <w:autoSpaceDN w:val="0"/>
              <w:spacing w:before="162" w:line="259" w:lineRule="auto"/>
              <w:ind w:right="117"/>
              <w:jc w:val="both"/>
              <w:rPr>
                <w:rFonts w:cstheme="minorHAnsi"/>
                <w:i/>
                <w:color w:val="000000" w:themeColor="text1"/>
                <w:sz w:val="20"/>
                <w:szCs w:val="20"/>
                <w:u w:val="single"/>
                <w:lang w:val="en-IE"/>
              </w:rPr>
            </w:pPr>
            <w:r w:rsidRPr="00896ADF">
              <w:rPr>
                <w:rFonts w:cstheme="minorHAnsi"/>
                <w:i/>
                <w:color w:val="000000" w:themeColor="text1"/>
                <w:sz w:val="20"/>
                <w:szCs w:val="20"/>
              </w:rPr>
              <w:t>The measure is expected to create at least 5000 new beds in social care facilities.</w:t>
            </w:r>
          </w:p>
          <w:p w14:paraId="3E2AC540" w14:textId="77777777" w:rsidR="00E24BBA" w:rsidRPr="00896ADF" w:rsidRDefault="00E24BBA" w:rsidP="002A75C2">
            <w:pPr>
              <w:widowControl w:val="0"/>
              <w:tabs>
                <w:tab w:val="left" w:pos="479"/>
              </w:tabs>
              <w:autoSpaceDE w:val="0"/>
              <w:autoSpaceDN w:val="0"/>
              <w:spacing w:before="162"/>
              <w:ind w:right="117"/>
              <w:jc w:val="both"/>
              <w:rPr>
                <w:rFonts w:cstheme="minorHAnsi"/>
                <w:i/>
                <w:sz w:val="20"/>
                <w:szCs w:val="20"/>
                <w:lang w:val="en-IE"/>
              </w:rPr>
            </w:pPr>
          </w:p>
          <w:p w14:paraId="7FF0BE64" w14:textId="77777777" w:rsidR="009B37B5" w:rsidRPr="00896ADF" w:rsidRDefault="009B37B5" w:rsidP="002A75C2">
            <w:pPr>
              <w:widowControl w:val="0"/>
              <w:tabs>
                <w:tab w:val="left" w:pos="479"/>
              </w:tabs>
              <w:autoSpaceDE w:val="0"/>
              <w:autoSpaceDN w:val="0"/>
              <w:spacing w:before="162"/>
              <w:ind w:right="117"/>
              <w:jc w:val="both"/>
              <w:rPr>
                <w:rFonts w:cstheme="minorHAnsi"/>
                <w:i/>
                <w:sz w:val="20"/>
                <w:szCs w:val="20"/>
                <w:lang w:val="en-IE"/>
              </w:rPr>
            </w:pPr>
          </w:p>
          <w:p w14:paraId="2C8C7023" w14:textId="2A1843E0" w:rsidR="00C83FD3" w:rsidRPr="00896ADF" w:rsidRDefault="002A75C2" w:rsidP="002A75C2">
            <w:pPr>
              <w:widowControl w:val="0"/>
              <w:tabs>
                <w:tab w:val="left" w:pos="479"/>
              </w:tabs>
              <w:autoSpaceDE w:val="0"/>
              <w:autoSpaceDN w:val="0"/>
              <w:spacing w:before="162"/>
              <w:ind w:right="117"/>
              <w:jc w:val="both"/>
              <w:rPr>
                <w:rFonts w:cstheme="minorHAnsi"/>
                <w:i/>
                <w:sz w:val="20"/>
                <w:szCs w:val="20"/>
                <w:lang w:val="en-IE"/>
              </w:rPr>
            </w:pPr>
            <w:r w:rsidRPr="00896ADF">
              <w:rPr>
                <w:rFonts w:cstheme="minorHAnsi"/>
                <w:i/>
                <w:sz w:val="20"/>
                <w:szCs w:val="20"/>
                <w:lang w:val="en-IE"/>
              </w:rPr>
              <w:t>By Q4/2025</w:t>
            </w:r>
          </w:p>
        </w:tc>
        <w:tc>
          <w:tcPr>
            <w:tcW w:w="3747" w:type="dxa"/>
          </w:tcPr>
          <w:p w14:paraId="5849BED2" w14:textId="71E50D5C" w:rsidR="457C0840" w:rsidRPr="00896ADF" w:rsidRDefault="457C0840" w:rsidP="45639D2A">
            <w:pPr>
              <w:widowControl w:val="0"/>
              <w:tabs>
                <w:tab w:val="left" w:pos="479"/>
              </w:tabs>
              <w:spacing w:before="162" w:line="259" w:lineRule="auto"/>
              <w:ind w:right="117"/>
              <w:jc w:val="both"/>
              <w:rPr>
                <w:rFonts w:eastAsiaTheme="minorEastAsia"/>
                <w:sz w:val="20"/>
                <w:szCs w:val="20"/>
                <w:lang w:val="en-US"/>
              </w:rPr>
            </w:pPr>
            <w:r w:rsidRPr="00896ADF">
              <w:rPr>
                <w:rFonts w:eastAsiaTheme="minorEastAsia"/>
                <w:b/>
                <w:bCs/>
                <w:sz w:val="20"/>
                <w:szCs w:val="20"/>
                <w:u w:val="single"/>
                <w:lang w:val="en-US"/>
              </w:rPr>
              <w:lastRenderedPageBreak/>
              <w:t>N</w:t>
            </w:r>
            <w:r w:rsidRPr="00896ADF">
              <w:rPr>
                <w:rFonts w:eastAsiaTheme="minorEastAsia"/>
                <w:b/>
                <w:bCs/>
                <w:i/>
                <w:iCs/>
                <w:sz w:val="20"/>
                <w:szCs w:val="20"/>
                <w:u w:val="single"/>
                <w:lang w:val="en-US"/>
              </w:rPr>
              <w:t>umber of community-based residential, outpatient, outreach,</w:t>
            </w:r>
            <w:r w:rsidRPr="00896ADF">
              <w:rPr>
                <w:rFonts w:eastAsiaTheme="minorEastAsia"/>
                <w:i/>
                <w:iCs/>
                <w:sz w:val="20"/>
                <w:szCs w:val="20"/>
                <w:u w:val="single"/>
                <w:lang w:val="en-US"/>
              </w:rPr>
              <w:t xml:space="preserve"> </w:t>
            </w:r>
            <w:r w:rsidRPr="00896ADF">
              <w:rPr>
                <w:rFonts w:eastAsiaTheme="minorEastAsia"/>
                <w:b/>
                <w:bCs/>
                <w:i/>
                <w:iCs/>
                <w:sz w:val="20"/>
                <w:szCs w:val="20"/>
                <w:u w:val="single"/>
                <w:lang w:val="en-US"/>
              </w:rPr>
              <w:t>prevention and counselling facilities constructed or reconstructed</w:t>
            </w:r>
          </w:p>
          <w:p w14:paraId="22B6B992" w14:textId="447185D9" w:rsidR="002A75C2" w:rsidRPr="00896ADF" w:rsidRDefault="002A75C2" w:rsidP="002A75C2">
            <w:pPr>
              <w:pStyle w:val="TableParagraph"/>
              <w:spacing w:before="117"/>
              <w:ind w:left="110"/>
              <w:rPr>
                <w:rFonts w:asciiTheme="minorHAnsi" w:hAnsiTheme="minorHAnsi" w:cstheme="minorHAnsi"/>
                <w:i/>
                <w:color w:val="000000" w:themeColor="text1"/>
                <w:sz w:val="20"/>
                <w:szCs w:val="20"/>
              </w:rPr>
            </w:pPr>
          </w:p>
          <w:p w14:paraId="2CCCDCAF" w14:textId="26C1DC1E" w:rsidR="0014052E" w:rsidRPr="00896ADF" w:rsidRDefault="6EC123DC" w:rsidP="00896ADF">
            <w:pPr>
              <w:pStyle w:val="Odstavecseseznamem"/>
              <w:widowControl w:val="0"/>
              <w:numPr>
                <w:ilvl w:val="0"/>
                <w:numId w:val="18"/>
              </w:numPr>
              <w:tabs>
                <w:tab w:val="left" w:pos="479"/>
              </w:tabs>
              <w:spacing w:before="162" w:after="0" w:line="259" w:lineRule="auto"/>
              <w:ind w:right="117"/>
              <w:jc w:val="both"/>
              <w:rPr>
                <w:rFonts w:ascii="Calibri" w:eastAsia="Calibri" w:hAnsi="Calibri" w:cs="Calibri"/>
                <w:sz w:val="19"/>
                <w:szCs w:val="19"/>
                <w:lang w:val="en-US"/>
              </w:rPr>
            </w:pPr>
            <w:r w:rsidRPr="00896ADF">
              <w:rPr>
                <w:rFonts w:ascii="Calibri" w:eastAsia="Calibri" w:hAnsi="Calibri" w:cs="Calibri"/>
                <w:sz w:val="19"/>
                <w:szCs w:val="19"/>
                <w:lang w:val="en-US"/>
              </w:rPr>
              <w:t>At least 228 facilities shall be created, of which at least 84 facilities shall be renovated achieving on average either at least 30% primary energy savings or at least 30% reduction of direct and indirect greenhouse gas emissions.</w:t>
            </w:r>
          </w:p>
          <w:p w14:paraId="3C5A1229" w14:textId="3A88BDA5" w:rsidR="002C7B9D" w:rsidRPr="00896ADF" w:rsidRDefault="1A853456" w:rsidP="00896ADF">
            <w:pPr>
              <w:pStyle w:val="Odstavecseseznamem"/>
              <w:numPr>
                <w:ilvl w:val="0"/>
                <w:numId w:val="6"/>
              </w:numPr>
              <w:spacing w:before="121" w:line="256" w:lineRule="auto"/>
              <w:rPr>
                <w:sz w:val="20"/>
                <w:szCs w:val="20"/>
              </w:rPr>
            </w:pPr>
            <w:r w:rsidRPr="00896ADF">
              <w:t>Furthermore, the relevant calls shall require that all facilities shall be new constructions with primary energy demand at least 20% below the nearly zero-energy buildings requirement or shall be other energy efficiency renovations</w:t>
            </w:r>
            <w:r w:rsidR="002C7B9D" w:rsidRPr="00896ADF">
              <w:rPr>
                <w:sz w:val="20"/>
                <w:szCs w:val="20"/>
              </w:rPr>
              <w:t>The measure is expected to increase the capacity of residential, outpatient and outreach services to serve 3 958 more clients.</w:t>
            </w:r>
          </w:p>
          <w:p w14:paraId="72BC6E8D" w14:textId="77777777" w:rsidR="00E25196" w:rsidRPr="00896ADF" w:rsidRDefault="00E25196" w:rsidP="0078473B">
            <w:pPr>
              <w:pStyle w:val="TableParagraph"/>
              <w:tabs>
                <w:tab w:val="left" w:pos="832"/>
              </w:tabs>
              <w:spacing w:before="121" w:line="256" w:lineRule="auto"/>
              <w:ind w:right="118"/>
              <w:jc w:val="both"/>
              <w:rPr>
                <w:lang w:val="en-IE"/>
              </w:rPr>
            </w:pPr>
          </w:p>
          <w:p w14:paraId="4BE50A1B" w14:textId="77777777" w:rsidR="00E25196" w:rsidRPr="00896ADF" w:rsidRDefault="00E25196" w:rsidP="003B0E30">
            <w:pPr>
              <w:jc w:val="both"/>
              <w:rPr>
                <w:rFonts w:cstheme="minorHAnsi"/>
                <w:b/>
                <w:bCs/>
                <w:i/>
                <w:sz w:val="20"/>
                <w:szCs w:val="20"/>
                <w:lang w:val="en-IE"/>
              </w:rPr>
            </w:pPr>
          </w:p>
          <w:p w14:paraId="0B418CB6" w14:textId="77777777" w:rsidR="009B37B5" w:rsidRPr="00896ADF" w:rsidRDefault="009B37B5" w:rsidP="003B0E30">
            <w:pPr>
              <w:jc w:val="both"/>
              <w:rPr>
                <w:rFonts w:cstheme="minorHAnsi"/>
                <w:b/>
                <w:bCs/>
                <w:i/>
                <w:sz w:val="20"/>
                <w:szCs w:val="20"/>
                <w:lang w:val="en-IE"/>
              </w:rPr>
            </w:pPr>
          </w:p>
          <w:p w14:paraId="6D93B57F" w14:textId="51C4F03F" w:rsidR="00C83FD3" w:rsidRPr="00896ADF" w:rsidRDefault="002A75C2" w:rsidP="003B0E30">
            <w:pPr>
              <w:jc w:val="both"/>
              <w:rPr>
                <w:rFonts w:cstheme="minorHAnsi"/>
                <w:b/>
                <w:bCs/>
                <w:i/>
                <w:sz w:val="20"/>
                <w:szCs w:val="20"/>
                <w:lang w:val="en-IE"/>
              </w:rPr>
            </w:pPr>
            <w:r w:rsidRPr="00896ADF">
              <w:rPr>
                <w:rFonts w:cstheme="minorHAnsi"/>
                <w:b/>
                <w:bCs/>
                <w:i/>
                <w:sz w:val="20"/>
                <w:szCs w:val="20"/>
                <w:lang w:val="en-IE"/>
              </w:rPr>
              <w:t>By Q2/2026</w:t>
            </w:r>
          </w:p>
        </w:tc>
      </w:tr>
      <w:tr w:rsidR="00CA545B" w:rsidRPr="00896ADF" w14:paraId="0FCD27D2" w14:textId="77777777" w:rsidTr="11F1BDA2">
        <w:tc>
          <w:tcPr>
            <w:tcW w:w="2235" w:type="dxa"/>
          </w:tcPr>
          <w:p w14:paraId="5564B8EC" w14:textId="77777777" w:rsidR="00CA545B" w:rsidRPr="00896ADF" w:rsidRDefault="00CA545B" w:rsidP="00CA545B">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Estimated cost</w:t>
            </w:r>
          </w:p>
        </w:tc>
        <w:tc>
          <w:tcPr>
            <w:tcW w:w="3260" w:type="dxa"/>
          </w:tcPr>
          <w:p w14:paraId="141725D5" w14:textId="77777777" w:rsidR="00CA545B" w:rsidRPr="00896ADF" w:rsidRDefault="00CA545B" w:rsidP="00CA545B">
            <w:pPr>
              <w:jc w:val="both"/>
              <w:rPr>
                <w:rFonts w:eastAsia="Calibri" w:cstheme="minorHAnsi"/>
                <w:i/>
                <w:noProof/>
                <w:sz w:val="20"/>
                <w:szCs w:val="20"/>
                <w:lang w:val="en-IE"/>
              </w:rPr>
            </w:pPr>
            <w:r w:rsidRPr="00896ADF">
              <w:rPr>
                <w:rFonts w:cstheme="minorHAnsi"/>
                <w:i/>
                <w:sz w:val="20"/>
                <w:szCs w:val="20"/>
                <w:lang w:val="en-IE"/>
              </w:rPr>
              <w:t>8 328 mil. CZK</w:t>
            </w:r>
          </w:p>
        </w:tc>
        <w:tc>
          <w:tcPr>
            <w:tcW w:w="3747" w:type="dxa"/>
          </w:tcPr>
          <w:p w14:paraId="571305AA" w14:textId="1958D4B3" w:rsidR="00CA545B" w:rsidRPr="00896ADF" w:rsidRDefault="00E24BBA" w:rsidP="00CA545B">
            <w:pPr>
              <w:jc w:val="both"/>
              <w:rPr>
                <w:rFonts w:eastAsia="Calibri" w:cstheme="minorHAnsi"/>
                <w:i/>
                <w:noProof/>
                <w:sz w:val="20"/>
                <w:szCs w:val="20"/>
                <w:lang w:val="en-IE"/>
              </w:rPr>
            </w:pPr>
            <w:r w:rsidRPr="00896ADF">
              <w:rPr>
                <w:rFonts w:cstheme="minorHAnsi"/>
                <w:i/>
                <w:sz w:val="20"/>
                <w:szCs w:val="20"/>
                <w:lang w:val="en-IE"/>
              </w:rPr>
              <w:t xml:space="preserve"> No change </w:t>
            </w:r>
          </w:p>
        </w:tc>
      </w:tr>
      <w:tr w:rsidR="00CA545B" w:rsidRPr="00896ADF" w14:paraId="652CEB7A" w14:textId="77777777" w:rsidTr="11F1BDA2">
        <w:tc>
          <w:tcPr>
            <w:tcW w:w="2235" w:type="dxa"/>
          </w:tcPr>
          <w:p w14:paraId="4C7D6DB1" w14:textId="77777777" w:rsidR="00CA545B" w:rsidRPr="00896ADF" w:rsidRDefault="00CA545B" w:rsidP="00CA545B">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Green and digital tagging</w:t>
            </w:r>
          </w:p>
        </w:tc>
        <w:tc>
          <w:tcPr>
            <w:tcW w:w="3260" w:type="dxa"/>
          </w:tcPr>
          <w:p w14:paraId="02E6074E" w14:textId="77777777" w:rsidR="00CA545B" w:rsidRPr="00896ADF" w:rsidRDefault="00CA545B" w:rsidP="00CA545B">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c>
          <w:tcPr>
            <w:tcW w:w="3747" w:type="dxa"/>
          </w:tcPr>
          <w:p w14:paraId="4DB2F34F" w14:textId="77777777" w:rsidR="00CA545B" w:rsidRPr="00896ADF" w:rsidRDefault="00CA545B" w:rsidP="00CA545B">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r>
      <w:tr w:rsidR="00CA545B" w:rsidRPr="00896ADF" w14:paraId="413FA834" w14:textId="77777777" w:rsidTr="11F1BDA2">
        <w:tc>
          <w:tcPr>
            <w:tcW w:w="2235" w:type="dxa"/>
          </w:tcPr>
          <w:p w14:paraId="075286A2" w14:textId="77777777" w:rsidR="00CA545B" w:rsidRPr="00896ADF" w:rsidRDefault="00CA545B" w:rsidP="00CA545B">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DNSH self-assessment</w:t>
            </w:r>
          </w:p>
        </w:tc>
        <w:tc>
          <w:tcPr>
            <w:tcW w:w="3260" w:type="dxa"/>
          </w:tcPr>
          <w:p w14:paraId="0403AA21" w14:textId="77777777" w:rsidR="00CA545B" w:rsidRPr="00896ADF" w:rsidRDefault="00CA545B" w:rsidP="00CA545B">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c>
          <w:tcPr>
            <w:tcW w:w="3747" w:type="dxa"/>
          </w:tcPr>
          <w:p w14:paraId="1BA26D16" w14:textId="77777777" w:rsidR="00CA545B" w:rsidRPr="00896ADF" w:rsidRDefault="00CA545B" w:rsidP="00CA545B">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r>
    </w:tbl>
    <w:p w14:paraId="04480C67" w14:textId="4E54870F" w:rsidR="002A75C2" w:rsidRPr="00896ADF" w:rsidRDefault="002A75C2" w:rsidP="002A75C2">
      <w:pPr>
        <w:spacing w:before="100" w:beforeAutospacing="1" w:after="100" w:afterAutospacing="1"/>
        <w:jc w:val="both"/>
        <w:rPr>
          <w:sz w:val="20"/>
          <w:szCs w:val="20"/>
        </w:rPr>
      </w:pPr>
    </w:p>
    <w:p w14:paraId="39967039" w14:textId="77777777" w:rsidR="00E1284F" w:rsidRPr="00896ADF" w:rsidRDefault="00E1284F" w:rsidP="00E1284F">
      <w:pPr>
        <w:rPr>
          <w:sz w:val="20"/>
          <w:szCs w:val="20"/>
          <w:lang w:val="en-IE"/>
        </w:rPr>
      </w:pPr>
      <w:r w:rsidRPr="00896ADF">
        <w:rPr>
          <w:sz w:val="20"/>
          <w:szCs w:val="20"/>
          <w:lang w:val="en-IE"/>
        </w:rPr>
        <w:t>The original costing did not take into account future inflation, i.e. the price per m3 was calculated for the entire implementation period at the same level and was determined in June 2021, but based on the data in the RTS system published in January 2021. Therefore, we are taking inflation into account in our calculations only now and are basing our calculations on data that are publicly available.</w:t>
      </w:r>
    </w:p>
    <w:p w14:paraId="5B5C19DD" w14:textId="77777777" w:rsidR="00E1284F" w:rsidRPr="00896ADF" w:rsidRDefault="00E1284F" w:rsidP="00E1284F">
      <w:pPr>
        <w:rPr>
          <w:sz w:val="20"/>
          <w:szCs w:val="20"/>
          <w:lang w:val="en-IE"/>
        </w:rPr>
      </w:pPr>
      <w:r w:rsidRPr="00896ADF">
        <w:rPr>
          <w:sz w:val="20"/>
          <w:szCs w:val="20"/>
          <w:lang w:val="en-IE"/>
        </w:rPr>
        <w:t>Below is a way of determining the evolution of the m3 price over time and taking into account the reasons for the reduction in the number of installations described earlier.</w:t>
      </w:r>
    </w:p>
    <w:p w14:paraId="2769D1A6" w14:textId="77777777" w:rsidR="00E1284F" w:rsidRPr="00896ADF" w:rsidRDefault="00E1284F" w:rsidP="00E1284F">
      <w:pPr>
        <w:rPr>
          <w:sz w:val="20"/>
          <w:szCs w:val="20"/>
        </w:rPr>
      </w:pPr>
      <w:r w:rsidRPr="00896ADF">
        <w:rPr>
          <w:sz w:val="20"/>
          <w:szCs w:val="20"/>
        </w:rPr>
        <w:t xml:space="preserve">The calculation is based on two calculations. The first one is the increase of prices related to construction materials and works from the RTS price list for 2021 from the level of 7 510 CZK/m3 by the actual inflation rate in 2021 and 2022. </w:t>
      </w:r>
    </w:p>
    <w:p w14:paraId="54E6521D" w14:textId="4EC037A4" w:rsidR="004774BD" w:rsidRPr="00896ADF" w:rsidRDefault="00E1284F" w:rsidP="007A1A77">
      <w:pPr>
        <w:spacing w:before="100" w:beforeAutospacing="1"/>
        <w:ind w:left="28" w:right="66"/>
        <w:jc w:val="both"/>
        <w:rPr>
          <w:b/>
          <w:bCs/>
          <w:sz w:val="20"/>
          <w:szCs w:val="20"/>
        </w:rPr>
      </w:pPr>
      <w:r w:rsidRPr="00896ADF">
        <w:rPr>
          <w:sz w:val="20"/>
          <w:szCs w:val="20"/>
        </w:rPr>
        <w:t>The second calculation is based on the European Commission's forecast expected inflation rate for 2023-2024, where the January 2023 price is multiplied by the 2023 inflation assumption of 9.3% and then multiplied by the 2024 inflation assumption. Although the overall inflation between 2021 and 2024 compared to the CID price comes out to 1.3537% , it cannot be applied to the overall allocation for this target. The inflation prediction in each year needs to be related to estimates of the number of approved projects and the average project budget, see table below. We estimate that 10% of the total allocation will be approved in projects in 2022 and 30% of the allocation each year thereafter. The new allocation required to achieve the set targets is then equal to the product of the average budget and the number of projects in each year.</w:t>
      </w:r>
    </w:p>
    <w:tbl>
      <w:tblPr>
        <w:tblW w:w="5000" w:type="pct"/>
        <w:tblCellMar>
          <w:left w:w="0" w:type="dxa"/>
          <w:right w:w="0" w:type="dxa"/>
        </w:tblCellMar>
        <w:tblLook w:val="04A0" w:firstRow="1" w:lastRow="0" w:firstColumn="1" w:lastColumn="0" w:noHBand="0" w:noVBand="1"/>
      </w:tblPr>
      <w:tblGrid>
        <w:gridCol w:w="9628"/>
      </w:tblGrid>
      <w:tr w:rsidR="004774BD" w:rsidRPr="00896ADF" w14:paraId="0EA8F8E6" w14:textId="77777777" w:rsidTr="00C502B7">
        <w:tc>
          <w:tcPr>
            <w:tcW w:w="5000" w:type="pct"/>
            <w:tcBorders>
              <w:top w:val="nil"/>
              <w:left w:val="nil"/>
              <w:bottom w:val="single" w:sz="8" w:space="0" w:color="auto"/>
              <w:right w:val="single" w:sz="8" w:space="0" w:color="auto"/>
            </w:tcBorders>
            <w:tcMar>
              <w:top w:w="0" w:type="dxa"/>
              <w:left w:w="108" w:type="dxa"/>
              <w:bottom w:w="0" w:type="dxa"/>
              <w:right w:w="108" w:type="dxa"/>
            </w:tcMar>
          </w:tcPr>
          <w:p w14:paraId="2E57EBD9" w14:textId="32E0015C" w:rsidR="004774BD" w:rsidRPr="00896ADF" w:rsidRDefault="00E1284F" w:rsidP="00496FAB">
            <w:pPr>
              <w:spacing w:before="100" w:beforeAutospacing="1" w:after="100" w:afterAutospacing="1"/>
              <w:jc w:val="both"/>
              <w:rPr>
                <w:sz w:val="20"/>
                <w:szCs w:val="20"/>
              </w:rPr>
            </w:pPr>
            <w:r w:rsidRPr="00896ADF">
              <w:rPr>
                <w:sz w:val="20"/>
                <w:szCs w:val="20"/>
                <w:lang w:val="en-IE"/>
              </w:rPr>
              <w:t>The entire project budget is conceived as an investment, i.e. the investment represents 100% of the project costs.</w:t>
            </w:r>
          </w:p>
          <w:tbl>
            <w:tblPr>
              <w:tblW w:w="7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71"/>
              <w:gridCol w:w="870"/>
              <w:gridCol w:w="1295"/>
              <w:gridCol w:w="1542"/>
              <w:gridCol w:w="1542"/>
              <w:gridCol w:w="1542"/>
            </w:tblGrid>
            <w:tr w:rsidR="004774BD" w:rsidRPr="00896ADF" w14:paraId="26C40E80" w14:textId="77777777" w:rsidTr="00453450">
              <w:trPr>
                <w:trHeight w:val="1450"/>
              </w:trPr>
              <w:tc>
                <w:tcPr>
                  <w:tcW w:w="1125" w:type="dxa"/>
                  <w:shd w:val="clear" w:color="auto" w:fill="auto"/>
                  <w:vAlign w:val="center"/>
                  <w:hideMark/>
                </w:tcPr>
                <w:p w14:paraId="7DFFC0AA" w14:textId="77777777" w:rsidR="004774BD" w:rsidRPr="00896ADF" w:rsidRDefault="004774BD" w:rsidP="00496FAB">
                  <w:pPr>
                    <w:jc w:val="center"/>
                    <w:rPr>
                      <w:rFonts w:eastAsia="Times New Roman"/>
                      <w:color w:val="000000"/>
                      <w:sz w:val="20"/>
                      <w:szCs w:val="20"/>
                    </w:rPr>
                  </w:pPr>
                </w:p>
              </w:tc>
              <w:tc>
                <w:tcPr>
                  <w:tcW w:w="1170" w:type="dxa"/>
                  <w:shd w:val="clear" w:color="auto" w:fill="auto"/>
                  <w:vAlign w:val="center"/>
                  <w:hideMark/>
                </w:tcPr>
                <w:p w14:paraId="578F3BFB" w14:textId="791561B3" w:rsidR="004774BD" w:rsidRPr="00896ADF" w:rsidRDefault="00E1284F" w:rsidP="00496FAB">
                  <w:pPr>
                    <w:jc w:val="center"/>
                    <w:rPr>
                      <w:rFonts w:eastAsia="Times New Roman"/>
                      <w:color w:val="000000"/>
                      <w:sz w:val="20"/>
                      <w:szCs w:val="20"/>
                    </w:rPr>
                  </w:pPr>
                  <w:r w:rsidRPr="00896ADF">
                    <w:rPr>
                      <w:rFonts w:eastAsia="Times New Roman"/>
                      <w:color w:val="000000"/>
                      <w:sz w:val="20"/>
                      <w:szCs w:val="20"/>
                    </w:rPr>
                    <w:t>January 2021</w:t>
                  </w:r>
                </w:p>
              </w:tc>
              <w:tc>
                <w:tcPr>
                  <w:tcW w:w="841" w:type="dxa"/>
                  <w:shd w:val="clear" w:color="auto" w:fill="auto"/>
                  <w:vAlign w:val="center"/>
                  <w:hideMark/>
                </w:tcPr>
                <w:p w14:paraId="2CFD00B3" w14:textId="4452054A" w:rsidR="004774BD" w:rsidRPr="00896ADF" w:rsidRDefault="00E1284F" w:rsidP="00496FAB">
                  <w:pPr>
                    <w:jc w:val="center"/>
                    <w:rPr>
                      <w:rFonts w:eastAsia="Times New Roman"/>
                      <w:color w:val="000000"/>
                      <w:sz w:val="20"/>
                      <w:szCs w:val="20"/>
                    </w:rPr>
                  </w:pPr>
                  <w:r w:rsidRPr="00896ADF">
                    <w:rPr>
                      <w:rFonts w:eastAsia="Times New Roman"/>
                      <w:color w:val="000000"/>
                      <w:sz w:val="20"/>
                      <w:szCs w:val="20"/>
                    </w:rPr>
                    <w:t>January 2022</w:t>
                  </w:r>
                </w:p>
              </w:tc>
              <w:tc>
                <w:tcPr>
                  <w:tcW w:w="1542" w:type="dxa"/>
                  <w:shd w:val="clear" w:color="auto" w:fill="auto"/>
                  <w:vAlign w:val="center"/>
                  <w:hideMark/>
                </w:tcPr>
                <w:p w14:paraId="011097D1" w14:textId="19A1CC11" w:rsidR="004774BD" w:rsidRPr="00896ADF" w:rsidRDefault="00E1284F" w:rsidP="00496FAB">
                  <w:pPr>
                    <w:jc w:val="center"/>
                    <w:rPr>
                      <w:rFonts w:eastAsia="Times New Roman"/>
                      <w:color w:val="000000"/>
                      <w:sz w:val="20"/>
                      <w:szCs w:val="20"/>
                    </w:rPr>
                  </w:pPr>
                  <w:r w:rsidRPr="00896ADF">
                    <w:rPr>
                      <w:rFonts w:eastAsia="Times New Roman"/>
                      <w:color w:val="000000"/>
                      <w:sz w:val="20"/>
                      <w:szCs w:val="20"/>
                    </w:rPr>
                    <w:t>January 2023</w:t>
                  </w:r>
                </w:p>
              </w:tc>
              <w:tc>
                <w:tcPr>
                  <w:tcW w:w="1542" w:type="dxa"/>
                  <w:shd w:val="clear" w:color="auto" w:fill="auto"/>
                  <w:vAlign w:val="center"/>
                  <w:hideMark/>
                </w:tcPr>
                <w:p w14:paraId="749CD6A8" w14:textId="544CC845" w:rsidR="004774BD" w:rsidRPr="00896ADF" w:rsidRDefault="00E1284F" w:rsidP="00496FAB">
                  <w:pPr>
                    <w:jc w:val="center"/>
                    <w:rPr>
                      <w:rFonts w:eastAsia="Times New Roman"/>
                      <w:color w:val="000000"/>
                      <w:sz w:val="20"/>
                      <w:szCs w:val="20"/>
                    </w:rPr>
                  </w:pPr>
                  <w:r w:rsidRPr="00896ADF">
                    <w:rPr>
                      <w:rFonts w:eastAsia="Times New Roman"/>
                      <w:color w:val="000000"/>
                      <w:sz w:val="20"/>
                      <w:szCs w:val="20"/>
                    </w:rPr>
                    <w:t>Accounting for inflation over the year 2023</w:t>
                  </w:r>
                  <w:r w:rsidR="004774BD" w:rsidRPr="00896ADF">
                    <w:rPr>
                      <w:rFonts w:eastAsia="Times New Roman"/>
                      <w:color w:val="000000"/>
                      <w:sz w:val="20"/>
                      <w:szCs w:val="20"/>
                    </w:rPr>
                    <w:t xml:space="preserve"> (9,3 %)</w:t>
                  </w:r>
                </w:p>
              </w:tc>
              <w:tc>
                <w:tcPr>
                  <w:tcW w:w="1542" w:type="dxa"/>
                  <w:shd w:val="clear" w:color="auto" w:fill="auto"/>
                  <w:vAlign w:val="center"/>
                  <w:hideMark/>
                </w:tcPr>
                <w:p w14:paraId="3FE3F1E7" w14:textId="7C87841F" w:rsidR="004774BD" w:rsidRPr="00896ADF" w:rsidRDefault="00EC0B7D" w:rsidP="00496FAB">
                  <w:pPr>
                    <w:jc w:val="center"/>
                    <w:rPr>
                      <w:rFonts w:eastAsia="Times New Roman"/>
                      <w:color w:val="000000"/>
                      <w:sz w:val="20"/>
                      <w:szCs w:val="20"/>
                    </w:rPr>
                  </w:pPr>
                  <w:r w:rsidRPr="00896ADF">
                    <w:rPr>
                      <w:rFonts w:eastAsia="Times New Roman"/>
                      <w:color w:val="000000"/>
                      <w:sz w:val="20"/>
                      <w:szCs w:val="20"/>
                    </w:rPr>
                    <w:t>Accounting for inflation over the year 2024</w:t>
                  </w:r>
                  <w:r w:rsidR="004774BD" w:rsidRPr="00896ADF">
                    <w:rPr>
                      <w:rFonts w:eastAsia="Times New Roman"/>
                      <w:color w:val="000000"/>
                      <w:sz w:val="20"/>
                      <w:szCs w:val="20"/>
                    </w:rPr>
                    <w:t xml:space="preserve"> (3,5 %)</w:t>
                  </w:r>
                </w:p>
              </w:tc>
            </w:tr>
            <w:tr w:rsidR="004774BD" w:rsidRPr="00896ADF" w14:paraId="04B8A938" w14:textId="77777777" w:rsidTr="00453450">
              <w:trPr>
                <w:trHeight w:val="340"/>
              </w:trPr>
              <w:tc>
                <w:tcPr>
                  <w:tcW w:w="1125" w:type="dxa"/>
                  <w:shd w:val="clear" w:color="auto" w:fill="auto"/>
                  <w:vAlign w:val="center"/>
                  <w:hideMark/>
                </w:tcPr>
                <w:p w14:paraId="4A6D0756" w14:textId="75E492B8" w:rsidR="004774BD" w:rsidRPr="00896ADF" w:rsidRDefault="003C131B" w:rsidP="00496FAB">
                  <w:pPr>
                    <w:jc w:val="center"/>
                    <w:rPr>
                      <w:rFonts w:eastAsia="Times New Roman"/>
                      <w:color w:val="000000"/>
                      <w:sz w:val="20"/>
                      <w:szCs w:val="20"/>
                    </w:rPr>
                  </w:pPr>
                  <w:r w:rsidRPr="00896ADF">
                    <w:rPr>
                      <w:rFonts w:eastAsia="Times New Roman"/>
                      <w:color w:val="000000"/>
                      <w:sz w:val="20"/>
                      <w:szCs w:val="20"/>
                    </w:rPr>
                    <w:lastRenderedPageBreak/>
                    <w:t>Price for</w:t>
                  </w:r>
                  <w:r w:rsidR="004774BD" w:rsidRPr="00896ADF">
                    <w:rPr>
                      <w:rFonts w:eastAsia="Times New Roman"/>
                      <w:color w:val="000000"/>
                      <w:sz w:val="20"/>
                      <w:szCs w:val="20"/>
                    </w:rPr>
                    <w:t xml:space="preserve"> m</w:t>
                  </w:r>
                  <w:r w:rsidR="004774BD" w:rsidRPr="00896ADF">
                    <w:rPr>
                      <w:rFonts w:eastAsia="Times New Roman"/>
                      <w:color w:val="000000"/>
                      <w:sz w:val="20"/>
                      <w:szCs w:val="20"/>
                      <w:vertAlign w:val="superscript"/>
                    </w:rPr>
                    <w:t>3</w:t>
                  </w:r>
                </w:p>
              </w:tc>
              <w:tc>
                <w:tcPr>
                  <w:tcW w:w="1170" w:type="dxa"/>
                  <w:shd w:val="clear" w:color="auto" w:fill="auto"/>
                  <w:vAlign w:val="center"/>
                  <w:hideMark/>
                </w:tcPr>
                <w:p w14:paraId="53BF48FB" w14:textId="77777777" w:rsidR="004774BD" w:rsidRPr="00896ADF" w:rsidRDefault="004774BD" w:rsidP="00496FAB">
                  <w:pPr>
                    <w:jc w:val="center"/>
                    <w:rPr>
                      <w:rFonts w:eastAsia="Times New Roman"/>
                      <w:color w:val="000000"/>
                      <w:sz w:val="20"/>
                      <w:szCs w:val="20"/>
                    </w:rPr>
                  </w:pPr>
                  <w:r w:rsidRPr="00896ADF">
                    <w:rPr>
                      <w:rFonts w:eastAsia="Times New Roman"/>
                      <w:color w:val="000000"/>
                      <w:sz w:val="20"/>
                      <w:szCs w:val="20"/>
                    </w:rPr>
                    <w:t>7 510,00</w:t>
                  </w:r>
                </w:p>
              </w:tc>
              <w:tc>
                <w:tcPr>
                  <w:tcW w:w="841" w:type="dxa"/>
                  <w:shd w:val="clear" w:color="auto" w:fill="auto"/>
                  <w:vAlign w:val="center"/>
                  <w:hideMark/>
                </w:tcPr>
                <w:p w14:paraId="6C5F9DBF" w14:textId="77777777" w:rsidR="004774BD" w:rsidRPr="00896ADF" w:rsidRDefault="004774BD" w:rsidP="00496FAB">
                  <w:pPr>
                    <w:jc w:val="center"/>
                    <w:rPr>
                      <w:rFonts w:eastAsia="Times New Roman"/>
                      <w:color w:val="000000"/>
                      <w:sz w:val="20"/>
                      <w:szCs w:val="20"/>
                    </w:rPr>
                  </w:pPr>
                  <w:r w:rsidRPr="00896ADF">
                    <w:rPr>
                      <w:rFonts w:eastAsia="Times New Roman"/>
                      <w:color w:val="000000"/>
                      <w:sz w:val="20"/>
                      <w:szCs w:val="20"/>
                    </w:rPr>
                    <w:t>7 945,58</w:t>
                  </w:r>
                </w:p>
              </w:tc>
              <w:tc>
                <w:tcPr>
                  <w:tcW w:w="1542" w:type="dxa"/>
                  <w:shd w:val="clear" w:color="auto" w:fill="auto"/>
                  <w:vAlign w:val="center"/>
                  <w:hideMark/>
                </w:tcPr>
                <w:p w14:paraId="2B339D0D" w14:textId="77777777" w:rsidR="004774BD" w:rsidRPr="00896ADF" w:rsidRDefault="004774BD" w:rsidP="00496FAB">
                  <w:pPr>
                    <w:jc w:val="center"/>
                    <w:rPr>
                      <w:rFonts w:eastAsia="Times New Roman"/>
                      <w:color w:val="000000"/>
                      <w:sz w:val="20"/>
                      <w:szCs w:val="20"/>
                    </w:rPr>
                  </w:pPr>
                  <w:r w:rsidRPr="00896ADF">
                    <w:rPr>
                      <w:rFonts w:eastAsia="Times New Roman"/>
                      <w:color w:val="000000"/>
                      <w:sz w:val="20"/>
                      <w:szCs w:val="20"/>
                    </w:rPr>
                    <w:t>8 986,45</w:t>
                  </w:r>
                </w:p>
              </w:tc>
              <w:tc>
                <w:tcPr>
                  <w:tcW w:w="1542" w:type="dxa"/>
                  <w:shd w:val="clear" w:color="auto" w:fill="auto"/>
                  <w:vAlign w:val="center"/>
                  <w:hideMark/>
                </w:tcPr>
                <w:p w14:paraId="761CCE84" w14:textId="77777777" w:rsidR="004774BD" w:rsidRPr="00896ADF" w:rsidRDefault="004774BD" w:rsidP="00496FAB">
                  <w:pPr>
                    <w:jc w:val="center"/>
                    <w:rPr>
                      <w:rFonts w:eastAsia="Times New Roman"/>
                      <w:color w:val="000000"/>
                      <w:sz w:val="20"/>
                      <w:szCs w:val="20"/>
                    </w:rPr>
                  </w:pPr>
                  <w:r w:rsidRPr="00896ADF">
                    <w:rPr>
                      <w:rFonts w:eastAsia="Times New Roman"/>
                      <w:color w:val="000000"/>
                      <w:sz w:val="20"/>
                      <w:szCs w:val="20"/>
                    </w:rPr>
                    <w:t>9 822,19</w:t>
                  </w:r>
                </w:p>
              </w:tc>
              <w:tc>
                <w:tcPr>
                  <w:tcW w:w="1542" w:type="dxa"/>
                  <w:shd w:val="clear" w:color="auto" w:fill="auto"/>
                  <w:vAlign w:val="center"/>
                  <w:hideMark/>
                </w:tcPr>
                <w:p w14:paraId="4A2B9324" w14:textId="77777777" w:rsidR="004774BD" w:rsidRPr="00896ADF" w:rsidRDefault="004774BD" w:rsidP="00496FAB">
                  <w:pPr>
                    <w:jc w:val="center"/>
                    <w:rPr>
                      <w:rFonts w:eastAsia="Times New Roman"/>
                      <w:color w:val="000000"/>
                      <w:sz w:val="20"/>
                      <w:szCs w:val="20"/>
                    </w:rPr>
                  </w:pPr>
                  <w:r w:rsidRPr="00896ADF">
                    <w:rPr>
                      <w:rFonts w:eastAsia="Times New Roman"/>
                      <w:color w:val="000000"/>
                      <w:sz w:val="20"/>
                      <w:szCs w:val="20"/>
                    </w:rPr>
                    <w:t>10 165,97</w:t>
                  </w:r>
                </w:p>
              </w:tc>
            </w:tr>
            <w:tr w:rsidR="004774BD" w:rsidRPr="00896ADF" w14:paraId="377B074D" w14:textId="77777777" w:rsidTr="00453450">
              <w:trPr>
                <w:trHeight w:val="340"/>
              </w:trPr>
              <w:tc>
                <w:tcPr>
                  <w:tcW w:w="1125" w:type="dxa"/>
                  <w:shd w:val="clear" w:color="auto" w:fill="auto"/>
                  <w:vAlign w:val="center"/>
                </w:tcPr>
                <w:p w14:paraId="3B40745A" w14:textId="5CDD879D" w:rsidR="004774BD" w:rsidRPr="00896ADF" w:rsidRDefault="003C131B" w:rsidP="00496FAB">
                  <w:pPr>
                    <w:jc w:val="center"/>
                    <w:rPr>
                      <w:rFonts w:eastAsia="Times New Roman"/>
                      <w:color w:val="000000"/>
                      <w:sz w:val="20"/>
                      <w:szCs w:val="20"/>
                    </w:rPr>
                  </w:pPr>
                  <w:r w:rsidRPr="00896ADF">
                    <w:rPr>
                      <w:rFonts w:eastAsia="Times New Roman"/>
                      <w:color w:val="000000"/>
                      <w:sz w:val="20"/>
                      <w:szCs w:val="20"/>
                    </w:rPr>
                    <w:t>Average project budget</w:t>
                  </w:r>
                </w:p>
              </w:tc>
              <w:tc>
                <w:tcPr>
                  <w:tcW w:w="1170" w:type="dxa"/>
                  <w:shd w:val="clear" w:color="auto" w:fill="auto"/>
                  <w:vAlign w:val="center"/>
                </w:tcPr>
                <w:p w14:paraId="32BC8493" w14:textId="77777777" w:rsidR="004774BD" w:rsidRPr="00896ADF" w:rsidRDefault="004774BD" w:rsidP="00496FAB">
                  <w:pPr>
                    <w:jc w:val="center"/>
                    <w:rPr>
                      <w:rFonts w:eastAsia="Times New Roman"/>
                      <w:color w:val="000000"/>
                      <w:sz w:val="20"/>
                      <w:szCs w:val="20"/>
                    </w:rPr>
                  </w:pPr>
                </w:p>
              </w:tc>
              <w:tc>
                <w:tcPr>
                  <w:tcW w:w="841" w:type="dxa"/>
                  <w:shd w:val="clear" w:color="auto" w:fill="auto"/>
                  <w:vAlign w:val="center"/>
                </w:tcPr>
                <w:p w14:paraId="0536DA1E" w14:textId="77777777" w:rsidR="004774BD" w:rsidRPr="00896ADF" w:rsidRDefault="004774BD" w:rsidP="00496FAB">
                  <w:pPr>
                    <w:jc w:val="center"/>
                    <w:rPr>
                      <w:rFonts w:eastAsia="Times New Roman"/>
                      <w:color w:val="000000"/>
                      <w:sz w:val="20"/>
                      <w:szCs w:val="20"/>
                    </w:rPr>
                  </w:pPr>
                  <w:r w:rsidRPr="00896ADF">
                    <w:rPr>
                      <w:rFonts w:eastAsia="Times New Roman"/>
                      <w:color w:val="000000"/>
                      <w:sz w:val="20"/>
                      <w:szCs w:val="20"/>
                    </w:rPr>
                    <w:t>30 467 767,93</w:t>
                  </w:r>
                </w:p>
              </w:tc>
              <w:tc>
                <w:tcPr>
                  <w:tcW w:w="1542" w:type="dxa"/>
                  <w:shd w:val="clear" w:color="auto" w:fill="auto"/>
                  <w:vAlign w:val="center"/>
                </w:tcPr>
                <w:p w14:paraId="245A54CB" w14:textId="77777777" w:rsidR="004774BD" w:rsidRPr="00896ADF" w:rsidRDefault="004774BD" w:rsidP="00496FAB">
                  <w:pPr>
                    <w:jc w:val="center"/>
                    <w:rPr>
                      <w:color w:val="000000"/>
                      <w:sz w:val="20"/>
                      <w:szCs w:val="20"/>
                    </w:rPr>
                  </w:pPr>
                  <w:r w:rsidRPr="00896ADF">
                    <w:rPr>
                      <w:color w:val="000000"/>
                      <w:sz w:val="20"/>
                      <w:szCs w:val="20"/>
                    </w:rPr>
                    <w:t>34 688 804,92</w:t>
                  </w:r>
                </w:p>
              </w:tc>
              <w:tc>
                <w:tcPr>
                  <w:tcW w:w="1542" w:type="dxa"/>
                  <w:shd w:val="clear" w:color="auto" w:fill="auto"/>
                  <w:vAlign w:val="center"/>
                </w:tcPr>
                <w:p w14:paraId="3873A373" w14:textId="77777777" w:rsidR="004774BD" w:rsidRPr="00896ADF" w:rsidRDefault="004774BD" w:rsidP="00496FAB">
                  <w:pPr>
                    <w:jc w:val="center"/>
                    <w:rPr>
                      <w:color w:val="000000"/>
                      <w:sz w:val="20"/>
                      <w:szCs w:val="20"/>
                    </w:rPr>
                  </w:pPr>
                  <w:r w:rsidRPr="00896ADF">
                    <w:rPr>
                      <w:color w:val="000000"/>
                      <w:sz w:val="20"/>
                      <w:szCs w:val="20"/>
                    </w:rPr>
                    <w:t>37 595 045,54</w:t>
                  </w:r>
                </w:p>
              </w:tc>
              <w:tc>
                <w:tcPr>
                  <w:tcW w:w="1542" w:type="dxa"/>
                  <w:shd w:val="clear" w:color="auto" w:fill="auto"/>
                  <w:vAlign w:val="center"/>
                </w:tcPr>
                <w:p w14:paraId="475232FE" w14:textId="77777777" w:rsidR="004774BD" w:rsidRPr="00896ADF" w:rsidRDefault="004774BD" w:rsidP="00496FAB">
                  <w:pPr>
                    <w:jc w:val="center"/>
                    <w:rPr>
                      <w:color w:val="000000"/>
                      <w:sz w:val="20"/>
                      <w:szCs w:val="20"/>
                    </w:rPr>
                  </w:pPr>
                  <w:r w:rsidRPr="00896ADF">
                    <w:rPr>
                      <w:color w:val="000000"/>
                      <w:sz w:val="20"/>
                      <w:szCs w:val="20"/>
                    </w:rPr>
                    <w:t>39 246 666,71</w:t>
                  </w:r>
                </w:p>
              </w:tc>
            </w:tr>
            <w:tr w:rsidR="004774BD" w:rsidRPr="00896ADF" w14:paraId="724544EE" w14:textId="77777777" w:rsidTr="00453450">
              <w:trPr>
                <w:trHeight w:val="340"/>
              </w:trPr>
              <w:tc>
                <w:tcPr>
                  <w:tcW w:w="1125" w:type="dxa"/>
                  <w:shd w:val="clear" w:color="auto" w:fill="auto"/>
                  <w:vAlign w:val="center"/>
                </w:tcPr>
                <w:p w14:paraId="05D3E453" w14:textId="39A88C18" w:rsidR="004774BD" w:rsidRPr="00896ADF" w:rsidRDefault="003C131B" w:rsidP="00496FAB">
                  <w:pPr>
                    <w:jc w:val="center"/>
                    <w:rPr>
                      <w:rFonts w:eastAsia="Times New Roman"/>
                      <w:color w:val="000000"/>
                      <w:sz w:val="20"/>
                      <w:szCs w:val="20"/>
                    </w:rPr>
                  </w:pPr>
                  <w:r w:rsidRPr="00896ADF">
                    <w:rPr>
                      <w:rFonts w:eastAsia="Times New Roman"/>
                      <w:color w:val="000000"/>
                      <w:sz w:val="20"/>
                      <w:szCs w:val="20"/>
                    </w:rPr>
                    <w:t>Number of approved projects</w:t>
                  </w:r>
                </w:p>
              </w:tc>
              <w:tc>
                <w:tcPr>
                  <w:tcW w:w="1170" w:type="dxa"/>
                  <w:shd w:val="clear" w:color="auto" w:fill="auto"/>
                  <w:vAlign w:val="center"/>
                </w:tcPr>
                <w:p w14:paraId="2CEB0557" w14:textId="77777777" w:rsidR="004774BD" w:rsidRPr="00896ADF" w:rsidRDefault="004774BD" w:rsidP="00496FAB">
                  <w:pPr>
                    <w:jc w:val="center"/>
                    <w:rPr>
                      <w:rFonts w:eastAsia="Times New Roman"/>
                      <w:color w:val="000000"/>
                      <w:sz w:val="20"/>
                      <w:szCs w:val="20"/>
                    </w:rPr>
                  </w:pPr>
                </w:p>
              </w:tc>
              <w:tc>
                <w:tcPr>
                  <w:tcW w:w="841" w:type="dxa"/>
                  <w:shd w:val="clear" w:color="auto" w:fill="auto"/>
                  <w:vAlign w:val="center"/>
                </w:tcPr>
                <w:p w14:paraId="4F38B57E" w14:textId="77777777" w:rsidR="004774BD" w:rsidRPr="00896ADF" w:rsidRDefault="004774BD" w:rsidP="00496FAB">
                  <w:pPr>
                    <w:jc w:val="center"/>
                    <w:rPr>
                      <w:rFonts w:eastAsia="Times New Roman"/>
                      <w:color w:val="000000"/>
                      <w:sz w:val="20"/>
                      <w:szCs w:val="20"/>
                    </w:rPr>
                  </w:pPr>
                  <w:r w:rsidRPr="00896ADF">
                    <w:rPr>
                      <w:rFonts w:eastAsia="Times New Roman"/>
                      <w:color w:val="000000"/>
                      <w:sz w:val="20"/>
                      <w:szCs w:val="20"/>
                    </w:rPr>
                    <w:t>10 % alokace, tj. 27</w:t>
                  </w:r>
                </w:p>
              </w:tc>
              <w:tc>
                <w:tcPr>
                  <w:tcW w:w="1542" w:type="dxa"/>
                  <w:shd w:val="clear" w:color="auto" w:fill="auto"/>
                  <w:vAlign w:val="center"/>
                </w:tcPr>
                <w:p w14:paraId="4D978946" w14:textId="77777777" w:rsidR="004774BD" w:rsidRPr="00896ADF" w:rsidRDefault="004774BD" w:rsidP="00496FAB">
                  <w:pPr>
                    <w:jc w:val="center"/>
                    <w:rPr>
                      <w:rFonts w:eastAsia="Times New Roman"/>
                      <w:color w:val="000000"/>
                      <w:sz w:val="20"/>
                      <w:szCs w:val="20"/>
                    </w:rPr>
                  </w:pPr>
                  <w:r w:rsidRPr="00896ADF">
                    <w:rPr>
                      <w:color w:val="000000"/>
                      <w:sz w:val="20"/>
                      <w:szCs w:val="20"/>
                    </w:rPr>
                    <w:t>30 % alokace, tj. 73</w:t>
                  </w:r>
                </w:p>
              </w:tc>
              <w:tc>
                <w:tcPr>
                  <w:tcW w:w="1542" w:type="dxa"/>
                  <w:shd w:val="clear" w:color="auto" w:fill="auto"/>
                  <w:vAlign w:val="center"/>
                </w:tcPr>
                <w:p w14:paraId="497A2EDA" w14:textId="77777777" w:rsidR="004774BD" w:rsidRPr="00896ADF" w:rsidRDefault="004774BD" w:rsidP="00496FAB">
                  <w:pPr>
                    <w:jc w:val="center"/>
                    <w:rPr>
                      <w:rFonts w:eastAsia="Times New Roman"/>
                      <w:color w:val="000000"/>
                      <w:sz w:val="20"/>
                      <w:szCs w:val="20"/>
                    </w:rPr>
                  </w:pPr>
                  <w:r w:rsidRPr="00896ADF">
                    <w:rPr>
                      <w:color w:val="000000"/>
                      <w:sz w:val="20"/>
                      <w:szCs w:val="20"/>
                    </w:rPr>
                    <w:t>30 % alokace, tj. 64</w:t>
                  </w:r>
                </w:p>
              </w:tc>
              <w:tc>
                <w:tcPr>
                  <w:tcW w:w="1542" w:type="dxa"/>
                  <w:shd w:val="clear" w:color="auto" w:fill="auto"/>
                  <w:vAlign w:val="center"/>
                </w:tcPr>
                <w:p w14:paraId="6F6434AA" w14:textId="77777777" w:rsidR="004774BD" w:rsidRPr="00896ADF" w:rsidRDefault="004774BD" w:rsidP="00496FAB">
                  <w:pPr>
                    <w:jc w:val="center"/>
                    <w:rPr>
                      <w:rFonts w:eastAsia="Times New Roman"/>
                      <w:color w:val="000000"/>
                      <w:sz w:val="20"/>
                      <w:szCs w:val="20"/>
                    </w:rPr>
                  </w:pPr>
                  <w:r w:rsidRPr="00896ADF">
                    <w:rPr>
                      <w:color w:val="000000"/>
                      <w:sz w:val="20"/>
                      <w:szCs w:val="20"/>
                    </w:rPr>
                    <w:t xml:space="preserve">30 % alokace, tj. 64 </w:t>
                  </w:r>
                </w:p>
              </w:tc>
            </w:tr>
            <w:tr w:rsidR="004774BD" w:rsidRPr="00896ADF" w14:paraId="57A73355" w14:textId="77777777" w:rsidTr="00453450">
              <w:trPr>
                <w:trHeight w:val="340"/>
              </w:trPr>
              <w:tc>
                <w:tcPr>
                  <w:tcW w:w="1125" w:type="dxa"/>
                  <w:shd w:val="clear" w:color="auto" w:fill="auto"/>
                  <w:vAlign w:val="center"/>
                </w:tcPr>
                <w:p w14:paraId="6672634F" w14:textId="12134A71" w:rsidR="004774BD" w:rsidRPr="00896ADF" w:rsidRDefault="003C131B" w:rsidP="00496FAB">
                  <w:pPr>
                    <w:jc w:val="center"/>
                    <w:rPr>
                      <w:rFonts w:eastAsia="Times New Roman"/>
                      <w:color w:val="000000"/>
                      <w:sz w:val="20"/>
                      <w:szCs w:val="20"/>
                    </w:rPr>
                  </w:pPr>
                  <w:r w:rsidRPr="00896ADF">
                    <w:rPr>
                      <w:rFonts w:eastAsia="Times New Roman"/>
                      <w:color w:val="000000"/>
                      <w:sz w:val="20"/>
                      <w:szCs w:val="20"/>
                    </w:rPr>
                    <w:t>Funds for approved projects</w:t>
                  </w:r>
                </w:p>
              </w:tc>
              <w:tc>
                <w:tcPr>
                  <w:tcW w:w="1170" w:type="dxa"/>
                  <w:shd w:val="clear" w:color="auto" w:fill="auto"/>
                  <w:vAlign w:val="center"/>
                </w:tcPr>
                <w:p w14:paraId="4D58A97C" w14:textId="77777777" w:rsidR="004774BD" w:rsidRPr="00896ADF" w:rsidRDefault="004774BD" w:rsidP="00496FAB">
                  <w:pPr>
                    <w:jc w:val="center"/>
                    <w:rPr>
                      <w:rFonts w:eastAsia="Times New Roman"/>
                      <w:color w:val="000000"/>
                      <w:sz w:val="20"/>
                      <w:szCs w:val="20"/>
                    </w:rPr>
                  </w:pPr>
                </w:p>
              </w:tc>
              <w:tc>
                <w:tcPr>
                  <w:tcW w:w="841" w:type="dxa"/>
                  <w:shd w:val="clear" w:color="auto" w:fill="auto"/>
                  <w:vAlign w:val="center"/>
                </w:tcPr>
                <w:p w14:paraId="5D6AE771" w14:textId="77777777" w:rsidR="004774BD" w:rsidRPr="00896ADF" w:rsidRDefault="004774BD" w:rsidP="00496FAB">
                  <w:pPr>
                    <w:jc w:val="center"/>
                    <w:rPr>
                      <w:rFonts w:eastAsia="Times New Roman"/>
                      <w:color w:val="000000"/>
                      <w:sz w:val="20"/>
                      <w:szCs w:val="20"/>
                    </w:rPr>
                  </w:pPr>
                  <w:r w:rsidRPr="00896ADF">
                    <w:rPr>
                      <w:rFonts w:eastAsia="Times New Roman"/>
                      <w:color w:val="000000"/>
                      <w:sz w:val="20"/>
                      <w:szCs w:val="20"/>
                    </w:rPr>
                    <w:t>822 629 734</w:t>
                  </w:r>
                  <w:r w:rsidRPr="00896ADF">
                    <w:rPr>
                      <w:rStyle w:val="Znakapoznpodarou"/>
                      <w:rFonts w:eastAsia="Times New Roman"/>
                      <w:color w:val="000000"/>
                    </w:rPr>
                    <w:footnoteReference w:id="2"/>
                  </w:r>
                </w:p>
              </w:tc>
              <w:tc>
                <w:tcPr>
                  <w:tcW w:w="1542" w:type="dxa"/>
                  <w:shd w:val="clear" w:color="auto" w:fill="auto"/>
                  <w:vAlign w:val="center"/>
                </w:tcPr>
                <w:p w14:paraId="693DBB61" w14:textId="77777777" w:rsidR="004774BD" w:rsidRPr="00896ADF" w:rsidRDefault="004774BD" w:rsidP="00496FAB">
                  <w:pPr>
                    <w:jc w:val="center"/>
                    <w:rPr>
                      <w:rFonts w:eastAsia="Times New Roman"/>
                      <w:color w:val="000000"/>
                      <w:sz w:val="20"/>
                      <w:szCs w:val="20"/>
                    </w:rPr>
                  </w:pPr>
                  <w:r w:rsidRPr="00896ADF">
                    <w:rPr>
                      <w:rFonts w:eastAsia="Times New Roman"/>
                      <w:color w:val="000000"/>
                      <w:sz w:val="20"/>
                      <w:szCs w:val="20"/>
                    </w:rPr>
                    <w:t>2 532 282 759,05</w:t>
                  </w:r>
                </w:p>
              </w:tc>
              <w:tc>
                <w:tcPr>
                  <w:tcW w:w="1542" w:type="dxa"/>
                  <w:shd w:val="clear" w:color="auto" w:fill="auto"/>
                  <w:vAlign w:val="center"/>
                </w:tcPr>
                <w:p w14:paraId="004A7692" w14:textId="77777777" w:rsidR="004774BD" w:rsidRPr="00896ADF" w:rsidRDefault="004774BD" w:rsidP="00496FAB">
                  <w:pPr>
                    <w:jc w:val="center"/>
                    <w:rPr>
                      <w:rFonts w:eastAsia="Times New Roman"/>
                      <w:color w:val="000000"/>
                      <w:sz w:val="20"/>
                      <w:szCs w:val="20"/>
                    </w:rPr>
                  </w:pPr>
                  <w:r w:rsidRPr="00896ADF">
                    <w:rPr>
                      <w:rFonts w:eastAsia="Times New Roman"/>
                      <w:color w:val="000000"/>
                      <w:sz w:val="20"/>
                      <w:szCs w:val="20"/>
                    </w:rPr>
                    <w:t>2 406 082 914,42</w:t>
                  </w:r>
                </w:p>
              </w:tc>
              <w:tc>
                <w:tcPr>
                  <w:tcW w:w="1542" w:type="dxa"/>
                  <w:shd w:val="clear" w:color="auto" w:fill="auto"/>
                  <w:vAlign w:val="center"/>
                </w:tcPr>
                <w:p w14:paraId="43B37BF5" w14:textId="77777777" w:rsidR="004774BD" w:rsidRPr="00896ADF" w:rsidRDefault="004774BD" w:rsidP="00496FAB">
                  <w:pPr>
                    <w:jc w:val="center"/>
                    <w:rPr>
                      <w:rFonts w:eastAsia="Times New Roman"/>
                      <w:color w:val="000000"/>
                      <w:sz w:val="20"/>
                      <w:szCs w:val="20"/>
                    </w:rPr>
                  </w:pPr>
                  <w:r w:rsidRPr="00896ADF">
                    <w:rPr>
                      <w:rFonts w:eastAsia="Times New Roman"/>
                      <w:color w:val="000000"/>
                      <w:sz w:val="20"/>
                      <w:szCs w:val="20"/>
                    </w:rPr>
                    <w:t>2 511 786 669,59</w:t>
                  </w:r>
                </w:p>
              </w:tc>
            </w:tr>
          </w:tbl>
          <w:p w14:paraId="44691720" w14:textId="6D293368" w:rsidR="004774BD" w:rsidRPr="00896ADF" w:rsidRDefault="00E051BC" w:rsidP="00496FAB">
            <w:pPr>
              <w:spacing w:before="100" w:beforeAutospacing="1" w:after="100" w:afterAutospacing="1"/>
              <w:jc w:val="both"/>
              <w:rPr>
                <w:rFonts w:cstheme="minorHAnsi"/>
                <w:i/>
                <w:iCs/>
                <w:sz w:val="20"/>
                <w:szCs w:val="20"/>
                <w:lang w:val="en-IE"/>
              </w:rPr>
            </w:pPr>
            <w:r w:rsidRPr="00896ADF">
              <w:rPr>
                <w:b/>
                <w:bCs/>
                <w:sz w:val="20"/>
                <w:szCs w:val="20"/>
              </w:rPr>
              <w:t>The original allocation for this objective remains unchanged at CZK 8 328 000 000.</w:t>
            </w:r>
            <w:r w:rsidR="004774BD" w:rsidRPr="00896ADF">
              <w:rPr>
                <w:b/>
                <w:bCs/>
                <w:sz w:val="20"/>
                <w:szCs w:val="20"/>
              </w:rPr>
              <w:t xml:space="preserve">  </w:t>
            </w:r>
          </w:p>
        </w:tc>
      </w:tr>
    </w:tbl>
    <w:p w14:paraId="6DFB481F" w14:textId="77777777" w:rsidR="00C502B7" w:rsidRPr="00896ADF" w:rsidRDefault="00C502B7" w:rsidP="00C502B7">
      <w:pPr>
        <w:rPr>
          <w:sz w:val="20"/>
          <w:szCs w:val="20"/>
          <w:lang w:val="en-IE"/>
        </w:rPr>
      </w:pPr>
      <w:r w:rsidRPr="00896ADF">
        <w:rPr>
          <w:sz w:val="20"/>
          <w:szCs w:val="20"/>
          <w:lang w:val="en-IE"/>
        </w:rPr>
        <w:lastRenderedPageBreak/>
        <w:t>Change the name of the target and its extension</w:t>
      </w:r>
    </w:p>
    <w:p w14:paraId="5C0AB8B5" w14:textId="77777777" w:rsidR="00C502B7" w:rsidRPr="00896ADF" w:rsidRDefault="00C502B7" w:rsidP="009B37B5">
      <w:pPr>
        <w:jc w:val="both"/>
        <w:rPr>
          <w:sz w:val="20"/>
          <w:szCs w:val="20"/>
          <w:lang w:val="en-IE"/>
        </w:rPr>
      </w:pPr>
      <w:r w:rsidRPr="00896ADF">
        <w:rPr>
          <w:sz w:val="20"/>
          <w:szCs w:val="20"/>
          <w:lang w:val="en-IE"/>
        </w:rPr>
        <w:t>The reason for this change (correction) in the text that we have requested is that, in addition to investment in residential services, investment in outpatient and outreach services has been in the draft text of section 3.3 of the National Recovery Plan from the outset. This part of the text has never been disputed by the EC, as evidenced by the fact that the correct wording of objectives 194 and 195 is contained in the costing that was approved and is part of the CID approved by the Council. This adjustment to the originally intended state also leads to the possibility of implementing measures that allow for the extension of care for social services clients in their homes or without long-term stays in inpatient facilities in the sense of the principle of maximum support for independent living.</w:t>
      </w:r>
    </w:p>
    <w:p w14:paraId="35AE5EF0" w14:textId="77777777" w:rsidR="00A7561B" w:rsidRPr="00896ADF" w:rsidRDefault="00A7561B" w:rsidP="00A7561B">
      <w:pPr>
        <w:rPr>
          <w:sz w:val="20"/>
          <w:szCs w:val="20"/>
          <w:lang w:val="en-IE"/>
        </w:rPr>
      </w:pPr>
      <w:r w:rsidRPr="00896ADF">
        <w:rPr>
          <w:sz w:val="20"/>
          <w:szCs w:val="20"/>
          <w:lang w:val="en-IE"/>
        </w:rPr>
        <w:t>At the same time, the extension of the support for social services to include counselling and prevention services, together with the existing support for care services, will provide a choice for a comprehensive solution to the demand for social services in individual regions of the Czech Republic. Social prevention and counselling services allow to address in advance the situations of people who would have to seek social care services without this level of assistance. The growing importance of counselling and prevention services is also linked to the increase in risks that society is now facing, such as inflation, rising energy and housing costs, and the services are also relevant in the context of the ongoing war in Ukraine and the influx of refugees. In addition to basic and specialist counselling, the importance of prevention services such as shelters, halfway houses, contact or low-threshold day centres, but also night shelters, etc., is growing significantly.</w:t>
      </w:r>
    </w:p>
    <w:p w14:paraId="0FF16589" w14:textId="77777777" w:rsidR="00A7561B" w:rsidRPr="00896ADF" w:rsidRDefault="00A7561B" w:rsidP="009B37B5">
      <w:pPr>
        <w:jc w:val="both"/>
        <w:rPr>
          <w:b/>
          <w:bCs/>
          <w:sz w:val="20"/>
          <w:szCs w:val="20"/>
        </w:rPr>
      </w:pPr>
      <w:r w:rsidRPr="00896ADF">
        <w:rPr>
          <w:b/>
          <w:bCs/>
          <w:sz w:val="20"/>
          <w:szCs w:val="20"/>
        </w:rPr>
        <w:t>Change in approach to the concept of compliance with the provisions of the UN Convention</w:t>
      </w:r>
    </w:p>
    <w:p w14:paraId="3AD0E67A" w14:textId="77777777" w:rsidR="00A7561B" w:rsidRPr="00896ADF" w:rsidRDefault="00A7561B" w:rsidP="009B37B5">
      <w:pPr>
        <w:jc w:val="both"/>
        <w:rPr>
          <w:b/>
          <w:bCs/>
          <w:sz w:val="20"/>
          <w:szCs w:val="20"/>
        </w:rPr>
      </w:pPr>
      <w:r w:rsidRPr="00896ADF">
        <w:rPr>
          <w:b/>
          <w:bCs/>
          <w:sz w:val="20"/>
          <w:szCs w:val="20"/>
        </w:rPr>
        <w:t xml:space="preserve">As has emerged from discussions with stakeholders in the Czech Republic and expert bodies, "compliance with the terms of the Convention" is a difficult fact to verify. The Convention is formulated in general terms and also addresses a number of issues that are not directly related to the projects being implemented. </w:t>
      </w:r>
    </w:p>
    <w:p w14:paraId="7B26A883" w14:textId="77777777" w:rsidR="00A7561B" w:rsidRPr="00896ADF" w:rsidRDefault="00A7561B" w:rsidP="009B37B5">
      <w:pPr>
        <w:jc w:val="both"/>
        <w:rPr>
          <w:b/>
          <w:bCs/>
          <w:sz w:val="20"/>
          <w:szCs w:val="20"/>
        </w:rPr>
      </w:pPr>
      <w:r w:rsidRPr="00896ADF">
        <w:rPr>
          <w:b/>
          <w:bCs/>
          <w:sz w:val="20"/>
          <w:szCs w:val="20"/>
        </w:rPr>
        <w:t xml:space="preserve">The material and technical service standard (MTS, especially the so-called MTS 2 in the case of the services of Homes for the Elderly and Homes with Special Regime) used in the NPO represents a compromise result of discussions between professional bodies, social service providers and other stakeholders. Its aim is to support the process of modernisation of the social services in the Czech Republic in the best possible way, including towards the fulfilment of the principles of the Convention, but taking into account the real state of services and the needs associated with the growing ageing of the population and the associated demands on the capacity of services. This is a process with </w:t>
      </w:r>
      <w:r w:rsidRPr="00896ADF">
        <w:rPr>
          <w:b/>
          <w:bCs/>
          <w:sz w:val="20"/>
          <w:szCs w:val="20"/>
        </w:rPr>
        <w:lastRenderedPageBreak/>
        <w:t xml:space="preserve">a certain time horizon and for NPO projects with a given focus it is therefore crucial whether they represent an improvement of the existing situation and progress in the desired direction. </w:t>
      </w:r>
    </w:p>
    <w:p w14:paraId="6FD6ACDF" w14:textId="30F534A3" w:rsidR="00A7561B" w:rsidRPr="00896ADF" w:rsidRDefault="2A2E4F19" w:rsidP="340CC62A">
      <w:pPr>
        <w:jc w:val="both"/>
        <w:rPr>
          <w:rFonts w:eastAsiaTheme="minorEastAsia"/>
          <w:b/>
          <w:bCs/>
          <w:sz w:val="20"/>
          <w:szCs w:val="20"/>
        </w:rPr>
      </w:pPr>
      <w:r w:rsidRPr="00896ADF">
        <w:rPr>
          <w:rFonts w:eastAsiaTheme="minorEastAsia"/>
          <w:b/>
          <w:bCs/>
          <w:sz w:val="20"/>
          <w:szCs w:val="20"/>
        </w:rPr>
        <w:t xml:space="preserve"> We therefore suggest that NPO calls should be verified precisely whether they represent the required progress towards the progressive implementation of the principles of the Convention in the services provided in the country and are in line with the MTS.</w:t>
      </w:r>
    </w:p>
    <w:p w14:paraId="3ADE5596" w14:textId="77777777" w:rsidR="00074701" w:rsidRPr="00896ADF" w:rsidRDefault="00074701" w:rsidP="00074701">
      <w:pPr>
        <w:spacing w:before="100" w:beforeAutospacing="1"/>
        <w:ind w:right="66"/>
        <w:jc w:val="both"/>
        <w:rPr>
          <w:rFonts w:cstheme="minorHAnsi"/>
          <w:sz w:val="20"/>
          <w:szCs w:val="20"/>
          <w:u w:val="single"/>
        </w:rPr>
      </w:pPr>
      <w:r w:rsidRPr="00896ADF">
        <w:rPr>
          <w:rFonts w:cstheme="minorHAnsi"/>
          <w:sz w:val="20"/>
          <w:szCs w:val="20"/>
          <w:u w:val="single"/>
        </w:rPr>
        <w:t>Rewording of Investment No 3</w:t>
      </w:r>
    </w:p>
    <w:p w14:paraId="2A8C0BDC" w14:textId="5AFD6B5F" w:rsidR="007A1A77" w:rsidRPr="00896ADF" w:rsidRDefault="00074701" w:rsidP="00074701">
      <w:pPr>
        <w:spacing w:before="100" w:beforeAutospacing="1"/>
        <w:ind w:right="66"/>
        <w:jc w:val="both"/>
        <w:rPr>
          <w:rFonts w:cstheme="minorHAnsi"/>
          <w:sz w:val="20"/>
          <w:szCs w:val="20"/>
        </w:rPr>
      </w:pPr>
      <w:r w:rsidRPr="00896ADF">
        <w:rPr>
          <w:rFonts w:cstheme="minorHAnsi"/>
          <w:sz w:val="20"/>
          <w:szCs w:val="20"/>
          <w:u w:val="single"/>
        </w:rPr>
        <w:t>The deletion of the wording is due to an error where the original text states that the projects will be carried out by the autonomous municipalities. However, the intended scope of beneficiaries was much broader, hence the above modification.</w:t>
      </w:r>
    </w:p>
    <w:p w14:paraId="59AFBEC7" w14:textId="77777777" w:rsidR="007A1A77" w:rsidRPr="00896ADF" w:rsidRDefault="007A1A77" w:rsidP="007A1A77">
      <w:pPr>
        <w:spacing w:before="100" w:beforeAutospacing="1"/>
        <w:ind w:right="66"/>
        <w:jc w:val="both"/>
        <w:rPr>
          <w:rFonts w:cstheme="minorHAnsi"/>
          <w:sz w:val="20"/>
          <w:szCs w:val="20"/>
        </w:rPr>
      </w:pPr>
      <w:r w:rsidRPr="00896ADF">
        <w:rPr>
          <w:rFonts w:cstheme="minorHAnsi"/>
          <w:sz w:val="20"/>
          <w:szCs w:val="20"/>
          <w:u w:val="single"/>
        </w:rPr>
        <w:t>Navýšení nákladů, posun v čase a sloučení druhů staveb</w:t>
      </w:r>
    </w:p>
    <w:p w14:paraId="4636B98D" w14:textId="77777777" w:rsidR="007A1A77" w:rsidRPr="00896ADF" w:rsidRDefault="007A1A77" w:rsidP="571FA6C3">
      <w:pPr>
        <w:spacing w:before="100" w:beforeAutospacing="1" w:after="100" w:afterAutospacing="1"/>
        <w:ind w:left="28" w:right="66"/>
        <w:jc w:val="both"/>
        <w:rPr>
          <w:rFonts w:eastAsiaTheme="minorEastAsia"/>
          <w:sz w:val="20"/>
          <w:szCs w:val="20"/>
        </w:rPr>
      </w:pPr>
      <w:r w:rsidRPr="00896ADF">
        <w:rPr>
          <w:sz w:val="20"/>
          <w:szCs w:val="20"/>
        </w:rPr>
        <w:t xml:space="preserve">Od počátku roku 2021 dochází k významným změnám cen staveních materiálů. Ceny stavebních materiálů se často </w:t>
      </w:r>
      <w:r w:rsidRPr="00896ADF">
        <w:rPr>
          <w:rFonts w:eastAsiaTheme="minorEastAsia"/>
          <w:sz w:val="20"/>
          <w:szCs w:val="20"/>
        </w:rPr>
        <w:t xml:space="preserve">měnily i několikrát za měsíc, což mělo velký vliv na stavební zakázky i stavební společnosti. Ohledně reálného přehledu dodacích lhůt a cen stavebních materiálů a prací, byli osloveni např. Svaz podnikatelů ve stavebnictví, někteří developeři, projekční kanceláře, stavební společnosti, dodavatelé stavebnin, subdodavatelské firmy i řemeslníci, kteří potvrdili konstantní nárůst cen stavebních materiálů a prací dále i kapacitní problémy výrobců stavebních materiálů a prodlužující se dobou dodávek způsobenou absencí pracovní síly. </w:t>
      </w:r>
    </w:p>
    <w:p w14:paraId="3C792738" w14:textId="77777777" w:rsidR="007A1A77" w:rsidRPr="00896ADF" w:rsidRDefault="007A1A77" w:rsidP="571FA6C3">
      <w:pPr>
        <w:spacing w:before="100" w:beforeAutospacing="1" w:after="100" w:afterAutospacing="1"/>
        <w:ind w:left="28" w:right="66"/>
        <w:jc w:val="both"/>
        <w:rPr>
          <w:rFonts w:eastAsiaTheme="minorEastAsia"/>
          <w:sz w:val="20"/>
          <w:szCs w:val="20"/>
        </w:rPr>
      </w:pPr>
      <w:r w:rsidRPr="00896ADF">
        <w:rPr>
          <w:rFonts w:eastAsiaTheme="minorEastAsia"/>
          <w:sz w:val="20"/>
          <w:szCs w:val="20"/>
        </w:rPr>
        <w:t>Důvodů nepředvídatelných výkyvů cen bylo několik. Z těch nejvýznamnějších jde o nedostatek základních surovin (z důvodu jiného využití), světová epidemie covid-19 (přerušení výroby), export vytěžených surovin do zahraničí a další. Letošní rok je zatím v tomto směru nejhorším vzhledem k probíhající válce na Ukrajině (v ČR též umocněný odchodem pracovníků z Ukrajiny, kteří tvořili velkou část stavební kapacity zejména v dělnických profesích zpět do vlasti – což například developerům např.  Unistav Construction a Skanska Property a.s způsobilo několikaměsíční zdržení přípravy a realizace staveb), mezinárodním sankcím a výkyvům cen a dodávek surovin z Ruska, jež způsobila spekulaci a paniku trhu.</w:t>
      </w:r>
    </w:p>
    <w:p w14:paraId="20F24A57" w14:textId="77777777" w:rsidR="007A1A77" w:rsidRPr="00896ADF" w:rsidRDefault="007A1A77" w:rsidP="571FA6C3">
      <w:pPr>
        <w:spacing w:before="100" w:beforeAutospacing="1" w:after="100" w:afterAutospacing="1"/>
        <w:ind w:left="28" w:right="66"/>
        <w:jc w:val="both"/>
        <w:rPr>
          <w:rFonts w:eastAsiaTheme="minorEastAsia"/>
          <w:sz w:val="20"/>
          <w:szCs w:val="20"/>
        </w:rPr>
      </w:pPr>
      <w:r w:rsidRPr="00896ADF">
        <w:rPr>
          <w:rFonts w:eastAsiaTheme="minorEastAsia"/>
          <w:sz w:val="20"/>
          <w:szCs w:val="20"/>
        </w:rPr>
        <w:t xml:space="preserve">Dalším důvodem pro výrazný nárůst cen stavebních materiálů je především významný nárůst cen energií a výpadky v jejich dodávkách (zejména zemní plyn), které mají vliv na zpracování některých surovin i materiálů, a cenu stavebních prací. Toto se projevuje v celkové inflaci a nárůstu cen stavebních prací, který je pro rok 2022 predikován na 16,5 % (za měsíc říjen dle ČSÚ vzrostly ceny materiálů a výrobků spotřebovávaných ve stavebnictví meziročně o 17,6 %).  </w:t>
      </w:r>
    </w:p>
    <w:p w14:paraId="347C59CB" w14:textId="470D1306" w:rsidR="007A1A77" w:rsidRPr="00896ADF" w:rsidRDefault="007A1A77" w:rsidP="571FA6C3">
      <w:pPr>
        <w:spacing w:before="100" w:beforeAutospacing="1" w:after="100" w:afterAutospacing="1" w:line="252" w:lineRule="auto"/>
        <w:jc w:val="both"/>
        <w:rPr>
          <w:rFonts w:eastAsiaTheme="minorEastAsia"/>
          <w:sz w:val="20"/>
          <w:szCs w:val="20"/>
        </w:rPr>
      </w:pPr>
      <w:r w:rsidRPr="00896ADF">
        <w:rPr>
          <w:rFonts w:eastAsiaTheme="minorEastAsia"/>
          <w:sz w:val="20"/>
          <w:szCs w:val="20"/>
        </w:rPr>
        <w:t>Všechny tyto důvody způsobují, že při aktuálním nastavení nemůže být dosaženo splnění cílů ve dvou obdobích, a to v posledním kvartálu roku 2024 a v posledním kvartálu roku 2025. K navržené změně dochází z výše uvedených důvodů, především k prodlužování výroby některých stavebních materiálů, resp. k jejich nedostupnosti, a tím i k prodlužování vlastní výstavby. Stavební kapacity stavebních firem jsou v současné době přetížené a obtížně dostupné. V souvislosti s probíhající praxí bychom pak rádi navrhli ještě tuto praktickou úpravu cíle, a to jeho detailního dělení na jednotlivé typy staveb a stavebních úprav. Domníváme se, že z pohledu cíle podpory, kterým je navyšování kapacity pobytových zařízení v ČR, není rozhodující, zda místa vzniknou novou výstavbou nebo rekonstrukcí dříve existujícího objektu. Z hlediska dopadů na životní prostředí se naopak jeví efektivnějším investovat spíše do úprav energetické náročnosti již existujících budov. Proto bychom rádi zrušili sledování počtu novostaveb jako samostatný ukazatel a sloučili ho do jedné kategorie s ukazatelem energeticky efektivních rekonstrukcí</w:t>
      </w:r>
      <w:r w:rsidRPr="00896ADF">
        <w:rPr>
          <w:rFonts w:eastAsiaTheme="minorEastAsia"/>
          <w:b/>
          <w:bCs/>
          <w:sz w:val="20"/>
          <w:szCs w:val="20"/>
        </w:rPr>
        <w:t>. Cílem je, aby přesné dodržení počtu novostaveb 116 nebylo součástí cíle a nemuselo být tudíž přesně dosaženo.</w:t>
      </w:r>
      <w:r w:rsidRPr="00896ADF">
        <w:rPr>
          <w:rFonts w:eastAsiaTheme="minorEastAsia"/>
          <w:sz w:val="20"/>
          <w:szCs w:val="20"/>
        </w:rPr>
        <w:t xml:space="preserve"> </w:t>
      </w:r>
      <w:r w:rsidRPr="00896ADF">
        <w:rPr>
          <w:rFonts w:eastAsiaTheme="minorEastAsia"/>
          <w:b/>
          <w:bCs/>
          <w:sz w:val="20"/>
          <w:szCs w:val="20"/>
        </w:rPr>
        <w:t xml:space="preserve">Na druhou stranu předpokládáme, že počet novostaveb financovaných v rámci této investice se bude rámcově pohybovat kolem počtu 116. </w:t>
      </w:r>
      <w:r w:rsidRPr="00896ADF">
        <w:rPr>
          <w:rFonts w:eastAsiaTheme="minorEastAsia"/>
          <w:sz w:val="20"/>
          <w:szCs w:val="20"/>
        </w:rPr>
        <w:t xml:space="preserve"> Z dotazů, které konzultujeme, se ukazuje, že zcela nová výstavba může být příliš složitá a časový harmonogram realizace NPO může být pro tento typ projektů příliš rizikový, navíc s dalšími koly výzev a posuny v čase bude rizikovost nedostatečného času pro příjemce jen narůstat. Současně rekonstrukce stávajících budov je časově o něco méně náročná než výstavba nových budov. </w:t>
      </w:r>
    </w:p>
    <w:p w14:paraId="218D9258" w14:textId="77777777" w:rsidR="007A1A77" w:rsidRPr="00896ADF" w:rsidRDefault="007A1A77" w:rsidP="571FA6C3">
      <w:pPr>
        <w:spacing w:before="100" w:beforeAutospacing="1" w:after="100" w:afterAutospacing="1" w:line="252" w:lineRule="auto"/>
        <w:jc w:val="both"/>
        <w:rPr>
          <w:rFonts w:eastAsiaTheme="minorEastAsia"/>
          <w:sz w:val="20"/>
          <w:szCs w:val="20"/>
        </w:rPr>
      </w:pPr>
      <w:r w:rsidRPr="00896ADF">
        <w:rPr>
          <w:rFonts w:eastAsiaTheme="minorEastAsia"/>
          <w:sz w:val="20"/>
          <w:szCs w:val="20"/>
        </w:rPr>
        <w:lastRenderedPageBreak/>
        <w:t xml:space="preserve">Zároveň u vybudovaných novostaveb bude dodrženo pravidlo, že nebude překročen původní poměr novostaveb na celkovém počtu zařízení, a tudíž nedojde ke změně poměru investic se 40% klimatickým koeficientem a investic se 100% klimatickým koeficientem. </w:t>
      </w:r>
    </w:p>
    <w:p w14:paraId="5C19D563" w14:textId="77777777" w:rsidR="00E24BBA" w:rsidRPr="00896ADF" w:rsidRDefault="00E24BBA" w:rsidP="571FA6C3">
      <w:pPr>
        <w:spacing w:before="100" w:beforeAutospacing="1" w:after="100" w:afterAutospacing="1"/>
        <w:jc w:val="both"/>
        <w:rPr>
          <w:rFonts w:eastAsiaTheme="minorEastAsia"/>
          <w:b/>
          <w:bCs/>
          <w:sz w:val="20"/>
          <w:szCs w:val="20"/>
        </w:rPr>
      </w:pPr>
    </w:p>
    <w:tbl>
      <w:tblPr>
        <w:tblStyle w:val="Mkatabulky"/>
        <w:tblW w:w="0" w:type="auto"/>
        <w:tblLook w:val="04A0" w:firstRow="1" w:lastRow="0" w:firstColumn="1" w:lastColumn="0" w:noHBand="0" w:noVBand="1"/>
      </w:tblPr>
      <w:tblGrid>
        <w:gridCol w:w="3227"/>
        <w:gridCol w:w="5939"/>
      </w:tblGrid>
      <w:tr w:rsidR="00110546" w:rsidRPr="00896ADF" w14:paraId="2CE4E215" w14:textId="77777777" w:rsidTr="003B0E30">
        <w:tc>
          <w:tcPr>
            <w:tcW w:w="9166" w:type="dxa"/>
            <w:gridSpan w:val="2"/>
            <w:shd w:val="clear" w:color="auto" w:fill="1F3864"/>
          </w:tcPr>
          <w:p w14:paraId="6CFC7A18" w14:textId="77777777" w:rsidR="00110546" w:rsidRPr="00896ADF" w:rsidRDefault="005A3470" w:rsidP="003B0E30">
            <w:pPr>
              <w:jc w:val="center"/>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Component 3.3 MODERNISATION OF EMPLOYMENT SERVICES AND LABOUR MARKET DEVELOPMENT</w:t>
            </w:r>
          </w:p>
        </w:tc>
      </w:tr>
      <w:tr w:rsidR="00110546" w:rsidRPr="00896ADF" w14:paraId="27CBA42D" w14:textId="77777777" w:rsidTr="003B0E30">
        <w:tc>
          <w:tcPr>
            <w:tcW w:w="3227" w:type="dxa"/>
            <w:shd w:val="clear" w:color="auto" w:fill="00B0F0"/>
          </w:tcPr>
          <w:p w14:paraId="63C200BD" w14:textId="77777777" w:rsidR="00110546" w:rsidRPr="00896ADF" w:rsidRDefault="00110546"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24A34CF2" w14:textId="77777777" w:rsidR="00110546" w:rsidRPr="00896ADF" w:rsidRDefault="00DA3F7F"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Investment 3</w:t>
            </w:r>
          </w:p>
        </w:tc>
      </w:tr>
      <w:tr w:rsidR="00110546" w:rsidRPr="00896ADF" w14:paraId="367F69F9" w14:textId="77777777" w:rsidTr="003B0E30">
        <w:tc>
          <w:tcPr>
            <w:tcW w:w="3227" w:type="dxa"/>
            <w:shd w:val="clear" w:color="auto" w:fill="00B0F0"/>
          </w:tcPr>
          <w:p w14:paraId="4A661808" w14:textId="77777777" w:rsidR="00110546" w:rsidRPr="00896ADF" w:rsidRDefault="00110546"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49B4C1E6" w14:textId="77777777" w:rsidR="00110546" w:rsidRPr="00896ADF" w:rsidRDefault="00DA3F7F"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Development and modernisation of social care infrastructure</w:t>
            </w:r>
          </w:p>
        </w:tc>
      </w:tr>
      <w:tr w:rsidR="00110546" w:rsidRPr="00896ADF" w14:paraId="6B91CF9B" w14:textId="77777777" w:rsidTr="003B0E30">
        <w:tc>
          <w:tcPr>
            <w:tcW w:w="3227" w:type="dxa"/>
            <w:shd w:val="clear" w:color="auto" w:fill="BDD6EE"/>
          </w:tcPr>
          <w:p w14:paraId="511151FE" w14:textId="77777777" w:rsidR="00110546" w:rsidRPr="00896ADF" w:rsidRDefault="00110546"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Type of change compared to CID</w:t>
            </w:r>
          </w:p>
        </w:tc>
        <w:tc>
          <w:tcPr>
            <w:tcW w:w="5939" w:type="dxa"/>
          </w:tcPr>
          <w:p w14:paraId="208363A1" w14:textId="77777777" w:rsidR="00110546" w:rsidRPr="00896ADF" w:rsidRDefault="00110546"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noProof/>
                <w:sz w:val="20"/>
                <w:szCs w:val="20"/>
                <w:lang w:val="en-US"/>
              </w:rPr>
              <w:t>[modified]</w:t>
            </w:r>
          </w:p>
        </w:tc>
      </w:tr>
      <w:tr w:rsidR="00110546" w:rsidRPr="00896ADF" w14:paraId="5D858BC7" w14:textId="77777777" w:rsidTr="003B0E30">
        <w:tc>
          <w:tcPr>
            <w:tcW w:w="3227" w:type="dxa"/>
            <w:shd w:val="clear" w:color="auto" w:fill="BDD6EE"/>
          </w:tcPr>
          <w:p w14:paraId="53D66F62" w14:textId="77777777" w:rsidR="00110546" w:rsidRPr="00896ADF" w:rsidRDefault="00110546"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Legal base of the change (select at least one)</w:t>
            </w:r>
          </w:p>
        </w:tc>
        <w:tc>
          <w:tcPr>
            <w:tcW w:w="5939" w:type="dxa"/>
          </w:tcPr>
          <w:p w14:paraId="647BE907" w14:textId="77777777" w:rsidR="00110546"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68441982"/>
                <w14:checkbox>
                  <w14:checked w14:val="0"/>
                  <w14:checkedState w14:val="2612" w14:font="MS Gothic"/>
                  <w14:uncheckedState w14:val="2610" w14:font="MS Gothic"/>
                </w14:checkbox>
              </w:sdtPr>
              <w:sdtEndPr/>
              <w:sdtContent>
                <w:r w:rsidR="00110546" w:rsidRPr="00896ADF">
                  <w:rPr>
                    <w:rFonts w:ascii="Segoe UI Symbol" w:eastAsia="Calibri" w:hAnsi="Segoe UI Symbol" w:cs="Segoe UI Symbol"/>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Article 14(2) – loan request</w:t>
            </w:r>
          </w:p>
          <w:p w14:paraId="00A79700" w14:textId="77777777" w:rsidR="00110546"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491863954"/>
                <w14:checkbox>
                  <w14:checked w14:val="1"/>
                  <w14:checkedState w14:val="2612" w14:font="MS Gothic"/>
                  <w14:uncheckedState w14:val="2610" w14:font="MS Gothic"/>
                </w14:checkbox>
              </w:sdtPr>
              <w:sdtEndPr/>
              <w:sdtContent>
                <w:r w:rsidR="002A75C2" w:rsidRPr="00896ADF">
                  <w:rPr>
                    <w:rFonts w:ascii="MS Gothic" w:eastAsia="MS Gothic" w:hAnsi="MS Gothic" w:cs="Times New Roman" w:hint="eastAsia"/>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Article 18(2) – update of the maximum financial contribution</w:t>
            </w:r>
          </w:p>
          <w:p w14:paraId="38588C3B" w14:textId="77777777" w:rsidR="00110546" w:rsidRPr="00896ADF" w:rsidRDefault="00491E8E" w:rsidP="003B0E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47254770"/>
                <w:placeholder>
                  <w:docPart w:val="6ADA95CFB7A54612892C98A558986D60"/>
                </w:placeholder>
                <w14:checkbox>
                  <w14:checked w14:val="1"/>
                  <w14:checkedState w14:val="2612" w14:font="MS Gothic"/>
                  <w14:uncheckedState w14:val="2610" w14:font="MS Gothic"/>
                </w14:checkbox>
              </w:sdtPr>
              <w:sdtEndPr/>
              <w:sdtContent>
                <w:r w:rsidR="002A75C2" w:rsidRPr="00896ADF">
                  <w:rPr>
                    <w:rFonts w:ascii="MS Gothic" w:eastAsia="MS Gothic" w:hAnsi="MS Gothic" w:cs="Times New Roman" w:hint="eastAsia"/>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Article 21 – amendment due to objective circumstances</w:t>
            </w:r>
          </w:p>
          <w:p w14:paraId="380873E0" w14:textId="77777777" w:rsidR="00110546" w:rsidRPr="00896ADF" w:rsidRDefault="00491E8E" w:rsidP="003B0E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1603454446"/>
                <w:placeholder>
                  <w:docPart w:val="6ADA95CFB7A54612892C98A558986D60"/>
                </w:placeholder>
                <w14:checkbox>
                  <w14:checked w14:val="0"/>
                  <w14:checkedState w14:val="2612" w14:font="MS Gothic"/>
                  <w14:uncheckedState w14:val="2610" w14:font="MS Gothic"/>
                </w14:checkbox>
              </w:sdtPr>
              <w:sdtEndPr/>
              <w:sdtContent>
                <w:r w:rsidR="00110546" w:rsidRPr="00896ADF">
                  <w:rPr>
                    <w:rFonts w:ascii="Segoe UI Symbol" w:eastAsia="Calibri" w:hAnsi="Segoe UI Symbol" w:cs="Segoe UI Symbol"/>
                    <w:noProof/>
                    <w:color w:val="2B579A"/>
                    <w:sz w:val="20"/>
                    <w:szCs w:val="20"/>
                    <w:shd w:val="clear" w:color="auto" w:fill="E6E6E6"/>
                    <w:lang w:val="fr-BE"/>
                  </w:rPr>
                  <w:t>☐</w:t>
                </w:r>
              </w:sdtContent>
            </w:sdt>
            <w:r w:rsidR="00110546" w:rsidRPr="00896ADF">
              <w:rPr>
                <w:rFonts w:ascii="Times New Roman" w:eastAsia="Calibri" w:hAnsi="Times New Roman" w:cs="Times New Roman"/>
                <w:noProof/>
                <w:sz w:val="20"/>
                <w:szCs w:val="20"/>
                <w:lang w:val="fr-BE"/>
              </w:rPr>
              <w:t xml:space="preserve"> Article 21a – REPowerEU non-repayable financial support (ETS revenue)</w:t>
            </w:r>
          </w:p>
          <w:p w14:paraId="37521F68" w14:textId="77777777" w:rsidR="00110546" w:rsidRPr="00896ADF" w:rsidRDefault="00491E8E" w:rsidP="003B0E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695841228"/>
                <w:placeholder>
                  <w:docPart w:val="6ADA95CFB7A54612892C98A558986D60"/>
                </w:placeholder>
                <w14:checkbox>
                  <w14:checked w14:val="0"/>
                  <w14:checkedState w14:val="2612" w14:font="MS Gothic"/>
                  <w14:uncheckedState w14:val="2610" w14:font="MS Gothic"/>
                </w14:checkbox>
              </w:sdtPr>
              <w:sdtEndPr/>
              <w:sdtContent>
                <w:r w:rsidR="00110546" w:rsidRPr="00896ADF">
                  <w:rPr>
                    <w:rFonts w:ascii="Segoe UI Symbol" w:eastAsia="Calibri" w:hAnsi="Segoe UI Symbol" w:cs="Segoe UI Symbol"/>
                    <w:noProof/>
                    <w:color w:val="2B579A"/>
                    <w:sz w:val="20"/>
                    <w:szCs w:val="20"/>
                    <w:shd w:val="clear" w:color="auto" w:fill="E6E6E6"/>
                    <w:lang w:val="en-IE"/>
                  </w:rPr>
                  <w:t>☐</w:t>
                </w:r>
              </w:sdtContent>
            </w:sdt>
            <w:r w:rsidR="00110546" w:rsidRPr="00896ADF">
              <w:rPr>
                <w:rFonts w:ascii="Times New Roman" w:eastAsia="Calibri" w:hAnsi="Times New Roman" w:cs="Times New Roman"/>
                <w:noProof/>
                <w:sz w:val="20"/>
                <w:szCs w:val="20"/>
                <w:lang w:val="en-IE"/>
              </w:rPr>
              <w:t xml:space="preserve"> Article 21b (2) – BAR transfers</w:t>
            </w:r>
          </w:p>
          <w:p w14:paraId="648BBA1C" w14:textId="77777777" w:rsidR="00110546" w:rsidRPr="00896ADF" w:rsidRDefault="00110546" w:rsidP="003B0E30">
            <w:pPr>
              <w:jc w:val="both"/>
              <w:rPr>
                <w:rFonts w:ascii="Times New Roman" w:eastAsia="Calibri" w:hAnsi="Times New Roman" w:cs="Times New Roman"/>
                <w:noProof/>
                <w:sz w:val="20"/>
                <w:szCs w:val="20"/>
                <w:lang w:val="en-US"/>
              </w:rPr>
            </w:pPr>
            <w:r w:rsidRPr="00896ADF">
              <w:rPr>
                <w:rFonts w:ascii="Segoe UI Symbol" w:eastAsia="MS Gothic" w:hAnsi="Segoe UI Symbol" w:cs="Segoe UI Symbol"/>
                <w:noProof/>
                <w:sz w:val="20"/>
                <w:szCs w:val="20"/>
                <w:lang w:val="en-US"/>
              </w:rPr>
              <w:t>☐</w:t>
            </w:r>
            <w:r w:rsidRPr="00896ADF">
              <w:rPr>
                <w:rFonts w:ascii="Times New Roman" w:eastAsia="Calibri" w:hAnsi="Times New Roman" w:cs="Times New Roman"/>
                <w:noProof/>
                <w:sz w:val="20"/>
                <w:szCs w:val="20"/>
                <w:lang w:val="en-US"/>
              </w:rPr>
              <w:t xml:space="preserve"> None of the above, correction of clerical error</w:t>
            </w:r>
          </w:p>
          <w:p w14:paraId="5F6FC280" w14:textId="77777777" w:rsidR="00110546" w:rsidRPr="00896ADF" w:rsidRDefault="00110546" w:rsidP="003B0E30">
            <w:pPr>
              <w:jc w:val="both"/>
              <w:rPr>
                <w:rFonts w:ascii="Times New Roman" w:eastAsia="Calibri" w:hAnsi="Times New Roman" w:cs="Times New Roman"/>
                <w:noProof/>
                <w:sz w:val="20"/>
                <w:szCs w:val="20"/>
                <w:lang w:val="en-IE"/>
              </w:rPr>
            </w:pPr>
          </w:p>
        </w:tc>
      </w:tr>
      <w:tr w:rsidR="00110546" w:rsidRPr="00896ADF" w14:paraId="3BF33FAB" w14:textId="77777777" w:rsidTr="003B0E30">
        <w:tc>
          <w:tcPr>
            <w:tcW w:w="3227" w:type="dxa"/>
            <w:shd w:val="clear" w:color="auto" w:fill="BDD6EE"/>
          </w:tcPr>
          <w:p w14:paraId="675044FB" w14:textId="77777777" w:rsidR="00110546" w:rsidRPr="00896ADF" w:rsidRDefault="00110546"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Elements modified (only for modified measures)</w:t>
            </w:r>
          </w:p>
          <w:p w14:paraId="0D733C69" w14:textId="77777777" w:rsidR="00110546" w:rsidRPr="00896ADF" w:rsidRDefault="00110546" w:rsidP="003B0E30">
            <w:pPr>
              <w:jc w:val="both"/>
              <w:rPr>
                <w:rFonts w:ascii="Times New Roman" w:eastAsia="Calibri" w:hAnsi="Times New Roman" w:cs="Times New Roman"/>
                <w:b/>
                <w:bCs/>
                <w:noProof/>
                <w:sz w:val="24"/>
                <w:szCs w:val="24"/>
                <w:u w:val="single"/>
                <w:lang w:val="en-IE"/>
              </w:rPr>
            </w:pPr>
          </w:p>
        </w:tc>
        <w:tc>
          <w:tcPr>
            <w:tcW w:w="5939" w:type="dxa"/>
          </w:tcPr>
          <w:p w14:paraId="18E138DA" w14:textId="77777777" w:rsidR="00110546"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72754876"/>
                <w14:checkbox>
                  <w14:checked w14:val="0"/>
                  <w14:checkedState w14:val="2612" w14:font="MS Gothic"/>
                  <w14:uncheckedState w14:val="2610" w14:font="MS Gothic"/>
                </w14:checkbox>
              </w:sdtPr>
              <w:sdtEndPr/>
              <w:sdtContent>
                <w:r w:rsidR="00110546" w:rsidRPr="00896ADF">
                  <w:rPr>
                    <w:rFonts w:ascii="Segoe UI Symbol" w:eastAsia="Calibri" w:hAnsi="Segoe UI Symbol" w:cs="Segoe UI Symbol"/>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Component / Measure description</w:t>
            </w:r>
          </w:p>
          <w:p w14:paraId="134EB939" w14:textId="77777777" w:rsidR="00110546"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413705794"/>
                <w:placeholder>
                  <w:docPart w:val="6ADA95CFB7A54612892C98A558986D60"/>
                </w:placeholder>
                <w14:checkbox>
                  <w14:checked w14:val="1"/>
                  <w14:checkedState w14:val="2612" w14:font="MS Gothic"/>
                  <w14:uncheckedState w14:val="2610" w14:font="MS Gothic"/>
                </w14:checkbox>
              </w:sdtPr>
              <w:sdtEndPr/>
              <w:sdtContent>
                <w:r w:rsidR="002A75C2" w:rsidRPr="00896ADF">
                  <w:rPr>
                    <w:rFonts w:ascii="MS Gothic" w:eastAsia="MS Gothic" w:hAnsi="MS Gothic" w:cs="Times New Roman" w:hint="eastAsia"/>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Milestones and targets</w:t>
            </w:r>
          </w:p>
          <w:p w14:paraId="4E2471C2" w14:textId="77777777" w:rsidR="00110546"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82151860"/>
                <w14:checkbox>
                  <w14:checked w14:val="1"/>
                  <w14:checkedState w14:val="2612" w14:font="MS Gothic"/>
                  <w14:uncheckedState w14:val="2610" w14:font="MS Gothic"/>
                </w14:checkbox>
              </w:sdtPr>
              <w:sdtEndPr/>
              <w:sdtContent>
                <w:r w:rsidR="002A75C2" w:rsidRPr="00896ADF">
                  <w:rPr>
                    <w:rFonts w:ascii="MS Gothic" w:eastAsia="MS Gothic" w:hAnsi="MS Gothic" w:cs="Times New Roman" w:hint="eastAsia"/>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Estimated cost</w:t>
            </w:r>
          </w:p>
          <w:p w14:paraId="672D0634" w14:textId="77777777" w:rsidR="00110546"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46257512"/>
                <w14:checkbox>
                  <w14:checked w14:val="0"/>
                  <w14:checkedState w14:val="2612" w14:font="MS Gothic"/>
                  <w14:uncheckedState w14:val="2610" w14:font="MS Gothic"/>
                </w14:checkbox>
              </w:sdtPr>
              <w:sdtEndPr/>
              <w:sdtContent>
                <w:r w:rsidR="00110546" w:rsidRPr="00896ADF">
                  <w:rPr>
                    <w:rFonts w:ascii="Segoe UI Symbol" w:eastAsia="Calibri" w:hAnsi="Segoe UI Symbol" w:cs="Segoe UI Symbol"/>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4553D3DB" w14:textId="77777777" w:rsidR="00110546" w:rsidRPr="00896ADF" w:rsidRDefault="00491E8E" w:rsidP="003B0E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1417553500"/>
                <w14:checkbox>
                  <w14:checked w14:val="0"/>
                  <w14:checkedState w14:val="2612" w14:font="MS Gothic"/>
                  <w14:uncheckedState w14:val="2610" w14:font="MS Gothic"/>
                </w14:checkbox>
              </w:sdtPr>
              <w:sdtEndPr/>
              <w:sdtContent>
                <w:r w:rsidR="00110546" w:rsidRPr="00896ADF">
                  <w:rPr>
                    <w:rFonts w:ascii="Segoe UI Symbol" w:eastAsia="Calibri" w:hAnsi="Segoe UI Symbol" w:cs="Segoe UI Symbol"/>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DNSH self-assessment</w:t>
            </w:r>
          </w:p>
        </w:tc>
      </w:tr>
    </w:tbl>
    <w:p w14:paraId="7DDE450E" w14:textId="77777777" w:rsidR="00110546" w:rsidRPr="00896ADF" w:rsidRDefault="00110546" w:rsidP="00110546"/>
    <w:tbl>
      <w:tblPr>
        <w:tblStyle w:val="Mkatabulky"/>
        <w:tblW w:w="0" w:type="auto"/>
        <w:tblLook w:val="04A0" w:firstRow="1" w:lastRow="0" w:firstColumn="1" w:lastColumn="0" w:noHBand="0" w:noVBand="1"/>
      </w:tblPr>
      <w:tblGrid>
        <w:gridCol w:w="2235"/>
        <w:gridCol w:w="3260"/>
        <w:gridCol w:w="3747"/>
      </w:tblGrid>
      <w:tr w:rsidR="00110546" w:rsidRPr="00896ADF" w14:paraId="13D934FB" w14:textId="77777777" w:rsidTr="2FBE3598">
        <w:tc>
          <w:tcPr>
            <w:tcW w:w="9242" w:type="dxa"/>
            <w:gridSpan w:val="3"/>
            <w:shd w:val="clear" w:color="auto" w:fill="1F3864"/>
          </w:tcPr>
          <w:p w14:paraId="530C244B" w14:textId="77777777" w:rsidR="00110546" w:rsidRPr="00896ADF" w:rsidRDefault="00DA3F7F" w:rsidP="003B0E30">
            <w:pPr>
              <w:jc w:val="center"/>
              <w:rPr>
                <w:rFonts w:ascii="Times New Roman" w:eastAsia="Calibri" w:hAnsi="Times New Roman" w:cs="Times New Roman"/>
                <w:b/>
                <w:bCs/>
                <w:noProof/>
                <w:sz w:val="20"/>
                <w:szCs w:val="20"/>
                <w:lang w:val="en-IE"/>
              </w:rPr>
            </w:pPr>
            <w:r w:rsidRPr="00896ADF">
              <w:rPr>
                <w:rFonts w:ascii="Times New Roman" w:eastAsia="Calibri" w:hAnsi="Times New Roman" w:cs="Times New Roman"/>
                <w:b/>
                <w:bCs/>
                <w:noProof/>
                <w:sz w:val="20"/>
                <w:szCs w:val="20"/>
                <w:lang w:val="en-IE"/>
              </w:rPr>
              <w:t xml:space="preserve">Investment 3: </w:t>
            </w:r>
            <w:r w:rsidR="00A20922" w:rsidRPr="00896ADF">
              <w:rPr>
                <w:rFonts w:ascii="Times New Roman" w:eastAsia="Calibri" w:hAnsi="Times New Roman" w:cs="Times New Roman"/>
                <w:b/>
                <w:bCs/>
                <w:noProof/>
                <w:sz w:val="20"/>
                <w:szCs w:val="20"/>
                <w:lang w:val="en-IE"/>
              </w:rPr>
              <w:t>Development and modernisation of social care infrastructure</w:t>
            </w:r>
            <w:r w:rsidR="002A75C2" w:rsidRPr="00896ADF">
              <w:rPr>
                <w:rFonts w:ascii="Times New Roman" w:eastAsia="Calibri" w:hAnsi="Times New Roman" w:cs="Times New Roman"/>
                <w:b/>
                <w:bCs/>
                <w:noProof/>
                <w:sz w:val="20"/>
                <w:szCs w:val="20"/>
                <w:lang w:val="en-IE"/>
              </w:rPr>
              <w:t xml:space="preserve"> – Target 196</w:t>
            </w:r>
          </w:p>
        </w:tc>
      </w:tr>
      <w:tr w:rsidR="00110546" w:rsidRPr="00896ADF" w14:paraId="2FDF38B7" w14:textId="77777777" w:rsidTr="2FBE3598">
        <w:tc>
          <w:tcPr>
            <w:tcW w:w="9242" w:type="dxa"/>
            <w:gridSpan w:val="3"/>
            <w:shd w:val="clear" w:color="auto" w:fill="auto"/>
          </w:tcPr>
          <w:p w14:paraId="0ED22B99" w14:textId="77777777" w:rsidR="00110546" w:rsidRPr="00896ADF" w:rsidRDefault="00110546" w:rsidP="003B0E30">
            <w:pPr>
              <w:jc w:val="both"/>
              <w:rPr>
                <w:rFonts w:ascii="Times New Roman" w:eastAsia="Calibri" w:hAnsi="Times New Roman" w:cs="Times New Roman"/>
                <w:i/>
                <w:iCs/>
                <w:noProof/>
                <w:sz w:val="20"/>
                <w:szCs w:val="20"/>
                <w:lang w:val="en-IE"/>
              </w:rPr>
            </w:pPr>
            <w:r w:rsidRPr="00896ADF">
              <w:rPr>
                <w:rFonts w:ascii="Times New Roman" w:eastAsia="Calibri" w:hAnsi="Times New Roman" w:cs="Times New Roman"/>
                <w:i/>
                <w:iCs/>
                <w:noProof/>
                <w:sz w:val="20"/>
                <w:szCs w:val="20"/>
                <w:lang w:val="en-IE"/>
              </w:rPr>
              <w:t>Description and justification of the change</w:t>
            </w:r>
          </w:p>
        </w:tc>
      </w:tr>
      <w:tr w:rsidR="00110546" w:rsidRPr="00896ADF" w14:paraId="702B31C8" w14:textId="77777777" w:rsidTr="2FBE3598">
        <w:tc>
          <w:tcPr>
            <w:tcW w:w="2235" w:type="dxa"/>
            <w:shd w:val="clear" w:color="auto" w:fill="00B0F0"/>
          </w:tcPr>
          <w:p w14:paraId="218F9DCC" w14:textId="77777777" w:rsidR="00110546" w:rsidRPr="00896ADF" w:rsidRDefault="00110546"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1DA5625E" w14:textId="77777777" w:rsidR="00110546" w:rsidRPr="00896ADF" w:rsidRDefault="00110546"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6CBB8005" w14:textId="77777777" w:rsidR="00110546" w:rsidRPr="00896ADF" w:rsidRDefault="00110546"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Amended version</w:t>
            </w:r>
          </w:p>
        </w:tc>
      </w:tr>
      <w:tr w:rsidR="00110546" w:rsidRPr="00896ADF" w14:paraId="0ED764FC" w14:textId="77777777" w:rsidTr="2FBE3598">
        <w:tc>
          <w:tcPr>
            <w:tcW w:w="2235" w:type="dxa"/>
          </w:tcPr>
          <w:p w14:paraId="4421AA23" w14:textId="77777777" w:rsidR="00110546" w:rsidRPr="00896ADF" w:rsidRDefault="00110546"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5A88CA85" w14:textId="77777777" w:rsidR="006402D3" w:rsidRPr="00896ADF" w:rsidRDefault="006402D3" w:rsidP="002A75C2">
            <w:pPr>
              <w:pStyle w:val="Odstavecseseznamem"/>
              <w:spacing w:after="0" w:line="240" w:lineRule="auto"/>
              <w:jc w:val="both"/>
              <w:rPr>
                <w:rFonts w:ascii="Times New Roman" w:eastAsia="Calibri" w:hAnsi="Times New Roman" w:cs="Times New Roman"/>
                <w:noProof/>
                <w:sz w:val="20"/>
                <w:szCs w:val="20"/>
                <w:lang w:val="en-US"/>
              </w:rPr>
            </w:pPr>
          </w:p>
          <w:p w14:paraId="4CCE26EF" w14:textId="77777777" w:rsidR="00110546" w:rsidRPr="00896ADF" w:rsidRDefault="00110546" w:rsidP="003B0E30">
            <w:pPr>
              <w:jc w:val="both"/>
              <w:rPr>
                <w:rFonts w:ascii="Times New Roman" w:eastAsia="Calibri" w:hAnsi="Times New Roman" w:cs="Times New Roman"/>
                <w:noProof/>
                <w:sz w:val="20"/>
                <w:szCs w:val="20"/>
                <w:lang w:val="en-IE"/>
              </w:rPr>
            </w:pPr>
          </w:p>
        </w:tc>
        <w:tc>
          <w:tcPr>
            <w:tcW w:w="3747" w:type="dxa"/>
          </w:tcPr>
          <w:p w14:paraId="1BB877C4" w14:textId="77777777" w:rsidR="00110546" w:rsidRPr="00896ADF" w:rsidRDefault="00110546" w:rsidP="003B0E30">
            <w:pPr>
              <w:jc w:val="both"/>
              <w:rPr>
                <w:rFonts w:ascii="Times New Roman" w:eastAsia="Calibri" w:hAnsi="Times New Roman" w:cs="Times New Roman"/>
                <w:noProof/>
                <w:sz w:val="20"/>
                <w:szCs w:val="20"/>
                <w:lang w:val="en-IE"/>
              </w:rPr>
            </w:pPr>
          </w:p>
        </w:tc>
      </w:tr>
      <w:tr w:rsidR="00110546" w:rsidRPr="00896ADF" w14:paraId="4239C0E4" w14:textId="77777777" w:rsidTr="2FBE3598">
        <w:tc>
          <w:tcPr>
            <w:tcW w:w="2235" w:type="dxa"/>
          </w:tcPr>
          <w:p w14:paraId="7849D5A9" w14:textId="77777777" w:rsidR="00110546" w:rsidRPr="00896ADF" w:rsidRDefault="00110546"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Milestones and targets </w:t>
            </w:r>
          </w:p>
        </w:tc>
        <w:tc>
          <w:tcPr>
            <w:tcW w:w="3260" w:type="dxa"/>
          </w:tcPr>
          <w:p w14:paraId="4396A47D" w14:textId="77777777" w:rsidR="002A75C2" w:rsidRPr="00896ADF" w:rsidRDefault="002A75C2" w:rsidP="002A75C2">
            <w:pPr>
              <w:pStyle w:val="TableParagraph"/>
              <w:spacing w:before="117"/>
              <w:ind w:left="110" w:right="47"/>
              <w:jc w:val="both"/>
              <w:rPr>
                <w:rFonts w:asciiTheme="minorHAnsi" w:hAnsiTheme="minorHAnsi" w:cstheme="minorHAnsi"/>
                <w:i/>
                <w:color w:val="000000" w:themeColor="text1"/>
                <w:sz w:val="20"/>
                <w:szCs w:val="20"/>
                <w:u w:val="single"/>
              </w:rPr>
            </w:pPr>
            <w:r w:rsidRPr="00896ADF">
              <w:rPr>
                <w:rFonts w:asciiTheme="minorHAnsi" w:hAnsiTheme="minorHAnsi" w:cstheme="minorHAnsi"/>
                <w:i/>
                <w:color w:val="000000" w:themeColor="text1"/>
                <w:sz w:val="20"/>
                <w:szCs w:val="20"/>
                <w:u w:val="single"/>
              </w:rPr>
              <w:t>Number of low- emission vehicles purchased for social prevention, counselling and home-care services</w:t>
            </w:r>
          </w:p>
          <w:p w14:paraId="05311F10" w14:textId="77777777" w:rsidR="002A75C2" w:rsidRPr="00896ADF" w:rsidRDefault="002A75C2" w:rsidP="002A75C2">
            <w:pPr>
              <w:pStyle w:val="TableParagraph"/>
              <w:ind w:right="460"/>
              <w:jc w:val="both"/>
              <w:rPr>
                <w:rFonts w:asciiTheme="minorHAnsi" w:hAnsiTheme="minorHAnsi" w:cstheme="minorHAnsi"/>
                <w:i/>
                <w:color w:val="000000" w:themeColor="text1"/>
                <w:sz w:val="20"/>
                <w:szCs w:val="20"/>
              </w:rPr>
            </w:pPr>
          </w:p>
          <w:p w14:paraId="48815F83" w14:textId="77777777" w:rsidR="002A75C2" w:rsidRPr="00896ADF" w:rsidRDefault="002A75C2" w:rsidP="002A75C2">
            <w:pPr>
              <w:pStyle w:val="TableParagraph"/>
              <w:ind w:right="460"/>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At least 120 low-emission vehicles shall be purchased, of which:</w:t>
            </w:r>
          </w:p>
          <w:p w14:paraId="2639EEFF" w14:textId="77777777" w:rsidR="002A75C2" w:rsidRPr="00896ADF" w:rsidRDefault="002A75C2" w:rsidP="00896ADF">
            <w:pPr>
              <w:pStyle w:val="TableParagraph"/>
              <w:numPr>
                <w:ilvl w:val="0"/>
                <w:numId w:val="19"/>
              </w:numPr>
              <w:tabs>
                <w:tab w:val="left" w:pos="831"/>
                <w:tab w:val="left" w:pos="832"/>
              </w:tabs>
              <w:spacing w:before="122"/>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40 electric</w:t>
            </w:r>
            <w:r w:rsidRPr="00896ADF">
              <w:rPr>
                <w:rFonts w:asciiTheme="minorHAnsi" w:hAnsiTheme="minorHAnsi" w:cstheme="minorHAnsi"/>
                <w:i/>
                <w:color w:val="000000" w:themeColor="text1"/>
                <w:spacing w:val="-1"/>
                <w:sz w:val="20"/>
                <w:szCs w:val="20"/>
              </w:rPr>
              <w:t xml:space="preserve"> </w:t>
            </w:r>
            <w:r w:rsidRPr="00896ADF">
              <w:rPr>
                <w:rFonts w:asciiTheme="minorHAnsi" w:hAnsiTheme="minorHAnsi" w:cstheme="minorHAnsi"/>
                <w:i/>
                <w:color w:val="000000" w:themeColor="text1"/>
                <w:sz w:val="20"/>
                <w:szCs w:val="20"/>
              </w:rPr>
              <w:t>cars</w:t>
            </w:r>
          </w:p>
          <w:p w14:paraId="17926E47" w14:textId="77777777" w:rsidR="002A75C2" w:rsidRPr="00896ADF" w:rsidRDefault="002A75C2" w:rsidP="00896ADF">
            <w:pPr>
              <w:pStyle w:val="TableParagraph"/>
              <w:numPr>
                <w:ilvl w:val="0"/>
                <w:numId w:val="19"/>
              </w:numPr>
              <w:tabs>
                <w:tab w:val="left" w:pos="831"/>
                <w:tab w:val="left" w:pos="832"/>
              </w:tabs>
              <w:spacing w:before="122"/>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 xml:space="preserve">80 plug-in hybrid cars </w:t>
            </w:r>
          </w:p>
          <w:p w14:paraId="679D51C3" w14:textId="77777777" w:rsidR="00110546" w:rsidRPr="00896ADF" w:rsidRDefault="002A75C2" w:rsidP="002A75C2">
            <w:pPr>
              <w:jc w:val="both"/>
              <w:rPr>
                <w:rFonts w:cstheme="minorHAnsi"/>
                <w:i/>
                <w:color w:val="000000" w:themeColor="text1"/>
                <w:sz w:val="20"/>
                <w:szCs w:val="20"/>
                <w:lang w:val="en-IE"/>
              </w:rPr>
            </w:pPr>
            <w:r w:rsidRPr="00896ADF">
              <w:rPr>
                <w:rFonts w:cstheme="minorHAnsi"/>
                <w:i/>
                <w:color w:val="000000" w:themeColor="text1"/>
                <w:sz w:val="20"/>
                <w:szCs w:val="20"/>
                <w:lang w:val="en-IE"/>
              </w:rPr>
              <w:t>By Q4/2023</w:t>
            </w:r>
          </w:p>
        </w:tc>
        <w:tc>
          <w:tcPr>
            <w:tcW w:w="3747" w:type="dxa"/>
          </w:tcPr>
          <w:p w14:paraId="195699FB" w14:textId="77777777" w:rsidR="002A75C2" w:rsidRPr="00896ADF" w:rsidRDefault="002A75C2" w:rsidP="002A75C2">
            <w:pPr>
              <w:pStyle w:val="TableParagraph"/>
              <w:spacing w:before="117"/>
              <w:ind w:left="110" w:right="47"/>
              <w:jc w:val="both"/>
              <w:rPr>
                <w:rFonts w:asciiTheme="minorHAnsi" w:hAnsiTheme="minorHAnsi" w:cstheme="minorHAnsi"/>
                <w:i/>
                <w:color w:val="000000" w:themeColor="text1"/>
                <w:sz w:val="20"/>
                <w:szCs w:val="20"/>
                <w:u w:val="single"/>
              </w:rPr>
            </w:pPr>
            <w:r w:rsidRPr="00896ADF">
              <w:rPr>
                <w:rFonts w:asciiTheme="minorHAnsi" w:hAnsiTheme="minorHAnsi" w:cstheme="minorHAnsi"/>
                <w:i/>
                <w:color w:val="000000" w:themeColor="text1"/>
                <w:sz w:val="20"/>
                <w:szCs w:val="20"/>
                <w:u w:val="single"/>
              </w:rPr>
              <w:t>Number of low- emission vehicles purchased for social prevention, counselling and home-care services</w:t>
            </w:r>
          </w:p>
          <w:p w14:paraId="2A5DFA7E" w14:textId="77777777" w:rsidR="002A75C2" w:rsidRPr="00896ADF" w:rsidRDefault="002A75C2" w:rsidP="002A75C2">
            <w:pPr>
              <w:pStyle w:val="TableParagraph"/>
              <w:ind w:right="460"/>
              <w:jc w:val="both"/>
              <w:rPr>
                <w:rFonts w:asciiTheme="minorHAnsi" w:hAnsiTheme="minorHAnsi" w:cstheme="minorHAnsi"/>
                <w:i/>
                <w:color w:val="000000" w:themeColor="text1"/>
                <w:sz w:val="20"/>
                <w:szCs w:val="20"/>
              </w:rPr>
            </w:pPr>
          </w:p>
          <w:p w14:paraId="725F721C" w14:textId="77777777" w:rsidR="002A75C2" w:rsidRPr="00896ADF" w:rsidRDefault="002A75C2" w:rsidP="002A75C2">
            <w:pPr>
              <w:pStyle w:val="TableParagraph"/>
              <w:ind w:right="460"/>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At least 120 low-emission vehicles shall be purchased, of which:</w:t>
            </w:r>
          </w:p>
          <w:p w14:paraId="52A9A12B" w14:textId="77777777" w:rsidR="002A75C2" w:rsidRPr="00896ADF" w:rsidRDefault="002A75C2" w:rsidP="00896ADF">
            <w:pPr>
              <w:pStyle w:val="TableParagraph"/>
              <w:numPr>
                <w:ilvl w:val="0"/>
                <w:numId w:val="19"/>
              </w:numPr>
              <w:tabs>
                <w:tab w:val="left" w:pos="831"/>
                <w:tab w:val="left" w:pos="832"/>
              </w:tabs>
              <w:spacing w:before="122"/>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40 electric</w:t>
            </w:r>
            <w:r w:rsidRPr="00896ADF">
              <w:rPr>
                <w:rFonts w:asciiTheme="minorHAnsi" w:hAnsiTheme="minorHAnsi" w:cstheme="minorHAnsi"/>
                <w:i/>
                <w:color w:val="000000" w:themeColor="text1"/>
                <w:spacing w:val="-1"/>
                <w:sz w:val="20"/>
                <w:szCs w:val="20"/>
              </w:rPr>
              <w:t xml:space="preserve"> </w:t>
            </w:r>
            <w:r w:rsidRPr="00896ADF">
              <w:rPr>
                <w:rFonts w:asciiTheme="minorHAnsi" w:hAnsiTheme="minorHAnsi" w:cstheme="minorHAnsi"/>
                <w:i/>
                <w:color w:val="000000" w:themeColor="text1"/>
                <w:sz w:val="20"/>
                <w:szCs w:val="20"/>
              </w:rPr>
              <w:t>cars</w:t>
            </w:r>
          </w:p>
          <w:p w14:paraId="5098D858" w14:textId="77777777" w:rsidR="002A75C2" w:rsidRPr="00896ADF" w:rsidRDefault="002A75C2" w:rsidP="00896ADF">
            <w:pPr>
              <w:pStyle w:val="TableParagraph"/>
              <w:numPr>
                <w:ilvl w:val="0"/>
                <w:numId w:val="19"/>
              </w:numPr>
              <w:tabs>
                <w:tab w:val="left" w:pos="831"/>
                <w:tab w:val="left" w:pos="832"/>
              </w:tabs>
              <w:spacing w:before="122"/>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 xml:space="preserve">80 plug-in hybrid cars </w:t>
            </w:r>
          </w:p>
          <w:p w14:paraId="12B08D20" w14:textId="77777777" w:rsidR="002A75C2" w:rsidRPr="00896ADF" w:rsidRDefault="002A75C2" w:rsidP="002A75C2">
            <w:pPr>
              <w:jc w:val="both"/>
              <w:rPr>
                <w:rFonts w:cstheme="minorHAnsi"/>
                <w:b/>
                <w:bCs/>
                <w:i/>
                <w:color w:val="000000" w:themeColor="text1"/>
                <w:sz w:val="20"/>
                <w:szCs w:val="20"/>
                <w:lang w:val="en-IE"/>
              </w:rPr>
            </w:pPr>
          </w:p>
          <w:p w14:paraId="1A22C058" w14:textId="77777777" w:rsidR="00110546" w:rsidRPr="00896ADF" w:rsidRDefault="002A75C2" w:rsidP="002A75C2">
            <w:pPr>
              <w:jc w:val="both"/>
              <w:rPr>
                <w:rFonts w:cstheme="minorHAnsi"/>
                <w:i/>
                <w:color w:val="000000" w:themeColor="text1"/>
                <w:sz w:val="20"/>
                <w:szCs w:val="20"/>
                <w:lang w:val="en-IE"/>
              </w:rPr>
            </w:pPr>
            <w:r w:rsidRPr="00896ADF">
              <w:rPr>
                <w:rFonts w:cstheme="minorHAnsi"/>
                <w:b/>
                <w:bCs/>
                <w:i/>
                <w:color w:val="000000" w:themeColor="text1"/>
                <w:sz w:val="20"/>
                <w:szCs w:val="20"/>
                <w:lang w:val="en-IE"/>
              </w:rPr>
              <w:t>By Q4/2024</w:t>
            </w:r>
          </w:p>
        </w:tc>
      </w:tr>
      <w:tr w:rsidR="002A75C2" w:rsidRPr="00896ADF" w14:paraId="66503CC8" w14:textId="77777777" w:rsidTr="2FBE3598">
        <w:tc>
          <w:tcPr>
            <w:tcW w:w="2235" w:type="dxa"/>
          </w:tcPr>
          <w:p w14:paraId="3CA9CB43" w14:textId="77777777" w:rsidR="002A75C2" w:rsidRPr="00896ADF" w:rsidRDefault="002A75C2" w:rsidP="002A75C2">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Estimated cost</w:t>
            </w:r>
          </w:p>
        </w:tc>
        <w:tc>
          <w:tcPr>
            <w:tcW w:w="3260" w:type="dxa"/>
          </w:tcPr>
          <w:p w14:paraId="58E79A69" w14:textId="77777777" w:rsidR="002A75C2" w:rsidRPr="00896ADF" w:rsidRDefault="002A75C2" w:rsidP="002A75C2">
            <w:pPr>
              <w:jc w:val="both"/>
              <w:rPr>
                <w:rFonts w:eastAsia="Calibri" w:cstheme="minorHAnsi"/>
                <w:i/>
                <w:noProof/>
                <w:sz w:val="20"/>
                <w:szCs w:val="20"/>
                <w:lang w:val="en-IE"/>
              </w:rPr>
            </w:pPr>
            <w:r w:rsidRPr="00896ADF">
              <w:rPr>
                <w:rFonts w:cstheme="minorHAnsi"/>
                <w:i/>
                <w:sz w:val="20"/>
                <w:szCs w:val="20"/>
                <w:lang w:val="en-IE"/>
              </w:rPr>
              <w:t>228 mil CZK</w:t>
            </w:r>
          </w:p>
        </w:tc>
        <w:tc>
          <w:tcPr>
            <w:tcW w:w="3747" w:type="dxa"/>
          </w:tcPr>
          <w:p w14:paraId="481B9C84" w14:textId="7C2215CF" w:rsidR="002A75C2" w:rsidRPr="00896ADF" w:rsidRDefault="0B209255" w:rsidP="2FBE3598">
            <w:pPr>
              <w:jc w:val="both"/>
              <w:rPr>
                <w:rFonts w:eastAsia="Calibri"/>
                <w:i/>
                <w:iCs/>
                <w:noProof/>
                <w:sz w:val="20"/>
                <w:szCs w:val="20"/>
                <w:lang w:val="en-IE"/>
              </w:rPr>
            </w:pPr>
            <w:r w:rsidRPr="00896ADF">
              <w:rPr>
                <w:rFonts w:eastAsia="Calibri"/>
                <w:i/>
                <w:iCs/>
                <w:noProof/>
                <w:sz w:val="20"/>
                <w:szCs w:val="20"/>
                <w:lang w:val="en-IE"/>
              </w:rPr>
              <w:t>25</w:t>
            </w:r>
            <w:r w:rsidR="4B2ABF5A" w:rsidRPr="00896ADF">
              <w:rPr>
                <w:rFonts w:eastAsia="Calibri"/>
                <w:i/>
                <w:iCs/>
                <w:noProof/>
                <w:sz w:val="20"/>
                <w:szCs w:val="20"/>
                <w:lang w:val="en-IE"/>
              </w:rPr>
              <w:t>3,6</w:t>
            </w:r>
            <w:r w:rsidRPr="00896ADF">
              <w:rPr>
                <w:rFonts w:eastAsia="Calibri"/>
                <w:i/>
                <w:iCs/>
                <w:noProof/>
                <w:sz w:val="20"/>
                <w:szCs w:val="20"/>
                <w:lang w:val="en-IE"/>
              </w:rPr>
              <w:t xml:space="preserve"> mil CZK</w:t>
            </w:r>
          </w:p>
        </w:tc>
      </w:tr>
      <w:tr w:rsidR="002A75C2" w:rsidRPr="00896ADF" w14:paraId="3D7185AB" w14:textId="77777777" w:rsidTr="2FBE3598">
        <w:tc>
          <w:tcPr>
            <w:tcW w:w="2235" w:type="dxa"/>
          </w:tcPr>
          <w:p w14:paraId="2F38B3C7" w14:textId="77777777" w:rsidR="002A75C2" w:rsidRPr="00896ADF" w:rsidRDefault="002A75C2" w:rsidP="002A75C2">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Green and digital tagging</w:t>
            </w:r>
          </w:p>
        </w:tc>
        <w:tc>
          <w:tcPr>
            <w:tcW w:w="3260" w:type="dxa"/>
          </w:tcPr>
          <w:p w14:paraId="2D559B15" w14:textId="77777777" w:rsidR="002A75C2" w:rsidRPr="00896ADF" w:rsidRDefault="002A75C2" w:rsidP="002A75C2">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c>
          <w:tcPr>
            <w:tcW w:w="3747" w:type="dxa"/>
          </w:tcPr>
          <w:p w14:paraId="482B3A89" w14:textId="77777777" w:rsidR="002A75C2" w:rsidRPr="00896ADF" w:rsidRDefault="002A75C2" w:rsidP="002A75C2">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r>
      <w:tr w:rsidR="002A75C2" w:rsidRPr="00896ADF" w14:paraId="0E623510" w14:textId="77777777" w:rsidTr="2FBE3598">
        <w:tc>
          <w:tcPr>
            <w:tcW w:w="2235" w:type="dxa"/>
          </w:tcPr>
          <w:p w14:paraId="4721BA2D" w14:textId="77777777" w:rsidR="002A75C2" w:rsidRPr="00896ADF" w:rsidRDefault="002A75C2" w:rsidP="002A75C2">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DNSH self-assessment</w:t>
            </w:r>
          </w:p>
        </w:tc>
        <w:tc>
          <w:tcPr>
            <w:tcW w:w="3260" w:type="dxa"/>
          </w:tcPr>
          <w:p w14:paraId="73F02E01" w14:textId="77777777" w:rsidR="002A75C2" w:rsidRPr="00896ADF" w:rsidRDefault="002A75C2" w:rsidP="002A75C2">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c>
          <w:tcPr>
            <w:tcW w:w="3747" w:type="dxa"/>
          </w:tcPr>
          <w:p w14:paraId="6021DE83" w14:textId="77777777" w:rsidR="002A75C2" w:rsidRPr="00896ADF" w:rsidRDefault="002A75C2" w:rsidP="002A75C2">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r>
    </w:tbl>
    <w:p w14:paraId="689A68BF" w14:textId="77777777" w:rsidR="00FC00FF" w:rsidRPr="00896ADF" w:rsidRDefault="00FC00FF" w:rsidP="00605759"/>
    <w:tbl>
      <w:tblPr>
        <w:tblStyle w:val="Mkatabulky"/>
        <w:tblW w:w="0" w:type="auto"/>
        <w:tblLook w:val="04A0" w:firstRow="1" w:lastRow="0" w:firstColumn="1" w:lastColumn="0" w:noHBand="0" w:noVBand="1"/>
      </w:tblPr>
      <w:tblGrid>
        <w:gridCol w:w="3227"/>
        <w:gridCol w:w="5939"/>
      </w:tblGrid>
      <w:tr w:rsidR="00110546" w:rsidRPr="00896ADF" w14:paraId="5DF9E7DF" w14:textId="77777777" w:rsidTr="003B0E30">
        <w:tc>
          <w:tcPr>
            <w:tcW w:w="9166" w:type="dxa"/>
            <w:gridSpan w:val="2"/>
            <w:shd w:val="clear" w:color="auto" w:fill="1F3864"/>
          </w:tcPr>
          <w:p w14:paraId="06B16199" w14:textId="77777777" w:rsidR="00110546" w:rsidRPr="00896ADF" w:rsidRDefault="005A3470" w:rsidP="003B0E30">
            <w:pPr>
              <w:jc w:val="center"/>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Component 3.3 MODERNISATION OF EMPLOYMENT SERVICES AND LABOUR MARKET DEVELOPMENT</w:t>
            </w:r>
          </w:p>
        </w:tc>
      </w:tr>
      <w:tr w:rsidR="00110546" w:rsidRPr="00896ADF" w14:paraId="4BF45475" w14:textId="77777777" w:rsidTr="003B0E30">
        <w:tc>
          <w:tcPr>
            <w:tcW w:w="3227" w:type="dxa"/>
            <w:shd w:val="clear" w:color="auto" w:fill="00B0F0"/>
          </w:tcPr>
          <w:p w14:paraId="5741462E" w14:textId="77777777" w:rsidR="00110546" w:rsidRPr="00896ADF" w:rsidRDefault="00110546"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CID reference</w:t>
            </w:r>
          </w:p>
        </w:tc>
        <w:tc>
          <w:tcPr>
            <w:tcW w:w="5939" w:type="dxa"/>
            <w:shd w:val="clear" w:color="auto" w:fill="00B0F0"/>
          </w:tcPr>
          <w:p w14:paraId="7E2E2953" w14:textId="77777777" w:rsidR="00110546" w:rsidRPr="00896ADF" w:rsidRDefault="000C473B"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Investment 3</w:t>
            </w:r>
          </w:p>
        </w:tc>
      </w:tr>
      <w:tr w:rsidR="00110546" w:rsidRPr="00896ADF" w14:paraId="1955A5FD" w14:textId="77777777" w:rsidTr="003B0E30">
        <w:tc>
          <w:tcPr>
            <w:tcW w:w="3227" w:type="dxa"/>
            <w:shd w:val="clear" w:color="auto" w:fill="00B0F0"/>
          </w:tcPr>
          <w:p w14:paraId="7758D75B" w14:textId="77777777" w:rsidR="00110546" w:rsidRPr="00896ADF" w:rsidRDefault="00110546" w:rsidP="003B0E30">
            <w:pPr>
              <w:jc w:val="both"/>
              <w:rPr>
                <w:rFonts w:ascii="Times New Roman" w:eastAsia="Calibri" w:hAnsi="Times New Roman" w:cs="Times New Roman"/>
                <w:b/>
                <w:bCs/>
                <w:noProof/>
                <w:color w:val="FFFFFF"/>
                <w:sz w:val="24"/>
                <w:szCs w:val="24"/>
                <w:u w:val="single"/>
                <w:lang w:val="en-IE"/>
              </w:rPr>
            </w:pPr>
            <w:r w:rsidRPr="00896ADF">
              <w:rPr>
                <w:rFonts w:ascii="Times New Roman" w:eastAsia="Calibri" w:hAnsi="Times New Roman" w:cs="Times New Roman"/>
                <w:b/>
                <w:bCs/>
                <w:noProof/>
                <w:color w:val="FFFFFF"/>
                <w:sz w:val="20"/>
                <w:szCs w:val="20"/>
                <w:lang w:val="en-US"/>
              </w:rPr>
              <w:t>Investment/ reform name</w:t>
            </w:r>
          </w:p>
        </w:tc>
        <w:tc>
          <w:tcPr>
            <w:tcW w:w="5939" w:type="dxa"/>
            <w:shd w:val="clear" w:color="auto" w:fill="00B0F0"/>
          </w:tcPr>
          <w:p w14:paraId="264AA982" w14:textId="77777777" w:rsidR="00110546" w:rsidRPr="00896ADF" w:rsidRDefault="000C473B" w:rsidP="003B0E30">
            <w:pPr>
              <w:jc w:val="both"/>
              <w:rPr>
                <w:rFonts w:ascii="Times New Roman" w:eastAsia="Calibri" w:hAnsi="Times New Roman" w:cs="Times New Roman"/>
                <w:b/>
                <w:bCs/>
                <w:noProof/>
                <w:color w:val="FFFFFF"/>
                <w:sz w:val="20"/>
                <w:szCs w:val="24"/>
                <w:u w:val="single"/>
                <w:lang w:val="en-IE"/>
              </w:rPr>
            </w:pPr>
            <w:r w:rsidRPr="00896ADF">
              <w:rPr>
                <w:rFonts w:ascii="Times New Roman" w:eastAsia="Calibri" w:hAnsi="Times New Roman" w:cs="Times New Roman"/>
                <w:b/>
                <w:bCs/>
                <w:noProof/>
                <w:color w:val="FFFFFF"/>
                <w:sz w:val="20"/>
                <w:szCs w:val="24"/>
                <w:u w:val="single"/>
                <w:lang w:val="en-IE"/>
              </w:rPr>
              <w:t>Development and modernisation of social care infrastructure</w:t>
            </w:r>
          </w:p>
        </w:tc>
      </w:tr>
      <w:tr w:rsidR="00110546" w:rsidRPr="00896ADF" w14:paraId="02562F98" w14:textId="77777777" w:rsidTr="003B0E30">
        <w:tc>
          <w:tcPr>
            <w:tcW w:w="3227" w:type="dxa"/>
            <w:shd w:val="clear" w:color="auto" w:fill="BDD6EE"/>
          </w:tcPr>
          <w:p w14:paraId="05CD9283" w14:textId="77777777" w:rsidR="00110546" w:rsidRPr="00896ADF" w:rsidRDefault="00110546"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t>Type of change compared to CID</w:t>
            </w:r>
          </w:p>
        </w:tc>
        <w:tc>
          <w:tcPr>
            <w:tcW w:w="5939" w:type="dxa"/>
          </w:tcPr>
          <w:p w14:paraId="3A7A5686" w14:textId="77777777" w:rsidR="00110546" w:rsidRPr="00896ADF" w:rsidRDefault="00110546"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noProof/>
                <w:sz w:val="20"/>
                <w:szCs w:val="20"/>
                <w:lang w:val="en-US"/>
              </w:rPr>
              <w:t>modified</w:t>
            </w:r>
          </w:p>
        </w:tc>
      </w:tr>
      <w:tr w:rsidR="00110546" w:rsidRPr="00896ADF" w14:paraId="3F2E3887" w14:textId="77777777" w:rsidTr="003B0E30">
        <w:tc>
          <w:tcPr>
            <w:tcW w:w="3227" w:type="dxa"/>
            <w:shd w:val="clear" w:color="auto" w:fill="BDD6EE"/>
          </w:tcPr>
          <w:p w14:paraId="3F6C96B0" w14:textId="77777777" w:rsidR="00110546" w:rsidRPr="00896ADF" w:rsidRDefault="00110546" w:rsidP="003B0E30">
            <w:pPr>
              <w:jc w:val="both"/>
              <w:rPr>
                <w:rFonts w:ascii="Times New Roman" w:eastAsia="Calibri" w:hAnsi="Times New Roman" w:cs="Times New Roman"/>
                <w:b/>
                <w:bCs/>
                <w:noProof/>
                <w:sz w:val="24"/>
                <w:szCs w:val="24"/>
                <w:u w:val="single"/>
                <w:lang w:val="en-IE"/>
              </w:rPr>
            </w:pPr>
            <w:r w:rsidRPr="00896ADF">
              <w:rPr>
                <w:rFonts w:ascii="Times New Roman" w:eastAsia="Calibri" w:hAnsi="Times New Roman" w:cs="Times New Roman"/>
                <w:b/>
                <w:bCs/>
                <w:noProof/>
                <w:sz w:val="20"/>
                <w:szCs w:val="20"/>
                <w:lang w:val="en-US"/>
              </w:rPr>
              <w:t>Legal base of the change (select at least one)</w:t>
            </w:r>
          </w:p>
        </w:tc>
        <w:tc>
          <w:tcPr>
            <w:tcW w:w="5939" w:type="dxa"/>
          </w:tcPr>
          <w:p w14:paraId="43DDA7D2" w14:textId="77777777" w:rsidR="00110546"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88001233"/>
                <w14:checkbox>
                  <w14:checked w14:val="0"/>
                  <w14:checkedState w14:val="2612" w14:font="MS Gothic"/>
                  <w14:uncheckedState w14:val="2610" w14:font="MS Gothic"/>
                </w14:checkbox>
              </w:sdtPr>
              <w:sdtEndPr/>
              <w:sdtContent>
                <w:r w:rsidR="00110546" w:rsidRPr="00896ADF">
                  <w:rPr>
                    <w:rFonts w:ascii="Segoe UI Symbol" w:eastAsia="Calibri" w:hAnsi="Segoe UI Symbol" w:cs="Segoe UI Symbol"/>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Article 14(2) – loan request</w:t>
            </w:r>
          </w:p>
          <w:p w14:paraId="297BF184" w14:textId="77777777" w:rsidR="00110546"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299609106"/>
                <w14:checkbox>
                  <w14:checked w14:val="1"/>
                  <w14:checkedState w14:val="2612" w14:font="MS Gothic"/>
                  <w14:uncheckedState w14:val="2610" w14:font="MS Gothic"/>
                </w14:checkbox>
              </w:sdtPr>
              <w:sdtEndPr/>
              <w:sdtContent>
                <w:r w:rsidR="002A75C2" w:rsidRPr="00896ADF">
                  <w:rPr>
                    <w:rFonts w:ascii="MS Gothic" w:eastAsia="MS Gothic" w:hAnsi="MS Gothic" w:cs="Times New Roman" w:hint="eastAsia"/>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Article 18(2) – update of the maximum financial contribution</w:t>
            </w:r>
          </w:p>
          <w:p w14:paraId="12ED20B5" w14:textId="77777777" w:rsidR="00110546" w:rsidRPr="00896ADF" w:rsidRDefault="00491E8E" w:rsidP="003B0E30">
            <w:pPr>
              <w:jc w:val="both"/>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789596563"/>
                <w:placeholder>
                  <w:docPart w:val="FB4242F4A83748B1A2E7A816A669C5E3"/>
                </w:placeholder>
                <w14:checkbox>
                  <w14:checked w14:val="1"/>
                  <w14:checkedState w14:val="2612" w14:font="MS Gothic"/>
                  <w14:uncheckedState w14:val="2610" w14:font="MS Gothic"/>
                </w14:checkbox>
              </w:sdtPr>
              <w:sdtEndPr/>
              <w:sdtContent>
                <w:r w:rsidR="002A75C2" w:rsidRPr="00896ADF">
                  <w:rPr>
                    <w:rFonts w:ascii="MS Gothic" w:eastAsia="MS Gothic" w:hAnsi="MS Gothic" w:cs="Times New Roman" w:hint="eastAsia"/>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Article 21 – amendment due to objective circumstances</w:t>
            </w:r>
          </w:p>
          <w:p w14:paraId="2E0C8BBC" w14:textId="77777777" w:rsidR="00110546" w:rsidRPr="00896ADF" w:rsidRDefault="00491E8E" w:rsidP="003B0E30">
            <w:pPr>
              <w:jc w:val="both"/>
              <w:rPr>
                <w:rFonts w:ascii="Times New Roman" w:eastAsia="Calibri" w:hAnsi="Times New Roman" w:cs="Times New Roman"/>
                <w:noProof/>
                <w:sz w:val="20"/>
                <w:szCs w:val="20"/>
                <w:lang w:val="fr-BE"/>
              </w:rPr>
            </w:pPr>
            <w:sdt>
              <w:sdtPr>
                <w:rPr>
                  <w:rFonts w:ascii="Times New Roman" w:eastAsia="Calibri" w:hAnsi="Times New Roman" w:cs="Times New Roman"/>
                  <w:noProof/>
                  <w:color w:val="2B579A"/>
                  <w:sz w:val="20"/>
                  <w:szCs w:val="20"/>
                  <w:shd w:val="clear" w:color="auto" w:fill="E6E6E6"/>
                  <w:lang w:val="fr-BE"/>
                </w:rPr>
                <w:id w:val="-912158754"/>
                <w:placeholder>
                  <w:docPart w:val="FB4242F4A83748B1A2E7A816A669C5E3"/>
                </w:placeholder>
                <w14:checkbox>
                  <w14:checked w14:val="0"/>
                  <w14:checkedState w14:val="2612" w14:font="MS Gothic"/>
                  <w14:uncheckedState w14:val="2610" w14:font="MS Gothic"/>
                </w14:checkbox>
              </w:sdtPr>
              <w:sdtEndPr/>
              <w:sdtContent>
                <w:r w:rsidR="00110546" w:rsidRPr="00896ADF">
                  <w:rPr>
                    <w:rFonts w:ascii="Segoe UI Symbol" w:eastAsia="Calibri" w:hAnsi="Segoe UI Symbol" w:cs="Segoe UI Symbol"/>
                    <w:noProof/>
                    <w:color w:val="2B579A"/>
                    <w:sz w:val="20"/>
                    <w:szCs w:val="20"/>
                    <w:shd w:val="clear" w:color="auto" w:fill="E6E6E6"/>
                    <w:lang w:val="fr-BE"/>
                  </w:rPr>
                  <w:t>☐</w:t>
                </w:r>
              </w:sdtContent>
            </w:sdt>
            <w:r w:rsidR="00110546" w:rsidRPr="00896ADF">
              <w:rPr>
                <w:rFonts w:ascii="Times New Roman" w:eastAsia="Calibri" w:hAnsi="Times New Roman" w:cs="Times New Roman"/>
                <w:noProof/>
                <w:sz w:val="20"/>
                <w:szCs w:val="20"/>
                <w:lang w:val="fr-BE"/>
              </w:rPr>
              <w:t xml:space="preserve"> Article 21a – REPowerEU non-repayable financial support (ETS revenue)</w:t>
            </w:r>
          </w:p>
          <w:p w14:paraId="325965D1" w14:textId="77777777" w:rsidR="00110546" w:rsidRPr="00896ADF" w:rsidRDefault="00491E8E" w:rsidP="003B0E30">
            <w:pPr>
              <w:jc w:val="both"/>
              <w:rPr>
                <w:rFonts w:ascii="Times New Roman" w:eastAsia="Calibri" w:hAnsi="Times New Roman" w:cs="Times New Roman"/>
                <w:noProof/>
                <w:sz w:val="20"/>
                <w:szCs w:val="20"/>
                <w:lang w:val="en-IE"/>
              </w:rPr>
            </w:pPr>
            <w:sdt>
              <w:sdtPr>
                <w:rPr>
                  <w:rFonts w:ascii="Times New Roman" w:eastAsia="Calibri" w:hAnsi="Times New Roman" w:cs="Times New Roman"/>
                  <w:noProof/>
                  <w:color w:val="2B579A"/>
                  <w:sz w:val="20"/>
                  <w:szCs w:val="20"/>
                  <w:shd w:val="clear" w:color="auto" w:fill="E6E6E6"/>
                  <w:lang w:val="en-IE"/>
                </w:rPr>
                <w:id w:val="-1914385615"/>
                <w:placeholder>
                  <w:docPart w:val="FB4242F4A83748B1A2E7A816A669C5E3"/>
                </w:placeholder>
                <w14:checkbox>
                  <w14:checked w14:val="0"/>
                  <w14:checkedState w14:val="2612" w14:font="MS Gothic"/>
                  <w14:uncheckedState w14:val="2610" w14:font="MS Gothic"/>
                </w14:checkbox>
              </w:sdtPr>
              <w:sdtEndPr/>
              <w:sdtContent>
                <w:r w:rsidR="00110546" w:rsidRPr="00896ADF">
                  <w:rPr>
                    <w:rFonts w:ascii="Segoe UI Symbol" w:eastAsia="Calibri" w:hAnsi="Segoe UI Symbol" w:cs="Segoe UI Symbol"/>
                    <w:noProof/>
                    <w:color w:val="2B579A"/>
                    <w:sz w:val="20"/>
                    <w:szCs w:val="20"/>
                    <w:shd w:val="clear" w:color="auto" w:fill="E6E6E6"/>
                    <w:lang w:val="en-IE"/>
                  </w:rPr>
                  <w:t>☐</w:t>
                </w:r>
              </w:sdtContent>
            </w:sdt>
            <w:r w:rsidR="00110546" w:rsidRPr="00896ADF">
              <w:rPr>
                <w:rFonts w:ascii="Times New Roman" w:eastAsia="Calibri" w:hAnsi="Times New Roman" w:cs="Times New Roman"/>
                <w:noProof/>
                <w:sz w:val="20"/>
                <w:szCs w:val="20"/>
                <w:lang w:val="en-IE"/>
              </w:rPr>
              <w:t xml:space="preserve"> Article 21b (2) – BAR transfers</w:t>
            </w:r>
          </w:p>
          <w:p w14:paraId="2AA3D772" w14:textId="77777777" w:rsidR="00110546" w:rsidRPr="00896ADF" w:rsidRDefault="00110546" w:rsidP="003B0E30">
            <w:pPr>
              <w:jc w:val="both"/>
              <w:rPr>
                <w:rFonts w:ascii="Times New Roman" w:eastAsia="Calibri" w:hAnsi="Times New Roman" w:cs="Times New Roman"/>
                <w:noProof/>
                <w:sz w:val="20"/>
                <w:szCs w:val="20"/>
                <w:lang w:val="en-US"/>
              </w:rPr>
            </w:pPr>
            <w:r w:rsidRPr="00896ADF">
              <w:rPr>
                <w:rFonts w:ascii="Segoe UI Symbol" w:eastAsia="MS Gothic" w:hAnsi="Segoe UI Symbol" w:cs="Segoe UI Symbol"/>
                <w:noProof/>
                <w:sz w:val="20"/>
                <w:szCs w:val="20"/>
                <w:lang w:val="en-US"/>
              </w:rPr>
              <w:t>☐</w:t>
            </w:r>
            <w:r w:rsidRPr="00896ADF">
              <w:rPr>
                <w:rFonts w:ascii="Times New Roman" w:eastAsia="Calibri" w:hAnsi="Times New Roman" w:cs="Times New Roman"/>
                <w:noProof/>
                <w:sz w:val="20"/>
                <w:szCs w:val="20"/>
                <w:lang w:val="en-US"/>
              </w:rPr>
              <w:t xml:space="preserve"> None of the above, correction of clerical error</w:t>
            </w:r>
          </w:p>
          <w:p w14:paraId="6A8D060E" w14:textId="77777777" w:rsidR="00110546" w:rsidRPr="00896ADF" w:rsidRDefault="00110546" w:rsidP="003B0E30">
            <w:pPr>
              <w:jc w:val="both"/>
              <w:rPr>
                <w:rFonts w:ascii="Times New Roman" w:eastAsia="Calibri" w:hAnsi="Times New Roman" w:cs="Times New Roman"/>
                <w:noProof/>
                <w:sz w:val="20"/>
                <w:szCs w:val="20"/>
                <w:lang w:val="en-IE"/>
              </w:rPr>
            </w:pPr>
          </w:p>
        </w:tc>
      </w:tr>
      <w:tr w:rsidR="00110546" w:rsidRPr="00896ADF" w14:paraId="358933CB" w14:textId="77777777" w:rsidTr="003B0E30">
        <w:tc>
          <w:tcPr>
            <w:tcW w:w="3227" w:type="dxa"/>
            <w:shd w:val="clear" w:color="auto" w:fill="BDD6EE"/>
          </w:tcPr>
          <w:p w14:paraId="6B3B6D08" w14:textId="77777777" w:rsidR="00110546" w:rsidRPr="00896ADF" w:rsidRDefault="00110546" w:rsidP="003B0E30">
            <w:pPr>
              <w:rPr>
                <w:rFonts w:ascii="Times New Roman" w:eastAsia="Calibri" w:hAnsi="Times New Roman" w:cs="Times New Roman"/>
                <w:b/>
                <w:bCs/>
                <w:noProof/>
                <w:sz w:val="20"/>
                <w:szCs w:val="20"/>
                <w:lang w:val="en-US"/>
              </w:rPr>
            </w:pPr>
            <w:r w:rsidRPr="00896ADF">
              <w:rPr>
                <w:rFonts w:ascii="Times New Roman" w:eastAsia="Calibri" w:hAnsi="Times New Roman" w:cs="Times New Roman"/>
                <w:b/>
                <w:bCs/>
                <w:noProof/>
                <w:sz w:val="20"/>
                <w:szCs w:val="20"/>
                <w:lang w:val="en-US"/>
              </w:rPr>
              <w:lastRenderedPageBreak/>
              <w:t>Elements modified (only for modified measures)</w:t>
            </w:r>
          </w:p>
          <w:p w14:paraId="61D2AB83" w14:textId="77777777" w:rsidR="00110546" w:rsidRPr="00896ADF" w:rsidRDefault="00110546" w:rsidP="003B0E30">
            <w:pPr>
              <w:jc w:val="both"/>
              <w:rPr>
                <w:rFonts w:ascii="Times New Roman" w:eastAsia="Calibri" w:hAnsi="Times New Roman" w:cs="Times New Roman"/>
                <w:b/>
                <w:bCs/>
                <w:noProof/>
                <w:sz w:val="24"/>
                <w:szCs w:val="24"/>
                <w:u w:val="single"/>
                <w:lang w:val="en-IE"/>
              </w:rPr>
            </w:pPr>
          </w:p>
        </w:tc>
        <w:tc>
          <w:tcPr>
            <w:tcW w:w="5939" w:type="dxa"/>
          </w:tcPr>
          <w:p w14:paraId="6A0AB819" w14:textId="77777777" w:rsidR="00110546"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2107455896"/>
                <w14:checkbox>
                  <w14:checked w14:val="0"/>
                  <w14:checkedState w14:val="2612" w14:font="MS Gothic"/>
                  <w14:uncheckedState w14:val="2610" w14:font="MS Gothic"/>
                </w14:checkbox>
              </w:sdtPr>
              <w:sdtEndPr/>
              <w:sdtContent>
                <w:r w:rsidR="00110546" w:rsidRPr="00896ADF">
                  <w:rPr>
                    <w:rFonts w:ascii="Segoe UI Symbol" w:eastAsia="Calibri" w:hAnsi="Segoe UI Symbol" w:cs="Segoe UI Symbol"/>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Component / Measure description</w:t>
            </w:r>
          </w:p>
          <w:p w14:paraId="38458C6C" w14:textId="77777777" w:rsidR="00110546"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020863219"/>
                <w:placeholder>
                  <w:docPart w:val="FB4242F4A83748B1A2E7A816A669C5E3"/>
                </w:placeholder>
                <w14:checkbox>
                  <w14:checked w14:val="1"/>
                  <w14:checkedState w14:val="2612" w14:font="MS Gothic"/>
                  <w14:uncheckedState w14:val="2610" w14:font="MS Gothic"/>
                </w14:checkbox>
              </w:sdtPr>
              <w:sdtEndPr/>
              <w:sdtContent>
                <w:r w:rsidR="002A75C2" w:rsidRPr="00896ADF">
                  <w:rPr>
                    <w:rFonts w:ascii="MS Gothic" w:eastAsia="MS Gothic" w:hAnsi="MS Gothic" w:cs="Times New Roman" w:hint="eastAsia"/>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Milestones and targets</w:t>
            </w:r>
          </w:p>
          <w:p w14:paraId="5F28CFF1" w14:textId="77777777" w:rsidR="00110546"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721429547"/>
                <w14:checkbox>
                  <w14:checked w14:val="1"/>
                  <w14:checkedState w14:val="2612" w14:font="MS Gothic"/>
                  <w14:uncheckedState w14:val="2610" w14:font="MS Gothic"/>
                </w14:checkbox>
              </w:sdtPr>
              <w:sdtEndPr/>
              <w:sdtContent>
                <w:r w:rsidR="002A75C2" w:rsidRPr="00896ADF">
                  <w:rPr>
                    <w:rFonts w:ascii="MS Gothic" w:eastAsia="MS Gothic" w:hAnsi="MS Gothic" w:cs="Times New Roman" w:hint="eastAsia"/>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Estimated cost</w:t>
            </w:r>
          </w:p>
          <w:p w14:paraId="3BBE400B" w14:textId="77777777" w:rsidR="00110546" w:rsidRPr="00896ADF" w:rsidRDefault="00491E8E" w:rsidP="003B0E30">
            <w:pPr>
              <w:rPr>
                <w:rFonts w:ascii="Times New Roman" w:eastAsia="Calibri" w:hAnsi="Times New Roman" w:cs="Times New Roman"/>
                <w:noProof/>
                <w:sz w:val="20"/>
                <w:szCs w:val="20"/>
                <w:lang w:val="en-US"/>
              </w:rPr>
            </w:pPr>
            <w:sdt>
              <w:sdtPr>
                <w:rPr>
                  <w:rFonts w:ascii="Times New Roman" w:eastAsia="Calibri" w:hAnsi="Times New Roman" w:cs="Times New Roman"/>
                  <w:noProof/>
                  <w:color w:val="2B579A"/>
                  <w:sz w:val="20"/>
                  <w:szCs w:val="20"/>
                  <w:shd w:val="clear" w:color="auto" w:fill="E6E6E6"/>
                  <w:lang w:val="en-US"/>
                </w:rPr>
                <w:id w:val="1653180768"/>
                <w14:checkbox>
                  <w14:checked w14:val="0"/>
                  <w14:checkedState w14:val="2612" w14:font="MS Gothic"/>
                  <w14:uncheckedState w14:val="2610" w14:font="MS Gothic"/>
                </w14:checkbox>
              </w:sdtPr>
              <w:sdtEndPr/>
              <w:sdtContent>
                <w:r w:rsidR="00110546" w:rsidRPr="00896ADF">
                  <w:rPr>
                    <w:rFonts w:ascii="Segoe UI Symbol" w:eastAsia="Calibri" w:hAnsi="Segoe UI Symbol" w:cs="Segoe UI Symbol"/>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Green and digital tagging (potentially relevant, because there is a substantive change to the underlying measure)</w:t>
            </w:r>
          </w:p>
          <w:p w14:paraId="0CABCAA1" w14:textId="77777777" w:rsidR="00110546" w:rsidRPr="00896ADF" w:rsidRDefault="00491E8E" w:rsidP="003B0E30">
            <w:pPr>
              <w:jc w:val="both"/>
              <w:rPr>
                <w:rFonts w:ascii="Times New Roman" w:eastAsia="Calibri" w:hAnsi="Times New Roman" w:cs="Times New Roman"/>
                <w:b/>
                <w:bCs/>
                <w:noProof/>
                <w:sz w:val="24"/>
                <w:szCs w:val="24"/>
                <w:u w:val="single"/>
                <w:lang w:val="en-IE"/>
              </w:rPr>
            </w:pPr>
            <w:sdt>
              <w:sdtPr>
                <w:rPr>
                  <w:rFonts w:ascii="Times New Roman" w:eastAsia="Calibri" w:hAnsi="Times New Roman" w:cs="Times New Roman"/>
                  <w:noProof/>
                  <w:color w:val="2B579A"/>
                  <w:sz w:val="20"/>
                  <w:szCs w:val="20"/>
                  <w:shd w:val="clear" w:color="auto" w:fill="E6E6E6"/>
                  <w:lang w:val="en-US"/>
                </w:rPr>
                <w:id w:val="-2082197313"/>
                <w14:checkbox>
                  <w14:checked w14:val="0"/>
                  <w14:checkedState w14:val="2612" w14:font="MS Gothic"/>
                  <w14:uncheckedState w14:val="2610" w14:font="MS Gothic"/>
                </w14:checkbox>
              </w:sdtPr>
              <w:sdtEndPr/>
              <w:sdtContent>
                <w:r w:rsidR="00110546" w:rsidRPr="00896ADF">
                  <w:rPr>
                    <w:rFonts w:ascii="Segoe UI Symbol" w:eastAsia="Calibri" w:hAnsi="Segoe UI Symbol" w:cs="Segoe UI Symbol"/>
                    <w:noProof/>
                    <w:color w:val="2B579A"/>
                    <w:sz w:val="20"/>
                    <w:szCs w:val="20"/>
                    <w:shd w:val="clear" w:color="auto" w:fill="E6E6E6"/>
                    <w:lang w:val="en-US"/>
                  </w:rPr>
                  <w:t>☐</w:t>
                </w:r>
              </w:sdtContent>
            </w:sdt>
            <w:r w:rsidR="00110546" w:rsidRPr="00896ADF">
              <w:rPr>
                <w:rFonts w:ascii="Times New Roman" w:eastAsia="Calibri" w:hAnsi="Times New Roman" w:cs="Times New Roman"/>
                <w:noProof/>
                <w:sz w:val="20"/>
                <w:szCs w:val="20"/>
                <w:lang w:val="en-US"/>
              </w:rPr>
              <w:t xml:space="preserve"> DNSH self-assessment</w:t>
            </w:r>
          </w:p>
        </w:tc>
      </w:tr>
    </w:tbl>
    <w:p w14:paraId="6B94BA27" w14:textId="77777777" w:rsidR="00110546" w:rsidRPr="00896ADF" w:rsidRDefault="00110546" w:rsidP="00110546"/>
    <w:tbl>
      <w:tblPr>
        <w:tblStyle w:val="Mkatabulky"/>
        <w:tblW w:w="0" w:type="auto"/>
        <w:tblLook w:val="04A0" w:firstRow="1" w:lastRow="0" w:firstColumn="1" w:lastColumn="0" w:noHBand="0" w:noVBand="1"/>
      </w:tblPr>
      <w:tblGrid>
        <w:gridCol w:w="2235"/>
        <w:gridCol w:w="3260"/>
        <w:gridCol w:w="3747"/>
      </w:tblGrid>
      <w:tr w:rsidR="00110546" w:rsidRPr="00896ADF" w14:paraId="42F42B8B" w14:textId="77777777" w:rsidTr="2FBE3598">
        <w:tc>
          <w:tcPr>
            <w:tcW w:w="9242" w:type="dxa"/>
            <w:gridSpan w:val="3"/>
            <w:shd w:val="clear" w:color="auto" w:fill="1F3864"/>
          </w:tcPr>
          <w:p w14:paraId="43B647FA" w14:textId="77777777" w:rsidR="00110546" w:rsidRPr="00896ADF" w:rsidRDefault="006D74B3" w:rsidP="003B0E30">
            <w:pPr>
              <w:jc w:val="center"/>
              <w:rPr>
                <w:rFonts w:ascii="Times New Roman" w:eastAsia="Calibri" w:hAnsi="Times New Roman" w:cs="Times New Roman"/>
                <w:b/>
                <w:bCs/>
                <w:noProof/>
                <w:sz w:val="20"/>
                <w:szCs w:val="20"/>
                <w:lang w:val="en-IE"/>
              </w:rPr>
            </w:pPr>
            <w:r w:rsidRPr="00896ADF">
              <w:rPr>
                <w:rFonts w:ascii="Times New Roman" w:eastAsia="Calibri" w:hAnsi="Times New Roman" w:cs="Times New Roman"/>
                <w:b/>
                <w:bCs/>
                <w:noProof/>
                <w:sz w:val="20"/>
                <w:szCs w:val="20"/>
                <w:lang w:val="en-IE"/>
              </w:rPr>
              <w:t xml:space="preserve">Investment 3: </w:t>
            </w:r>
            <w:r w:rsidR="002A22B1" w:rsidRPr="00896ADF">
              <w:rPr>
                <w:rFonts w:ascii="Times New Roman" w:eastAsia="Calibri" w:hAnsi="Times New Roman" w:cs="Times New Roman"/>
                <w:b/>
                <w:bCs/>
                <w:noProof/>
                <w:sz w:val="20"/>
                <w:szCs w:val="20"/>
                <w:lang w:val="en-IE"/>
              </w:rPr>
              <w:t>Development and modernisation of social care infrastructure</w:t>
            </w:r>
            <w:r w:rsidR="002A75C2" w:rsidRPr="00896ADF">
              <w:rPr>
                <w:rFonts w:ascii="Times New Roman" w:eastAsia="Calibri" w:hAnsi="Times New Roman" w:cs="Times New Roman"/>
                <w:b/>
                <w:bCs/>
                <w:noProof/>
                <w:sz w:val="20"/>
                <w:szCs w:val="20"/>
                <w:lang w:val="en-IE"/>
              </w:rPr>
              <w:t xml:space="preserve"> – Target 197</w:t>
            </w:r>
          </w:p>
        </w:tc>
      </w:tr>
      <w:tr w:rsidR="00110546" w:rsidRPr="00896ADF" w14:paraId="6250BA62" w14:textId="77777777" w:rsidTr="2FBE3598">
        <w:tc>
          <w:tcPr>
            <w:tcW w:w="9242" w:type="dxa"/>
            <w:gridSpan w:val="3"/>
            <w:shd w:val="clear" w:color="auto" w:fill="auto"/>
          </w:tcPr>
          <w:p w14:paraId="2C3758A7" w14:textId="77777777" w:rsidR="00110546" w:rsidRPr="00896ADF" w:rsidRDefault="00110546" w:rsidP="003B0E30">
            <w:pPr>
              <w:jc w:val="both"/>
              <w:rPr>
                <w:rFonts w:ascii="Times New Roman" w:eastAsia="Calibri" w:hAnsi="Times New Roman" w:cs="Times New Roman"/>
                <w:i/>
                <w:iCs/>
                <w:noProof/>
                <w:sz w:val="20"/>
                <w:szCs w:val="20"/>
                <w:lang w:val="en-IE"/>
              </w:rPr>
            </w:pPr>
            <w:r w:rsidRPr="00896ADF">
              <w:rPr>
                <w:rFonts w:ascii="Times New Roman" w:eastAsia="Calibri" w:hAnsi="Times New Roman" w:cs="Times New Roman"/>
                <w:i/>
                <w:iCs/>
                <w:noProof/>
                <w:sz w:val="20"/>
                <w:szCs w:val="20"/>
                <w:lang w:val="en-IE"/>
              </w:rPr>
              <w:t>Description and justification of the change</w:t>
            </w:r>
          </w:p>
        </w:tc>
      </w:tr>
      <w:tr w:rsidR="00110546" w:rsidRPr="00896ADF" w14:paraId="041F2C80" w14:textId="77777777" w:rsidTr="2FBE3598">
        <w:tc>
          <w:tcPr>
            <w:tcW w:w="2235" w:type="dxa"/>
            <w:shd w:val="clear" w:color="auto" w:fill="00B0F0"/>
          </w:tcPr>
          <w:p w14:paraId="4E0B38E3" w14:textId="77777777" w:rsidR="00110546" w:rsidRPr="00896ADF" w:rsidRDefault="00110546"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Modified elements</w:t>
            </w:r>
          </w:p>
        </w:tc>
        <w:tc>
          <w:tcPr>
            <w:tcW w:w="3260" w:type="dxa"/>
            <w:shd w:val="clear" w:color="auto" w:fill="00B0F0"/>
          </w:tcPr>
          <w:p w14:paraId="1F923CE6" w14:textId="77777777" w:rsidR="00110546" w:rsidRPr="00896ADF" w:rsidRDefault="00110546"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Current version</w:t>
            </w:r>
          </w:p>
        </w:tc>
        <w:tc>
          <w:tcPr>
            <w:tcW w:w="3747" w:type="dxa"/>
            <w:shd w:val="clear" w:color="auto" w:fill="00B0F0"/>
          </w:tcPr>
          <w:p w14:paraId="483714A0" w14:textId="77777777" w:rsidR="00110546" w:rsidRPr="00896ADF" w:rsidRDefault="00110546" w:rsidP="003B0E30">
            <w:pPr>
              <w:jc w:val="center"/>
              <w:rPr>
                <w:rFonts w:ascii="Times New Roman" w:eastAsia="Calibri" w:hAnsi="Times New Roman" w:cs="Times New Roman"/>
                <w:b/>
                <w:bCs/>
                <w:noProof/>
                <w:color w:val="FFFFFF"/>
                <w:sz w:val="20"/>
                <w:szCs w:val="20"/>
                <w:lang w:val="en-IE"/>
              </w:rPr>
            </w:pPr>
            <w:r w:rsidRPr="00896ADF">
              <w:rPr>
                <w:rFonts w:ascii="Times New Roman" w:eastAsia="Calibri" w:hAnsi="Times New Roman" w:cs="Times New Roman"/>
                <w:b/>
                <w:bCs/>
                <w:noProof/>
                <w:color w:val="FFFFFF"/>
                <w:sz w:val="20"/>
                <w:szCs w:val="20"/>
                <w:lang w:val="en-IE"/>
              </w:rPr>
              <w:t>Amended version</w:t>
            </w:r>
          </w:p>
        </w:tc>
      </w:tr>
      <w:tr w:rsidR="00110546" w:rsidRPr="00896ADF" w14:paraId="3AE1C375" w14:textId="77777777" w:rsidTr="2FBE3598">
        <w:tc>
          <w:tcPr>
            <w:tcW w:w="2235" w:type="dxa"/>
          </w:tcPr>
          <w:p w14:paraId="3AFACCF8" w14:textId="77777777" w:rsidR="00110546" w:rsidRPr="00896ADF" w:rsidRDefault="00110546"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Component and / or measure description </w:t>
            </w:r>
          </w:p>
        </w:tc>
        <w:tc>
          <w:tcPr>
            <w:tcW w:w="3260" w:type="dxa"/>
          </w:tcPr>
          <w:p w14:paraId="42960ED9" w14:textId="77777777" w:rsidR="00110546" w:rsidRPr="00896ADF" w:rsidRDefault="00110546" w:rsidP="002A75C2">
            <w:pPr>
              <w:jc w:val="both"/>
              <w:rPr>
                <w:rFonts w:ascii="Times New Roman" w:eastAsia="Calibri" w:hAnsi="Times New Roman" w:cs="Times New Roman"/>
                <w:noProof/>
                <w:sz w:val="20"/>
                <w:szCs w:val="20"/>
                <w:lang w:val="en-US"/>
              </w:rPr>
            </w:pPr>
          </w:p>
        </w:tc>
        <w:tc>
          <w:tcPr>
            <w:tcW w:w="3747" w:type="dxa"/>
          </w:tcPr>
          <w:p w14:paraId="11C482FC" w14:textId="77777777" w:rsidR="00110546" w:rsidRPr="00896ADF" w:rsidRDefault="00110546" w:rsidP="003B0E30">
            <w:pPr>
              <w:jc w:val="both"/>
              <w:rPr>
                <w:rFonts w:ascii="Times New Roman" w:eastAsia="Calibri" w:hAnsi="Times New Roman" w:cs="Times New Roman"/>
                <w:noProof/>
                <w:sz w:val="20"/>
                <w:szCs w:val="20"/>
                <w:lang w:val="en-IE"/>
              </w:rPr>
            </w:pPr>
          </w:p>
        </w:tc>
      </w:tr>
      <w:tr w:rsidR="00110546" w:rsidRPr="00896ADF" w14:paraId="609385B9" w14:textId="77777777" w:rsidTr="2FBE3598">
        <w:tc>
          <w:tcPr>
            <w:tcW w:w="2235" w:type="dxa"/>
          </w:tcPr>
          <w:p w14:paraId="0214250B" w14:textId="77777777" w:rsidR="00110546" w:rsidRPr="00896ADF" w:rsidRDefault="00110546"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 xml:space="preserve">Milestones and targets </w:t>
            </w:r>
          </w:p>
        </w:tc>
        <w:tc>
          <w:tcPr>
            <w:tcW w:w="3260" w:type="dxa"/>
          </w:tcPr>
          <w:p w14:paraId="59DDB9B0" w14:textId="77777777" w:rsidR="002A75C2" w:rsidRPr="00896ADF" w:rsidRDefault="002A75C2" w:rsidP="002A75C2">
            <w:pPr>
              <w:pStyle w:val="TableParagraph"/>
              <w:spacing w:before="117"/>
              <w:ind w:left="110" w:right="47"/>
              <w:jc w:val="both"/>
              <w:rPr>
                <w:rFonts w:asciiTheme="minorHAnsi" w:hAnsiTheme="minorHAnsi" w:cstheme="minorHAnsi"/>
                <w:i/>
                <w:color w:val="000000" w:themeColor="text1"/>
                <w:sz w:val="20"/>
                <w:szCs w:val="20"/>
                <w:u w:val="single"/>
              </w:rPr>
            </w:pPr>
            <w:r w:rsidRPr="00896ADF">
              <w:rPr>
                <w:rFonts w:asciiTheme="minorHAnsi" w:hAnsiTheme="minorHAnsi" w:cstheme="minorHAnsi"/>
                <w:i/>
                <w:color w:val="000000" w:themeColor="text1"/>
                <w:sz w:val="20"/>
                <w:szCs w:val="20"/>
                <w:u w:val="single"/>
              </w:rPr>
              <w:t>Number of low- emission vehicles purchased for social prevention, counselling and home-care services</w:t>
            </w:r>
          </w:p>
          <w:p w14:paraId="2A29729A" w14:textId="77777777" w:rsidR="002A75C2" w:rsidRPr="00896ADF" w:rsidRDefault="002A75C2" w:rsidP="002A75C2">
            <w:pPr>
              <w:pStyle w:val="TableParagraph"/>
              <w:ind w:right="460"/>
              <w:jc w:val="both"/>
              <w:rPr>
                <w:rFonts w:asciiTheme="minorHAnsi" w:hAnsiTheme="minorHAnsi" w:cstheme="minorHAnsi"/>
                <w:i/>
                <w:color w:val="000000" w:themeColor="text1"/>
                <w:sz w:val="20"/>
                <w:szCs w:val="20"/>
              </w:rPr>
            </w:pPr>
          </w:p>
          <w:p w14:paraId="131E4A60" w14:textId="77777777" w:rsidR="002A75C2" w:rsidRPr="00896ADF" w:rsidRDefault="002A75C2" w:rsidP="002A75C2">
            <w:pPr>
              <w:pStyle w:val="TableParagraph"/>
              <w:ind w:right="460"/>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At least 251 low-emission vehicles shall be purchased, of which:</w:t>
            </w:r>
          </w:p>
          <w:p w14:paraId="0C1802D8" w14:textId="77777777" w:rsidR="002A75C2" w:rsidRPr="00896ADF" w:rsidRDefault="002A75C2" w:rsidP="00896ADF">
            <w:pPr>
              <w:pStyle w:val="TableParagraph"/>
              <w:numPr>
                <w:ilvl w:val="0"/>
                <w:numId w:val="19"/>
              </w:numPr>
              <w:tabs>
                <w:tab w:val="left" w:pos="831"/>
                <w:tab w:val="left" w:pos="832"/>
              </w:tabs>
              <w:spacing w:before="122"/>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100 electric cars</w:t>
            </w:r>
          </w:p>
          <w:p w14:paraId="1031D444" w14:textId="77777777" w:rsidR="002A75C2" w:rsidRPr="00896ADF" w:rsidRDefault="002A75C2" w:rsidP="00896ADF">
            <w:pPr>
              <w:pStyle w:val="TableParagraph"/>
              <w:numPr>
                <w:ilvl w:val="0"/>
                <w:numId w:val="19"/>
              </w:numPr>
              <w:tabs>
                <w:tab w:val="left" w:pos="831"/>
                <w:tab w:val="left" w:pos="832"/>
              </w:tabs>
              <w:spacing w:before="122"/>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151 plug-in hybrid cars</w:t>
            </w:r>
          </w:p>
          <w:p w14:paraId="62A8E63B" w14:textId="77777777" w:rsidR="002A75C2" w:rsidRPr="00896ADF" w:rsidRDefault="002A75C2" w:rsidP="002A75C2">
            <w:pPr>
              <w:jc w:val="both"/>
              <w:rPr>
                <w:rFonts w:cstheme="minorHAnsi"/>
                <w:i/>
                <w:color w:val="000000" w:themeColor="text1"/>
                <w:sz w:val="20"/>
                <w:szCs w:val="20"/>
              </w:rPr>
            </w:pPr>
          </w:p>
          <w:p w14:paraId="049541C0" w14:textId="77777777" w:rsidR="00110546" w:rsidRPr="00896ADF" w:rsidRDefault="002A75C2" w:rsidP="002A75C2">
            <w:pPr>
              <w:jc w:val="both"/>
              <w:rPr>
                <w:rFonts w:eastAsia="Calibri" w:cstheme="minorHAnsi"/>
                <w:i/>
                <w:noProof/>
                <w:sz w:val="20"/>
                <w:szCs w:val="20"/>
                <w:lang w:val="en-US"/>
              </w:rPr>
            </w:pPr>
            <w:r w:rsidRPr="00896ADF">
              <w:rPr>
                <w:rFonts w:cstheme="minorHAnsi"/>
                <w:i/>
                <w:color w:val="000000" w:themeColor="text1"/>
                <w:sz w:val="20"/>
                <w:szCs w:val="20"/>
              </w:rPr>
              <w:t>By Q4/2024</w:t>
            </w:r>
          </w:p>
        </w:tc>
        <w:tc>
          <w:tcPr>
            <w:tcW w:w="3747" w:type="dxa"/>
          </w:tcPr>
          <w:p w14:paraId="6D080DD5" w14:textId="77777777" w:rsidR="002A75C2" w:rsidRPr="00896ADF" w:rsidRDefault="002A75C2" w:rsidP="002A75C2">
            <w:pPr>
              <w:pStyle w:val="TableParagraph"/>
              <w:spacing w:before="117"/>
              <w:ind w:left="110" w:right="47"/>
              <w:jc w:val="both"/>
              <w:rPr>
                <w:rFonts w:asciiTheme="minorHAnsi" w:hAnsiTheme="minorHAnsi" w:cstheme="minorHAnsi"/>
                <w:i/>
                <w:color w:val="000000" w:themeColor="text1"/>
                <w:sz w:val="20"/>
                <w:szCs w:val="20"/>
                <w:u w:val="single"/>
              </w:rPr>
            </w:pPr>
            <w:r w:rsidRPr="00896ADF">
              <w:rPr>
                <w:rFonts w:asciiTheme="minorHAnsi" w:hAnsiTheme="minorHAnsi" w:cstheme="minorHAnsi"/>
                <w:i/>
                <w:color w:val="000000" w:themeColor="text1"/>
                <w:sz w:val="20"/>
                <w:szCs w:val="20"/>
                <w:u w:val="single"/>
              </w:rPr>
              <w:t>Number of low- emission vehicles purchased for social prevention, counselling and home-care services</w:t>
            </w:r>
          </w:p>
          <w:p w14:paraId="69078F39" w14:textId="77777777" w:rsidR="002A75C2" w:rsidRPr="00896ADF" w:rsidRDefault="002A75C2" w:rsidP="002A75C2">
            <w:pPr>
              <w:pStyle w:val="TableParagraph"/>
              <w:ind w:right="460"/>
              <w:jc w:val="both"/>
              <w:rPr>
                <w:rFonts w:asciiTheme="minorHAnsi" w:hAnsiTheme="minorHAnsi" w:cstheme="minorHAnsi"/>
                <w:i/>
                <w:color w:val="000000" w:themeColor="text1"/>
                <w:sz w:val="20"/>
                <w:szCs w:val="20"/>
              </w:rPr>
            </w:pPr>
          </w:p>
          <w:p w14:paraId="620E7ECF" w14:textId="77777777" w:rsidR="002A75C2" w:rsidRPr="00896ADF" w:rsidRDefault="002A75C2" w:rsidP="002A75C2">
            <w:pPr>
              <w:pStyle w:val="TableParagraph"/>
              <w:ind w:right="460"/>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At least 251 low-emission vehicles shall be purchased, of which:</w:t>
            </w:r>
          </w:p>
          <w:p w14:paraId="6123A3C3" w14:textId="77777777" w:rsidR="002A75C2" w:rsidRPr="00896ADF" w:rsidRDefault="002A75C2" w:rsidP="00896ADF">
            <w:pPr>
              <w:pStyle w:val="TableParagraph"/>
              <w:numPr>
                <w:ilvl w:val="0"/>
                <w:numId w:val="19"/>
              </w:numPr>
              <w:tabs>
                <w:tab w:val="left" w:pos="831"/>
                <w:tab w:val="left" w:pos="832"/>
              </w:tabs>
              <w:spacing w:before="122"/>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100 electric cars</w:t>
            </w:r>
          </w:p>
          <w:p w14:paraId="2F4E6481" w14:textId="77777777" w:rsidR="002A75C2" w:rsidRPr="00896ADF" w:rsidRDefault="002A75C2" w:rsidP="00896ADF">
            <w:pPr>
              <w:pStyle w:val="TableParagraph"/>
              <w:numPr>
                <w:ilvl w:val="0"/>
                <w:numId w:val="19"/>
              </w:numPr>
              <w:tabs>
                <w:tab w:val="left" w:pos="831"/>
                <w:tab w:val="left" w:pos="832"/>
              </w:tabs>
              <w:spacing w:before="122"/>
              <w:jc w:val="both"/>
              <w:rPr>
                <w:rFonts w:asciiTheme="minorHAnsi" w:hAnsiTheme="minorHAnsi" w:cstheme="minorHAnsi"/>
                <w:i/>
                <w:color w:val="000000" w:themeColor="text1"/>
                <w:sz w:val="20"/>
                <w:szCs w:val="20"/>
              </w:rPr>
            </w:pPr>
            <w:r w:rsidRPr="00896ADF">
              <w:rPr>
                <w:rFonts w:asciiTheme="minorHAnsi" w:hAnsiTheme="minorHAnsi" w:cstheme="minorHAnsi"/>
                <w:i/>
                <w:color w:val="000000" w:themeColor="text1"/>
                <w:sz w:val="20"/>
                <w:szCs w:val="20"/>
              </w:rPr>
              <w:t>151 plug-in hybrid cars</w:t>
            </w:r>
          </w:p>
          <w:p w14:paraId="6D727B95" w14:textId="77777777" w:rsidR="002A75C2" w:rsidRPr="00896ADF" w:rsidRDefault="002A75C2" w:rsidP="002A75C2">
            <w:pPr>
              <w:jc w:val="both"/>
              <w:rPr>
                <w:rFonts w:cstheme="minorHAnsi"/>
                <w:i/>
                <w:color w:val="000000" w:themeColor="text1"/>
                <w:sz w:val="20"/>
                <w:szCs w:val="20"/>
              </w:rPr>
            </w:pPr>
          </w:p>
          <w:p w14:paraId="5BFBF159" w14:textId="77777777" w:rsidR="002A75C2" w:rsidRPr="00896ADF" w:rsidRDefault="002A75C2" w:rsidP="002A75C2">
            <w:pPr>
              <w:jc w:val="both"/>
              <w:rPr>
                <w:rFonts w:cstheme="minorHAnsi"/>
                <w:b/>
                <w:bCs/>
                <w:i/>
                <w:color w:val="000000" w:themeColor="text1"/>
                <w:sz w:val="20"/>
                <w:szCs w:val="20"/>
              </w:rPr>
            </w:pPr>
          </w:p>
          <w:p w14:paraId="6B66C4A9" w14:textId="59869CEF" w:rsidR="00110546" w:rsidRPr="00896ADF" w:rsidRDefault="002A75C2" w:rsidP="002A75C2">
            <w:pPr>
              <w:jc w:val="both"/>
              <w:rPr>
                <w:rFonts w:eastAsia="Calibri" w:cstheme="minorHAnsi"/>
                <w:i/>
                <w:noProof/>
                <w:sz w:val="20"/>
                <w:szCs w:val="20"/>
                <w:lang w:val="en-IE"/>
              </w:rPr>
            </w:pPr>
            <w:r w:rsidRPr="00896ADF">
              <w:rPr>
                <w:rFonts w:cstheme="minorHAnsi"/>
                <w:b/>
                <w:bCs/>
                <w:i/>
                <w:color w:val="000000" w:themeColor="text1"/>
                <w:sz w:val="20"/>
                <w:szCs w:val="20"/>
              </w:rPr>
              <w:t>By Q</w:t>
            </w:r>
            <w:r w:rsidR="001C5281" w:rsidRPr="00896ADF">
              <w:rPr>
                <w:rFonts w:cstheme="minorHAnsi"/>
                <w:b/>
                <w:bCs/>
                <w:i/>
                <w:color w:val="000000" w:themeColor="text1"/>
                <w:sz w:val="20"/>
                <w:szCs w:val="20"/>
              </w:rPr>
              <w:t>2</w:t>
            </w:r>
            <w:r w:rsidRPr="00896ADF">
              <w:rPr>
                <w:rFonts w:cstheme="minorHAnsi"/>
                <w:b/>
                <w:bCs/>
                <w:i/>
                <w:color w:val="000000" w:themeColor="text1"/>
                <w:sz w:val="20"/>
                <w:szCs w:val="20"/>
              </w:rPr>
              <w:t>/2025</w:t>
            </w:r>
          </w:p>
        </w:tc>
      </w:tr>
      <w:tr w:rsidR="00110546" w:rsidRPr="00896ADF" w14:paraId="4CD829DD" w14:textId="77777777" w:rsidTr="2FBE3598">
        <w:tc>
          <w:tcPr>
            <w:tcW w:w="2235" w:type="dxa"/>
          </w:tcPr>
          <w:p w14:paraId="167DEDA4" w14:textId="77777777" w:rsidR="00110546" w:rsidRPr="00896ADF" w:rsidRDefault="00110546" w:rsidP="003B0E30">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Estimated cost</w:t>
            </w:r>
          </w:p>
        </w:tc>
        <w:tc>
          <w:tcPr>
            <w:tcW w:w="3260" w:type="dxa"/>
          </w:tcPr>
          <w:p w14:paraId="78126179" w14:textId="77777777" w:rsidR="00110546" w:rsidRPr="00896ADF" w:rsidRDefault="002A75C2" w:rsidP="003B0E30">
            <w:pPr>
              <w:jc w:val="both"/>
              <w:rPr>
                <w:rFonts w:eastAsia="Calibri" w:cstheme="minorHAnsi"/>
                <w:i/>
                <w:noProof/>
                <w:sz w:val="20"/>
                <w:szCs w:val="20"/>
                <w:lang w:val="en-IE"/>
              </w:rPr>
            </w:pPr>
            <w:r w:rsidRPr="00896ADF">
              <w:rPr>
                <w:rFonts w:cstheme="minorHAnsi"/>
                <w:i/>
                <w:sz w:val="20"/>
                <w:szCs w:val="20"/>
                <w:lang w:val="en-IE"/>
              </w:rPr>
              <w:t>228 mil CZK</w:t>
            </w:r>
          </w:p>
        </w:tc>
        <w:tc>
          <w:tcPr>
            <w:tcW w:w="3747" w:type="dxa"/>
          </w:tcPr>
          <w:p w14:paraId="7432684C" w14:textId="2DE04625" w:rsidR="00110546" w:rsidRPr="00896ADF" w:rsidRDefault="0B209255" w:rsidP="2FBE3598">
            <w:pPr>
              <w:jc w:val="both"/>
              <w:rPr>
                <w:rFonts w:eastAsia="Calibri"/>
                <w:b/>
                <w:bCs/>
                <w:i/>
                <w:iCs/>
                <w:noProof/>
                <w:sz w:val="20"/>
                <w:szCs w:val="20"/>
                <w:lang w:val="en-IE"/>
              </w:rPr>
            </w:pPr>
            <w:r w:rsidRPr="00896ADF">
              <w:rPr>
                <w:rFonts w:eastAsia="Calibri"/>
                <w:b/>
                <w:bCs/>
                <w:i/>
                <w:iCs/>
                <w:noProof/>
                <w:sz w:val="20"/>
                <w:szCs w:val="20"/>
                <w:lang w:val="en-IE"/>
              </w:rPr>
              <w:t>25</w:t>
            </w:r>
            <w:r w:rsidR="0C269F01" w:rsidRPr="00896ADF">
              <w:rPr>
                <w:rFonts w:eastAsia="Calibri"/>
                <w:b/>
                <w:bCs/>
                <w:i/>
                <w:iCs/>
                <w:noProof/>
                <w:sz w:val="20"/>
                <w:szCs w:val="20"/>
                <w:lang w:val="en-IE"/>
              </w:rPr>
              <w:t>3,6</w:t>
            </w:r>
            <w:r w:rsidR="3A52787D" w:rsidRPr="00896ADF">
              <w:rPr>
                <w:rFonts w:eastAsia="Calibri"/>
                <w:b/>
                <w:bCs/>
                <w:i/>
                <w:iCs/>
                <w:noProof/>
                <w:sz w:val="20"/>
                <w:szCs w:val="20"/>
                <w:lang w:val="en-IE"/>
              </w:rPr>
              <w:t xml:space="preserve"> </w:t>
            </w:r>
            <w:r w:rsidRPr="00896ADF">
              <w:rPr>
                <w:rFonts w:eastAsia="Calibri"/>
                <w:b/>
                <w:bCs/>
                <w:i/>
                <w:iCs/>
                <w:noProof/>
                <w:sz w:val="20"/>
                <w:szCs w:val="20"/>
                <w:lang w:val="en-IE"/>
              </w:rPr>
              <w:t>mil CZK</w:t>
            </w:r>
          </w:p>
        </w:tc>
      </w:tr>
      <w:tr w:rsidR="002A75C2" w:rsidRPr="00896ADF" w14:paraId="0F67341F" w14:textId="77777777" w:rsidTr="2FBE3598">
        <w:tc>
          <w:tcPr>
            <w:tcW w:w="2235" w:type="dxa"/>
          </w:tcPr>
          <w:p w14:paraId="1BCADFAD" w14:textId="77777777" w:rsidR="002A75C2" w:rsidRPr="00896ADF" w:rsidRDefault="002A75C2" w:rsidP="002A75C2">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Green and digital tagging</w:t>
            </w:r>
          </w:p>
        </w:tc>
        <w:tc>
          <w:tcPr>
            <w:tcW w:w="3260" w:type="dxa"/>
          </w:tcPr>
          <w:p w14:paraId="50F3A1E6" w14:textId="77777777" w:rsidR="002A75C2" w:rsidRPr="00896ADF" w:rsidRDefault="002A75C2" w:rsidP="002A75C2">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c>
          <w:tcPr>
            <w:tcW w:w="3747" w:type="dxa"/>
          </w:tcPr>
          <w:p w14:paraId="2D96DB48" w14:textId="77777777" w:rsidR="002A75C2" w:rsidRPr="00896ADF" w:rsidRDefault="002A75C2" w:rsidP="002A75C2">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r>
      <w:tr w:rsidR="002A75C2" w:rsidRPr="00896ADF" w14:paraId="63E6286A" w14:textId="77777777" w:rsidTr="2FBE3598">
        <w:tc>
          <w:tcPr>
            <w:tcW w:w="2235" w:type="dxa"/>
          </w:tcPr>
          <w:p w14:paraId="0547505F" w14:textId="77777777" w:rsidR="002A75C2" w:rsidRPr="00896ADF" w:rsidRDefault="002A75C2" w:rsidP="002A75C2">
            <w:pPr>
              <w:jc w:val="both"/>
              <w:rPr>
                <w:rFonts w:ascii="Times New Roman" w:eastAsia="Calibri" w:hAnsi="Times New Roman" w:cs="Times New Roman"/>
                <w:b/>
                <w:bCs/>
                <w:i/>
                <w:iCs/>
                <w:noProof/>
                <w:sz w:val="20"/>
                <w:szCs w:val="20"/>
                <w:lang w:val="en-IE"/>
              </w:rPr>
            </w:pPr>
            <w:r w:rsidRPr="00896ADF">
              <w:rPr>
                <w:rFonts w:ascii="Times New Roman" w:eastAsia="Calibri" w:hAnsi="Times New Roman" w:cs="Times New Roman"/>
                <w:b/>
                <w:bCs/>
                <w:i/>
                <w:iCs/>
                <w:noProof/>
                <w:sz w:val="20"/>
                <w:szCs w:val="20"/>
                <w:lang w:val="en-IE"/>
              </w:rPr>
              <w:t>DNSH self-assessment</w:t>
            </w:r>
          </w:p>
        </w:tc>
        <w:tc>
          <w:tcPr>
            <w:tcW w:w="3260" w:type="dxa"/>
          </w:tcPr>
          <w:p w14:paraId="1BE30E73" w14:textId="77777777" w:rsidR="002A75C2" w:rsidRPr="00896ADF" w:rsidRDefault="002A75C2" w:rsidP="002A75C2">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c>
          <w:tcPr>
            <w:tcW w:w="3747" w:type="dxa"/>
          </w:tcPr>
          <w:p w14:paraId="70AE259F" w14:textId="77777777" w:rsidR="002A75C2" w:rsidRPr="00896ADF" w:rsidRDefault="002A75C2" w:rsidP="002A75C2">
            <w:pPr>
              <w:jc w:val="both"/>
              <w:rPr>
                <w:rFonts w:eastAsia="Calibri" w:cstheme="minorHAnsi"/>
                <w:i/>
                <w:noProof/>
                <w:sz w:val="20"/>
                <w:szCs w:val="20"/>
                <w:lang w:val="en-IE"/>
              </w:rPr>
            </w:pPr>
            <w:r w:rsidRPr="00896ADF">
              <w:rPr>
                <w:rFonts w:eastAsia="Calibri" w:cstheme="minorHAnsi"/>
                <w:i/>
                <w:noProof/>
                <w:sz w:val="20"/>
                <w:szCs w:val="20"/>
                <w:lang w:val="en-IE"/>
              </w:rPr>
              <w:t>No change</w:t>
            </w:r>
          </w:p>
        </w:tc>
      </w:tr>
    </w:tbl>
    <w:p w14:paraId="0FA95AD4" w14:textId="656BD32C" w:rsidR="00110546" w:rsidRPr="00896ADF" w:rsidRDefault="00110546" w:rsidP="009B37B5">
      <w:pPr>
        <w:jc w:val="both"/>
      </w:pPr>
    </w:p>
    <w:p w14:paraId="7E2FDFC9" w14:textId="77777777" w:rsidR="00D93E98" w:rsidRPr="00896ADF" w:rsidRDefault="00D93E98" w:rsidP="009B37B5">
      <w:pPr>
        <w:jc w:val="both"/>
        <w:rPr>
          <w:sz w:val="20"/>
          <w:szCs w:val="20"/>
          <w:lang w:val="en-IE"/>
        </w:rPr>
      </w:pPr>
      <w:r w:rsidRPr="00896ADF">
        <w:rPr>
          <w:sz w:val="20"/>
          <w:szCs w:val="20"/>
          <w:lang w:val="en-IE"/>
        </w:rPr>
        <w:t>The original costing did not take into account future inflation, i.e. the price of the vehicle was calculated for the entire implementation period at the same level and was determined in June 2021. Therefore, we are only now taking inflation into account in our calculations and are basing our calculations on publicly available data.</w:t>
      </w:r>
    </w:p>
    <w:p w14:paraId="0DA91E54" w14:textId="77777777" w:rsidR="00D93E98" w:rsidRPr="00896ADF" w:rsidRDefault="00D93E98" w:rsidP="009B37B5">
      <w:pPr>
        <w:jc w:val="both"/>
        <w:rPr>
          <w:sz w:val="20"/>
          <w:szCs w:val="20"/>
          <w:lang w:val="en-IE"/>
        </w:rPr>
      </w:pPr>
      <w:r w:rsidRPr="00896ADF">
        <w:rPr>
          <w:sz w:val="20"/>
          <w:szCs w:val="20"/>
          <w:lang w:val="en-IE"/>
        </w:rPr>
        <w:t>Below is a way to determine the evolution of the price of a car over time to take into account the reasons for the increase in the allocation described earlier.</w:t>
      </w:r>
    </w:p>
    <w:p w14:paraId="2BFD3D2E" w14:textId="61E6EB9F" w:rsidR="00D93E98" w:rsidRPr="00896ADF" w:rsidRDefault="00D93E98" w:rsidP="009B37B5">
      <w:pPr>
        <w:jc w:val="both"/>
        <w:rPr>
          <w:sz w:val="20"/>
          <w:szCs w:val="20"/>
          <w:lang w:val="en-IE"/>
        </w:rPr>
      </w:pPr>
      <w:r w:rsidRPr="00896ADF">
        <w:rPr>
          <w:sz w:val="20"/>
          <w:szCs w:val="20"/>
          <w:lang w:val="en-IE"/>
        </w:rPr>
        <w:t>The first is to increase the original price by the monthly inflation from June 2021 to December 2021 of 5.21% based on Eurostat data.</w:t>
      </w:r>
    </w:p>
    <w:p w14:paraId="72EA24A6" w14:textId="01988A74" w:rsidR="00D93E98" w:rsidRPr="00896ADF" w:rsidRDefault="00D93E98" w:rsidP="009B37B5">
      <w:pPr>
        <w:jc w:val="both"/>
        <w:rPr>
          <w:sz w:val="20"/>
          <w:szCs w:val="20"/>
          <w:lang w:val="en-IE"/>
        </w:rPr>
      </w:pPr>
      <w:r w:rsidRPr="00896ADF">
        <w:rPr>
          <w:sz w:val="20"/>
          <w:szCs w:val="20"/>
          <w:lang w:val="en-IE"/>
        </w:rPr>
        <w:t xml:space="preserve">The second calculation is based on the </w:t>
      </w:r>
      <w:r w:rsidR="02300767" w:rsidRPr="00896ADF">
        <w:rPr>
          <w:sz w:val="20"/>
          <w:szCs w:val="20"/>
          <w:lang w:val="en-IE"/>
        </w:rPr>
        <w:t>European comission</w:t>
      </w:r>
      <w:r w:rsidRPr="00896ADF">
        <w:rPr>
          <w:sz w:val="20"/>
          <w:szCs w:val="20"/>
          <w:lang w:val="en-IE"/>
        </w:rPr>
        <w:t xml:space="preserve">'s forecast of the expected inflation rate for 2022-2024, where the January 2022 price is multiplied by the expected inflation for 2022 of 15.8%, then multiplied by the expected inflation for 2023 and 2024. Although the overall inflation between 2021 and 2024 compared to the CID price comes out to 36.66% , it cannot be applied to the total allocation for this target. The inflation forecast in each year needs to be related to the estimates of the number of vehicles purchased in the approved projects and their cost, see table below. We estimate that 30% of the total allocation will be approved in projects in 2022 and 30% and 40% in subsequent years. </w:t>
      </w:r>
      <w:r w:rsidR="1F7063BE" w:rsidRPr="00896ADF">
        <w:rPr>
          <w:sz w:val="20"/>
          <w:szCs w:val="20"/>
          <w:lang w:val="en-IE"/>
        </w:rPr>
        <w:t xml:space="preserve"> </w:t>
      </w:r>
    </w:p>
    <w:p w14:paraId="58242CED" w14:textId="471D4CAE" w:rsidR="002A75C2" w:rsidRPr="00896ADF" w:rsidRDefault="002A75C2" w:rsidP="00263D0A">
      <w:pPr>
        <w:jc w:val="both"/>
        <w:rPr>
          <w:sz w:val="20"/>
          <w:szCs w:val="20"/>
        </w:rPr>
      </w:pPr>
    </w:p>
    <w:tbl>
      <w:tblPr>
        <w:tblpPr w:leftFromText="141" w:rightFromText="141" w:vertAnchor="text" w:horzAnchor="margin" w:tblpY="-31"/>
        <w:tblOverlap w:val="neve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00"/>
        <w:gridCol w:w="1324"/>
        <w:gridCol w:w="1369"/>
        <w:gridCol w:w="1856"/>
        <w:gridCol w:w="1637"/>
        <w:gridCol w:w="1746"/>
      </w:tblGrid>
      <w:tr w:rsidR="00AD106F" w:rsidRPr="00896ADF" w14:paraId="33E87ECD" w14:textId="77777777" w:rsidTr="002A75C2">
        <w:trPr>
          <w:trHeight w:val="1187"/>
        </w:trPr>
        <w:tc>
          <w:tcPr>
            <w:tcW w:w="1600" w:type="dxa"/>
            <w:shd w:val="clear" w:color="auto" w:fill="auto"/>
            <w:noWrap/>
            <w:vAlign w:val="center"/>
          </w:tcPr>
          <w:p w14:paraId="7EDC6938" w14:textId="77777777" w:rsidR="002A75C2" w:rsidRPr="00896ADF" w:rsidRDefault="002A75C2" w:rsidP="00263D0A">
            <w:pPr>
              <w:jc w:val="both"/>
              <w:rPr>
                <w:rFonts w:eastAsia="Times New Roman"/>
                <w:color w:val="000000"/>
                <w:sz w:val="20"/>
                <w:szCs w:val="20"/>
              </w:rPr>
            </w:pPr>
          </w:p>
        </w:tc>
        <w:tc>
          <w:tcPr>
            <w:tcW w:w="1324" w:type="dxa"/>
            <w:shd w:val="clear" w:color="auto" w:fill="auto"/>
            <w:vAlign w:val="center"/>
          </w:tcPr>
          <w:p w14:paraId="68BD837A" w14:textId="67DA07C9" w:rsidR="002A75C2" w:rsidRPr="00896ADF" w:rsidRDefault="00397039" w:rsidP="00263D0A">
            <w:pPr>
              <w:jc w:val="both"/>
              <w:rPr>
                <w:rFonts w:eastAsia="Times New Roman"/>
                <w:color w:val="000000"/>
                <w:sz w:val="20"/>
                <w:szCs w:val="20"/>
              </w:rPr>
            </w:pPr>
            <w:r w:rsidRPr="00896ADF">
              <w:rPr>
                <w:rFonts w:eastAsia="Times New Roman"/>
                <w:color w:val="000000"/>
                <w:sz w:val="20"/>
                <w:szCs w:val="20"/>
              </w:rPr>
              <w:t>Price according to CID as of 6/2021 in CZK</w:t>
            </w:r>
          </w:p>
        </w:tc>
        <w:tc>
          <w:tcPr>
            <w:tcW w:w="1369" w:type="dxa"/>
            <w:shd w:val="clear" w:color="auto" w:fill="auto"/>
            <w:vAlign w:val="center"/>
          </w:tcPr>
          <w:p w14:paraId="4969BC28" w14:textId="40E5B999" w:rsidR="002A75C2" w:rsidRPr="00896ADF" w:rsidRDefault="00C15A7E" w:rsidP="00263D0A">
            <w:pPr>
              <w:jc w:val="both"/>
              <w:rPr>
                <w:rFonts w:eastAsia="Times New Roman"/>
                <w:color w:val="000000"/>
                <w:sz w:val="20"/>
                <w:szCs w:val="20"/>
              </w:rPr>
            </w:pPr>
            <w:r w:rsidRPr="00896ADF">
              <w:rPr>
                <w:rFonts w:eastAsia="Times New Roman"/>
                <w:color w:val="000000"/>
                <w:sz w:val="20"/>
                <w:szCs w:val="20"/>
              </w:rPr>
              <w:t>Recalculated price as of 12/2021</w:t>
            </w:r>
          </w:p>
        </w:tc>
        <w:tc>
          <w:tcPr>
            <w:tcW w:w="1856" w:type="dxa"/>
            <w:shd w:val="clear" w:color="auto" w:fill="auto"/>
            <w:vAlign w:val="center"/>
          </w:tcPr>
          <w:p w14:paraId="78642664" w14:textId="5ACA9637" w:rsidR="002A75C2" w:rsidRPr="00896ADF" w:rsidRDefault="00E514EB" w:rsidP="00263D0A">
            <w:pPr>
              <w:jc w:val="both"/>
              <w:rPr>
                <w:rFonts w:eastAsia="Times New Roman"/>
                <w:color w:val="000000"/>
                <w:sz w:val="20"/>
                <w:szCs w:val="20"/>
              </w:rPr>
            </w:pPr>
            <w:r w:rsidRPr="00896ADF">
              <w:rPr>
                <w:rFonts w:eastAsia="Times New Roman"/>
                <w:color w:val="000000"/>
                <w:sz w:val="20"/>
                <w:szCs w:val="20"/>
              </w:rPr>
              <w:t>Accounting</w:t>
            </w:r>
            <w:r w:rsidR="00AD106F" w:rsidRPr="00896ADF">
              <w:rPr>
                <w:rFonts w:eastAsia="Times New Roman"/>
                <w:color w:val="000000"/>
                <w:sz w:val="20"/>
                <w:szCs w:val="20"/>
              </w:rPr>
              <w:t xml:space="preserve"> for inflation over the year 2022</w:t>
            </w:r>
          </w:p>
        </w:tc>
        <w:tc>
          <w:tcPr>
            <w:tcW w:w="1637" w:type="dxa"/>
            <w:shd w:val="clear" w:color="auto" w:fill="auto"/>
            <w:vAlign w:val="center"/>
          </w:tcPr>
          <w:p w14:paraId="3521BEB1" w14:textId="5B34FB1C" w:rsidR="002A75C2" w:rsidRPr="00896ADF" w:rsidRDefault="00AD106F" w:rsidP="00263D0A">
            <w:pPr>
              <w:jc w:val="both"/>
              <w:rPr>
                <w:rFonts w:eastAsia="Times New Roman"/>
                <w:color w:val="000000"/>
                <w:sz w:val="20"/>
                <w:szCs w:val="20"/>
              </w:rPr>
            </w:pPr>
            <w:r w:rsidRPr="00896ADF">
              <w:rPr>
                <w:rFonts w:eastAsia="Times New Roman"/>
                <w:color w:val="000000"/>
                <w:sz w:val="20"/>
                <w:szCs w:val="20"/>
              </w:rPr>
              <w:t>Accounting for inflation over the year 2023</w:t>
            </w:r>
          </w:p>
        </w:tc>
        <w:tc>
          <w:tcPr>
            <w:tcW w:w="1746" w:type="dxa"/>
            <w:shd w:val="clear" w:color="auto" w:fill="auto"/>
            <w:vAlign w:val="center"/>
          </w:tcPr>
          <w:p w14:paraId="6A9D6996" w14:textId="1A92444E" w:rsidR="002A75C2" w:rsidRPr="00896ADF" w:rsidRDefault="00AD106F" w:rsidP="00263D0A">
            <w:pPr>
              <w:jc w:val="both"/>
              <w:rPr>
                <w:rFonts w:eastAsia="Times New Roman"/>
                <w:color w:val="000000"/>
                <w:sz w:val="20"/>
                <w:szCs w:val="20"/>
              </w:rPr>
            </w:pPr>
            <w:r w:rsidRPr="00896ADF">
              <w:rPr>
                <w:rFonts w:eastAsia="Times New Roman"/>
                <w:color w:val="000000"/>
                <w:sz w:val="20"/>
                <w:szCs w:val="20"/>
              </w:rPr>
              <w:t>Accounting for inflation over the year 2024</w:t>
            </w:r>
          </w:p>
        </w:tc>
      </w:tr>
      <w:tr w:rsidR="00AD106F" w:rsidRPr="00896ADF" w14:paraId="15AD5A82" w14:textId="77777777" w:rsidTr="002A75C2">
        <w:trPr>
          <w:trHeight w:val="1187"/>
        </w:trPr>
        <w:tc>
          <w:tcPr>
            <w:tcW w:w="1600" w:type="dxa"/>
            <w:shd w:val="clear" w:color="auto" w:fill="auto"/>
            <w:vAlign w:val="center"/>
          </w:tcPr>
          <w:p w14:paraId="79555A1B" w14:textId="785323B9" w:rsidR="002A75C2" w:rsidRPr="00896ADF" w:rsidRDefault="005F322E" w:rsidP="00263D0A">
            <w:pPr>
              <w:jc w:val="both"/>
              <w:rPr>
                <w:rFonts w:eastAsia="Times New Roman"/>
                <w:color w:val="000000"/>
                <w:sz w:val="20"/>
                <w:szCs w:val="20"/>
              </w:rPr>
            </w:pPr>
            <w:r w:rsidRPr="00896ADF">
              <w:rPr>
                <w:rFonts w:eastAsia="Times New Roman"/>
                <w:color w:val="000000"/>
                <w:sz w:val="20"/>
                <w:szCs w:val="20"/>
              </w:rPr>
              <w:t>Electric car</w:t>
            </w:r>
          </w:p>
        </w:tc>
        <w:tc>
          <w:tcPr>
            <w:tcW w:w="1324" w:type="dxa"/>
            <w:shd w:val="clear" w:color="auto" w:fill="auto"/>
            <w:noWrap/>
            <w:vAlign w:val="center"/>
          </w:tcPr>
          <w:p w14:paraId="5A6EC3A1" w14:textId="77777777" w:rsidR="002A75C2" w:rsidRPr="00896ADF" w:rsidRDefault="002A75C2" w:rsidP="00263D0A">
            <w:pPr>
              <w:jc w:val="both"/>
              <w:rPr>
                <w:rFonts w:eastAsia="Times New Roman"/>
                <w:color w:val="000000"/>
                <w:sz w:val="20"/>
                <w:szCs w:val="20"/>
              </w:rPr>
            </w:pPr>
            <w:r w:rsidRPr="00896ADF">
              <w:rPr>
                <w:rFonts w:eastAsia="Times New Roman"/>
                <w:color w:val="000000"/>
                <w:sz w:val="20"/>
                <w:szCs w:val="20"/>
              </w:rPr>
              <w:t>910 000</w:t>
            </w:r>
          </w:p>
        </w:tc>
        <w:tc>
          <w:tcPr>
            <w:tcW w:w="1369" w:type="dxa"/>
            <w:shd w:val="clear" w:color="auto" w:fill="auto"/>
            <w:noWrap/>
            <w:vAlign w:val="center"/>
          </w:tcPr>
          <w:p w14:paraId="6653E136" w14:textId="77777777" w:rsidR="002A75C2" w:rsidRPr="00896ADF" w:rsidRDefault="002A75C2" w:rsidP="00263D0A">
            <w:pPr>
              <w:jc w:val="both"/>
              <w:rPr>
                <w:rFonts w:eastAsia="Times New Roman"/>
                <w:color w:val="000000"/>
                <w:sz w:val="20"/>
                <w:szCs w:val="20"/>
              </w:rPr>
            </w:pPr>
            <w:r w:rsidRPr="00896ADF">
              <w:rPr>
                <w:rFonts w:eastAsia="Times New Roman"/>
                <w:color w:val="000000"/>
                <w:sz w:val="20"/>
                <w:szCs w:val="20"/>
              </w:rPr>
              <w:t>957 411</w:t>
            </w:r>
          </w:p>
        </w:tc>
        <w:tc>
          <w:tcPr>
            <w:tcW w:w="1856" w:type="dxa"/>
            <w:shd w:val="clear" w:color="auto" w:fill="auto"/>
            <w:noWrap/>
            <w:vAlign w:val="center"/>
          </w:tcPr>
          <w:p w14:paraId="3AF3B9C5" w14:textId="77777777" w:rsidR="002A75C2" w:rsidRPr="00896ADF" w:rsidRDefault="002A75C2" w:rsidP="00263D0A">
            <w:pPr>
              <w:jc w:val="both"/>
              <w:rPr>
                <w:rFonts w:eastAsia="Times New Roman"/>
                <w:color w:val="000000"/>
                <w:sz w:val="20"/>
                <w:szCs w:val="20"/>
              </w:rPr>
            </w:pPr>
            <w:r w:rsidRPr="00896ADF">
              <w:rPr>
                <w:rFonts w:eastAsia="Times New Roman"/>
                <w:color w:val="000000"/>
                <w:sz w:val="20"/>
                <w:szCs w:val="20"/>
              </w:rPr>
              <w:t>1 099 107,83</w:t>
            </w:r>
          </w:p>
        </w:tc>
        <w:tc>
          <w:tcPr>
            <w:tcW w:w="1637" w:type="dxa"/>
            <w:shd w:val="clear" w:color="auto" w:fill="auto"/>
            <w:noWrap/>
            <w:vAlign w:val="center"/>
          </w:tcPr>
          <w:p w14:paraId="332A9CA6" w14:textId="77777777" w:rsidR="002A75C2" w:rsidRPr="00896ADF" w:rsidRDefault="002A75C2" w:rsidP="00263D0A">
            <w:pPr>
              <w:jc w:val="both"/>
              <w:rPr>
                <w:rFonts w:eastAsia="Times New Roman"/>
                <w:color w:val="000000"/>
                <w:sz w:val="20"/>
                <w:szCs w:val="20"/>
              </w:rPr>
            </w:pPr>
            <w:r w:rsidRPr="00896ADF">
              <w:rPr>
                <w:rFonts w:eastAsia="Times New Roman"/>
                <w:color w:val="000000"/>
                <w:sz w:val="20"/>
                <w:szCs w:val="20"/>
              </w:rPr>
              <w:t>1 201 324,86</w:t>
            </w:r>
          </w:p>
        </w:tc>
        <w:tc>
          <w:tcPr>
            <w:tcW w:w="1746" w:type="dxa"/>
            <w:shd w:val="clear" w:color="auto" w:fill="auto"/>
            <w:noWrap/>
            <w:vAlign w:val="center"/>
          </w:tcPr>
          <w:p w14:paraId="04C85D3B" w14:textId="77777777" w:rsidR="002A75C2" w:rsidRPr="00896ADF" w:rsidRDefault="002A75C2" w:rsidP="00263D0A">
            <w:pPr>
              <w:jc w:val="both"/>
              <w:rPr>
                <w:rFonts w:eastAsia="Times New Roman"/>
                <w:color w:val="000000"/>
                <w:sz w:val="20"/>
                <w:szCs w:val="20"/>
              </w:rPr>
            </w:pPr>
            <w:r w:rsidRPr="00896ADF">
              <w:rPr>
                <w:rFonts w:eastAsia="Times New Roman"/>
                <w:color w:val="000000"/>
                <w:sz w:val="20"/>
                <w:szCs w:val="20"/>
              </w:rPr>
              <w:t>1 243 371,23</w:t>
            </w:r>
          </w:p>
        </w:tc>
      </w:tr>
      <w:tr w:rsidR="00AD106F" w:rsidRPr="00896ADF" w14:paraId="30F067C1" w14:textId="77777777" w:rsidTr="002A75C2">
        <w:trPr>
          <w:trHeight w:val="1187"/>
        </w:trPr>
        <w:tc>
          <w:tcPr>
            <w:tcW w:w="1600" w:type="dxa"/>
            <w:shd w:val="clear" w:color="auto" w:fill="auto"/>
            <w:vAlign w:val="center"/>
          </w:tcPr>
          <w:p w14:paraId="3675D7F0" w14:textId="288E63AC" w:rsidR="002A75C2" w:rsidRPr="00896ADF" w:rsidRDefault="005F322E" w:rsidP="00263D0A">
            <w:pPr>
              <w:jc w:val="both"/>
              <w:rPr>
                <w:rFonts w:eastAsia="Times New Roman"/>
                <w:color w:val="000000"/>
                <w:sz w:val="20"/>
                <w:szCs w:val="20"/>
              </w:rPr>
            </w:pPr>
            <w:r w:rsidRPr="00896ADF">
              <w:rPr>
                <w:rFonts w:eastAsia="Times New Roman"/>
                <w:color w:val="000000"/>
                <w:sz w:val="20"/>
                <w:szCs w:val="20"/>
              </w:rPr>
              <w:t>Number of vehicles</w:t>
            </w:r>
            <w:r w:rsidR="006729D0" w:rsidRPr="00896ADF">
              <w:rPr>
                <w:rFonts w:eastAsia="Times New Roman"/>
                <w:color w:val="000000"/>
                <w:sz w:val="20"/>
                <w:szCs w:val="20"/>
              </w:rPr>
              <w:t xml:space="preserve"> acquired</w:t>
            </w:r>
          </w:p>
        </w:tc>
        <w:tc>
          <w:tcPr>
            <w:tcW w:w="1324" w:type="dxa"/>
            <w:shd w:val="clear" w:color="auto" w:fill="auto"/>
            <w:noWrap/>
            <w:vAlign w:val="center"/>
          </w:tcPr>
          <w:p w14:paraId="61E9DA31" w14:textId="77777777" w:rsidR="002A75C2" w:rsidRPr="00896ADF" w:rsidRDefault="002A75C2" w:rsidP="00263D0A">
            <w:pPr>
              <w:jc w:val="both"/>
              <w:rPr>
                <w:rFonts w:eastAsia="Times New Roman"/>
                <w:color w:val="000000"/>
                <w:sz w:val="20"/>
                <w:szCs w:val="20"/>
              </w:rPr>
            </w:pPr>
          </w:p>
        </w:tc>
        <w:tc>
          <w:tcPr>
            <w:tcW w:w="1369" w:type="dxa"/>
            <w:shd w:val="clear" w:color="auto" w:fill="auto"/>
            <w:noWrap/>
            <w:vAlign w:val="center"/>
          </w:tcPr>
          <w:p w14:paraId="636478FE" w14:textId="77777777" w:rsidR="002A75C2" w:rsidRPr="00896ADF" w:rsidRDefault="002A75C2" w:rsidP="00263D0A">
            <w:pPr>
              <w:jc w:val="both"/>
              <w:rPr>
                <w:rFonts w:eastAsia="Times New Roman"/>
                <w:color w:val="000000"/>
                <w:sz w:val="20"/>
                <w:szCs w:val="20"/>
              </w:rPr>
            </w:pPr>
          </w:p>
        </w:tc>
        <w:tc>
          <w:tcPr>
            <w:tcW w:w="1856" w:type="dxa"/>
            <w:shd w:val="clear" w:color="auto" w:fill="auto"/>
            <w:noWrap/>
            <w:vAlign w:val="center"/>
          </w:tcPr>
          <w:p w14:paraId="20829765" w14:textId="77777777" w:rsidR="002A75C2" w:rsidRPr="00896ADF" w:rsidRDefault="002A75C2" w:rsidP="00263D0A">
            <w:pPr>
              <w:jc w:val="both"/>
              <w:rPr>
                <w:color w:val="000000"/>
                <w:sz w:val="20"/>
                <w:szCs w:val="20"/>
              </w:rPr>
            </w:pPr>
            <w:r w:rsidRPr="00896ADF">
              <w:rPr>
                <w:rFonts w:eastAsia="Times New Roman"/>
                <w:color w:val="000000"/>
                <w:sz w:val="20"/>
                <w:szCs w:val="20"/>
              </w:rPr>
              <w:t>30 % alokace, tj. 30</w:t>
            </w:r>
          </w:p>
        </w:tc>
        <w:tc>
          <w:tcPr>
            <w:tcW w:w="1637" w:type="dxa"/>
            <w:shd w:val="clear" w:color="auto" w:fill="auto"/>
            <w:noWrap/>
            <w:vAlign w:val="center"/>
          </w:tcPr>
          <w:p w14:paraId="4CF6BF7A" w14:textId="77777777" w:rsidR="002A75C2" w:rsidRPr="00896ADF" w:rsidRDefault="002A75C2" w:rsidP="00263D0A">
            <w:pPr>
              <w:jc w:val="both"/>
              <w:rPr>
                <w:rFonts w:eastAsia="Times New Roman"/>
                <w:color w:val="000000"/>
                <w:sz w:val="20"/>
                <w:szCs w:val="20"/>
              </w:rPr>
            </w:pPr>
            <w:r w:rsidRPr="00896ADF">
              <w:rPr>
                <w:rFonts w:eastAsia="Times New Roman"/>
                <w:color w:val="000000"/>
                <w:sz w:val="20"/>
                <w:szCs w:val="20"/>
              </w:rPr>
              <w:t>40 % alokace, tj. 40</w:t>
            </w:r>
          </w:p>
        </w:tc>
        <w:tc>
          <w:tcPr>
            <w:tcW w:w="1746" w:type="dxa"/>
            <w:shd w:val="clear" w:color="auto" w:fill="auto"/>
            <w:noWrap/>
            <w:vAlign w:val="center"/>
          </w:tcPr>
          <w:p w14:paraId="311C9798" w14:textId="77777777" w:rsidR="002A75C2" w:rsidRPr="00896ADF" w:rsidRDefault="002A75C2" w:rsidP="00263D0A">
            <w:pPr>
              <w:jc w:val="both"/>
              <w:rPr>
                <w:color w:val="000000"/>
                <w:sz w:val="20"/>
                <w:szCs w:val="20"/>
              </w:rPr>
            </w:pPr>
            <w:r w:rsidRPr="00896ADF">
              <w:rPr>
                <w:color w:val="000000"/>
                <w:sz w:val="20"/>
                <w:szCs w:val="20"/>
              </w:rPr>
              <w:t>30 % alokace, tj. 30</w:t>
            </w:r>
          </w:p>
        </w:tc>
      </w:tr>
      <w:tr w:rsidR="00AD106F" w:rsidRPr="00896ADF" w14:paraId="10273DAE" w14:textId="77777777" w:rsidTr="002A75C2">
        <w:trPr>
          <w:trHeight w:val="1187"/>
        </w:trPr>
        <w:tc>
          <w:tcPr>
            <w:tcW w:w="1600" w:type="dxa"/>
            <w:shd w:val="clear" w:color="auto" w:fill="auto"/>
            <w:vAlign w:val="center"/>
          </w:tcPr>
          <w:p w14:paraId="11C9202C" w14:textId="799293E0" w:rsidR="002A75C2" w:rsidRPr="00896ADF" w:rsidRDefault="00397039" w:rsidP="00263D0A">
            <w:pPr>
              <w:jc w:val="both"/>
              <w:rPr>
                <w:rFonts w:eastAsia="Times New Roman"/>
                <w:color w:val="000000"/>
                <w:sz w:val="20"/>
                <w:szCs w:val="20"/>
              </w:rPr>
            </w:pPr>
            <w:r w:rsidRPr="00896ADF">
              <w:rPr>
                <w:rFonts w:eastAsia="Times New Roman"/>
                <w:color w:val="000000"/>
                <w:sz w:val="20"/>
                <w:szCs w:val="20"/>
              </w:rPr>
              <w:t>Funds for purchased vehicles</w:t>
            </w:r>
          </w:p>
        </w:tc>
        <w:tc>
          <w:tcPr>
            <w:tcW w:w="1324" w:type="dxa"/>
            <w:shd w:val="clear" w:color="auto" w:fill="auto"/>
            <w:noWrap/>
            <w:vAlign w:val="center"/>
          </w:tcPr>
          <w:p w14:paraId="6BE3EF47" w14:textId="77777777" w:rsidR="002A75C2" w:rsidRPr="00896ADF" w:rsidRDefault="002A75C2" w:rsidP="00263D0A">
            <w:pPr>
              <w:jc w:val="both"/>
              <w:rPr>
                <w:rFonts w:eastAsia="Times New Roman"/>
                <w:color w:val="000000"/>
                <w:sz w:val="20"/>
                <w:szCs w:val="20"/>
              </w:rPr>
            </w:pPr>
          </w:p>
        </w:tc>
        <w:tc>
          <w:tcPr>
            <w:tcW w:w="1369" w:type="dxa"/>
            <w:shd w:val="clear" w:color="auto" w:fill="auto"/>
            <w:noWrap/>
            <w:vAlign w:val="center"/>
          </w:tcPr>
          <w:p w14:paraId="225F78F2" w14:textId="77777777" w:rsidR="002A75C2" w:rsidRPr="00896ADF" w:rsidRDefault="002A75C2" w:rsidP="00263D0A">
            <w:pPr>
              <w:jc w:val="both"/>
              <w:rPr>
                <w:rFonts w:eastAsia="Times New Roman"/>
                <w:color w:val="000000"/>
                <w:sz w:val="20"/>
                <w:szCs w:val="20"/>
              </w:rPr>
            </w:pPr>
          </w:p>
        </w:tc>
        <w:tc>
          <w:tcPr>
            <w:tcW w:w="1856" w:type="dxa"/>
            <w:shd w:val="clear" w:color="auto" w:fill="auto"/>
            <w:noWrap/>
            <w:vAlign w:val="center"/>
          </w:tcPr>
          <w:p w14:paraId="43AFA305" w14:textId="77777777" w:rsidR="002A75C2" w:rsidRPr="00896ADF" w:rsidRDefault="002A75C2" w:rsidP="00263D0A">
            <w:pPr>
              <w:jc w:val="both"/>
              <w:rPr>
                <w:color w:val="000000"/>
                <w:sz w:val="20"/>
                <w:szCs w:val="20"/>
              </w:rPr>
            </w:pPr>
            <w:r w:rsidRPr="00896ADF">
              <w:rPr>
                <w:color w:val="000000"/>
                <w:sz w:val="20"/>
                <w:szCs w:val="20"/>
              </w:rPr>
              <w:t>32 973 234,84</w:t>
            </w:r>
          </w:p>
        </w:tc>
        <w:tc>
          <w:tcPr>
            <w:tcW w:w="1637" w:type="dxa"/>
            <w:shd w:val="clear" w:color="auto" w:fill="auto"/>
            <w:noWrap/>
            <w:vAlign w:val="center"/>
          </w:tcPr>
          <w:p w14:paraId="440DDF1E" w14:textId="77777777" w:rsidR="002A75C2" w:rsidRPr="00896ADF" w:rsidRDefault="002A75C2" w:rsidP="00263D0A">
            <w:pPr>
              <w:jc w:val="both"/>
              <w:rPr>
                <w:color w:val="000000"/>
                <w:sz w:val="20"/>
                <w:szCs w:val="20"/>
              </w:rPr>
            </w:pPr>
            <w:r w:rsidRPr="00896ADF">
              <w:rPr>
                <w:color w:val="000000"/>
                <w:sz w:val="20"/>
                <w:szCs w:val="20"/>
              </w:rPr>
              <w:t>48 052 994,24</w:t>
            </w:r>
          </w:p>
        </w:tc>
        <w:tc>
          <w:tcPr>
            <w:tcW w:w="1746" w:type="dxa"/>
            <w:shd w:val="clear" w:color="auto" w:fill="auto"/>
            <w:noWrap/>
            <w:vAlign w:val="center"/>
          </w:tcPr>
          <w:p w14:paraId="633555BE" w14:textId="77777777" w:rsidR="002A75C2" w:rsidRPr="00896ADF" w:rsidRDefault="002A75C2" w:rsidP="00263D0A">
            <w:pPr>
              <w:jc w:val="both"/>
              <w:rPr>
                <w:color w:val="000000"/>
                <w:sz w:val="20"/>
                <w:szCs w:val="20"/>
              </w:rPr>
            </w:pPr>
            <w:r w:rsidRPr="00896ADF">
              <w:rPr>
                <w:color w:val="000000"/>
                <w:sz w:val="20"/>
                <w:szCs w:val="20"/>
              </w:rPr>
              <w:t>37 301 136,78</w:t>
            </w:r>
          </w:p>
        </w:tc>
      </w:tr>
    </w:tbl>
    <w:p w14:paraId="4C760604" w14:textId="77777777" w:rsidR="002A75C2" w:rsidRPr="00896ADF" w:rsidRDefault="002A75C2" w:rsidP="00263D0A">
      <w:pPr>
        <w:jc w:val="both"/>
      </w:pPr>
    </w:p>
    <w:p w14:paraId="28A2EA72" w14:textId="09C61E25" w:rsidR="00B05B31" w:rsidRPr="00896ADF" w:rsidRDefault="00B05B31" w:rsidP="3ACCF10B">
      <w:pPr>
        <w:jc w:val="both"/>
        <w:rPr>
          <w:sz w:val="20"/>
          <w:szCs w:val="20"/>
          <w:lang w:val="en-IE"/>
        </w:rPr>
      </w:pPr>
      <w:r w:rsidRPr="00896ADF">
        <w:rPr>
          <w:sz w:val="20"/>
          <w:szCs w:val="20"/>
          <w:lang w:val="en-IE"/>
        </w:rPr>
        <w:t>The original allocation for electric vehicles for this objective was equal to CZK 91,000,000 and the newly calculated allocation is CZK 118,327,365.86, the difference is equal to CZK 27,327,365.86.</w:t>
      </w:r>
      <w:r w:rsidR="19C492EF" w:rsidRPr="00896ADF">
        <w:rPr>
          <w:sz w:val="20"/>
          <w:szCs w:val="20"/>
          <w:lang w:val="en-IE"/>
        </w:rPr>
        <w:t xml:space="preserve"> Podkladové tabulky se liší od nově navrhovaného finančního požadavku z důvodu nutnosti ponížit celkovou grantovou alokaci plánu,aby nedošlo k jejímu překročení.</w:t>
      </w:r>
    </w:p>
    <w:p w14:paraId="348150B4" w14:textId="40B0EFFB" w:rsidR="00B05B31" w:rsidRPr="00896ADF" w:rsidRDefault="00B05B31" w:rsidP="3ACCF10B">
      <w:pPr>
        <w:jc w:val="both"/>
        <w:rPr>
          <w:sz w:val="20"/>
          <w:szCs w:val="20"/>
          <w:lang w:val="en-IE"/>
        </w:rPr>
      </w:pPr>
    </w:p>
    <w:p w14:paraId="77E6E8F7" w14:textId="5A361B47" w:rsidR="00B05B31" w:rsidRPr="00896ADF" w:rsidRDefault="00B05B31" w:rsidP="3ACCF10B">
      <w:pPr>
        <w:rPr>
          <w:sz w:val="20"/>
          <w:szCs w:val="20"/>
          <w:lang w:val="en-IE"/>
        </w:rPr>
      </w:pPr>
    </w:p>
    <w:p w14:paraId="7084330E" w14:textId="77777777" w:rsidR="00B05B31" w:rsidRPr="00896ADF" w:rsidRDefault="00B05B31" w:rsidP="00B05B31">
      <w:pPr>
        <w:rPr>
          <w:sz w:val="20"/>
          <w:szCs w:val="20"/>
          <w:lang w:val="en-IE"/>
        </w:rPr>
      </w:pPr>
      <w:r w:rsidRPr="00896ADF">
        <w:rPr>
          <w:sz w:val="20"/>
          <w:szCs w:val="20"/>
          <w:lang w:val="en-IE"/>
        </w:rPr>
        <w:t>The reduction in the production of vehicles results in longer delivery times. The postponement of the deadline for meeting the target makes it more likely that these vehicles will be delivered to the beneficiaries on time.</w:t>
      </w:r>
    </w:p>
    <w:p w14:paraId="12A9F17B" w14:textId="441C3D9B" w:rsidR="002A75C2" w:rsidRPr="00896ADF" w:rsidRDefault="002A75C2" w:rsidP="571FA6C3">
      <w:pPr>
        <w:spacing w:before="100" w:beforeAutospacing="1" w:after="100" w:afterAutospacing="1"/>
        <w:jc w:val="both"/>
        <w:rPr>
          <w:sz w:val="20"/>
          <w:szCs w:val="20"/>
        </w:rPr>
      </w:pPr>
    </w:p>
    <w:p w14:paraId="7A3F0CA9" w14:textId="54E651C1" w:rsidR="6513EE3B" w:rsidRPr="00896ADF" w:rsidRDefault="6513EE3B" w:rsidP="571FA6C3">
      <w:pPr>
        <w:spacing w:after="0"/>
        <w:jc w:val="both"/>
        <w:rPr>
          <w:rFonts w:ascii="Calibri" w:eastAsia="Calibri" w:hAnsi="Calibri" w:cs="Calibri"/>
          <w:b/>
          <w:bCs/>
          <w:sz w:val="24"/>
          <w:szCs w:val="24"/>
        </w:rPr>
      </w:pPr>
      <w:r w:rsidRPr="00896ADF">
        <w:rPr>
          <w:rFonts w:ascii="Calibri" w:eastAsia="Calibri" w:hAnsi="Calibri" w:cs="Calibri"/>
          <w:b/>
          <w:bCs/>
          <w:sz w:val="24"/>
          <w:szCs w:val="24"/>
        </w:rPr>
        <w:t>Legislative regulation of the inspection activities of the Social Services Inspectorate</w:t>
      </w:r>
    </w:p>
    <w:p w14:paraId="32B4692D" w14:textId="1E33161B" w:rsidR="6513EE3B" w:rsidRPr="00896ADF" w:rsidRDefault="6513EE3B" w:rsidP="571FA6C3">
      <w:pPr>
        <w:spacing w:after="0"/>
        <w:jc w:val="both"/>
        <w:rPr>
          <w:rFonts w:ascii="Calibri" w:eastAsia="Calibri" w:hAnsi="Calibri" w:cs="Calibri"/>
          <w:b/>
          <w:bCs/>
          <w:sz w:val="24"/>
          <w:szCs w:val="24"/>
        </w:rPr>
      </w:pPr>
      <w:r w:rsidRPr="00896ADF">
        <w:rPr>
          <w:rFonts w:ascii="Calibri" w:eastAsia="Calibri" w:hAnsi="Calibri" w:cs="Calibri"/>
          <w:b/>
          <w:bCs/>
          <w:sz w:val="24"/>
          <w:szCs w:val="24"/>
        </w:rPr>
        <w:t xml:space="preserve"> </w:t>
      </w:r>
    </w:p>
    <w:p w14:paraId="02788B73" w14:textId="4A0BF608" w:rsidR="6513EE3B" w:rsidRPr="00896ADF" w:rsidRDefault="6513EE3B" w:rsidP="571FA6C3">
      <w:pPr>
        <w:spacing w:after="0"/>
        <w:jc w:val="both"/>
        <w:rPr>
          <w:rFonts w:ascii="Calibri" w:eastAsia="Calibri" w:hAnsi="Calibri" w:cs="Calibri"/>
          <w:sz w:val="20"/>
          <w:szCs w:val="20"/>
        </w:rPr>
      </w:pPr>
      <w:r w:rsidRPr="00896ADF">
        <w:rPr>
          <w:rFonts w:ascii="Calibri" w:eastAsia="Calibri" w:hAnsi="Calibri" w:cs="Calibri"/>
          <w:sz w:val="20"/>
          <w:szCs w:val="20"/>
        </w:rPr>
        <w:t>Legislative anchoring of a mechanism for identifying violations of obligations under the UN Convention on the Rights of Persons with Disabilities in the provision of social services, including their correction through methodological guidance and inspection activities by the state. Criteria for achievement: amendment of the Social Services Act - legal norm, development of a methodology and 10 pilot verifications for residential social services.</w:t>
      </w:r>
    </w:p>
    <w:p w14:paraId="6434E776" w14:textId="7516DA5B" w:rsidR="6513EE3B" w:rsidRPr="00896ADF" w:rsidRDefault="6513EE3B" w:rsidP="00DC5825">
      <w:pPr>
        <w:spacing w:after="0"/>
        <w:jc w:val="both"/>
        <w:rPr>
          <w:rFonts w:ascii="Calibri" w:eastAsia="Calibri" w:hAnsi="Calibri" w:cs="Calibri"/>
        </w:rPr>
      </w:pPr>
      <w:r w:rsidRPr="00896ADF">
        <w:rPr>
          <w:rFonts w:ascii="Calibri" w:eastAsia="Calibri" w:hAnsi="Calibri" w:cs="Calibri"/>
        </w:rPr>
        <w:t xml:space="preserve"> </w:t>
      </w:r>
    </w:p>
    <w:tbl>
      <w:tblPr>
        <w:tblStyle w:val="Mkatabulky"/>
        <w:tblW w:w="0" w:type="auto"/>
        <w:tblLayout w:type="fixed"/>
        <w:tblLook w:val="04A0" w:firstRow="1" w:lastRow="0" w:firstColumn="1" w:lastColumn="0" w:noHBand="0" w:noVBand="1"/>
      </w:tblPr>
      <w:tblGrid>
        <w:gridCol w:w="2400"/>
        <w:gridCol w:w="7230"/>
      </w:tblGrid>
      <w:tr w:rsidR="340CC62A" w:rsidRPr="00896ADF" w14:paraId="48F79953" w14:textId="77777777" w:rsidTr="571FA6C3">
        <w:trPr>
          <w:trHeight w:val="300"/>
        </w:trPr>
        <w:tc>
          <w:tcPr>
            <w:tcW w:w="2400" w:type="dxa"/>
            <w:tcBorders>
              <w:top w:val="single" w:sz="8" w:space="0" w:color="auto"/>
              <w:left w:val="single" w:sz="8" w:space="0" w:color="auto"/>
              <w:bottom w:val="single" w:sz="8" w:space="0" w:color="auto"/>
              <w:right w:val="single" w:sz="8" w:space="0" w:color="auto"/>
            </w:tcBorders>
            <w:tcMar>
              <w:left w:w="108" w:type="dxa"/>
              <w:right w:w="108" w:type="dxa"/>
            </w:tcMar>
          </w:tcPr>
          <w:p w14:paraId="0041157F" w14:textId="4BF4FAA1" w:rsidR="340CC62A" w:rsidRPr="00896ADF" w:rsidRDefault="340CC62A" w:rsidP="00DC5825">
            <w:pPr>
              <w:spacing w:after="120" w:line="293" w:lineRule="auto"/>
              <w:rPr>
                <w:rFonts w:ascii="Calibri" w:eastAsia="Calibri" w:hAnsi="Calibri" w:cs="Calibri"/>
                <w:sz w:val="20"/>
                <w:szCs w:val="20"/>
              </w:rPr>
            </w:pPr>
            <w:r w:rsidRPr="00896ADF">
              <w:rPr>
                <w:rFonts w:ascii="Calibri" w:eastAsia="Calibri" w:hAnsi="Calibri" w:cs="Calibri"/>
                <w:sz w:val="20"/>
                <w:szCs w:val="20"/>
              </w:rPr>
              <w:t>Call</w:t>
            </w:r>
          </w:p>
        </w:tc>
        <w:tc>
          <w:tcPr>
            <w:tcW w:w="7230" w:type="dxa"/>
            <w:tcBorders>
              <w:top w:val="single" w:sz="8" w:space="0" w:color="auto"/>
              <w:left w:val="single" w:sz="8" w:space="0" w:color="auto"/>
              <w:bottom w:val="single" w:sz="8" w:space="0" w:color="auto"/>
              <w:right w:val="single" w:sz="8" w:space="0" w:color="auto"/>
            </w:tcBorders>
            <w:tcMar>
              <w:left w:w="108" w:type="dxa"/>
              <w:right w:w="108" w:type="dxa"/>
            </w:tcMar>
          </w:tcPr>
          <w:p w14:paraId="2FDFF854" w14:textId="56255B9A" w:rsidR="340CC62A" w:rsidRPr="00896ADF" w:rsidRDefault="455C8053" w:rsidP="571FA6C3">
            <w:pPr>
              <w:spacing w:after="120"/>
              <w:jc w:val="both"/>
              <w:rPr>
                <w:rFonts w:ascii="Calibri" w:eastAsia="Calibri" w:hAnsi="Calibri" w:cs="Calibri"/>
                <w:sz w:val="20"/>
                <w:szCs w:val="20"/>
              </w:rPr>
            </w:pPr>
            <w:r w:rsidRPr="00896ADF">
              <w:rPr>
                <w:rFonts w:ascii="Calibri" w:eastAsia="Calibri" w:hAnsi="Calibri" w:cs="Calibri"/>
                <w:sz w:val="20"/>
                <w:szCs w:val="20"/>
              </w:rPr>
              <w:t>At present, the inspection of the quality of care provided and its own purpose is set up mostly through the inspection of the existence of internal management acts, at the same time the content of the inspections is not the fulfilment of the obligations arising from the Convention, in particular from Article 19. Currently, complaint handling is set up by each social service provider without the possibility of appeal by the complainant. The quality system is divided and the input, process and output checks are done separately and in an unconnected way, therefore their effectiveness in the context of monitoring the obligations under the UN Convention on the Rights of Persons with Disabilities is minimal.</w:t>
            </w:r>
          </w:p>
        </w:tc>
      </w:tr>
      <w:tr w:rsidR="340CC62A" w:rsidRPr="00896ADF" w14:paraId="3089F91B" w14:textId="77777777" w:rsidTr="571FA6C3">
        <w:trPr>
          <w:trHeight w:val="12165"/>
        </w:trPr>
        <w:tc>
          <w:tcPr>
            <w:tcW w:w="2400" w:type="dxa"/>
            <w:tcBorders>
              <w:top w:val="single" w:sz="8" w:space="0" w:color="auto"/>
              <w:left w:val="single" w:sz="8" w:space="0" w:color="auto"/>
              <w:bottom w:val="single" w:sz="8" w:space="0" w:color="auto"/>
              <w:right w:val="single" w:sz="8" w:space="0" w:color="auto"/>
            </w:tcBorders>
            <w:tcMar>
              <w:left w:w="108" w:type="dxa"/>
              <w:right w:w="108" w:type="dxa"/>
            </w:tcMar>
          </w:tcPr>
          <w:p w14:paraId="2BE92B8D" w14:textId="51B9B56B" w:rsidR="340CC62A" w:rsidRPr="00896ADF" w:rsidRDefault="340CC62A" w:rsidP="00DC5825">
            <w:pPr>
              <w:spacing w:after="120" w:line="293" w:lineRule="auto"/>
              <w:rPr>
                <w:rFonts w:ascii="Calibri" w:eastAsia="Calibri" w:hAnsi="Calibri" w:cs="Calibri"/>
                <w:sz w:val="20"/>
                <w:szCs w:val="20"/>
              </w:rPr>
            </w:pPr>
            <w:r w:rsidRPr="00896ADF">
              <w:rPr>
                <w:rFonts w:ascii="Calibri" w:eastAsia="Calibri" w:hAnsi="Calibri" w:cs="Calibri"/>
                <w:sz w:val="20"/>
                <w:szCs w:val="20"/>
              </w:rPr>
              <w:lastRenderedPageBreak/>
              <w:t>Target</w:t>
            </w:r>
          </w:p>
        </w:tc>
        <w:tc>
          <w:tcPr>
            <w:tcW w:w="7230" w:type="dxa"/>
            <w:tcBorders>
              <w:top w:val="single" w:sz="8" w:space="0" w:color="auto"/>
              <w:left w:val="single" w:sz="8" w:space="0" w:color="auto"/>
              <w:bottom w:val="single" w:sz="8" w:space="0" w:color="auto"/>
              <w:right w:val="single" w:sz="8" w:space="0" w:color="auto"/>
            </w:tcBorders>
            <w:tcMar>
              <w:left w:w="108" w:type="dxa"/>
              <w:right w:w="108" w:type="dxa"/>
            </w:tcMar>
          </w:tcPr>
          <w:p w14:paraId="0DC6CBF6" w14:textId="1EAB9773" w:rsidR="340CC62A" w:rsidRPr="00896ADF" w:rsidRDefault="340CC62A" w:rsidP="199B201F">
            <w:pPr>
              <w:spacing w:after="120"/>
              <w:jc w:val="both"/>
              <w:rPr>
                <w:rFonts w:ascii="Calibri" w:eastAsia="Calibri" w:hAnsi="Calibri" w:cs="Calibri"/>
                <w:sz w:val="20"/>
                <w:szCs w:val="20"/>
              </w:rPr>
            </w:pPr>
            <w:r w:rsidRPr="00896ADF">
              <w:rPr>
                <w:rFonts w:ascii="Calibri" w:eastAsia="Calibri" w:hAnsi="Calibri" w:cs="Calibri"/>
                <w:sz w:val="20"/>
                <w:szCs w:val="20"/>
              </w:rPr>
              <w:t>To anchor the obligation to respect the dignity and integrity of the personality of clients in legislation, to anchor this obligation in quality standards and to follow up on this with inspection and registration. Furthermore, to to anchor in the legislation the provider's obligation to ensure, in cooperation with other partners, that the client is kept in his/her natural environment as much as possible, i.e. to enshrine the principle of subsidiarity, i.e. that all the provider's activities lead to the use of non-community residential services as the most extreme option, and to set criteria for this in the quality standards and control mechanisms by the inspection and registration. Furthermore, the aim is to set a clear financial advantage for social service providers who provide community-based care.</w:t>
            </w:r>
          </w:p>
          <w:p w14:paraId="5405793B" w14:textId="234B4D74" w:rsidR="340CC62A" w:rsidRPr="00896ADF" w:rsidRDefault="26AAFF12" w:rsidP="199B201F">
            <w:pPr>
              <w:spacing w:after="120"/>
              <w:jc w:val="both"/>
              <w:rPr>
                <w:rFonts w:ascii="Calibri" w:eastAsia="Calibri" w:hAnsi="Calibri" w:cs="Calibri"/>
                <w:sz w:val="20"/>
                <w:szCs w:val="20"/>
              </w:rPr>
            </w:pPr>
            <w:r w:rsidRPr="00896ADF">
              <w:rPr>
                <w:rFonts w:ascii="Calibri" w:eastAsia="Calibri" w:hAnsi="Calibri" w:cs="Calibri"/>
                <w:sz w:val="20"/>
                <w:szCs w:val="20"/>
              </w:rPr>
              <w:t>To improve social service inspections, the Social Services Act shall be amended and a binding methodology for social services inspection shall be adopted, ensuring that inspections inspect the fulfilment of obligations under the UN Convention on the Rights of Persons with Disabilities in the provision of social services. The Social Services Act and the methodology shall be discussed and agreed upon by relevant stakeholders. As pilot inspections under the new set-up, social services provided in any facility with a capacity of more than 25 persons funded from the Recovery and Resilience Plan shall be inspected. Social services where inspections found any shortcomings shall commit to a plan correcting these shortcomings within one year. In addition, all facilities should establish complaint mechanisms that are accessible, confidential and available to persons with disabilities living in the facilities even under guardianship schemes.</w:t>
            </w:r>
          </w:p>
          <w:p w14:paraId="12ACEB60" w14:textId="3E71591C" w:rsidR="340CC62A" w:rsidRPr="00896ADF" w:rsidRDefault="26AAFF12" w:rsidP="199B201F">
            <w:pPr>
              <w:spacing w:after="120"/>
              <w:jc w:val="both"/>
            </w:pPr>
            <w:r w:rsidRPr="00896ADF">
              <w:rPr>
                <w:rFonts w:ascii="Calibri" w:eastAsia="Calibri" w:hAnsi="Calibri" w:cs="Calibri"/>
                <w:sz w:val="20"/>
                <w:szCs w:val="20"/>
              </w:rPr>
              <w:t xml:space="preserve"> </w:t>
            </w:r>
          </w:p>
          <w:p w14:paraId="5B3AF37B" w14:textId="07948077" w:rsidR="340CC62A" w:rsidRPr="00896ADF" w:rsidRDefault="26AAFF12" w:rsidP="199B201F">
            <w:pPr>
              <w:spacing w:after="120"/>
              <w:jc w:val="both"/>
            </w:pPr>
            <w:r w:rsidRPr="00896ADF">
              <w:rPr>
                <w:rFonts w:ascii="Calibri" w:eastAsia="Calibri" w:hAnsi="Calibri" w:cs="Calibri"/>
                <w:sz w:val="20"/>
                <w:szCs w:val="20"/>
              </w:rPr>
              <w:t>Furthermore, the amended Social Services Act shall also establish a social service complaint mechanism ensuring at least that:</w:t>
            </w:r>
          </w:p>
          <w:p w14:paraId="5A1D8F66" w14:textId="27730A5C" w:rsidR="340CC62A" w:rsidRPr="00896ADF" w:rsidRDefault="26AAFF12" w:rsidP="199B201F">
            <w:pPr>
              <w:spacing w:after="120"/>
              <w:jc w:val="both"/>
            </w:pPr>
            <w:r w:rsidRPr="00896ADF">
              <w:rPr>
                <w:rFonts w:ascii="Calibri" w:eastAsia="Calibri" w:hAnsi="Calibri" w:cs="Calibri"/>
                <w:sz w:val="20"/>
                <w:szCs w:val="20"/>
              </w:rPr>
              <w:t>Clients, client’s legal guardians and family members can submit complaints concerning social services to their provider.</w:t>
            </w:r>
          </w:p>
          <w:p w14:paraId="444611A5" w14:textId="1CDD1ADC" w:rsidR="340CC62A" w:rsidRPr="00896ADF" w:rsidRDefault="26AAFF12" w:rsidP="199B201F">
            <w:pPr>
              <w:spacing w:after="120"/>
              <w:jc w:val="both"/>
            </w:pPr>
            <w:r w:rsidRPr="00896ADF">
              <w:rPr>
                <w:rFonts w:ascii="Calibri" w:eastAsia="Calibri" w:hAnsi="Calibri" w:cs="Calibri"/>
                <w:sz w:val="20"/>
                <w:szCs w:val="20"/>
              </w:rPr>
              <w:t>Complainants have a right to know how it was resolved.</w:t>
            </w:r>
          </w:p>
          <w:p w14:paraId="526366EF" w14:textId="03F29F08" w:rsidR="340CC62A" w:rsidRPr="00896ADF" w:rsidRDefault="26AAFF12" w:rsidP="199B201F">
            <w:pPr>
              <w:spacing w:after="120"/>
              <w:jc w:val="both"/>
            </w:pPr>
            <w:r w:rsidRPr="00896ADF">
              <w:rPr>
                <w:rFonts w:ascii="Calibri" w:eastAsia="Calibri" w:hAnsi="Calibri" w:cs="Calibri"/>
                <w:sz w:val="20"/>
                <w:szCs w:val="20"/>
              </w:rPr>
              <w:t>Complainants have a right to appeal to a body independent of the service provider; and the body considers the appeals on both merit and process.</w:t>
            </w:r>
          </w:p>
          <w:p w14:paraId="1451D065" w14:textId="2320B772" w:rsidR="340CC62A" w:rsidRPr="00896ADF" w:rsidRDefault="26AAFF12" w:rsidP="199B201F">
            <w:pPr>
              <w:spacing w:after="120"/>
              <w:jc w:val="both"/>
            </w:pPr>
            <w:r w:rsidRPr="00896ADF">
              <w:rPr>
                <w:rFonts w:ascii="Calibri" w:eastAsia="Calibri" w:hAnsi="Calibri" w:cs="Calibri"/>
                <w:sz w:val="20"/>
                <w:szCs w:val="20"/>
              </w:rPr>
              <w:t xml:space="preserve">Service providers as well as the relevant appeal body or bodies are obliged to keep a record of the complaints received. </w:t>
            </w:r>
          </w:p>
          <w:p w14:paraId="60EF5610" w14:textId="639D0B11" w:rsidR="340CC62A" w:rsidRPr="00896ADF" w:rsidRDefault="26AAFF12" w:rsidP="199B201F">
            <w:pPr>
              <w:spacing w:after="120"/>
              <w:jc w:val="both"/>
            </w:pPr>
            <w:r w:rsidRPr="00896ADF">
              <w:rPr>
                <w:rFonts w:ascii="Calibri" w:eastAsia="Calibri" w:hAnsi="Calibri" w:cs="Calibri"/>
                <w:sz w:val="20"/>
                <w:szCs w:val="20"/>
              </w:rPr>
              <w:t xml:space="preserve"> </w:t>
            </w:r>
          </w:p>
          <w:p w14:paraId="749D0DB7" w14:textId="0C1BA174" w:rsidR="340CC62A" w:rsidRPr="00896ADF" w:rsidRDefault="26AAFF12" w:rsidP="199B201F">
            <w:pPr>
              <w:spacing w:after="120"/>
              <w:jc w:val="both"/>
            </w:pPr>
            <w:r w:rsidRPr="00896ADF">
              <w:rPr>
                <w:rFonts w:ascii="Calibri" w:eastAsia="Calibri" w:hAnsi="Calibri" w:cs="Calibri"/>
                <w:sz w:val="20"/>
                <w:szCs w:val="20"/>
              </w:rPr>
              <w:t>It is expected that the complaint mechanism will broadly correspond to the health service complaint mechanism. The complaint mechanism shall be discussed and agreed upon by relevant stakeholders.</w:t>
            </w:r>
          </w:p>
          <w:p w14:paraId="07353686" w14:textId="169837BF" w:rsidR="340CC62A" w:rsidRPr="00896ADF" w:rsidRDefault="340CC62A" w:rsidP="199B201F">
            <w:pPr>
              <w:spacing w:after="120"/>
              <w:jc w:val="both"/>
              <w:rPr>
                <w:rFonts w:ascii="Calibri" w:eastAsia="Calibri" w:hAnsi="Calibri" w:cs="Calibri"/>
                <w:sz w:val="20"/>
                <w:szCs w:val="20"/>
              </w:rPr>
            </w:pPr>
          </w:p>
        </w:tc>
      </w:tr>
      <w:tr w:rsidR="340CC62A" w:rsidRPr="00896ADF" w14:paraId="1CA2AECA" w14:textId="77777777" w:rsidTr="571FA6C3">
        <w:trPr>
          <w:trHeight w:val="300"/>
        </w:trPr>
        <w:tc>
          <w:tcPr>
            <w:tcW w:w="2400" w:type="dxa"/>
            <w:tcBorders>
              <w:top w:val="single" w:sz="8" w:space="0" w:color="auto"/>
              <w:left w:val="single" w:sz="8" w:space="0" w:color="auto"/>
              <w:bottom w:val="single" w:sz="8" w:space="0" w:color="auto"/>
              <w:right w:val="single" w:sz="8" w:space="0" w:color="auto"/>
            </w:tcBorders>
            <w:tcMar>
              <w:left w:w="108" w:type="dxa"/>
              <w:right w:w="108" w:type="dxa"/>
            </w:tcMar>
          </w:tcPr>
          <w:p w14:paraId="668807A7" w14:textId="2C431FB5" w:rsidR="340CC62A" w:rsidRPr="00896ADF" w:rsidRDefault="455C8053" w:rsidP="571FA6C3">
            <w:pPr>
              <w:spacing w:after="120"/>
              <w:jc w:val="both"/>
              <w:rPr>
                <w:rFonts w:ascii="Calibri" w:eastAsia="Calibri" w:hAnsi="Calibri" w:cs="Calibri"/>
                <w:sz w:val="20"/>
                <w:szCs w:val="20"/>
              </w:rPr>
            </w:pPr>
            <w:r w:rsidRPr="00896ADF">
              <w:rPr>
                <w:rFonts w:ascii="Calibri" w:eastAsia="Calibri" w:hAnsi="Calibri" w:cs="Calibri"/>
                <w:sz w:val="20"/>
                <w:szCs w:val="20"/>
              </w:rPr>
              <w:t>Implementation</w:t>
            </w:r>
          </w:p>
        </w:tc>
        <w:tc>
          <w:tcPr>
            <w:tcW w:w="7230" w:type="dxa"/>
            <w:tcBorders>
              <w:top w:val="single" w:sz="8" w:space="0" w:color="auto"/>
              <w:left w:val="single" w:sz="8" w:space="0" w:color="auto"/>
              <w:bottom w:val="single" w:sz="8" w:space="0" w:color="auto"/>
              <w:right w:val="single" w:sz="8" w:space="0" w:color="auto"/>
            </w:tcBorders>
            <w:tcMar>
              <w:left w:w="108" w:type="dxa"/>
              <w:right w:w="108" w:type="dxa"/>
            </w:tcMar>
          </w:tcPr>
          <w:p w14:paraId="60D29397" w14:textId="29CE8FCB" w:rsidR="340CC62A" w:rsidRPr="00896ADF" w:rsidRDefault="455C8053" w:rsidP="571FA6C3">
            <w:pPr>
              <w:spacing w:after="120"/>
              <w:jc w:val="both"/>
              <w:rPr>
                <w:rFonts w:ascii="Calibri" w:eastAsia="Calibri" w:hAnsi="Calibri" w:cs="Calibri"/>
                <w:sz w:val="20"/>
                <w:szCs w:val="20"/>
              </w:rPr>
            </w:pPr>
            <w:r w:rsidRPr="00896ADF">
              <w:rPr>
                <w:rFonts w:ascii="Calibri" w:eastAsia="Calibri" w:hAnsi="Calibri" w:cs="Calibri"/>
                <w:sz w:val="20"/>
                <w:szCs w:val="20"/>
              </w:rPr>
              <w:t>Legislative anchoring will optimally take place during 2023 with effect in 2024 (at the latest from 1/1/25). Performance application and system setup will be implemented in 2024-2025 and evaluation will take place in 2026.</w:t>
            </w:r>
          </w:p>
        </w:tc>
      </w:tr>
      <w:tr w:rsidR="340CC62A" w:rsidRPr="00896ADF" w14:paraId="3DF37224" w14:textId="77777777" w:rsidTr="571FA6C3">
        <w:trPr>
          <w:trHeight w:val="75"/>
        </w:trPr>
        <w:tc>
          <w:tcPr>
            <w:tcW w:w="2400" w:type="dxa"/>
            <w:tcBorders>
              <w:top w:val="single" w:sz="8" w:space="0" w:color="auto"/>
              <w:left w:val="single" w:sz="8" w:space="0" w:color="auto"/>
              <w:bottom w:val="single" w:sz="8" w:space="0" w:color="auto"/>
              <w:right w:val="single" w:sz="8" w:space="0" w:color="auto"/>
            </w:tcBorders>
            <w:tcMar>
              <w:left w:w="108" w:type="dxa"/>
              <w:right w:w="108" w:type="dxa"/>
            </w:tcMar>
          </w:tcPr>
          <w:p w14:paraId="2E88937E" w14:textId="5343EC3C" w:rsidR="340CC62A" w:rsidRPr="00896ADF" w:rsidRDefault="455C8053" w:rsidP="571FA6C3">
            <w:pPr>
              <w:spacing w:after="120" w:line="293" w:lineRule="auto"/>
              <w:rPr>
                <w:rFonts w:ascii="Calibri" w:eastAsia="Calibri" w:hAnsi="Calibri" w:cs="Calibri"/>
                <w:sz w:val="20"/>
                <w:szCs w:val="20"/>
              </w:rPr>
            </w:pPr>
            <w:r w:rsidRPr="00896ADF">
              <w:rPr>
                <w:rFonts w:ascii="Calibri" w:eastAsia="Calibri" w:hAnsi="Calibri" w:cs="Calibri"/>
                <w:sz w:val="20"/>
                <w:szCs w:val="20"/>
              </w:rPr>
              <w:t>Cooperation and involvement of stakeholders</w:t>
            </w:r>
          </w:p>
        </w:tc>
        <w:tc>
          <w:tcPr>
            <w:tcW w:w="7230" w:type="dxa"/>
            <w:tcBorders>
              <w:top w:val="single" w:sz="8" w:space="0" w:color="auto"/>
              <w:left w:val="single" w:sz="8" w:space="0" w:color="auto"/>
              <w:bottom w:val="single" w:sz="8" w:space="0" w:color="auto"/>
              <w:right w:val="single" w:sz="8" w:space="0" w:color="auto"/>
            </w:tcBorders>
            <w:tcMar>
              <w:left w:w="108" w:type="dxa"/>
              <w:right w:w="108" w:type="dxa"/>
            </w:tcMar>
          </w:tcPr>
          <w:p w14:paraId="3BC201B4" w14:textId="34886FFE" w:rsidR="340CC62A" w:rsidRPr="00896ADF" w:rsidRDefault="455C8053" w:rsidP="571FA6C3">
            <w:pPr>
              <w:jc w:val="both"/>
              <w:rPr>
                <w:rFonts w:ascii="Calibri" w:eastAsia="Calibri" w:hAnsi="Calibri" w:cs="Calibri"/>
                <w:sz w:val="20"/>
                <w:szCs w:val="20"/>
              </w:rPr>
            </w:pPr>
            <w:r w:rsidRPr="00896ADF">
              <w:rPr>
                <w:rFonts w:ascii="Calibri" w:eastAsia="Calibri" w:hAnsi="Calibri" w:cs="Calibri"/>
                <w:sz w:val="20"/>
                <w:szCs w:val="20"/>
              </w:rPr>
              <w:t>- central state administration bodies pursuant to Act No. 2/1969 Coll. (the Competence Act),</w:t>
            </w:r>
          </w:p>
          <w:p w14:paraId="0463304F" w14:textId="1269145F" w:rsidR="340CC62A" w:rsidRPr="00896ADF" w:rsidRDefault="455C8053" w:rsidP="571FA6C3">
            <w:pPr>
              <w:jc w:val="both"/>
              <w:rPr>
                <w:rFonts w:ascii="Calibri" w:eastAsia="Calibri" w:hAnsi="Calibri" w:cs="Calibri"/>
                <w:sz w:val="20"/>
                <w:szCs w:val="20"/>
              </w:rPr>
            </w:pPr>
            <w:r w:rsidRPr="00896ADF">
              <w:rPr>
                <w:rFonts w:ascii="Calibri" w:eastAsia="Calibri" w:hAnsi="Calibri" w:cs="Calibri"/>
                <w:sz w:val="20"/>
                <w:szCs w:val="20"/>
              </w:rPr>
              <w:t>- Regions according to Act No 129/2000 Coll., on Regions</w:t>
            </w:r>
          </w:p>
          <w:p w14:paraId="14B846B0" w14:textId="69217564" w:rsidR="340CC62A" w:rsidRPr="00896ADF" w:rsidRDefault="455C8053" w:rsidP="571FA6C3">
            <w:pPr>
              <w:jc w:val="both"/>
              <w:rPr>
                <w:rFonts w:ascii="Calibri" w:eastAsia="Calibri" w:hAnsi="Calibri" w:cs="Calibri"/>
                <w:sz w:val="20"/>
                <w:szCs w:val="20"/>
              </w:rPr>
            </w:pPr>
            <w:r w:rsidRPr="00896ADF">
              <w:rPr>
                <w:rFonts w:ascii="Calibri" w:eastAsia="Calibri" w:hAnsi="Calibri" w:cs="Calibri"/>
                <w:sz w:val="20"/>
                <w:szCs w:val="20"/>
              </w:rPr>
              <w:t>- the Capital City of Prague pursuant to Act No. 131/2000 Coll., the Act on the Capital City of Prague</w:t>
            </w:r>
          </w:p>
          <w:p w14:paraId="3FD5CA57" w14:textId="5F1FB656" w:rsidR="340CC62A" w:rsidRPr="00896ADF" w:rsidRDefault="455C8053" w:rsidP="571FA6C3">
            <w:pPr>
              <w:jc w:val="both"/>
              <w:rPr>
                <w:rFonts w:ascii="Calibri" w:eastAsia="Calibri" w:hAnsi="Calibri" w:cs="Calibri"/>
                <w:sz w:val="20"/>
                <w:szCs w:val="20"/>
              </w:rPr>
            </w:pPr>
            <w:r w:rsidRPr="00896ADF">
              <w:rPr>
                <w:rFonts w:ascii="Calibri" w:eastAsia="Calibri" w:hAnsi="Calibri" w:cs="Calibri"/>
                <w:sz w:val="20"/>
                <w:szCs w:val="20"/>
              </w:rPr>
              <w:t>- municipalities according to Act No. 128/2000 Coll., on Municipalities</w:t>
            </w:r>
          </w:p>
          <w:p w14:paraId="55F3F55A" w14:textId="3AD40D0B" w:rsidR="340CC62A" w:rsidRPr="00896ADF" w:rsidRDefault="455C8053" w:rsidP="571FA6C3">
            <w:pPr>
              <w:jc w:val="both"/>
              <w:rPr>
                <w:rFonts w:ascii="Calibri" w:eastAsia="Calibri" w:hAnsi="Calibri" w:cs="Calibri"/>
                <w:sz w:val="20"/>
                <w:szCs w:val="20"/>
              </w:rPr>
            </w:pPr>
            <w:r w:rsidRPr="00896ADF">
              <w:rPr>
                <w:rFonts w:ascii="Calibri" w:eastAsia="Calibri" w:hAnsi="Calibri" w:cs="Calibri"/>
                <w:sz w:val="20"/>
                <w:szCs w:val="20"/>
              </w:rPr>
              <w:lastRenderedPageBreak/>
              <w:t>- client organisations</w:t>
            </w:r>
          </w:p>
          <w:p w14:paraId="5D38D58F" w14:textId="7EAF1B58" w:rsidR="340CC62A" w:rsidRPr="00896ADF" w:rsidRDefault="455C8053" w:rsidP="571FA6C3">
            <w:pPr>
              <w:jc w:val="both"/>
              <w:rPr>
                <w:rFonts w:ascii="Calibri" w:eastAsia="Calibri" w:hAnsi="Calibri" w:cs="Calibri"/>
                <w:sz w:val="20"/>
                <w:szCs w:val="20"/>
              </w:rPr>
            </w:pPr>
            <w:r w:rsidRPr="00896ADF">
              <w:rPr>
                <w:rFonts w:ascii="Calibri" w:eastAsia="Calibri" w:hAnsi="Calibri" w:cs="Calibri"/>
                <w:sz w:val="20"/>
                <w:szCs w:val="20"/>
              </w:rPr>
              <w:t>- providers of social services</w:t>
            </w:r>
          </w:p>
          <w:p w14:paraId="251A9012" w14:textId="3B9311C1" w:rsidR="340CC62A" w:rsidRPr="00896ADF" w:rsidRDefault="455C8053" w:rsidP="571FA6C3">
            <w:pPr>
              <w:jc w:val="both"/>
              <w:rPr>
                <w:rFonts w:ascii="Calibri" w:eastAsia="Calibri" w:hAnsi="Calibri" w:cs="Calibri"/>
                <w:sz w:val="20"/>
                <w:szCs w:val="20"/>
              </w:rPr>
            </w:pPr>
            <w:r w:rsidRPr="00896ADF">
              <w:rPr>
                <w:rFonts w:ascii="Calibri" w:eastAsia="Calibri" w:hAnsi="Calibri" w:cs="Calibri"/>
                <w:sz w:val="20"/>
                <w:szCs w:val="20"/>
              </w:rPr>
              <w:t>- non-governmental non-profit organisations (public benefit societies, registered churches, associations, institutes, foundations).</w:t>
            </w:r>
          </w:p>
        </w:tc>
      </w:tr>
      <w:tr w:rsidR="340CC62A" w:rsidRPr="00896ADF" w14:paraId="3F13B03D" w14:textId="77777777" w:rsidTr="571FA6C3">
        <w:trPr>
          <w:trHeight w:val="300"/>
        </w:trPr>
        <w:tc>
          <w:tcPr>
            <w:tcW w:w="2400" w:type="dxa"/>
            <w:tcBorders>
              <w:top w:val="single" w:sz="8" w:space="0" w:color="auto"/>
              <w:left w:val="single" w:sz="8" w:space="0" w:color="auto"/>
              <w:bottom w:val="single" w:sz="8" w:space="0" w:color="auto"/>
              <w:right w:val="single" w:sz="8" w:space="0" w:color="auto"/>
            </w:tcBorders>
            <w:tcMar>
              <w:left w:w="108" w:type="dxa"/>
              <w:right w:w="108" w:type="dxa"/>
            </w:tcMar>
          </w:tcPr>
          <w:p w14:paraId="74D578ED" w14:textId="33B179BC" w:rsidR="340CC62A" w:rsidRPr="00896ADF" w:rsidRDefault="455C8053" w:rsidP="571FA6C3">
            <w:pPr>
              <w:spacing w:after="120" w:line="293" w:lineRule="auto"/>
              <w:rPr>
                <w:rFonts w:ascii="Calibri" w:eastAsia="Calibri" w:hAnsi="Calibri" w:cs="Calibri"/>
                <w:sz w:val="20"/>
                <w:szCs w:val="20"/>
              </w:rPr>
            </w:pPr>
            <w:r w:rsidRPr="00896ADF">
              <w:rPr>
                <w:rFonts w:ascii="Calibri" w:eastAsia="Calibri" w:hAnsi="Calibri" w:cs="Calibri"/>
                <w:sz w:val="20"/>
                <w:szCs w:val="20"/>
              </w:rPr>
              <w:lastRenderedPageBreak/>
              <w:t>Obstacles and risks</w:t>
            </w:r>
          </w:p>
        </w:tc>
        <w:tc>
          <w:tcPr>
            <w:tcW w:w="7230" w:type="dxa"/>
            <w:tcBorders>
              <w:top w:val="single" w:sz="8" w:space="0" w:color="auto"/>
              <w:left w:val="single" w:sz="8" w:space="0" w:color="auto"/>
              <w:bottom w:val="single" w:sz="8" w:space="0" w:color="auto"/>
              <w:right w:val="single" w:sz="8" w:space="0" w:color="auto"/>
            </w:tcBorders>
            <w:tcMar>
              <w:left w:w="108" w:type="dxa"/>
              <w:right w:w="108" w:type="dxa"/>
            </w:tcMar>
          </w:tcPr>
          <w:p w14:paraId="42DD5490" w14:textId="423ACBA5" w:rsidR="340CC62A" w:rsidRPr="00896ADF" w:rsidRDefault="455C8053" w:rsidP="571FA6C3">
            <w:pPr>
              <w:spacing w:after="120"/>
              <w:jc w:val="both"/>
              <w:rPr>
                <w:rFonts w:ascii="Calibri" w:eastAsia="Calibri" w:hAnsi="Calibri" w:cs="Calibri"/>
                <w:sz w:val="20"/>
                <w:szCs w:val="20"/>
              </w:rPr>
            </w:pPr>
            <w:r w:rsidRPr="00896ADF">
              <w:rPr>
                <w:rFonts w:ascii="Calibri" w:eastAsia="Calibri" w:hAnsi="Calibri" w:cs="Calibri"/>
                <w:sz w:val="20"/>
                <w:szCs w:val="20"/>
              </w:rPr>
              <w:t>Timely preparation of legislative changes, legislative process, insufficient conditions for implementation of legislative changes</w:t>
            </w:r>
          </w:p>
        </w:tc>
      </w:tr>
      <w:tr w:rsidR="340CC62A" w:rsidRPr="00896ADF" w14:paraId="6AFB82D0" w14:textId="77777777" w:rsidTr="571FA6C3">
        <w:trPr>
          <w:trHeight w:val="300"/>
        </w:trPr>
        <w:tc>
          <w:tcPr>
            <w:tcW w:w="2400" w:type="dxa"/>
            <w:tcBorders>
              <w:top w:val="single" w:sz="8" w:space="0" w:color="auto"/>
              <w:left w:val="single" w:sz="8" w:space="0" w:color="auto"/>
              <w:bottom w:val="single" w:sz="8" w:space="0" w:color="auto"/>
              <w:right w:val="single" w:sz="8" w:space="0" w:color="auto"/>
            </w:tcBorders>
            <w:tcMar>
              <w:left w:w="108" w:type="dxa"/>
              <w:right w:w="108" w:type="dxa"/>
            </w:tcMar>
          </w:tcPr>
          <w:p w14:paraId="6B4BB035" w14:textId="16006174" w:rsidR="340CC62A" w:rsidRPr="00896ADF" w:rsidRDefault="455C8053" w:rsidP="571FA6C3">
            <w:pPr>
              <w:spacing w:after="120" w:line="293" w:lineRule="auto"/>
              <w:rPr>
                <w:rFonts w:ascii="Calibri" w:eastAsia="Calibri" w:hAnsi="Calibri" w:cs="Calibri"/>
                <w:sz w:val="20"/>
                <w:szCs w:val="20"/>
              </w:rPr>
            </w:pPr>
            <w:r w:rsidRPr="00896ADF">
              <w:rPr>
                <w:rFonts w:ascii="Calibri" w:eastAsia="Calibri" w:hAnsi="Calibri" w:cs="Calibri"/>
                <w:sz w:val="20"/>
                <w:szCs w:val="20"/>
              </w:rPr>
              <w:t>Target population and economic actors</w:t>
            </w:r>
          </w:p>
        </w:tc>
        <w:tc>
          <w:tcPr>
            <w:tcW w:w="7230" w:type="dxa"/>
            <w:tcBorders>
              <w:top w:val="single" w:sz="8" w:space="0" w:color="auto"/>
              <w:left w:val="single" w:sz="8" w:space="0" w:color="auto"/>
              <w:bottom w:val="single" w:sz="8" w:space="0" w:color="auto"/>
              <w:right w:val="single" w:sz="8" w:space="0" w:color="auto"/>
            </w:tcBorders>
            <w:tcMar>
              <w:left w:w="108" w:type="dxa"/>
              <w:right w:w="108" w:type="dxa"/>
            </w:tcMar>
          </w:tcPr>
          <w:p w14:paraId="08D5A5A9" w14:textId="2C7C1011" w:rsidR="340CC62A" w:rsidRPr="00896ADF" w:rsidRDefault="455C8053" w:rsidP="571FA6C3">
            <w:pPr>
              <w:spacing w:after="120"/>
              <w:jc w:val="both"/>
              <w:rPr>
                <w:rFonts w:ascii="Calibri" w:eastAsia="Calibri" w:hAnsi="Calibri" w:cs="Calibri"/>
                <w:sz w:val="20"/>
                <w:szCs w:val="20"/>
              </w:rPr>
            </w:pPr>
            <w:r w:rsidRPr="00896ADF">
              <w:rPr>
                <w:rFonts w:ascii="Calibri" w:eastAsia="Calibri" w:hAnsi="Calibri" w:cs="Calibri"/>
                <w:sz w:val="20"/>
                <w:szCs w:val="20"/>
              </w:rPr>
              <w:t>Persons with disabilities</w:t>
            </w:r>
          </w:p>
          <w:p w14:paraId="7BDDC9F3" w14:textId="0B51A239" w:rsidR="340CC62A" w:rsidRPr="00896ADF" w:rsidRDefault="455C8053" w:rsidP="571FA6C3">
            <w:pPr>
              <w:spacing w:after="120"/>
              <w:jc w:val="both"/>
              <w:rPr>
                <w:rFonts w:ascii="Calibri" w:eastAsia="Calibri" w:hAnsi="Calibri" w:cs="Calibri"/>
                <w:sz w:val="20"/>
                <w:szCs w:val="20"/>
              </w:rPr>
            </w:pPr>
            <w:r w:rsidRPr="00896ADF">
              <w:rPr>
                <w:rFonts w:ascii="Calibri" w:eastAsia="Calibri" w:hAnsi="Calibri" w:cs="Calibri"/>
                <w:sz w:val="20"/>
                <w:szCs w:val="20"/>
              </w:rPr>
              <w:t>Other target groups of social services</w:t>
            </w:r>
          </w:p>
          <w:p w14:paraId="7F506E82" w14:textId="5ABCC856" w:rsidR="340CC62A" w:rsidRPr="00896ADF" w:rsidRDefault="455C8053" w:rsidP="571FA6C3">
            <w:pPr>
              <w:spacing w:after="120"/>
              <w:jc w:val="both"/>
              <w:rPr>
                <w:rFonts w:ascii="Calibri" w:eastAsia="Calibri" w:hAnsi="Calibri" w:cs="Calibri"/>
                <w:sz w:val="20"/>
                <w:szCs w:val="20"/>
              </w:rPr>
            </w:pPr>
            <w:r w:rsidRPr="00896ADF">
              <w:rPr>
                <w:rFonts w:ascii="Calibri" w:eastAsia="Calibri" w:hAnsi="Calibri" w:cs="Calibri"/>
                <w:sz w:val="20"/>
                <w:szCs w:val="20"/>
              </w:rPr>
              <w:t>Persons dependent on care</w:t>
            </w:r>
          </w:p>
        </w:tc>
      </w:tr>
      <w:tr w:rsidR="340CC62A" w:rsidRPr="00896ADF" w14:paraId="77957246" w14:textId="77777777" w:rsidTr="571FA6C3">
        <w:trPr>
          <w:trHeight w:val="300"/>
        </w:trPr>
        <w:tc>
          <w:tcPr>
            <w:tcW w:w="2400" w:type="dxa"/>
            <w:tcBorders>
              <w:top w:val="single" w:sz="8" w:space="0" w:color="auto"/>
              <w:left w:val="single" w:sz="8" w:space="0" w:color="auto"/>
              <w:bottom w:val="single" w:sz="8" w:space="0" w:color="auto"/>
              <w:right w:val="single" w:sz="8" w:space="0" w:color="auto"/>
            </w:tcBorders>
            <w:tcMar>
              <w:left w:w="108" w:type="dxa"/>
              <w:right w:w="108" w:type="dxa"/>
            </w:tcMar>
          </w:tcPr>
          <w:p w14:paraId="6547C3AD" w14:textId="09007F2C" w:rsidR="340CC62A" w:rsidRPr="00896ADF" w:rsidRDefault="455C8053" w:rsidP="571FA6C3">
            <w:pPr>
              <w:spacing w:after="120" w:line="293" w:lineRule="auto"/>
              <w:rPr>
                <w:rFonts w:ascii="Calibri" w:eastAsia="Calibri" w:hAnsi="Calibri" w:cs="Calibri"/>
                <w:sz w:val="20"/>
                <w:szCs w:val="20"/>
              </w:rPr>
            </w:pPr>
            <w:r w:rsidRPr="00896ADF">
              <w:rPr>
                <w:rFonts w:ascii="Calibri" w:eastAsia="Calibri" w:hAnsi="Calibri" w:cs="Calibri"/>
                <w:sz w:val="20"/>
                <w:szCs w:val="20"/>
              </w:rPr>
              <w:t>The aggregate implementation costs financed by the RRF over the whole period</w:t>
            </w:r>
          </w:p>
        </w:tc>
        <w:tc>
          <w:tcPr>
            <w:tcW w:w="7230" w:type="dxa"/>
            <w:tcBorders>
              <w:top w:val="single" w:sz="8" w:space="0" w:color="auto"/>
              <w:left w:val="single" w:sz="8" w:space="0" w:color="auto"/>
              <w:bottom w:val="single" w:sz="8" w:space="0" w:color="auto"/>
              <w:right w:val="single" w:sz="8" w:space="0" w:color="auto"/>
            </w:tcBorders>
            <w:tcMar>
              <w:left w:w="108" w:type="dxa"/>
              <w:right w:w="108" w:type="dxa"/>
            </w:tcMar>
          </w:tcPr>
          <w:p w14:paraId="5C874D36" w14:textId="66AAE7F2" w:rsidR="340CC62A" w:rsidRPr="00896ADF" w:rsidRDefault="455C8053" w:rsidP="571FA6C3">
            <w:pPr>
              <w:spacing w:after="120"/>
              <w:jc w:val="both"/>
              <w:rPr>
                <w:rFonts w:ascii="Calibri" w:eastAsia="Calibri" w:hAnsi="Calibri" w:cs="Calibri"/>
                <w:sz w:val="20"/>
                <w:szCs w:val="20"/>
              </w:rPr>
            </w:pPr>
            <w:r w:rsidRPr="00896ADF">
              <w:rPr>
                <w:rFonts w:ascii="Calibri" w:eastAsia="Calibri" w:hAnsi="Calibri" w:cs="Calibri"/>
                <w:sz w:val="20"/>
                <w:szCs w:val="20"/>
              </w:rPr>
              <w:t>N/A</w:t>
            </w:r>
          </w:p>
        </w:tc>
      </w:tr>
      <w:tr w:rsidR="340CC62A" w:rsidRPr="00896ADF" w14:paraId="07424D0B" w14:textId="77777777" w:rsidTr="571FA6C3">
        <w:trPr>
          <w:trHeight w:val="300"/>
        </w:trPr>
        <w:tc>
          <w:tcPr>
            <w:tcW w:w="2400" w:type="dxa"/>
            <w:tcBorders>
              <w:top w:val="single" w:sz="8" w:space="0" w:color="auto"/>
              <w:left w:val="single" w:sz="8" w:space="0" w:color="auto"/>
              <w:bottom w:val="single" w:sz="8" w:space="0" w:color="auto"/>
              <w:right w:val="single" w:sz="8" w:space="0" w:color="auto"/>
            </w:tcBorders>
            <w:tcMar>
              <w:left w:w="108" w:type="dxa"/>
              <w:right w:w="108" w:type="dxa"/>
            </w:tcMar>
          </w:tcPr>
          <w:p w14:paraId="55D34E89" w14:textId="63F5ABCB" w:rsidR="340CC62A" w:rsidRPr="00896ADF" w:rsidRDefault="455C8053" w:rsidP="571FA6C3">
            <w:pPr>
              <w:spacing w:after="120" w:line="293" w:lineRule="auto"/>
              <w:rPr>
                <w:rFonts w:ascii="Calibri" w:eastAsia="Calibri" w:hAnsi="Calibri" w:cs="Calibri"/>
                <w:sz w:val="20"/>
                <w:szCs w:val="20"/>
              </w:rPr>
            </w:pPr>
            <w:r w:rsidRPr="00896ADF">
              <w:rPr>
                <w:rFonts w:ascii="Calibri" w:eastAsia="Calibri" w:hAnsi="Calibri" w:cs="Calibri"/>
                <w:sz w:val="20"/>
                <w:szCs w:val="20"/>
              </w:rPr>
              <w:t>Compliance with State aid rules</w:t>
            </w:r>
          </w:p>
        </w:tc>
        <w:tc>
          <w:tcPr>
            <w:tcW w:w="7230" w:type="dxa"/>
            <w:tcBorders>
              <w:top w:val="single" w:sz="8" w:space="0" w:color="auto"/>
              <w:left w:val="single" w:sz="8" w:space="0" w:color="auto"/>
              <w:bottom w:val="single" w:sz="8" w:space="0" w:color="auto"/>
              <w:right w:val="single" w:sz="8" w:space="0" w:color="auto"/>
            </w:tcBorders>
            <w:tcMar>
              <w:left w:w="108" w:type="dxa"/>
              <w:right w:w="108" w:type="dxa"/>
            </w:tcMar>
          </w:tcPr>
          <w:p w14:paraId="7BE4E878" w14:textId="5647FB7F" w:rsidR="340CC62A" w:rsidRPr="00896ADF" w:rsidRDefault="455C8053" w:rsidP="571FA6C3">
            <w:pPr>
              <w:spacing w:after="120"/>
              <w:jc w:val="both"/>
              <w:rPr>
                <w:rFonts w:ascii="Calibri" w:eastAsia="Calibri" w:hAnsi="Calibri" w:cs="Calibri"/>
                <w:sz w:val="20"/>
                <w:szCs w:val="20"/>
              </w:rPr>
            </w:pPr>
            <w:r w:rsidRPr="00896ADF">
              <w:rPr>
                <w:rFonts w:ascii="Calibri" w:eastAsia="Calibri" w:hAnsi="Calibri" w:cs="Calibri"/>
                <w:sz w:val="20"/>
                <w:szCs w:val="20"/>
              </w:rPr>
              <w:t>N/A</w:t>
            </w:r>
          </w:p>
        </w:tc>
      </w:tr>
      <w:tr w:rsidR="340CC62A" w14:paraId="761DE30D" w14:textId="77777777" w:rsidTr="571FA6C3">
        <w:trPr>
          <w:trHeight w:val="300"/>
        </w:trPr>
        <w:tc>
          <w:tcPr>
            <w:tcW w:w="2400" w:type="dxa"/>
            <w:tcBorders>
              <w:top w:val="single" w:sz="8" w:space="0" w:color="auto"/>
              <w:left w:val="single" w:sz="8" w:space="0" w:color="auto"/>
              <w:bottom w:val="single" w:sz="8" w:space="0" w:color="auto"/>
              <w:right w:val="single" w:sz="8" w:space="0" w:color="auto"/>
            </w:tcBorders>
            <w:tcMar>
              <w:left w:w="108" w:type="dxa"/>
              <w:right w:w="108" w:type="dxa"/>
            </w:tcMar>
          </w:tcPr>
          <w:p w14:paraId="75FB1EDB" w14:textId="726D330C" w:rsidR="340CC62A" w:rsidRPr="00896ADF" w:rsidRDefault="455C8053" w:rsidP="571FA6C3">
            <w:pPr>
              <w:spacing w:after="120" w:line="293" w:lineRule="auto"/>
              <w:rPr>
                <w:rFonts w:ascii="Calibri" w:eastAsia="Calibri" w:hAnsi="Calibri" w:cs="Calibri"/>
                <w:sz w:val="20"/>
                <w:szCs w:val="20"/>
              </w:rPr>
            </w:pPr>
            <w:r w:rsidRPr="00896ADF">
              <w:rPr>
                <w:rFonts w:ascii="Calibri" w:eastAsia="Calibri" w:hAnsi="Calibri" w:cs="Calibri"/>
                <w:sz w:val="20"/>
                <w:szCs w:val="20"/>
              </w:rPr>
              <w:t>State the implementation period</w:t>
            </w:r>
          </w:p>
        </w:tc>
        <w:tc>
          <w:tcPr>
            <w:tcW w:w="7230" w:type="dxa"/>
            <w:tcBorders>
              <w:top w:val="single" w:sz="8" w:space="0" w:color="auto"/>
              <w:left w:val="single" w:sz="8" w:space="0" w:color="auto"/>
              <w:bottom w:val="single" w:sz="8" w:space="0" w:color="auto"/>
              <w:right w:val="single" w:sz="8" w:space="0" w:color="auto"/>
            </w:tcBorders>
            <w:tcMar>
              <w:left w:w="108" w:type="dxa"/>
              <w:right w:w="108" w:type="dxa"/>
            </w:tcMar>
          </w:tcPr>
          <w:p w14:paraId="5E7F7EF6" w14:textId="4F108FAD" w:rsidR="340CC62A" w:rsidRDefault="60DEAA93" w:rsidP="571FA6C3">
            <w:pPr>
              <w:spacing w:after="120"/>
              <w:jc w:val="both"/>
              <w:rPr>
                <w:rFonts w:ascii="Calibri" w:eastAsia="Calibri" w:hAnsi="Calibri" w:cs="Calibri"/>
                <w:sz w:val="20"/>
                <w:szCs w:val="20"/>
              </w:rPr>
            </w:pPr>
            <w:r w:rsidRPr="00896ADF">
              <w:rPr>
                <w:rFonts w:ascii="Calibri" w:eastAsia="Calibri" w:hAnsi="Calibri" w:cs="Calibri"/>
                <w:sz w:val="20"/>
                <w:szCs w:val="20"/>
              </w:rPr>
              <w:t>3</w:t>
            </w:r>
            <w:r w:rsidR="61E7BB05" w:rsidRPr="00896ADF">
              <w:rPr>
                <w:rFonts w:ascii="Calibri" w:eastAsia="Calibri" w:hAnsi="Calibri" w:cs="Calibri"/>
                <w:sz w:val="20"/>
                <w:szCs w:val="20"/>
              </w:rPr>
              <w:t>Q/</w:t>
            </w:r>
            <w:r w:rsidR="455C8053" w:rsidRPr="00896ADF">
              <w:rPr>
                <w:rFonts w:ascii="Calibri" w:eastAsia="Calibri" w:hAnsi="Calibri" w:cs="Calibri"/>
                <w:sz w:val="20"/>
                <w:szCs w:val="20"/>
              </w:rPr>
              <w:t xml:space="preserve">2023 – </w:t>
            </w:r>
            <w:r w:rsidR="7547E71E" w:rsidRPr="00896ADF">
              <w:rPr>
                <w:rFonts w:ascii="Calibri" w:eastAsia="Calibri" w:hAnsi="Calibri" w:cs="Calibri"/>
                <w:sz w:val="20"/>
                <w:szCs w:val="20"/>
              </w:rPr>
              <w:t>2</w:t>
            </w:r>
            <w:r w:rsidR="7C32CD4D" w:rsidRPr="00896ADF">
              <w:rPr>
                <w:rFonts w:ascii="Calibri" w:eastAsia="Calibri" w:hAnsi="Calibri" w:cs="Calibri"/>
                <w:sz w:val="20"/>
                <w:szCs w:val="20"/>
              </w:rPr>
              <w:t>Q</w:t>
            </w:r>
            <w:r w:rsidR="6C5805EE" w:rsidRPr="00896ADF">
              <w:rPr>
                <w:rFonts w:ascii="Calibri" w:eastAsia="Calibri" w:hAnsi="Calibri" w:cs="Calibri"/>
                <w:sz w:val="20"/>
                <w:szCs w:val="20"/>
              </w:rPr>
              <w:t>/</w:t>
            </w:r>
            <w:r w:rsidR="7C32CD4D" w:rsidRPr="00896ADF">
              <w:rPr>
                <w:rFonts w:ascii="Calibri" w:eastAsia="Calibri" w:hAnsi="Calibri" w:cs="Calibri"/>
                <w:sz w:val="20"/>
                <w:szCs w:val="20"/>
              </w:rPr>
              <w:t>202</w:t>
            </w:r>
            <w:r w:rsidR="60EE95BC" w:rsidRPr="00896ADF">
              <w:rPr>
                <w:rFonts w:ascii="Calibri" w:eastAsia="Calibri" w:hAnsi="Calibri" w:cs="Calibri"/>
                <w:sz w:val="20"/>
                <w:szCs w:val="20"/>
              </w:rPr>
              <w:t>5</w:t>
            </w:r>
          </w:p>
        </w:tc>
      </w:tr>
    </w:tbl>
    <w:p w14:paraId="28BC2439" w14:textId="471C168B" w:rsidR="340CC62A" w:rsidRDefault="340CC62A" w:rsidP="571FA6C3">
      <w:pPr>
        <w:spacing w:after="0"/>
        <w:jc w:val="both"/>
        <w:rPr>
          <w:rFonts w:ascii="Calibri" w:eastAsia="Calibri" w:hAnsi="Calibri" w:cs="Calibri"/>
        </w:rPr>
      </w:pPr>
    </w:p>
    <w:p w14:paraId="1AC480A6" w14:textId="3C0360C0" w:rsidR="340CC62A" w:rsidRDefault="340CC62A" w:rsidP="571FA6C3">
      <w:pPr>
        <w:spacing w:beforeAutospacing="1" w:afterAutospacing="1"/>
        <w:jc w:val="both"/>
      </w:pPr>
    </w:p>
    <w:sectPr w:rsidR="340CC62A" w:rsidSect="00CC5E40">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62B466C" w16cex:dateUtc="2023-05-29T05:12:35.388Z"/>
  <w16cex:commentExtensible w16cex:durableId="5E028BC5" w16cex:dateUtc="2023-05-29T05:15:26.866Z"/>
  <w16cex:commentExtensible w16cex:durableId="6E1D928B" w16cex:dateUtc="2023-06-02T05:50:09.776Z"/>
  <w16cex:commentExtensible w16cex:durableId="63FF2063" w16cex:dateUtc="2023-06-02T05:51:41.877Z"/>
  <w16cex:commentExtensible w16cex:durableId="1244A9EE" w16cex:dateUtc="2023-06-02T05:51:57.56Z"/>
  <w16cex:commentExtensible w16cex:durableId="69EBF452" w16cex:dateUtc="2023-06-02T05:54:13.363Z"/>
  <w16cex:commentExtensible w16cex:durableId="63493D53" w16cex:dateUtc="2023-06-02T05:55:18.33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D868A4" w14:textId="77777777" w:rsidR="00E21880" w:rsidRDefault="00E21880" w:rsidP="00677FE0">
      <w:pPr>
        <w:spacing w:after="0" w:line="240" w:lineRule="auto"/>
      </w:pPr>
      <w:r>
        <w:separator/>
      </w:r>
    </w:p>
  </w:endnote>
  <w:endnote w:type="continuationSeparator" w:id="0">
    <w:p w14:paraId="2CDD4F55" w14:textId="77777777" w:rsidR="00E21880" w:rsidRDefault="00E21880" w:rsidP="00677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quot;Courier New&quot;">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27542" w14:textId="77777777" w:rsidR="00E21880" w:rsidRDefault="00E2188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DB612" w14:textId="77777777" w:rsidR="00E21880" w:rsidRDefault="00E218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D0BCC" w14:textId="77777777" w:rsidR="00E21880" w:rsidRDefault="00E2188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16D35" w14:textId="77777777" w:rsidR="00E21880" w:rsidRDefault="00E21880" w:rsidP="00677FE0">
      <w:pPr>
        <w:spacing w:after="0" w:line="240" w:lineRule="auto"/>
      </w:pPr>
      <w:r>
        <w:separator/>
      </w:r>
    </w:p>
  </w:footnote>
  <w:footnote w:type="continuationSeparator" w:id="0">
    <w:p w14:paraId="441AAA90" w14:textId="77777777" w:rsidR="00E21880" w:rsidRDefault="00E21880" w:rsidP="00677FE0">
      <w:pPr>
        <w:spacing w:after="0" w:line="240" w:lineRule="auto"/>
      </w:pPr>
      <w:r>
        <w:continuationSeparator/>
      </w:r>
    </w:p>
  </w:footnote>
  <w:footnote w:id="1">
    <w:p w14:paraId="0F260B1F" w14:textId="599304E3" w:rsidR="00E21880" w:rsidRPr="005D1A50" w:rsidRDefault="00E21880" w:rsidP="000F6FBC">
      <w:pPr>
        <w:rPr>
          <w:sz w:val="20"/>
          <w:szCs w:val="20"/>
          <w:lang w:val="en-IE"/>
        </w:rPr>
      </w:pPr>
      <w:r>
        <w:rPr>
          <w:rStyle w:val="Znakapoznpodarou"/>
        </w:rPr>
        <w:footnoteRef/>
      </w:r>
      <w:r>
        <w:t xml:space="preserve"> </w:t>
      </w:r>
      <w:r w:rsidRPr="000F6FBC">
        <w:rPr>
          <w:sz w:val="20"/>
          <w:szCs w:val="20"/>
          <w:lang w:val="en-IE"/>
        </w:rPr>
        <w:t xml:space="preserve"> </w:t>
      </w:r>
      <w:r w:rsidRPr="005D1A50">
        <w:rPr>
          <w:sz w:val="20"/>
          <w:szCs w:val="20"/>
          <w:lang w:val="en-IE"/>
        </w:rPr>
        <w:t>The amount is determined as the sum of investment and non-investment costs, taking into account the different inflation rates (see the CID Change Calculations table for details).</w:t>
      </w:r>
    </w:p>
    <w:p w14:paraId="41856872" w14:textId="77777777" w:rsidR="00E21880" w:rsidRPr="005D1A50" w:rsidRDefault="00E21880" w:rsidP="000F6FBC">
      <w:pPr>
        <w:rPr>
          <w:sz w:val="20"/>
          <w:szCs w:val="20"/>
          <w:lang w:val="en-IE"/>
        </w:rPr>
      </w:pPr>
    </w:p>
    <w:p w14:paraId="1BF8A116" w14:textId="4A71E9E0" w:rsidR="00E21880" w:rsidRDefault="00E21880" w:rsidP="00CA545B">
      <w:pPr>
        <w:pStyle w:val="Textpoznpodarou"/>
      </w:pPr>
      <w:r>
        <w:rPr>
          <w:rFonts w:asciiTheme="minorHAnsi" w:hAnsiTheme="minorHAnsi" w:cstheme="minorHAnsi"/>
          <w:sz w:val="16"/>
          <w:szCs w:val="16"/>
        </w:rPr>
        <w:t>.</w:t>
      </w:r>
    </w:p>
  </w:footnote>
  <w:footnote w:id="2">
    <w:p w14:paraId="6D57F457" w14:textId="77777777" w:rsidR="00E21880" w:rsidRDefault="00E21880" w:rsidP="004774BD">
      <w:pPr>
        <w:pStyle w:val="Textpoznpodarou"/>
      </w:pPr>
      <w:r w:rsidRPr="00FA53DF">
        <w:rPr>
          <w:rStyle w:val="Znakapoznpodarou"/>
        </w:rPr>
        <w:footnoteRef/>
      </w:r>
      <w:r w:rsidRPr="00FA53DF">
        <w:t xml:space="preserve"> </w:t>
      </w:r>
      <w:r w:rsidRPr="00FA53DF">
        <w:rPr>
          <w:sz w:val="16"/>
          <w:szCs w:val="16"/>
        </w:rPr>
        <w:t>Výsledná částka je přibližně rovna násobku průměrného rozpočtu projektu a počtu projektů (</w:t>
      </w:r>
      <w:r>
        <w:rPr>
          <w:sz w:val="16"/>
          <w:szCs w:val="16"/>
        </w:rPr>
        <w:t>30 467 767,93</w:t>
      </w:r>
      <w:r w:rsidRPr="00FA53DF">
        <w:rPr>
          <w:sz w:val="16"/>
          <w:szCs w:val="16"/>
        </w:rPr>
        <w:t xml:space="preserve"> x </w:t>
      </w:r>
      <w:r>
        <w:rPr>
          <w:sz w:val="16"/>
          <w:szCs w:val="16"/>
        </w:rPr>
        <w:t>27</w:t>
      </w:r>
      <w:r w:rsidRPr="00FA53DF">
        <w:rPr>
          <w:sz w:val="16"/>
          <w:szCs w:val="16"/>
        </w:rPr>
        <w:t xml:space="preserve"> = </w:t>
      </w:r>
      <w:r>
        <w:rPr>
          <w:sz w:val="16"/>
          <w:szCs w:val="16"/>
        </w:rPr>
        <w:t>822 629 734</w:t>
      </w:r>
      <w:r w:rsidRPr="00FA53DF">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1ACC5" w14:textId="77777777" w:rsidR="00E21880" w:rsidRDefault="00E2188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654B6" w14:textId="77777777" w:rsidR="00E21880" w:rsidRDefault="00E2188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5234E" w14:textId="77777777" w:rsidR="00E21880" w:rsidRDefault="00E2188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D1B93"/>
    <w:multiLevelType w:val="multilevel"/>
    <w:tmpl w:val="E8A48D7C"/>
    <w:styleLink w:val="VariantaA-sla"/>
    <w:lvl w:ilvl="0">
      <w:start w:val="1"/>
      <w:numFmt w:val="decimal"/>
      <w:pStyle w:val="slovanseznam"/>
      <w:lvlText w:val="%1."/>
      <w:lvlJc w:val="left"/>
      <w:pPr>
        <w:ind w:left="357" w:hanging="357"/>
      </w:pPr>
      <w:rPr>
        <w:rFonts w:hint="default"/>
      </w:rPr>
    </w:lvl>
    <w:lvl w:ilvl="1">
      <w:start w:val="1"/>
      <w:numFmt w:val="decimal"/>
      <w:pStyle w:val="slovanseznam2"/>
      <w:lvlText w:val="%1.%2."/>
      <w:lvlJc w:val="left"/>
      <w:pPr>
        <w:ind w:left="851" w:hanging="494"/>
      </w:pPr>
      <w:rPr>
        <w:rFonts w:hint="default"/>
      </w:rPr>
    </w:lvl>
    <w:lvl w:ilvl="2">
      <w:start w:val="1"/>
      <w:numFmt w:val="decimal"/>
      <w:pStyle w:val="slovanseznam3"/>
      <w:lvlText w:val="%1.%2.%3."/>
      <w:lvlJc w:val="left"/>
      <w:pPr>
        <w:ind w:left="1474" w:hanging="623"/>
      </w:pPr>
      <w:rPr>
        <w:rFonts w:hint="default"/>
      </w:rPr>
    </w:lvl>
    <w:lvl w:ilvl="3">
      <w:start w:val="1"/>
      <w:numFmt w:val="decimal"/>
      <w:pStyle w:val="slovanseznam4"/>
      <w:lvlText w:val="%1.%2.%3.%4."/>
      <w:lvlJc w:val="left"/>
      <w:pPr>
        <w:tabs>
          <w:tab w:val="num" w:pos="1474"/>
        </w:tabs>
        <w:ind w:left="2268" w:hanging="794"/>
      </w:pPr>
      <w:rPr>
        <w:rFonts w:hint="default"/>
      </w:rPr>
    </w:lvl>
    <w:lvl w:ilvl="4">
      <w:start w:val="1"/>
      <w:numFmt w:val="decimal"/>
      <w:pStyle w:val="slovanseznam5"/>
      <w:lvlText w:val="%1.%2.%3.%4.%5."/>
      <w:lvlJc w:val="left"/>
      <w:pPr>
        <w:ind w:left="3232" w:hanging="964"/>
      </w:pPr>
      <w:rPr>
        <w:rFonts w:hint="default"/>
      </w:rPr>
    </w:lvl>
    <w:lvl w:ilvl="5">
      <w:start w:val="1"/>
      <w:numFmt w:val="decimal"/>
      <w:lvlText w:val="%1.%2.%3.%4.%5.%6."/>
      <w:lvlJc w:val="left"/>
      <w:pPr>
        <w:ind w:left="4366" w:hanging="1134"/>
      </w:pPr>
      <w:rPr>
        <w:rFonts w:hint="default"/>
      </w:rPr>
    </w:lvl>
    <w:lvl w:ilvl="6">
      <w:start w:val="1"/>
      <w:numFmt w:val="decimal"/>
      <w:lvlText w:val="%1.%2.%3.%4.%5.%6.%7."/>
      <w:lvlJc w:val="left"/>
      <w:pPr>
        <w:tabs>
          <w:tab w:val="num" w:pos="3232"/>
        </w:tabs>
        <w:ind w:left="4536" w:hanging="1304"/>
      </w:pPr>
      <w:rPr>
        <w:rFonts w:hint="default"/>
      </w:rPr>
    </w:lvl>
    <w:lvl w:ilvl="7">
      <w:start w:val="1"/>
      <w:numFmt w:val="decimal"/>
      <w:lvlText w:val="%1.%2.%3.%4.%5.%6.%7.%8."/>
      <w:lvlJc w:val="left"/>
      <w:pPr>
        <w:tabs>
          <w:tab w:val="num" w:pos="3232"/>
        </w:tabs>
        <w:ind w:left="4706" w:hanging="1474"/>
      </w:pPr>
      <w:rPr>
        <w:rFonts w:hint="default"/>
      </w:rPr>
    </w:lvl>
    <w:lvl w:ilvl="8">
      <w:start w:val="1"/>
      <w:numFmt w:val="decimal"/>
      <w:lvlText w:val="%1.%2.%3.%4.%5.%6.%7.%8.%9."/>
      <w:lvlJc w:val="left"/>
      <w:pPr>
        <w:ind w:left="4876" w:hanging="1644"/>
      </w:pPr>
      <w:rPr>
        <w:rFonts w:hint="default"/>
      </w:rPr>
    </w:lvl>
  </w:abstractNum>
  <w:abstractNum w:abstractNumId="1" w15:restartNumberingAfterBreak="0">
    <w:nsid w:val="0A00F3F3"/>
    <w:multiLevelType w:val="hybridMultilevel"/>
    <w:tmpl w:val="9BE420F6"/>
    <w:lvl w:ilvl="0" w:tplc="FB906F9C">
      <w:start w:val="1"/>
      <w:numFmt w:val="decimal"/>
      <w:lvlText w:val="%1."/>
      <w:lvlJc w:val="left"/>
      <w:pPr>
        <w:ind w:left="720" w:hanging="360"/>
      </w:pPr>
    </w:lvl>
    <w:lvl w:ilvl="1" w:tplc="50E4A76A">
      <w:start w:val="1"/>
      <w:numFmt w:val="lowerLetter"/>
      <w:lvlText w:val="%2."/>
      <w:lvlJc w:val="left"/>
      <w:pPr>
        <w:ind w:left="1440" w:hanging="360"/>
      </w:pPr>
    </w:lvl>
    <w:lvl w:ilvl="2" w:tplc="34C2810C">
      <w:start w:val="1"/>
      <w:numFmt w:val="lowerRoman"/>
      <w:lvlText w:val="%3."/>
      <w:lvlJc w:val="right"/>
      <w:pPr>
        <w:ind w:left="2160" w:hanging="180"/>
      </w:pPr>
    </w:lvl>
    <w:lvl w:ilvl="3" w:tplc="48C05652">
      <w:start w:val="1"/>
      <w:numFmt w:val="decimal"/>
      <w:lvlText w:val="%4."/>
      <w:lvlJc w:val="left"/>
      <w:pPr>
        <w:ind w:left="2880" w:hanging="360"/>
      </w:pPr>
    </w:lvl>
    <w:lvl w:ilvl="4" w:tplc="1CEA8030">
      <w:start w:val="1"/>
      <w:numFmt w:val="lowerLetter"/>
      <w:lvlText w:val="%5."/>
      <w:lvlJc w:val="left"/>
      <w:pPr>
        <w:ind w:left="3600" w:hanging="360"/>
      </w:pPr>
    </w:lvl>
    <w:lvl w:ilvl="5" w:tplc="23F6E26E">
      <w:start w:val="1"/>
      <w:numFmt w:val="lowerRoman"/>
      <w:lvlText w:val="%6."/>
      <w:lvlJc w:val="right"/>
      <w:pPr>
        <w:ind w:left="4320" w:hanging="180"/>
      </w:pPr>
    </w:lvl>
    <w:lvl w:ilvl="6" w:tplc="50789882">
      <w:start w:val="1"/>
      <w:numFmt w:val="decimal"/>
      <w:lvlText w:val="%7."/>
      <w:lvlJc w:val="left"/>
      <w:pPr>
        <w:ind w:left="5040" w:hanging="360"/>
      </w:pPr>
    </w:lvl>
    <w:lvl w:ilvl="7" w:tplc="22383396">
      <w:start w:val="1"/>
      <w:numFmt w:val="lowerLetter"/>
      <w:lvlText w:val="%8."/>
      <w:lvlJc w:val="left"/>
      <w:pPr>
        <w:ind w:left="5760" w:hanging="360"/>
      </w:pPr>
    </w:lvl>
    <w:lvl w:ilvl="8" w:tplc="7A4C417E">
      <w:start w:val="1"/>
      <w:numFmt w:val="lowerRoman"/>
      <w:lvlText w:val="%9."/>
      <w:lvlJc w:val="right"/>
      <w:pPr>
        <w:ind w:left="6480" w:hanging="180"/>
      </w:pPr>
    </w:lvl>
  </w:abstractNum>
  <w:abstractNum w:abstractNumId="2" w15:restartNumberingAfterBreak="0">
    <w:nsid w:val="0BD65099"/>
    <w:multiLevelType w:val="hybridMultilevel"/>
    <w:tmpl w:val="705E3EA4"/>
    <w:lvl w:ilvl="0" w:tplc="72907D44">
      <w:start w:val="1"/>
      <w:numFmt w:val="bullet"/>
      <w:lvlText w:val=""/>
      <w:lvlJc w:val="left"/>
      <w:pPr>
        <w:ind w:left="831" w:hanging="360"/>
      </w:pPr>
      <w:rPr>
        <w:rFonts w:ascii="Symbol" w:hAnsi="Symbol" w:hint="default"/>
        <w:color w:val="auto"/>
        <w:w w:val="100"/>
        <w:sz w:val="16"/>
        <w:szCs w:val="16"/>
        <w:lang w:val="en-GB" w:eastAsia="en-GB" w:bidi="en-GB"/>
      </w:rPr>
    </w:lvl>
    <w:lvl w:ilvl="1" w:tplc="FFFFFFFF">
      <w:numFmt w:val="bullet"/>
      <w:lvlText w:val="•"/>
      <w:lvlJc w:val="left"/>
      <w:pPr>
        <w:ind w:left="1228" w:hanging="360"/>
      </w:pPr>
      <w:rPr>
        <w:rFonts w:hint="default"/>
        <w:lang w:val="en-GB" w:eastAsia="en-GB" w:bidi="en-GB"/>
      </w:rPr>
    </w:lvl>
    <w:lvl w:ilvl="2" w:tplc="FFFFFFFF">
      <w:numFmt w:val="bullet"/>
      <w:lvlText w:val="•"/>
      <w:lvlJc w:val="left"/>
      <w:pPr>
        <w:ind w:left="1617" w:hanging="360"/>
      </w:pPr>
      <w:rPr>
        <w:rFonts w:hint="default"/>
        <w:lang w:val="en-GB" w:eastAsia="en-GB" w:bidi="en-GB"/>
      </w:rPr>
    </w:lvl>
    <w:lvl w:ilvl="3" w:tplc="FFFFFFFF">
      <w:numFmt w:val="bullet"/>
      <w:lvlText w:val="•"/>
      <w:lvlJc w:val="left"/>
      <w:pPr>
        <w:ind w:left="2005" w:hanging="360"/>
      </w:pPr>
      <w:rPr>
        <w:rFonts w:hint="default"/>
        <w:lang w:val="en-GB" w:eastAsia="en-GB" w:bidi="en-GB"/>
      </w:rPr>
    </w:lvl>
    <w:lvl w:ilvl="4" w:tplc="FFFFFFFF">
      <w:numFmt w:val="bullet"/>
      <w:lvlText w:val="•"/>
      <w:lvlJc w:val="left"/>
      <w:pPr>
        <w:ind w:left="2394" w:hanging="360"/>
      </w:pPr>
      <w:rPr>
        <w:rFonts w:hint="default"/>
        <w:lang w:val="en-GB" w:eastAsia="en-GB" w:bidi="en-GB"/>
      </w:rPr>
    </w:lvl>
    <w:lvl w:ilvl="5" w:tplc="FFFFFFFF">
      <w:numFmt w:val="bullet"/>
      <w:lvlText w:val="•"/>
      <w:lvlJc w:val="left"/>
      <w:pPr>
        <w:ind w:left="2782" w:hanging="360"/>
      </w:pPr>
      <w:rPr>
        <w:rFonts w:hint="default"/>
        <w:lang w:val="en-GB" w:eastAsia="en-GB" w:bidi="en-GB"/>
      </w:rPr>
    </w:lvl>
    <w:lvl w:ilvl="6" w:tplc="FFFFFFFF">
      <w:numFmt w:val="bullet"/>
      <w:lvlText w:val="•"/>
      <w:lvlJc w:val="left"/>
      <w:pPr>
        <w:ind w:left="3171" w:hanging="360"/>
      </w:pPr>
      <w:rPr>
        <w:rFonts w:hint="default"/>
        <w:lang w:val="en-GB" w:eastAsia="en-GB" w:bidi="en-GB"/>
      </w:rPr>
    </w:lvl>
    <w:lvl w:ilvl="7" w:tplc="FFFFFFFF">
      <w:numFmt w:val="bullet"/>
      <w:lvlText w:val="•"/>
      <w:lvlJc w:val="left"/>
      <w:pPr>
        <w:ind w:left="3559" w:hanging="360"/>
      </w:pPr>
      <w:rPr>
        <w:rFonts w:hint="default"/>
        <w:lang w:val="en-GB" w:eastAsia="en-GB" w:bidi="en-GB"/>
      </w:rPr>
    </w:lvl>
    <w:lvl w:ilvl="8" w:tplc="FFFFFFFF">
      <w:numFmt w:val="bullet"/>
      <w:lvlText w:val="•"/>
      <w:lvlJc w:val="left"/>
      <w:pPr>
        <w:ind w:left="3948" w:hanging="360"/>
      </w:pPr>
      <w:rPr>
        <w:rFonts w:hint="default"/>
        <w:lang w:val="en-GB" w:eastAsia="en-GB" w:bidi="en-GB"/>
      </w:rPr>
    </w:lvl>
  </w:abstractNum>
  <w:abstractNum w:abstractNumId="3" w15:restartNumberingAfterBreak="0">
    <w:nsid w:val="12D8172D"/>
    <w:multiLevelType w:val="hybridMultilevel"/>
    <w:tmpl w:val="99C24B20"/>
    <w:lvl w:ilvl="0" w:tplc="10E698D6">
      <w:numFmt w:val="bullet"/>
      <w:lvlText w:val="•"/>
      <w:lvlJc w:val="left"/>
      <w:pPr>
        <w:ind w:left="720" w:hanging="360"/>
      </w:pPr>
      <w:rPr>
        <w:rFonts w:hint="default"/>
        <w:lang w:val="en-GB" w:eastAsia="en-GB" w:bidi="en-G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0316F8"/>
    <w:multiLevelType w:val="multilevel"/>
    <w:tmpl w:val="3320A8B2"/>
    <w:numStyleLink w:val="VariantaB-odrky"/>
  </w:abstractNum>
  <w:abstractNum w:abstractNumId="5" w15:restartNumberingAfterBreak="0">
    <w:nsid w:val="15E76539"/>
    <w:multiLevelType w:val="hybridMultilevel"/>
    <w:tmpl w:val="1AB29CD2"/>
    <w:lvl w:ilvl="0" w:tplc="72907D44">
      <w:start w:val="1"/>
      <w:numFmt w:val="bullet"/>
      <w:lvlText w:val=""/>
      <w:lvlJc w:val="left"/>
      <w:pPr>
        <w:ind w:left="831" w:hanging="360"/>
      </w:pPr>
      <w:rPr>
        <w:rFonts w:ascii="Symbol" w:hAnsi="Symbol" w:hint="default"/>
        <w:color w:val="auto"/>
        <w:w w:val="100"/>
        <w:sz w:val="16"/>
        <w:szCs w:val="16"/>
        <w:lang w:val="en-GB" w:eastAsia="en-GB" w:bidi="en-GB"/>
      </w:rPr>
    </w:lvl>
    <w:lvl w:ilvl="1" w:tplc="FFFFFFFF">
      <w:numFmt w:val="bullet"/>
      <w:lvlText w:val="•"/>
      <w:lvlJc w:val="left"/>
      <w:pPr>
        <w:ind w:left="1228" w:hanging="360"/>
      </w:pPr>
      <w:rPr>
        <w:rFonts w:hint="default"/>
        <w:lang w:val="en-GB" w:eastAsia="en-GB" w:bidi="en-GB"/>
      </w:rPr>
    </w:lvl>
    <w:lvl w:ilvl="2" w:tplc="FFFFFFFF">
      <w:numFmt w:val="bullet"/>
      <w:lvlText w:val="•"/>
      <w:lvlJc w:val="left"/>
      <w:pPr>
        <w:ind w:left="1617" w:hanging="360"/>
      </w:pPr>
      <w:rPr>
        <w:rFonts w:hint="default"/>
        <w:lang w:val="en-GB" w:eastAsia="en-GB" w:bidi="en-GB"/>
      </w:rPr>
    </w:lvl>
    <w:lvl w:ilvl="3" w:tplc="FFFFFFFF">
      <w:numFmt w:val="bullet"/>
      <w:lvlText w:val="•"/>
      <w:lvlJc w:val="left"/>
      <w:pPr>
        <w:ind w:left="2005" w:hanging="360"/>
      </w:pPr>
      <w:rPr>
        <w:rFonts w:hint="default"/>
        <w:lang w:val="en-GB" w:eastAsia="en-GB" w:bidi="en-GB"/>
      </w:rPr>
    </w:lvl>
    <w:lvl w:ilvl="4" w:tplc="FFFFFFFF">
      <w:numFmt w:val="bullet"/>
      <w:lvlText w:val="•"/>
      <w:lvlJc w:val="left"/>
      <w:pPr>
        <w:ind w:left="2394" w:hanging="360"/>
      </w:pPr>
      <w:rPr>
        <w:rFonts w:hint="default"/>
        <w:lang w:val="en-GB" w:eastAsia="en-GB" w:bidi="en-GB"/>
      </w:rPr>
    </w:lvl>
    <w:lvl w:ilvl="5" w:tplc="FFFFFFFF">
      <w:numFmt w:val="bullet"/>
      <w:lvlText w:val="•"/>
      <w:lvlJc w:val="left"/>
      <w:pPr>
        <w:ind w:left="2782" w:hanging="360"/>
      </w:pPr>
      <w:rPr>
        <w:rFonts w:hint="default"/>
        <w:lang w:val="en-GB" w:eastAsia="en-GB" w:bidi="en-GB"/>
      </w:rPr>
    </w:lvl>
    <w:lvl w:ilvl="6" w:tplc="FFFFFFFF">
      <w:numFmt w:val="bullet"/>
      <w:lvlText w:val="•"/>
      <w:lvlJc w:val="left"/>
      <w:pPr>
        <w:ind w:left="3171" w:hanging="360"/>
      </w:pPr>
      <w:rPr>
        <w:rFonts w:hint="default"/>
        <w:lang w:val="en-GB" w:eastAsia="en-GB" w:bidi="en-GB"/>
      </w:rPr>
    </w:lvl>
    <w:lvl w:ilvl="7" w:tplc="FFFFFFFF">
      <w:numFmt w:val="bullet"/>
      <w:lvlText w:val="•"/>
      <w:lvlJc w:val="left"/>
      <w:pPr>
        <w:ind w:left="3559" w:hanging="360"/>
      </w:pPr>
      <w:rPr>
        <w:rFonts w:hint="default"/>
        <w:lang w:val="en-GB" w:eastAsia="en-GB" w:bidi="en-GB"/>
      </w:rPr>
    </w:lvl>
    <w:lvl w:ilvl="8" w:tplc="FFFFFFFF">
      <w:numFmt w:val="bullet"/>
      <w:lvlText w:val="•"/>
      <w:lvlJc w:val="left"/>
      <w:pPr>
        <w:ind w:left="3948" w:hanging="360"/>
      </w:pPr>
      <w:rPr>
        <w:rFonts w:hint="default"/>
        <w:lang w:val="en-GB" w:eastAsia="en-GB" w:bidi="en-GB"/>
      </w:rPr>
    </w:lvl>
  </w:abstractNum>
  <w:abstractNum w:abstractNumId="6" w15:restartNumberingAfterBreak="0">
    <w:nsid w:val="1615572B"/>
    <w:multiLevelType w:val="multilevel"/>
    <w:tmpl w:val="3320A8B2"/>
    <w:styleLink w:val="VariantaB-odrky"/>
    <w:lvl w:ilvl="0">
      <w:start w:val="1"/>
      <w:numFmt w:val="bullet"/>
      <w:pStyle w:val="SeznamsodrkamiB"/>
      <w:lvlText w:val="—"/>
      <w:lvlJc w:val="left"/>
      <w:pPr>
        <w:ind w:left="357" w:hanging="357"/>
      </w:pPr>
      <w:rPr>
        <w:rFonts w:ascii="Calibri" w:hAnsi="Calibri" w:hint="default"/>
        <w:sz w:val="16"/>
      </w:rPr>
    </w:lvl>
    <w:lvl w:ilvl="1">
      <w:start w:val="1"/>
      <w:numFmt w:val="bullet"/>
      <w:pStyle w:val="SeznamsodrkamiB2"/>
      <w:lvlText w:val=""/>
      <w:lvlJc w:val="left"/>
      <w:pPr>
        <w:ind w:left="714" w:hanging="357"/>
      </w:pPr>
      <w:rPr>
        <w:rFonts w:ascii="Wingdings" w:hAnsi="Wingdings" w:hint="default"/>
        <w:sz w:val="14"/>
      </w:rPr>
    </w:lvl>
    <w:lvl w:ilvl="2">
      <w:start w:val="1"/>
      <w:numFmt w:val="bullet"/>
      <w:pStyle w:val="SeznamsodrkamiB3"/>
      <w:lvlText w:val=""/>
      <w:lvlJc w:val="left"/>
      <w:pPr>
        <w:ind w:left="1071" w:hanging="357"/>
      </w:pPr>
      <w:rPr>
        <w:rFonts w:ascii="Wingdings 2" w:hAnsi="Wingdings 2" w:hint="default"/>
      </w:rPr>
    </w:lvl>
    <w:lvl w:ilvl="3">
      <w:start w:val="1"/>
      <w:numFmt w:val="bullet"/>
      <w:pStyle w:val="SeznamsodrkamiB4"/>
      <w:lvlText w:val=""/>
      <w:lvlJc w:val="left"/>
      <w:pPr>
        <w:ind w:left="1428" w:hanging="357"/>
      </w:pPr>
      <w:rPr>
        <w:rFonts w:ascii="Wingdings 2" w:hAnsi="Wingdings 2" w:hint="default"/>
      </w:rPr>
    </w:lvl>
    <w:lvl w:ilvl="4">
      <w:start w:val="1"/>
      <w:numFmt w:val="bullet"/>
      <w:pStyle w:val="SeznamsodrkamiB5"/>
      <w:lvlText w:val=""/>
      <w:lvlJc w:val="left"/>
      <w:pPr>
        <w:ind w:left="1785" w:hanging="357"/>
      </w:pPr>
      <w:rPr>
        <w:rFonts w:ascii="Wingdings 2" w:hAnsi="Wingdings 2" w:hint="default"/>
      </w:rPr>
    </w:lvl>
    <w:lvl w:ilvl="5">
      <w:start w:val="1"/>
      <w:numFmt w:val="bullet"/>
      <w:lvlText w:val=""/>
      <w:lvlJc w:val="left"/>
      <w:pPr>
        <w:ind w:left="2142" w:hanging="357"/>
      </w:pPr>
      <w:rPr>
        <w:rFonts w:ascii="Wingdings 2" w:hAnsi="Wingdings 2" w:cs="Times New Roman" w:hint="default"/>
      </w:rPr>
    </w:lvl>
    <w:lvl w:ilvl="6">
      <w:start w:val="1"/>
      <w:numFmt w:val="bullet"/>
      <w:lvlText w:val=""/>
      <w:lvlJc w:val="left"/>
      <w:pPr>
        <w:ind w:left="2499" w:hanging="357"/>
      </w:pPr>
      <w:rPr>
        <w:rFonts w:ascii="Wingdings 2" w:hAnsi="Wingdings 2" w:cs="Times New Roman" w:hint="default"/>
      </w:rPr>
    </w:lvl>
    <w:lvl w:ilvl="7">
      <w:start w:val="1"/>
      <w:numFmt w:val="bullet"/>
      <w:lvlText w:val=""/>
      <w:lvlJc w:val="left"/>
      <w:pPr>
        <w:ind w:left="2856" w:hanging="357"/>
      </w:pPr>
      <w:rPr>
        <w:rFonts w:ascii="Wingdings 2" w:hAnsi="Wingdings 2" w:cs="Times New Roman" w:hint="default"/>
      </w:rPr>
    </w:lvl>
    <w:lvl w:ilvl="8">
      <w:start w:val="1"/>
      <w:numFmt w:val="bullet"/>
      <w:lvlText w:val=""/>
      <w:lvlJc w:val="left"/>
      <w:pPr>
        <w:ind w:left="3213" w:hanging="357"/>
      </w:pPr>
      <w:rPr>
        <w:rFonts w:ascii="Wingdings 2" w:hAnsi="Wingdings 2" w:cs="Times New Roman" w:hint="default"/>
      </w:rPr>
    </w:lvl>
  </w:abstractNum>
  <w:abstractNum w:abstractNumId="7" w15:restartNumberingAfterBreak="0">
    <w:nsid w:val="191872DA"/>
    <w:multiLevelType w:val="multilevel"/>
    <w:tmpl w:val="E8A48D7C"/>
    <w:numStyleLink w:val="VariantaA-sla"/>
  </w:abstractNum>
  <w:abstractNum w:abstractNumId="8" w15:restartNumberingAfterBreak="0">
    <w:nsid w:val="1B785348"/>
    <w:multiLevelType w:val="hybridMultilevel"/>
    <w:tmpl w:val="FE9AEE96"/>
    <w:lvl w:ilvl="0" w:tplc="7832733E">
      <w:start w:val="1"/>
      <w:numFmt w:val="bullet"/>
      <w:lvlText w:val=""/>
      <w:lvlJc w:val="left"/>
      <w:pPr>
        <w:ind w:left="720" w:hanging="360"/>
      </w:pPr>
      <w:rPr>
        <w:rFonts w:ascii="Symbol" w:hAnsi="Symbol" w:hint="default"/>
      </w:rPr>
    </w:lvl>
    <w:lvl w:ilvl="1" w:tplc="A4D89D92">
      <w:start w:val="1"/>
      <w:numFmt w:val="bullet"/>
      <w:lvlText w:val="o"/>
      <w:lvlJc w:val="left"/>
      <w:pPr>
        <w:ind w:left="1440" w:hanging="360"/>
      </w:pPr>
      <w:rPr>
        <w:rFonts w:ascii="&quot;Courier New&quot;" w:hAnsi="&quot;Courier New&quot;" w:hint="default"/>
      </w:rPr>
    </w:lvl>
    <w:lvl w:ilvl="2" w:tplc="6F22F44C">
      <w:start w:val="1"/>
      <w:numFmt w:val="bullet"/>
      <w:lvlText w:val=""/>
      <w:lvlJc w:val="left"/>
      <w:pPr>
        <w:ind w:left="2160" w:hanging="360"/>
      </w:pPr>
      <w:rPr>
        <w:rFonts w:ascii="Wingdings" w:hAnsi="Wingdings" w:hint="default"/>
      </w:rPr>
    </w:lvl>
    <w:lvl w:ilvl="3" w:tplc="B75827D2">
      <w:start w:val="1"/>
      <w:numFmt w:val="bullet"/>
      <w:lvlText w:val=""/>
      <w:lvlJc w:val="left"/>
      <w:pPr>
        <w:ind w:left="2880" w:hanging="360"/>
      </w:pPr>
      <w:rPr>
        <w:rFonts w:ascii="Symbol" w:hAnsi="Symbol" w:hint="default"/>
      </w:rPr>
    </w:lvl>
    <w:lvl w:ilvl="4" w:tplc="2FC05FE6">
      <w:start w:val="1"/>
      <w:numFmt w:val="bullet"/>
      <w:lvlText w:val="o"/>
      <w:lvlJc w:val="left"/>
      <w:pPr>
        <w:ind w:left="3600" w:hanging="360"/>
      </w:pPr>
      <w:rPr>
        <w:rFonts w:ascii="Courier New" w:hAnsi="Courier New" w:hint="default"/>
      </w:rPr>
    </w:lvl>
    <w:lvl w:ilvl="5" w:tplc="918047FC">
      <w:start w:val="1"/>
      <w:numFmt w:val="bullet"/>
      <w:lvlText w:val=""/>
      <w:lvlJc w:val="left"/>
      <w:pPr>
        <w:ind w:left="4320" w:hanging="360"/>
      </w:pPr>
      <w:rPr>
        <w:rFonts w:ascii="Wingdings" w:hAnsi="Wingdings" w:hint="default"/>
      </w:rPr>
    </w:lvl>
    <w:lvl w:ilvl="6" w:tplc="DDB27080">
      <w:start w:val="1"/>
      <w:numFmt w:val="bullet"/>
      <w:lvlText w:val=""/>
      <w:lvlJc w:val="left"/>
      <w:pPr>
        <w:ind w:left="5040" w:hanging="360"/>
      </w:pPr>
      <w:rPr>
        <w:rFonts w:ascii="Symbol" w:hAnsi="Symbol" w:hint="default"/>
      </w:rPr>
    </w:lvl>
    <w:lvl w:ilvl="7" w:tplc="46848D4E">
      <w:start w:val="1"/>
      <w:numFmt w:val="bullet"/>
      <w:lvlText w:val="o"/>
      <w:lvlJc w:val="left"/>
      <w:pPr>
        <w:ind w:left="5760" w:hanging="360"/>
      </w:pPr>
      <w:rPr>
        <w:rFonts w:ascii="Courier New" w:hAnsi="Courier New" w:hint="default"/>
      </w:rPr>
    </w:lvl>
    <w:lvl w:ilvl="8" w:tplc="7DDA9926">
      <w:start w:val="1"/>
      <w:numFmt w:val="bullet"/>
      <w:lvlText w:val=""/>
      <w:lvlJc w:val="left"/>
      <w:pPr>
        <w:ind w:left="6480" w:hanging="360"/>
      </w:pPr>
      <w:rPr>
        <w:rFonts w:ascii="Wingdings" w:hAnsi="Wingdings" w:hint="default"/>
      </w:rPr>
    </w:lvl>
  </w:abstractNum>
  <w:abstractNum w:abstractNumId="9" w15:restartNumberingAfterBreak="0">
    <w:nsid w:val="272C107E"/>
    <w:multiLevelType w:val="hybridMultilevel"/>
    <w:tmpl w:val="52CAA684"/>
    <w:lvl w:ilvl="0" w:tplc="A3EE5C8A">
      <w:start w:val="1"/>
      <w:numFmt w:val="decimal"/>
      <w:lvlText w:val="%1."/>
      <w:lvlJc w:val="left"/>
      <w:pPr>
        <w:ind w:left="720" w:hanging="360"/>
      </w:pPr>
    </w:lvl>
    <w:lvl w:ilvl="1" w:tplc="B52CFAD4">
      <w:start w:val="1"/>
      <w:numFmt w:val="lowerLetter"/>
      <w:lvlText w:val="%2."/>
      <w:lvlJc w:val="left"/>
      <w:pPr>
        <w:ind w:left="1440" w:hanging="360"/>
      </w:pPr>
    </w:lvl>
    <w:lvl w:ilvl="2" w:tplc="331E74EA">
      <w:start w:val="1"/>
      <w:numFmt w:val="lowerRoman"/>
      <w:lvlText w:val="%3."/>
      <w:lvlJc w:val="right"/>
      <w:pPr>
        <w:ind w:left="2160" w:hanging="180"/>
      </w:pPr>
    </w:lvl>
    <w:lvl w:ilvl="3" w:tplc="908A8C10">
      <w:start w:val="1"/>
      <w:numFmt w:val="decimal"/>
      <w:lvlText w:val="%4."/>
      <w:lvlJc w:val="left"/>
      <w:pPr>
        <w:ind w:left="2880" w:hanging="360"/>
      </w:pPr>
    </w:lvl>
    <w:lvl w:ilvl="4" w:tplc="D938F856">
      <w:start w:val="1"/>
      <w:numFmt w:val="lowerLetter"/>
      <w:lvlText w:val="%5."/>
      <w:lvlJc w:val="left"/>
      <w:pPr>
        <w:ind w:left="3600" w:hanging="360"/>
      </w:pPr>
    </w:lvl>
    <w:lvl w:ilvl="5" w:tplc="C2140CC0">
      <w:start w:val="1"/>
      <w:numFmt w:val="lowerRoman"/>
      <w:lvlText w:val="%6."/>
      <w:lvlJc w:val="right"/>
      <w:pPr>
        <w:ind w:left="4320" w:hanging="180"/>
      </w:pPr>
    </w:lvl>
    <w:lvl w:ilvl="6" w:tplc="A282CD68">
      <w:start w:val="1"/>
      <w:numFmt w:val="decimal"/>
      <w:lvlText w:val="%7."/>
      <w:lvlJc w:val="left"/>
      <w:pPr>
        <w:ind w:left="5040" w:hanging="360"/>
      </w:pPr>
    </w:lvl>
    <w:lvl w:ilvl="7" w:tplc="892A9B64">
      <w:start w:val="1"/>
      <w:numFmt w:val="lowerLetter"/>
      <w:lvlText w:val="%8."/>
      <w:lvlJc w:val="left"/>
      <w:pPr>
        <w:ind w:left="5760" w:hanging="360"/>
      </w:pPr>
    </w:lvl>
    <w:lvl w:ilvl="8" w:tplc="B172E908">
      <w:start w:val="1"/>
      <w:numFmt w:val="lowerRoman"/>
      <w:lvlText w:val="%9."/>
      <w:lvlJc w:val="right"/>
      <w:pPr>
        <w:ind w:left="6480" w:hanging="180"/>
      </w:pPr>
    </w:lvl>
  </w:abstractNum>
  <w:abstractNum w:abstractNumId="10" w15:restartNumberingAfterBreak="0">
    <w:nsid w:val="289A5EA2"/>
    <w:multiLevelType w:val="multilevel"/>
    <w:tmpl w:val="E8BAE50A"/>
    <w:numStyleLink w:val="VariantaA-odrky"/>
  </w:abstractNum>
  <w:abstractNum w:abstractNumId="11" w15:restartNumberingAfterBreak="0">
    <w:nsid w:val="305140C5"/>
    <w:multiLevelType w:val="hybridMultilevel"/>
    <w:tmpl w:val="2E7A6D22"/>
    <w:lvl w:ilvl="0" w:tplc="D740546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238AEA2"/>
    <w:multiLevelType w:val="hybridMultilevel"/>
    <w:tmpl w:val="4B30F24C"/>
    <w:lvl w:ilvl="0" w:tplc="FF54D798">
      <w:start w:val="1"/>
      <w:numFmt w:val="decimal"/>
      <w:lvlText w:val="%1."/>
      <w:lvlJc w:val="left"/>
      <w:pPr>
        <w:ind w:left="720" w:hanging="360"/>
      </w:pPr>
    </w:lvl>
    <w:lvl w:ilvl="1" w:tplc="63285E1C">
      <w:start w:val="1"/>
      <w:numFmt w:val="lowerLetter"/>
      <w:lvlText w:val="%2."/>
      <w:lvlJc w:val="left"/>
      <w:pPr>
        <w:ind w:left="1440" w:hanging="360"/>
      </w:pPr>
    </w:lvl>
    <w:lvl w:ilvl="2" w:tplc="C18ED852">
      <w:start w:val="1"/>
      <w:numFmt w:val="lowerRoman"/>
      <w:lvlText w:val="%3."/>
      <w:lvlJc w:val="right"/>
      <w:pPr>
        <w:ind w:left="2160" w:hanging="180"/>
      </w:pPr>
    </w:lvl>
    <w:lvl w:ilvl="3" w:tplc="64AEC69E">
      <w:start w:val="1"/>
      <w:numFmt w:val="decimal"/>
      <w:lvlText w:val="%4."/>
      <w:lvlJc w:val="left"/>
      <w:pPr>
        <w:ind w:left="2880" w:hanging="360"/>
      </w:pPr>
    </w:lvl>
    <w:lvl w:ilvl="4" w:tplc="4A3C672E">
      <w:start w:val="1"/>
      <w:numFmt w:val="lowerLetter"/>
      <w:lvlText w:val="%5."/>
      <w:lvlJc w:val="left"/>
      <w:pPr>
        <w:ind w:left="3600" w:hanging="360"/>
      </w:pPr>
    </w:lvl>
    <w:lvl w:ilvl="5" w:tplc="EF8095F6">
      <w:start w:val="1"/>
      <w:numFmt w:val="lowerRoman"/>
      <w:lvlText w:val="%6."/>
      <w:lvlJc w:val="right"/>
      <w:pPr>
        <w:ind w:left="4320" w:hanging="180"/>
      </w:pPr>
    </w:lvl>
    <w:lvl w:ilvl="6" w:tplc="88E42094">
      <w:start w:val="1"/>
      <w:numFmt w:val="decimal"/>
      <w:lvlText w:val="%7."/>
      <w:lvlJc w:val="left"/>
      <w:pPr>
        <w:ind w:left="5040" w:hanging="360"/>
      </w:pPr>
    </w:lvl>
    <w:lvl w:ilvl="7" w:tplc="5352F44A">
      <w:start w:val="1"/>
      <w:numFmt w:val="lowerLetter"/>
      <w:lvlText w:val="%8."/>
      <w:lvlJc w:val="left"/>
      <w:pPr>
        <w:ind w:left="5760" w:hanging="360"/>
      </w:pPr>
    </w:lvl>
    <w:lvl w:ilvl="8" w:tplc="772EA516">
      <w:start w:val="1"/>
      <w:numFmt w:val="lowerRoman"/>
      <w:lvlText w:val="%9."/>
      <w:lvlJc w:val="right"/>
      <w:pPr>
        <w:ind w:left="6480" w:hanging="180"/>
      </w:pPr>
    </w:lvl>
  </w:abstractNum>
  <w:abstractNum w:abstractNumId="13" w15:restartNumberingAfterBreak="0">
    <w:nsid w:val="36727282"/>
    <w:multiLevelType w:val="hybridMultilevel"/>
    <w:tmpl w:val="6FFC973E"/>
    <w:lvl w:ilvl="0" w:tplc="FFFFFFFF">
      <w:numFmt w:val="bullet"/>
      <w:lvlText w:val="•"/>
      <w:lvlJc w:val="left"/>
      <w:pPr>
        <w:ind w:left="720" w:hanging="360"/>
      </w:pPr>
      <w:rPr>
        <w:rFonts w:ascii="Symbol" w:hAnsi="Symbol" w:hint="default"/>
        <w:lang w:val="en-GB" w:eastAsia="en-GB" w:bidi="en-G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2F91F82"/>
    <w:multiLevelType w:val="hybridMultilevel"/>
    <w:tmpl w:val="E91C67F6"/>
    <w:lvl w:ilvl="0" w:tplc="72907D44">
      <w:start w:val="1"/>
      <w:numFmt w:val="bullet"/>
      <w:lvlText w:val=""/>
      <w:lvlJc w:val="left"/>
      <w:pPr>
        <w:ind w:left="831" w:hanging="360"/>
      </w:pPr>
      <w:rPr>
        <w:rFonts w:ascii="Symbol" w:hAnsi="Symbol" w:hint="default"/>
        <w:color w:val="auto"/>
        <w:w w:val="100"/>
        <w:sz w:val="16"/>
        <w:szCs w:val="16"/>
        <w:lang w:val="en-GB" w:eastAsia="en-GB" w:bidi="en-GB"/>
      </w:rPr>
    </w:lvl>
    <w:lvl w:ilvl="1" w:tplc="FFFFFFFF">
      <w:numFmt w:val="bullet"/>
      <w:lvlText w:val="•"/>
      <w:lvlJc w:val="left"/>
      <w:pPr>
        <w:ind w:left="1228" w:hanging="360"/>
      </w:pPr>
      <w:rPr>
        <w:rFonts w:hint="default"/>
        <w:lang w:val="en-GB" w:eastAsia="en-GB" w:bidi="en-GB"/>
      </w:rPr>
    </w:lvl>
    <w:lvl w:ilvl="2" w:tplc="FFFFFFFF">
      <w:numFmt w:val="bullet"/>
      <w:lvlText w:val="•"/>
      <w:lvlJc w:val="left"/>
      <w:pPr>
        <w:ind w:left="1617" w:hanging="360"/>
      </w:pPr>
      <w:rPr>
        <w:rFonts w:hint="default"/>
        <w:lang w:val="en-GB" w:eastAsia="en-GB" w:bidi="en-GB"/>
      </w:rPr>
    </w:lvl>
    <w:lvl w:ilvl="3" w:tplc="FFFFFFFF">
      <w:numFmt w:val="bullet"/>
      <w:lvlText w:val="•"/>
      <w:lvlJc w:val="left"/>
      <w:pPr>
        <w:ind w:left="2005" w:hanging="360"/>
      </w:pPr>
      <w:rPr>
        <w:rFonts w:hint="default"/>
        <w:lang w:val="en-GB" w:eastAsia="en-GB" w:bidi="en-GB"/>
      </w:rPr>
    </w:lvl>
    <w:lvl w:ilvl="4" w:tplc="FFFFFFFF">
      <w:numFmt w:val="bullet"/>
      <w:lvlText w:val="•"/>
      <w:lvlJc w:val="left"/>
      <w:pPr>
        <w:ind w:left="2394" w:hanging="360"/>
      </w:pPr>
      <w:rPr>
        <w:rFonts w:hint="default"/>
        <w:lang w:val="en-GB" w:eastAsia="en-GB" w:bidi="en-GB"/>
      </w:rPr>
    </w:lvl>
    <w:lvl w:ilvl="5" w:tplc="FFFFFFFF">
      <w:numFmt w:val="bullet"/>
      <w:lvlText w:val="•"/>
      <w:lvlJc w:val="left"/>
      <w:pPr>
        <w:ind w:left="2782" w:hanging="360"/>
      </w:pPr>
      <w:rPr>
        <w:rFonts w:hint="default"/>
        <w:lang w:val="en-GB" w:eastAsia="en-GB" w:bidi="en-GB"/>
      </w:rPr>
    </w:lvl>
    <w:lvl w:ilvl="6" w:tplc="FFFFFFFF">
      <w:numFmt w:val="bullet"/>
      <w:lvlText w:val="•"/>
      <w:lvlJc w:val="left"/>
      <w:pPr>
        <w:ind w:left="3171" w:hanging="360"/>
      </w:pPr>
      <w:rPr>
        <w:rFonts w:hint="default"/>
        <w:lang w:val="en-GB" w:eastAsia="en-GB" w:bidi="en-GB"/>
      </w:rPr>
    </w:lvl>
    <w:lvl w:ilvl="7" w:tplc="FFFFFFFF">
      <w:numFmt w:val="bullet"/>
      <w:lvlText w:val="•"/>
      <w:lvlJc w:val="left"/>
      <w:pPr>
        <w:ind w:left="3559" w:hanging="360"/>
      </w:pPr>
      <w:rPr>
        <w:rFonts w:hint="default"/>
        <w:lang w:val="en-GB" w:eastAsia="en-GB" w:bidi="en-GB"/>
      </w:rPr>
    </w:lvl>
    <w:lvl w:ilvl="8" w:tplc="FFFFFFFF">
      <w:numFmt w:val="bullet"/>
      <w:lvlText w:val="•"/>
      <w:lvlJc w:val="left"/>
      <w:pPr>
        <w:ind w:left="3948" w:hanging="360"/>
      </w:pPr>
      <w:rPr>
        <w:rFonts w:hint="default"/>
        <w:lang w:val="en-GB" w:eastAsia="en-GB" w:bidi="en-GB"/>
      </w:rPr>
    </w:lvl>
  </w:abstractNum>
  <w:abstractNum w:abstractNumId="15" w15:restartNumberingAfterBreak="0">
    <w:nsid w:val="4F89775E"/>
    <w:multiLevelType w:val="multilevel"/>
    <w:tmpl w:val="0D8ABE32"/>
    <w:styleLink w:val="VariantaB-sla"/>
    <w:lvl w:ilvl="0">
      <w:start w:val="1"/>
      <w:numFmt w:val="decimal"/>
      <w:pStyle w:val="slovanseznamB"/>
      <w:lvlText w:val="%1)"/>
      <w:lvlJc w:val="left"/>
      <w:pPr>
        <w:ind w:left="360" w:hanging="360"/>
      </w:pPr>
      <w:rPr>
        <w:rFonts w:hint="default"/>
      </w:rPr>
    </w:lvl>
    <w:lvl w:ilvl="1">
      <w:start w:val="1"/>
      <w:numFmt w:val="lowerLetter"/>
      <w:pStyle w:val="slovanseznamB2"/>
      <w:lvlText w:val="%2)"/>
      <w:lvlJc w:val="left"/>
      <w:pPr>
        <w:ind w:left="720" w:hanging="360"/>
      </w:pPr>
      <w:rPr>
        <w:rFonts w:hint="default"/>
      </w:rPr>
    </w:lvl>
    <w:lvl w:ilvl="2">
      <w:start w:val="1"/>
      <w:numFmt w:val="lowerRoman"/>
      <w:pStyle w:val="slovanseznamB3"/>
      <w:lvlText w:val="%3)"/>
      <w:lvlJc w:val="left"/>
      <w:pPr>
        <w:ind w:left="1080" w:hanging="360"/>
      </w:pPr>
      <w:rPr>
        <w:rFonts w:hint="default"/>
      </w:rPr>
    </w:lvl>
    <w:lvl w:ilvl="3">
      <w:start w:val="1"/>
      <w:numFmt w:val="decimal"/>
      <w:pStyle w:val="slovanseznamB4"/>
      <w:lvlText w:val="(%4)"/>
      <w:lvlJc w:val="left"/>
      <w:pPr>
        <w:ind w:left="1440" w:hanging="360"/>
      </w:pPr>
      <w:rPr>
        <w:rFonts w:hint="default"/>
      </w:rPr>
    </w:lvl>
    <w:lvl w:ilvl="4">
      <w:start w:val="1"/>
      <w:numFmt w:val="lowerLetter"/>
      <w:pStyle w:val="slovanseznamB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8A321E4"/>
    <w:multiLevelType w:val="multilevel"/>
    <w:tmpl w:val="E8BAE50A"/>
    <w:styleLink w:val="VariantaA-odrky"/>
    <w:lvl w:ilvl="0">
      <w:start w:val="1"/>
      <w:numFmt w:val="bullet"/>
      <w:pStyle w:val="Seznamsodrkami"/>
      <w:lvlText w:val=""/>
      <w:lvlJc w:val="left"/>
      <w:pPr>
        <w:ind w:left="357" w:hanging="357"/>
      </w:pPr>
      <w:rPr>
        <w:rFonts w:ascii="Wingdings" w:hAnsi="Wingdings" w:hint="default"/>
        <w:sz w:val="16"/>
      </w:rPr>
    </w:lvl>
    <w:lvl w:ilvl="1">
      <w:start w:val="1"/>
      <w:numFmt w:val="bullet"/>
      <w:pStyle w:val="Seznamsodrkami2"/>
      <w:lvlText w:val=""/>
      <w:lvlJc w:val="left"/>
      <w:pPr>
        <w:ind w:left="714" w:hanging="357"/>
      </w:pPr>
      <w:rPr>
        <w:rFonts w:ascii="Wingdings" w:hAnsi="Wingdings" w:hint="default"/>
        <w:sz w:val="14"/>
      </w:rPr>
    </w:lvl>
    <w:lvl w:ilvl="2">
      <w:start w:val="1"/>
      <w:numFmt w:val="bullet"/>
      <w:pStyle w:val="Seznamsodrkami3"/>
      <w:lvlText w:val=""/>
      <w:lvlJc w:val="left"/>
      <w:pPr>
        <w:ind w:left="1071" w:hanging="357"/>
      </w:pPr>
      <w:rPr>
        <w:rFonts w:ascii="Wingdings" w:hAnsi="Wingdings" w:hint="default"/>
        <w:sz w:val="10"/>
      </w:rPr>
    </w:lvl>
    <w:lvl w:ilvl="3">
      <w:start w:val="1"/>
      <w:numFmt w:val="bullet"/>
      <w:pStyle w:val="Seznamsodrkami4"/>
      <w:lvlText w:val=""/>
      <w:lvlJc w:val="left"/>
      <w:pPr>
        <w:ind w:left="1428" w:hanging="357"/>
      </w:pPr>
      <w:rPr>
        <w:rFonts w:ascii="Wingdings" w:hAnsi="Wingdings" w:hint="default"/>
        <w:sz w:val="10"/>
      </w:rPr>
    </w:lvl>
    <w:lvl w:ilvl="4">
      <w:start w:val="1"/>
      <w:numFmt w:val="bullet"/>
      <w:pStyle w:val="Seznamsodrkami5"/>
      <w:lvlText w:val=""/>
      <w:lvlJc w:val="left"/>
      <w:pPr>
        <w:ind w:left="1785" w:hanging="357"/>
      </w:pPr>
      <w:rPr>
        <w:rFonts w:ascii="Wingdings" w:hAnsi="Wingdings" w:hint="default"/>
        <w:sz w:val="10"/>
      </w:rPr>
    </w:lvl>
    <w:lvl w:ilvl="5">
      <w:start w:val="1"/>
      <w:numFmt w:val="bullet"/>
      <w:lvlText w:val=""/>
      <w:lvlJc w:val="left"/>
      <w:pPr>
        <w:ind w:left="2142" w:hanging="357"/>
      </w:pPr>
      <w:rPr>
        <w:rFonts w:ascii="Wingdings" w:hAnsi="Wingdings" w:hint="default"/>
        <w:sz w:val="10"/>
      </w:rPr>
    </w:lvl>
    <w:lvl w:ilvl="6">
      <w:start w:val="1"/>
      <w:numFmt w:val="bullet"/>
      <w:lvlText w:val=""/>
      <w:lvlJc w:val="left"/>
      <w:pPr>
        <w:ind w:left="2499" w:hanging="357"/>
      </w:pPr>
      <w:rPr>
        <w:rFonts w:ascii="Wingdings" w:hAnsi="Wingdings" w:hint="default"/>
        <w:sz w:val="10"/>
      </w:rPr>
    </w:lvl>
    <w:lvl w:ilvl="7">
      <w:start w:val="1"/>
      <w:numFmt w:val="bullet"/>
      <w:lvlText w:val=""/>
      <w:lvlJc w:val="left"/>
      <w:pPr>
        <w:ind w:left="2856" w:hanging="357"/>
      </w:pPr>
      <w:rPr>
        <w:rFonts w:ascii="Wingdings" w:hAnsi="Wingdings" w:hint="default"/>
        <w:sz w:val="10"/>
      </w:rPr>
    </w:lvl>
    <w:lvl w:ilvl="8">
      <w:start w:val="1"/>
      <w:numFmt w:val="bullet"/>
      <w:lvlText w:val=""/>
      <w:lvlJc w:val="left"/>
      <w:pPr>
        <w:ind w:left="3213" w:hanging="357"/>
      </w:pPr>
      <w:rPr>
        <w:rFonts w:ascii="Wingdings" w:hAnsi="Wingdings" w:hint="default"/>
        <w:color w:val="000000" w:themeColor="text1"/>
        <w:sz w:val="10"/>
      </w:rPr>
    </w:lvl>
  </w:abstractNum>
  <w:abstractNum w:abstractNumId="17" w15:restartNumberingAfterBreak="0">
    <w:nsid w:val="5A83A08C"/>
    <w:multiLevelType w:val="hybridMultilevel"/>
    <w:tmpl w:val="8918EB0A"/>
    <w:lvl w:ilvl="0" w:tplc="8982E76A">
      <w:start w:val="1"/>
      <w:numFmt w:val="decimal"/>
      <w:lvlText w:val="%1."/>
      <w:lvlJc w:val="left"/>
      <w:pPr>
        <w:ind w:left="720" w:hanging="360"/>
      </w:pPr>
    </w:lvl>
    <w:lvl w:ilvl="1" w:tplc="89480472">
      <w:start w:val="1"/>
      <w:numFmt w:val="lowerLetter"/>
      <w:lvlText w:val="%2."/>
      <w:lvlJc w:val="left"/>
      <w:pPr>
        <w:ind w:left="1440" w:hanging="360"/>
      </w:pPr>
    </w:lvl>
    <w:lvl w:ilvl="2" w:tplc="C25CD57A">
      <w:start w:val="1"/>
      <w:numFmt w:val="lowerRoman"/>
      <w:lvlText w:val="%3."/>
      <w:lvlJc w:val="right"/>
      <w:pPr>
        <w:ind w:left="2160" w:hanging="180"/>
      </w:pPr>
    </w:lvl>
    <w:lvl w:ilvl="3" w:tplc="4B5C6976">
      <w:start w:val="1"/>
      <w:numFmt w:val="decimal"/>
      <w:lvlText w:val="%4."/>
      <w:lvlJc w:val="left"/>
      <w:pPr>
        <w:ind w:left="2880" w:hanging="360"/>
      </w:pPr>
    </w:lvl>
    <w:lvl w:ilvl="4" w:tplc="4702646A">
      <w:start w:val="1"/>
      <w:numFmt w:val="lowerLetter"/>
      <w:lvlText w:val="%5."/>
      <w:lvlJc w:val="left"/>
      <w:pPr>
        <w:ind w:left="3600" w:hanging="360"/>
      </w:pPr>
    </w:lvl>
    <w:lvl w:ilvl="5" w:tplc="C5144494">
      <w:start w:val="1"/>
      <w:numFmt w:val="lowerRoman"/>
      <w:lvlText w:val="%6."/>
      <w:lvlJc w:val="right"/>
      <w:pPr>
        <w:ind w:left="4320" w:hanging="180"/>
      </w:pPr>
    </w:lvl>
    <w:lvl w:ilvl="6" w:tplc="461AC292">
      <w:start w:val="1"/>
      <w:numFmt w:val="decimal"/>
      <w:lvlText w:val="%7."/>
      <w:lvlJc w:val="left"/>
      <w:pPr>
        <w:ind w:left="5040" w:hanging="360"/>
      </w:pPr>
    </w:lvl>
    <w:lvl w:ilvl="7" w:tplc="0EF04C5A">
      <w:start w:val="1"/>
      <w:numFmt w:val="lowerLetter"/>
      <w:lvlText w:val="%8."/>
      <w:lvlJc w:val="left"/>
      <w:pPr>
        <w:ind w:left="5760" w:hanging="360"/>
      </w:pPr>
    </w:lvl>
    <w:lvl w:ilvl="8" w:tplc="965248A2">
      <w:start w:val="1"/>
      <w:numFmt w:val="lowerRoman"/>
      <w:lvlText w:val="%9."/>
      <w:lvlJc w:val="right"/>
      <w:pPr>
        <w:ind w:left="6480" w:hanging="180"/>
      </w:pPr>
    </w:lvl>
  </w:abstractNum>
  <w:abstractNum w:abstractNumId="18" w15:restartNumberingAfterBreak="0">
    <w:nsid w:val="5AF35F43"/>
    <w:multiLevelType w:val="multilevel"/>
    <w:tmpl w:val="0D8ABE32"/>
    <w:numStyleLink w:val="VariantaB-sla"/>
  </w:abstractNum>
  <w:abstractNum w:abstractNumId="19" w15:restartNumberingAfterBreak="0">
    <w:nsid w:val="62AD569E"/>
    <w:multiLevelType w:val="hybridMultilevel"/>
    <w:tmpl w:val="B5C4CA22"/>
    <w:lvl w:ilvl="0" w:tplc="F210D4F4">
      <w:start w:val="1"/>
      <w:numFmt w:val="bullet"/>
      <w:lvlText w:val="·"/>
      <w:lvlJc w:val="left"/>
      <w:pPr>
        <w:ind w:left="720" w:hanging="360"/>
      </w:pPr>
      <w:rPr>
        <w:rFonts w:ascii="Symbol" w:hAnsi="Symbol" w:hint="default"/>
      </w:rPr>
    </w:lvl>
    <w:lvl w:ilvl="1" w:tplc="1B62C08C">
      <w:start w:val="1"/>
      <w:numFmt w:val="bullet"/>
      <w:lvlText w:val="o"/>
      <w:lvlJc w:val="left"/>
      <w:pPr>
        <w:ind w:left="1440" w:hanging="360"/>
      </w:pPr>
      <w:rPr>
        <w:rFonts w:ascii="Courier New" w:hAnsi="Courier New" w:hint="default"/>
      </w:rPr>
    </w:lvl>
    <w:lvl w:ilvl="2" w:tplc="5A44664A">
      <w:start w:val="1"/>
      <w:numFmt w:val="bullet"/>
      <w:lvlText w:val=""/>
      <w:lvlJc w:val="left"/>
      <w:pPr>
        <w:ind w:left="2160" w:hanging="360"/>
      </w:pPr>
      <w:rPr>
        <w:rFonts w:ascii="Wingdings" w:hAnsi="Wingdings" w:hint="default"/>
      </w:rPr>
    </w:lvl>
    <w:lvl w:ilvl="3" w:tplc="8F10E6BA">
      <w:start w:val="1"/>
      <w:numFmt w:val="bullet"/>
      <w:lvlText w:val=""/>
      <w:lvlJc w:val="left"/>
      <w:pPr>
        <w:ind w:left="2880" w:hanging="360"/>
      </w:pPr>
      <w:rPr>
        <w:rFonts w:ascii="Symbol" w:hAnsi="Symbol" w:hint="default"/>
      </w:rPr>
    </w:lvl>
    <w:lvl w:ilvl="4" w:tplc="0F466A08">
      <w:start w:val="1"/>
      <w:numFmt w:val="bullet"/>
      <w:lvlText w:val="o"/>
      <w:lvlJc w:val="left"/>
      <w:pPr>
        <w:ind w:left="3600" w:hanging="360"/>
      </w:pPr>
      <w:rPr>
        <w:rFonts w:ascii="Courier New" w:hAnsi="Courier New" w:hint="default"/>
      </w:rPr>
    </w:lvl>
    <w:lvl w:ilvl="5" w:tplc="34BED4AE">
      <w:start w:val="1"/>
      <w:numFmt w:val="bullet"/>
      <w:lvlText w:val=""/>
      <w:lvlJc w:val="left"/>
      <w:pPr>
        <w:ind w:left="4320" w:hanging="360"/>
      </w:pPr>
      <w:rPr>
        <w:rFonts w:ascii="Wingdings" w:hAnsi="Wingdings" w:hint="default"/>
      </w:rPr>
    </w:lvl>
    <w:lvl w:ilvl="6" w:tplc="B2862F08">
      <w:start w:val="1"/>
      <w:numFmt w:val="bullet"/>
      <w:lvlText w:val=""/>
      <w:lvlJc w:val="left"/>
      <w:pPr>
        <w:ind w:left="5040" w:hanging="360"/>
      </w:pPr>
      <w:rPr>
        <w:rFonts w:ascii="Symbol" w:hAnsi="Symbol" w:hint="default"/>
      </w:rPr>
    </w:lvl>
    <w:lvl w:ilvl="7" w:tplc="C1AC6830">
      <w:start w:val="1"/>
      <w:numFmt w:val="bullet"/>
      <w:lvlText w:val="o"/>
      <w:lvlJc w:val="left"/>
      <w:pPr>
        <w:ind w:left="5760" w:hanging="360"/>
      </w:pPr>
      <w:rPr>
        <w:rFonts w:ascii="Courier New" w:hAnsi="Courier New" w:hint="default"/>
      </w:rPr>
    </w:lvl>
    <w:lvl w:ilvl="8" w:tplc="6A90897E">
      <w:start w:val="1"/>
      <w:numFmt w:val="bullet"/>
      <w:lvlText w:val=""/>
      <w:lvlJc w:val="left"/>
      <w:pPr>
        <w:ind w:left="6480" w:hanging="360"/>
      </w:pPr>
      <w:rPr>
        <w:rFonts w:ascii="Wingdings" w:hAnsi="Wingdings" w:hint="default"/>
      </w:rPr>
    </w:lvl>
  </w:abstractNum>
  <w:num w:numId="1">
    <w:abstractNumId w:val="19"/>
  </w:num>
  <w:num w:numId="2">
    <w:abstractNumId w:val="9"/>
  </w:num>
  <w:num w:numId="3">
    <w:abstractNumId w:val="12"/>
  </w:num>
  <w:num w:numId="4">
    <w:abstractNumId w:val="1"/>
  </w:num>
  <w:num w:numId="5">
    <w:abstractNumId w:val="17"/>
  </w:num>
  <w:num w:numId="6">
    <w:abstractNumId w:val="8"/>
  </w:num>
  <w:num w:numId="7">
    <w:abstractNumId w:val="6"/>
  </w:num>
  <w:num w:numId="8">
    <w:abstractNumId w:val="16"/>
  </w:num>
  <w:num w:numId="9">
    <w:abstractNumId w:val="15"/>
  </w:num>
  <w:num w:numId="10">
    <w:abstractNumId w:val="0"/>
  </w:num>
  <w:num w:numId="11">
    <w:abstractNumId w:val="18"/>
  </w:num>
  <w:num w:numId="12">
    <w:abstractNumId w:val="10"/>
  </w:num>
  <w:num w:numId="13">
    <w:abstractNumId w:val="7"/>
  </w:num>
  <w:num w:numId="14">
    <w:abstractNumId w:val="4"/>
  </w:num>
  <w:num w:numId="15">
    <w:abstractNumId w:val="14"/>
  </w:num>
  <w:num w:numId="16">
    <w:abstractNumId w:val="5"/>
  </w:num>
  <w:num w:numId="17">
    <w:abstractNumId w:val="3"/>
  </w:num>
  <w:num w:numId="18">
    <w:abstractNumId w:val="13"/>
  </w:num>
  <w:num w:numId="19">
    <w:abstractNumId w:val="2"/>
  </w:num>
  <w:num w:numId="20">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DateAndTime/>
  <w:stylePaneFormatFilter w:val="D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1"/>
  <w:defaultTabStop w:val="708"/>
  <w:hyphenationZone w:val="425"/>
  <w:characterSpacingControl w:val="doNotCompress"/>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3D"/>
    <w:rsid w:val="000028F0"/>
    <w:rsid w:val="00015306"/>
    <w:rsid w:val="00015FA9"/>
    <w:rsid w:val="000179A3"/>
    <w:rsid w:val="0002097F"/>
    <w:rsid w:val="0002674B"/>
    <w:rsid w:val="0004162E"/>
    <w:rsid w:val="00042323"/>
    <w:rsid w:val="0004786B"/>
    <w:rsid w:val="0005120F"/>
    <w:rsid w:val="00063405"/>
    <w:rsid w:val="00073A60"/>
    <w:rsid w:val="00074701"/>
    <w:rsid w:val="000809B9"/>
    <w:rsid w:val="00081CE0"/>
    <w:rsid w:val="00090B40"/>
    <w:rsid w:val="00095A0A"/>
    <w:rsid w:val="000B1B3D"/>
    <w:rsid w:val="000C2B63"/>
    <w:rsid w:val="000C473B"/>
    <w:rsid w:val="000C4CAF"/>
    <w:rsid w:val="000F6FBC"/>
    <w:rsid w:val="00110546"/>
    <w:rsid w:val="00121485"/>
    <w:rsid w:val="0012359C"/>
    <w:rsid w:val="00125F8A"/>
    <w:rsid w:val="001268B0"/>
    <w:rsid w:val="00126C3E"/>
    <w:rsid w:val="001347FF"/>
    <w:rsid w:val="001377A8"/>
    <w:rsid w:val="0014052E"/>
    <w:rsid w:val="00143BF4"/>
    <w:rsid w:val="00145A80"/>
    <w:rsid w:val="001535A9"/>
    <w:rsid w:val="00155BF1"/>
    <w:rsid w:val="00164EF0"/>
    <w:rsid w:val="0016521B"/>
    <w:rsid w:val="0017112C"/>
    <w:rsid w:val="00173189"/>
    <w:rsid w:val="00175CFF"/>
    <w:rsid w:val="0018051B"/>
    <w:rsid w:val="001973A1"/>
    <w:rsid w:val="001B1E4A"/>
    <w:rsid w:val="001B4A93"/>
    <w:rsid w:val="001B6334"/>
    <w:rsid w:val="001C5281"/>
    <w:rsid w:val="001D27C0"/>
    <w:rsid w:val="001E74C3"/>
    <w:rsid w:val="001F6937"/>
    <w:rsid w:val="00220DE3"/>
    <w:rsid w:val="00220DF6"/>
    <w:rsid w:val="002227E4"/>
    <w:rsid w:val="00230165"/>
    <w:rsid w:val="0023565A"/>
    <w:rsid w:val="002411E9"/>
    <w:rsid w:val="0025290D"/>
    <w:rsid w:val="00254BC0"/>
    <w:rsid w:val="00260372"/>
    <w:rsid w:val="00262DAF"/>
    <w:rsid w:val="00263B15"/>
    <w:rsid w:val="00263D0A"/>
    <w:rsid w:val="0027099F"/>
    <w:rsid w:val="002801DF"/>
    <w:rsid w:val="00285AED"/>
    <w:rsid w:val="002A1D86"/>
    <w:rsid w:val="002A22B1"/>
    <w:rsid w:val="002A75C2"/>
    <w:rsid w:val="002B5090"/>
    <w:rsid w:val="002C4656"/>
    <w:rsid w:val="002C7B9D"/>
    <w:rsid w:val="002D7D02"/>
    <w:rsid w:val="002E2442"/>
    <w:rsid w:val="002F0E8C"/>
    <w:rsid w:val="00305230"/>
    <w:rsid w:val="0030688E"/>
    <w:rsid w:val="00310FA0"/>
    <w:rsid w:val="00320481"/>
    <w:rsid w:val="00322FE9"/>
    <w:rsid w:val="003250CB"/>
    <w:rsid w:val="0033602E"/>
    <w:rsid w:val="00362F9F"/>
    <w:rsid w:val="00363201"/>
    <w:rsid w:val="00382563"/>
    <w:rsid w:val="00383091"/>
    <w:rsid w:val="0039063C"/>
    <w:rsid w:val="00391FAA"/>
    <w:rsid w:val="00397039"/>
    <w:rsid w:val="003A12BC"/>
    <w:rsid w:val="003A46A8"/>
    <w:rsid w:val="003A51AA"/>
    <w:rsid w:val="003B0E30"/>
    <w:rsid w:val="003B565A"/>
    <w:rsid w:val="003C131B"/>
    <w:rsid w:val="003C43EB"/>
    <w:rsid w:val="003D00A1"/>
    <w:rsid w:val="003E2F2F"/>
    <w:rsid w:val="003E7F8B"/>
    <w:rsid w:val="003F0F87"/>
    <w:rsid w:val="003F4C22"/>
    <w:rsid w:val="003F5016"/>
    <w:rsid w:val="004034AD"/>
    <w:rsid w:val="0041427F"/>
    <w:rsid w:val="004176C3"/>
    <w:rsid w:val="00423D5D"/>
    <w:rsid w:val="00423F24"/>
    <w:rsid w:val="00425C3D"/>
    <w:rsid w:val="00435272"/>
    <w:rsid w:val="00441336"/>
    <w:rsid w:val="004509E5"/>
    <w:rsid w:val="0045101F"/>
    <w:rsid w:val="00453450"/>
    <w:rsid w:val="0045556D"/>
    <w:rsid w:val="004774BD"/>
    <w:rsid w:val="00486FB9"/>
    <w:rsid w:val="00491E8E"/>
    <w:rsid w:val="0049493F"/>
    <w:rsid w:val="00496FAB"/>
    <w:rsid w:val="004A7933"/>
    <w:rsid w:val="004A7B61"/>
    <w:rsid w:val="004B2643"/>
    <w:rsid w:val="004C212A"/>
    <w:rsid w:val="004E1B2B"/>
    <w:rsid w:val="00500232"/>
    <w:rsid w:val="00504668"/>
    <w:rsid w:val="00522419"/>
    <w:rsid w:val="00524299"/>
    <w:rsid w:val="00526DD2"/>
    <w:rsid w:val="005333BA"/>
    <w:rsid w:val="00535EE1"/>
    <w:rsid w:val="00542ED6"/>
    <w:rsid w:val="005455E1"/>
    <w:rsid w:val="005502BD"/>
    <w:rsid w:val="00550DB9"/>
    <w:rsid w:val="00556787"/>
    <w:rsid w:val="00557E32"/>
    <w:rsid w:val="0056283F"/>
    <w:rsid w:val="00575A13"/>
    <w:rsid w:val="00582276"/>
    <w:rsid w:val="005A3470"/>
    <w:rsid w:val="005B5DAC"/>
    <w:rsid w:val="005C2560"/>
    <w:rsid w:val="005C4FD3"/>
    <w:rsid w:val="005D2D82"/>
    <w:rsid w:val="005E6931"/>
    <w:rsid w:val="005F322E"/>
    <w:rsid w:val="005F7585"/>
    <w:rsid w:val="00604913"/>
    <w:rsid w:val="00605759"/>
    <w:rsid w:val="00622E82"/>
    <w:rsid w:val="006402D3"/>
    <w:rsid w:val="006417DD"/>
    <w:rsid w:val="006461DF"/>
    <w:rsid w:val="00650C6C"/>
    <w:rsid w:val="00652FE6"/>
    <w:rsid w:val="00665CB1"/>
    <w:rsid w:val="00667898"/>
    <w:rsid w:val="006729D0"/>
    <w:rsid w:val="00677FE0"/>
    <w:rsid w:val="00694B1F"/>
    <w:rsid w:val="006A6D9C"/>
    <w:rsid w:val="006B30E2"/>
    <w:rsid w:val="006C632C"/>
    <w:rsid w:val="006D04EF"/>
    <w:rsid w:val="006D6F5E"/>
    <w:rsid w:val="006D74B3"/>
    <w:rsid w:val="006E2FB0"/>
    <w:rsid w:val="006F4958"/>
    <w:rsid w:val="007102D2"/>
    <w:rsid w:val="00713948"/>
    <w:rsid w:val="00713E5D"/>
    <w:rsid w:val="00722721"/>
    <w:rsid w:val="00725BE5"/>
    <w:rsid w:val="007343DE"/>
    <w:rsid w:val="00740954"/>
    <w:rsid w:val="00753A27"/>
    <w:rsid w:val="00783E53"/>
    <w:rsid w:val="0078473B"/>
    <w:rsid w:val="00791ED6"/>
    <w:rsid w:val="0079342A"/>
    <w:rsid w:val="007A1A77"/>
    <w:rsid w:val="007B4949"/>
    <w:rsid w:val="007C4C33"/>
    <w:rsid w:val="007C7DD8"/>
    <w:rsid w:val="007D5025"/>
    <w:rsid w:val="007D611A"/>
    <w:rsid w:val="007F0BC6"/>
    <w:rsid w:val="0080312D"/>
    <w:rsid w:val="0082363E"/>
    <w:rsid w:val="00831374"/>
    <w:rsid w:val="00857580"/>
    <w:rsid w:val="0085778A"/>
    <w:rsid w:val="00865238"/>
    <w:rsid w:val="008667BF"/>
    <w:rsid w:val="00895645"/>
    <w:rsid w:val="00896ADF"/>
    <w:rsid w:val="00896D49"/>
    <w:rsid w:val="008A7851"/>
    <w:rsid w:val="008B263A"/>
    <w:rsid w:val="008C3782"/>
    <w:rsid w:val="008D4A32"/>
    <w:rsid w:val="008D593A"/>
    <w:rsid w:val="008E7760"/>
    <w:rsid w:val="008F2FBD"/>
    <w:rsid w:val="00900509"/>
    <w:rsid w:val="0091196C"/>
    <w:rsid w:val="009206C0"/>
    <w:rsid w:val="00922001"/>
    <w:rsid w:val="00922C17"/>
    <w:rsid w:val="00936F9D"/>
    <w:rsid w:val="00942DDD"/>
    <w:rsid w:val="00943D20"/>
    <w:rsid w:val="009516A8"/>
    <w:rsid w:val="0097705C"/>
    <w:rsid w:val="00981B85"/>
    <w:rsid w:val="00997F5D"/>
    <w:rsid w:val="009A2909"/>
    <w:rsid w:val="009A41A3"/>
    <w:rsid w:val="009A7E06"/>
    <w:rsid w:val="009B04CD"/>
    <w:rsid w:val="009B2CAA"/>
    <w:rsid w:val="009B37B5"/>
    <w:rsid w:val="009B72E0"/>
    <w:rsid w:val="009E7CD7"/>
    <w:rsid w:val="009F393D"/>
    <w:rsid w:val="009F7F46"/>
    <w:rsid w:val="00A000BF"/>
    <w:rsid w:val="00A0587E"/>
    <w:rsid w:val="00A10C44"/>
    <w:rsid w:val="00A17CEC"/>
    <w:rsid w:val="00A20922"/>
    <w:rsid w:val="00A24FD6"/>
    <w:rsid w:val="00A275BC"/>
    <w:rsid w:val="00A464B4"/>
    <w:rsid w:val="00A569AC"/>
    <w:rsid w:val="00A57179"/>
    <w:rsid w:val="00A5F2C1"/>
    <w:rsid w:val="00A63D6B"/>
    <w:rsid w:val="00A7561B"/>
    <w:rsid w:val="00A81D7A"/>
    <w:rsid w:val="00A84B52"/>
    <w:rsid w:val="00A8660F"/>
    <w:rsid w:val="00A91630"/>
    <w:rsid w:val="00A95C48"/>
    <w:rsid w:val="00AA32C2"/>
    <w:rsid w:val="00AA7056"/>
    <w:rsid w:val="00AB31C6"/>
    <w:rsid w:val="00AB523B"/>
    <w:rsid w:val="00AC605D"/>
    <w:rsid w:val="00AD106F"/>
    <w:rsid w:val="00AD37C0"/>
    <w:rsid w:val="00AD7E40"/>
    <w:rsid w:val="00B02C04"/>
    <w:rsid w:val="00B043C6"/>
    <w:rsid w:val="00B05B31"/>
    <w:rsid w:val="00B12094"/>
    <w:rsid w:val="00B1477A"/>
    <w:rsid w:val="00B15B79"/>
    <w:rsid w:val="00B2085D"/>
    <w:rsid w:val="00B20993"/>
    <w:rsid w:val="00B26DCB"/>
    <w:rsid w:val="00B32366"/>
    <w:rsid w:val="00B329C5"/>
    <w:rsid w:val="00B34470"/>
    <w:rsid w:val="00B42E96"/>
    <w:rsid w:val="00B46ACB"/>
    <w:rsid w:val="00B50EE6"/>
    <w:rsid w:val="00B52185"/>
    <w:rsid w:val="00B57689"/>
    <w:rsid w:val="00B67381"/>
    <w:rsid w:val="00B738A7"/>
    <w:rsid w:val="00B76C6E"/>
    <w:rsid w:val="00B825E1"/>
    <w:rsid w:val="00B825F5"/>
    <w:rsid w:val="00B9753A"/>
    <w:rsid w:val="00B979CA"/>
    <w:rsid w:val="00BA193F"/>
    <w:rsid w:val="00BA1FC5"/>
    <w:rsid w:val="00BA272D"/>
    <w:rsid w:val="00BB479C"/>
    <w:rsid w:val="00BC4720"/>
    <w:rsid w:val="00BC709D"/>
    <w:rsid w:val="00BC7F08"/>
    <w:rsid w:val="00BD75A2"/>
    <w:rsid w:val="00BF17C9"/>
    <w:rsid w:val="00BF2584"/>
    <w:rsid w:val="00C15A7E"/>
    <w:rsid w:val="00C2017A"/>
    <w:rsid w:val="00C2026B"/>
    <w:rsid w:val="00C20470"/>
    <w:rsid w:val="00C34B2F"/>
    <w:rsid w:val="00C45E40"/>
    <w:rsid w:val="00C4641B"/>
    <w:rsid w:val="00C502B7"/>
    <w:rsid w:val="00C507FA"/>
    <w:rsid w:val="00C54D67"/>
    <w:rsid w:val="00C640B3"/>
    <w:rsid w:val="00C6690E"/>
    <w:rsid w:val="00C703C5"/>
    <w:rsid w:val="00C72154"/>
    <w:rsid w:val="00C76315"/>
    <w:rsid w:val="00C805F2"/>
    <w:rsid w:val="00C83421"/>
    <w:rsid w:val="00C83AB8"/>
    <w:rsid w:val="00C83FAD"/>
    <w:rsid w:val="00C83FD3"/>
    <w:rsid w:val="00C96EFE"/>
    <w:rsid w:val="00CA1DFD"/>
    <w:rsid w:val="00CA545B"/>
    <w:rsid w:val="00CA62DA"/>
    <w:rsid w:val="00CC5E40"/>
    <w:rsid w:val="00CF3B9C"/>
    <w:rsid w:val="00D1569F"/>
    <w:rsid w:val="00D20B1E"/>
    <w:rsid w:val="00D22462"/>
    <w:rsid w:val="00D230AC"/>
    <w:rsid w:val="00D32489"/>
    <w:rsid w:val="00D3349E"/>
    <w:rsid w:val="00D41D90"/>
    <w:rsid w:val="00D451ED"/>
    <w:rsid w:val="00D73CB8"/>
    <w:rsid w:val="00D93E98"/>
    <w:rsid w:val="00DA3F7F"/>
    <w:rsid w:val="00DA7591"/>
    <w:rsid w:val="00DB5D2E"/>
    <w:rsid w:val="00DC5825"/>
    <w:rsid w:val="00DC73B7"/>
    <w:rsid w:val="00DF768E"/>
    <w:rsid w:val="00E051BC"/>
    <w:rsid w:val="00E11808"/>
    <w:rsid w:val="00E1284F"/>
    <w:rsid w:val="00E21880"/>
    <w:rsid w:val="00E2301A"/>
    <w:rsid w:val="00E24BBA"/>
    <w:rsid w:val="00E25196"/>
    <w:rsid w:val="00E32798"/>
    <w:rsid w:val="00E33CC8"/>
    <w:rsid w:val="00E47207"/>
    <w:rsid w:val="00E514EB"/>
    <w:rsid w:val="00E51C91"/>
    <w:rsid w:val="00E667C1"/>
    <w:rsid w:val="00EB3CFC"/>
    <w:rsid w:val="00EC0B7D"/>
    <w:rsid w:val="00EC3F88"/>
    <w:rsid w:val="00ED36D8"/>
    <w:rsid w:val="00EE6BD7"/>
    <w:rsid w:val="00EF3A78"/>
    <w:rsid w:val="00F0689D"/>
    <w:rsid w:val="00F1214C"/>
    <w:rsid w:val="00F133AE"/>
    <w:rsid w:val="00F43246"/>
    <w:rsid w:val="00F43FFB"/>
    <w:rsid w:val="00F60674"/>
    <w:rsid w:val="00F62594"/>
    <w:rsid w:val="00F6262D"/>
    <w:rsid w:val="00F6574A"/>
    <w:rsid w:val="00F80058"/>
    <w:rsid w:val="00F80A25"/>
    <w:rsid w:val="00F9286D"/>
    <w:rsid w:val="00FB01B5"/>
    <w:rsid w:val="00FB665C"/>
    <w:rsid w:val="00FC00FF"/>
    <w:rsid w:val="00FC4A12"/>
    <w:rsid w:val="00FC7BCF"/>
    <w:rsid w:val="00FE6E2A"/>
    <w:rsid w:val="00FFB64D"/>
    <w:rsid w:val="01689CBE"/>
    <w:rsid w:val="018867BC"/>
    <w:rsid w:val="01AF9F67"/>
    <w:rsid w:val="01C0F3A2"/>
    <w:rsid w:val="02300767"/>
    <w:rsid w:val="02608A8B"/>
    <w:rsid w:val="026B953F"/>
    <w:rsid w:val="027C35CD"/>
    <w:rsid w:val="030F44D8"/>
    <w:rsid w:val="039B6DE5"/>
    <w:rsid w:val="045FB3C0"/>
    <w:rsid w:val="05627E28"/>
    <w:rsid w:val="06FE4E89"/>
    <w:rsid w:val="0725AE2D"/>
    <w:rsid w:val="08554881"/>
    <w:rsid w:val="086EDF08"/>
    <w:rsid w:val="09326709"/>
    <w:rsid w:val="0AB637C8"/>
    <w:rsid w:val="0B209255"/>
    <w:rsid w:val="0B4ACA05"/>
    <w:rsid w:val="0BA67FCA"/>
    <w:rsid w:val="0BE61E80"/>
    <w:rsid w:val="0C269F01"/>
    <w:rsid w:val="0CDD2AF5"/>
    <w:rsid w:val="0D25EE9A"/>
    <w:rsid w:val="0DBC8758"/>
    <w:rsid w:val="0E0CE7C8"/>
    <w:rsid w:val="0E66B828"/>
    <w:rsid w:val="0F48BC80"/>
    <w:rsid w:val="0FCF7AEE"/>
    <w:rsid w:val="0FDCE01A"/>
    <w:rsid w:val="1015958C"/>
    <w:rsid w:val="1058D7E8"/>
    <w:rsid w:val="11F1BDA2"/>
    <w:rsid w:val="12F587F2"/>
    <w:rsid w:val="134F4ABD"/>
    <w:rsid w:val="135DFC8B"/>
    <w:rsid w:val="140CD65B"/>
    <w:rsid w:val="141624A7"/>
    <w:rsid w:val="14A5D06F"/>
    <w:rsid w:val="14BEBD36"/>
    <w:rsid w:val="15286FAD"/>
    <w:rsid w:val="1547AADA"/>
    <w:rsid w:val="163B0D57"/>
    <w:rsid w:val="166A5FC8"/>
    <w:rsid w:val="1671CA0D"/>
    <w:rsid w:val="16CE01B6"/>
    <w:rsid w:val="180CB745"/>
    <w:rsid w:val="1819CB5B"/>
    <w:rsid w:val="1931AEFF"/>
    <w:rsid w:val="199B201F"/>
    <w:rsid w:val="19C492EF"/>
    <w:rsid w:val="19E719C4"/>
    <w:rsid w:val="19F73C21"/>
    <w:rsid w:val="1A853456"/>
    <w:rsid w:val="1AC6466F"/>
    <w:rsid w:val="1B972427"/>
    <w:rsid w:val="1C603169"/>
    <w:rsid w:val="1D4E5CB7"/>
    <w:rsid w:val="1E330E8B"/>
    <w:rsid w:val="1F4F013A"/>
    <w:rsid w:val="1F7063BE"/>
    <w:rsid w:val="1FCEDEEC"/>
    <w:rsid w:val="2007A418"/>
    <w:rsid w:val="20F6E12C"/>
    <w:rsid w:val="210C341F"/>
    <w:rsid w:val="21D81CD9"/>
    <w:rsid w:val="2218C223"/>
    <w:rsid w:val="222A3D44"/>
    <w:rsid w:val="225D2CCE"/>
    <w:rsid w:val="2320AC54"/>
    <w:rsid w:val="233F44DA"/>
    <w:rsid w:val="236DC44B"/>
    <w:rsid w:val="237AC1DF"/>
    <w:rsid w:val="2424CED2"/>
    <w:rsid w:val="24B83584"/>
    <w:rsid w:val="250E4083"/>
    <w:rsid w:val="255DB31C"/>
    <w:rsid w:val="25EB318B"/>
    <w:rsid w:val="26AAFF12"/>
    <w:rsid w:val="27FFB3F8"/>
    <w:rsid w:val="28A2CA33"/>
    <w:rsid w:val="28E5C946"/>
    <w:rsid w:val="29E908ED"/>
    <w:rsid w:val="2A0E3A3A"/>
    <w:rsid w:val="2A2E4F19"/>
    <w:rsid w:val="2A3E9A94"/>
    <w:rsid w:val="2A6AA3F7"/>
    <w:rsid w:val="2A893005"/>
    <w:rsid w:val="2B6399D1"/>
    <w:rsid w:val="2B6972A3"/>
    <w:rsid w:val="2BBC5010"/>
    <w:rsid w:val="2C42EDF9"/>
    <w:rsid w:val="2C7A181F"/>
    <w:rsid w:val="2C9E17ED"/>
    <w:rsid w:val="2D763B56"/>
    <w:rsid w:val="2D8D1C03"/>
    <w:rsid w:val="2E511FDB"/>
    <w:rsid w:val="2E549A6E"/>
    <w:rsid w:val="2F7A8EBB"/>
    <w:rsid w:val="2FBE3598"/>
    <w:rsid w:val="2FF06ACF"/>
    <w:rsid w:val="3139079B"/>
    <w:rsid w:val="317C4C32"/>
    <w:rsid w:val="31A52003"/>
    <w:rsid w:val="33457205"/>
    <w:rsid w:val="339590EA"/>
    <w:rsid w:val="340CC62A"/>
    <w:rsid w:val="34CFF462"/>
    <w:rsid w:val="36C1BF8F"/>
    <w:rsid w:val="37856688"/>
    <w:rsid w:val="378EB1E1"/>
    <w:rsid w:val="37C44CA0"/>
    <w:rsid w:val="37DED9C4"/>
    <w:rsid w:val="380B926F"/>
    <w:rsid w:val="3886384D"/>
    <w:rsid w:val="38FB543B"/>
    <w:rsid w:val="392053C0"/>
    <w:rsid w:val="3993C262"/>
    <w:rsid w:val="3A0AD3A1"/>
    <w:rsid w:val="3A52787D"/>
    <w:rsid w:val="3ACCF10B"/>
    <w:rsid w:val="3BB39C33"/>
    <w:rsid w:val="3BC49EF2"/>
    <w:rsid w:val="3C139A08"/>
    <w:rsid w:val="3C32F4FD"/>
    <w:rsid w:val="3C398BBE"/>
    <w:rsid w:val="3C623E06"/>
    <w:rsid w:val="3CB062C9"/>
    <w:rsid w:val="3FBD98A8"/>
    <w:rsid w:val="4067A6FE"/>
    <w:rsid w:val="410C0315"/>
    <w:rsid w:val="424D6044"/>
    <w:rsid w:val="432CF484"/>
    <w:rsid w:val="43705105"/>
    <w:rsid w:val="4401A177"/>
    <w:rsid w:val="45537E7C"/>
    <w:rsid w:val="455C8053"/>
    <w:rsid w:val="45639D2A"/>
    <w:rsid w:val="457C0840"/>
    <w:rsid w:val="45ECA276"/>
    <w:rsid w:val="46011349"/>
    <w:rsid w:val="467DBDA3"/>
    <w:rsid w:val="47507487"/>
    <w:rsid w:val="4854EFDC"/>
    <w:rsid w:val="48616AE5"/>
    <w:rsid w:val="48E8C081"/>
    <w:rsid w:val="4943B0DE"/>
    <w:rsid w:val="4955A3D7"/>
    <w:rsid w:val="49842554"/>
    <w:rsid w:val="49908400"/>
    <w:rsid w:val="49A58454"/>
    <w:rsid w:val="4A12C948"/>
    <w:rsid w:val="4A1788CF"/>
    <w:rsid w:val="4B2ABF5A"/>
    <w:rsid w:val="4B2C5461"/>
    <w:rsid w:val="4B380669"/>
    <w:rsid w:val="4D787388"/>
    <w:rsid w:val="4D8C6908"/>
    <w:rsid w:val="4DA3F360"/>
    <w:rsid w:val="4DC799BD"/>
    <w:rsid w:val="4E84F8F0"/>
    <w:rsid w:val="4F0D9BB5"/>
    <w:rsid w:val="4F6B9253"/>
    <w:rsid w:val="507A1971"/>
    <w:rsid w:val="5108B692"/>
    <w:rsid w:val="516103A9"/>
    <w:rsid w:val="517636DA"/>
    <w:rsid w:val="520AB1EB"/>
    <w:rsid w:val="524CB28A"/>
    <w:rsid w:val="52F35A87"/>
    <w:rsid w:val="52FCD40A"/>
    <w:rsid w:val="53333E3D"/>
    <w:rsid w:val="538492B6"/>
    <w:rsid w:val="5391796D"/>
    <w:rsid w:val="5415CF32"/>
    <w:rsid w:val="5498A46B"/>
    <w:rsid w:val="54B91759"/>
    <w:rsid w:val="54D123D4"/>
    <w:rsid w:val="551B7760"/>
    <w:rsid w:val="55A62A84"/>
    <w:rsid w:val="57009E18"/>
    <w:rsid w:val="571FA6C3"/>
    <w:rsid w:val="575D7BDB"/>
    <w:rsid w:val="577148D0"/>
    <w:rsid w:val="58654302"/>
    <w:rsid w:val="5869800F"/>
    <w:rsid w:val="589834A6"/>
    <w:rsid w:val="58B2D81D"/>
    <w:rsid w:val="58C90BE6"/>
    <w:rsid w:val="599A5FDD"/>
    <w:rsid w:val="59A549E5"/>
    <w:rsid w:val="5A8CF468"/>
    <w:rsid w:val="5AE49D9C"/>
    <w:rsid w:val="5B08D706"/>
    <w:rsid w:val="5B37BA38"/>
    <w:rsid w:val="5B4A9F80"/>
    <w:rsid w:val="5E76C406"/>
    <w:rsid w:val="5F4A3D1D"/>
    <w:rsid w:val="5F54FD72"/>
    <w:rsid w:val="5FB4EFC0"/>
    <w:rsid w:val="60460FBF"/>
    <w:rsid w:val="6078AECA"/>
    <w:rsid w:val="60BB0F56"/>
    <w:rsid w:val="60DEAA93"/>
    <w:rsid w:val="60EE95BC"/>
    <w:rsid w:val="618A3A61"/>
    <w:rsid w:val="61E7BB05"/>
    <w:rsid w:val="6341B745"/>
    <w:rsid w:val="63B10631"/>
    <w:rsid w:val="647B8C74"/>
    <w:rsid w:val="64BD68BE"/>
    <w:rsid w:val="6513EE3B"/>
    <w:rsid w:val="65359A1C"/>
    <w:rsid w:val="654CD692"/>
    <w:rsid w:val="6558AAFC"/>
    <w:rsid w:val="65A6E146"/>
    <w:rsid w:val="65CFA70F"/>
    <w:rsid w:val="6659391F"/>
    <w:rsid w:val="667D73F9"/>
    <w:rsid w:val="672A8569"/>
    <w:rsid w:val="67D3F498"/>
    <w:rsid w:val="67E49526"/>
    <w:rsid w:val="69B1C498"/>
    <w:rsid w:val="6B7FE65D"/>
    <w:rsid w:val="6B83C0D2"/>
    <w:rsid w:val="6BB5CD67"/>
    <w:rsid w:val="6BDEAC58"/>
    <w:rsid w:val="6BDED664"/>
    <w:rsid w:val="6C5805EE"/>
    <w:rsid w:val="6CE4EF65"/>
    <w:rsid w:val="6D5F5A60"/>
    <w:rsid w:val="6D834C2A"/>
    <w:rsid w:val="6DD260EB"/>
    <w:rsid w:val="6DEACEAF"/>
    <w:rsid w:val="6E179960"/>
    <w:rsid w:val="6EAD6FD8"/>
    <w:rsid w:val="6EC123DC"/>
    <w:rsid w:val="70B3295E"/>
    <w:rsid w:val="70F30620"/>
    <w:rsid w:val="710549C9"/>
    <w:rsid w:val="722C3D01"/>
    <w:rsid w:val="72E0AE51"/>
    <w:rsid w:val="742566E0"/>
    <w:rsid w:val="75138EAA"/>
    <w:rsid w:val="7547E71E"/>
    <w:rsid w:val="75D8BAEC"/>
    <w:rsid w:val="766E75CD"/>
    <w:rsid w:val="76E8BC6B"/>
    <w:rsid w:val="77748B4D"/>
    <w:rsid w:val="780C7083"/>
    <w:rsid w:val="781ED637"/>
    <w:rsid w:val="7826A58B"/>
    <w:rsid w:val="79BABF97"/>
    <w:rsid w:val="79E04708"/>
    <w:rsid w:val="7ACC64BC"/>
    <w:rsid w:val="7C32CD4D"/>
    <w:rsid w:val="7C68351D"/>
    <w:rsid w:val="7DB7D83D"/>
    <w:rsid w:val="7DED183C"/>
    <w:rsid w:val="7EE1251E"/>
    <w:rsid w:val="7EFF3ADF"/>
    <w:rsid w:val="7FF16BA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D164D54"/>
  <w15:chartTrackingRefBased/>
  <w15:docId w15:val="{BF4C3EE2-5BD8-4D98-AE75-E9096D53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qFormat="1"/>
    <w:lsdException w:name="List Bullet 3" w:semiHidden="1" w:unhideWhenUsed="1" w:qFormat="1"/>
    <w:lsdException w:name="List Bullet 4" w:semiHidden="1" w:unhideWhenUsed="1" w:qFormat="1"/>
    <w:lsdException w:name="List Bullet 5" w:semiHidden="1" w:unhideWhenUsed="1" w:qFormat="1"/>
    <w:lsdException w:name="List Number 2" w:qFormat="1"/>
    <w:lsdException w:name="List Number 3" w:qFormat="1"/>
    <w:lsdException w:name="List Number 4" w:qFormat="1"/>
    <w:lsdException w:name="List Number 5" w:qFormat="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nhideWhenUsed="1"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5C3D"/>
    <w:rPr>
      <w:lang w:val="en-GB"/>
    </w:rPr>
  </w:style>
  <w:style w:type="paragraph" w:styleId="Nadpis1">
    <w:name w:val="heading 1"/>
    <w:basedOn w:val="Normln"/>
    <w:next w:val="Normln"/>
    <w:link w:val="Nadpis1Char"/>
    <w:uiPriority w:val="7"/>
    <w:qFormat/>
    <w:rsid w:val="00831374"/>
    <w:pPr>
      <w:keepNext/>
      <w:keepLines/>
      <w:spacing w:before="160" w:after="0" w:line="293" w:lineRule="auto"/>
      <w:outlineLvl w:val="0"/>
    </w:pPr>
    <w:rPr>
      <w:rFonts w:asciiTheme="majorHAnsi" w:eastAsiaTheme="majorEastAsia" w:hAnsiTheme="majorHAnsi" w:cstheme="majorBidi"/>
      <w:b/>
      <w:color w:val="000000" w:themeColor="text1"/>
      <w:sz w:val="28"/>
      <w:szCs w:val="32"/>
      <w:lang w:val="cs-CZ"/>
    </w:rPr>
  </w:style>
  <w:style w:type="paragraph" w:styleId="Nadpis2">
    <w:name w:val="heading 2"/>
    <w:basedOn w:val="Normln"/>
    <w:next w:val="Normln"/>
    <w:link w:val="Nadpis2Char"/>
    <w:uiPriority w:val="7"/>
    <w:unhideWhenUsed/>
    <w:qFormat/>
    <w:rsid w:val="00063405"/>
    <w:pPr>
      <w:keepNext/>
      <w:keepLines/>
      <w:spacing w:before="80" w:after="0" w:line="293" w:lineRule="auto"/>
      <w:outlineLvl w:val="1"/>
    </w:pPr>
    <w:rPr>
      <w:rFonts w:asciiTheme="majorHAnsi" w:eastAsiaTheme="majorEastAsia" w:hAnsiTheme="majorHAnsi" w:cstheme="majorBidi"/>
      <w:b/>
      <w:color w:val="000000" w:themeColor="text1"/>
      <w:sz w:val="26"/>
      <w:szCs w:val="26"/>
      <w:lang w:val="cs-CZ"/>
    </w:rPr>
  </w:style>
  <w:style w:type="paragraph" w:styleId="Nadpis3">
    <w:name w:val="heading 3"/>
    <w:basedOn w:val="Normln"/>
    <w:next w:val="Normln"/>
    <w:link w:val="Nadpis3Char"/>
    <w:uiPriority w:val="7"/>
    <w:unhideWhenUsed/>
    <w:qFormat/>
    <w:rsid w:val="00504668"/>
    <w:pPr>
      <w:keepNext/>
      <w:keepLines/>
      <w:spacing w:before="40" w:after="0" w:line="293" w:lineRule="auto"/>
      <w:outlineLvl w:val="2"/>
    </w:pPr>
    <w:rPr>
      <w:rFonts w:asciiTheme="majorHAnsi" w:eastAsiaTheme="majorEastAsia" w:hAnsiTheme="majorHAnsi" w:cstheme="majorBidi"/>
      <w:b/>
      <w:color w:val="000000" w:themeColor="text1"/>
      <w:sz w:val="24"/>
      <w:szCs w:val="24"/>
      <w:lang w:val="cs-CZ"/>
    </w:rPr>
  </w:style>
  <w:style w:type="paragraph" w:styleId="Nadpis4">
    <w:name w:val="heading 4"/>
    <w:basedOn w:val="Normln"/>
    <w:next w:val="Normln"/>
    <w:link w:val="Nadpis4Char"/>
    <w:uiPriority w:val="7"/>
    <w:unhideWhenUsed/>
    <w:qFormat/>
    <w:rsid w:val="00C6690E"/>
    <w:pPr>
      <w:keepNext/>
      <w:keepLines/>
      <w:spacing w:before="40" w:after="0" w:line="293" w:lineRule="auto"/>
      <w:outlineLvl w:val="3"/>
    </w:pPr>
    <w:rPr>
      <w:rFonts w:asciiTheme="majorHAnsi" w:eastAsiaTheme="majorEastAsia" w:hAnsiTheme="majorHAnsi" w:cstheme="majorBidi"/>
      <w:i/>
      <w:iCs/>
      <w:color w:val="000000" w:themeColor="text1"/>
      <w:sz w:val="24"/>
      <w:lang w:val="cs-CZ"/>
    </w:rPr>
  </w:style>
  <w:style w:type="paragraph" w:styleId="Nadpis5">
    <w:name w:val="heading 5"/>
    <w:basedOn w:val="Normln"/>
    <w:next w:val="Normln"/>
    <w:link w:val="Nadpis5Char"/>
    <w:uiPriority w:val="7"/>
    <w:unhideWhenUsed/>
    <w:qFormat/>
    <w:rsid w:val="00C6690E"/>
    <w:pPr>
      <w:keepNext/>
      <w:keepLines/>
      <w:spacing w:before="40" w:after="0" w:line="293" w:lineRule="auto"/>
      <w:outlineLvl w:val="4"/>
    </w:pPr>
    <w:rPr>
      <w:rFonts w:asciiTheme="majorHAnsi" w:eastAsiaTheme="majorEastAsia" w:hAnsiTheme="majorHAnsi" w:cstheme="majorBidi"/>
      <w:b/>
      <w:color w:val="000000" w:themeColor="text1"/>
      <w:lang w:val="cs-CZ"/>
    </w:rPr>
  </w:style>
  <w:style w:type="paragraph" w:styleId="Nadpis6">
    <w:name w:val="heading 6"/>
    <w:basedOn w:val="Normln"/>
    <w:next w:val="Normln"/>
    <w:link w:val="Nadpis6Char"/>
    <w:uiPriority w:val="7"/>
    <w:unhideWhenUsed/>
    <w:qFormat/>
    <w:rsid w:val="00C6690E"/>
    <w:pPr>
      <w:keepNext/>
      <w:keepLines/>
      <w:spacing w:before="40" w:after="0" w:line="293" w:lineRule="auto"/>
      <w:outlineLvl w:val="5"/>
    </w:pPr>
    <w:rPr>
      <w:rFonts w:asciiTheme="majorHAnsi" w:eastAsiaTheme="majorEastAsia" w:hAnsiTheme="majorHAnsi" w:cstheme="majorBidi"/>
      <w:i/>
      <w:color w:val="000000" w:themeColor="text1"/>
      <w:lang w:val="cs-CZ"/>
    </w:rPr>
  </w:style>
  <w:style w:type="paragraph" w:styleId="Nadpis7">
    <w:name w:val="heading 7"/>
    <w:basedOn w:val="Normln"/>
    <w:next w:val="Normln"/>
    <w:link w:val="Nadpis7Char"/>
    <w:uiPriority w:val="7"/>
    <w:unhideWhenUsed/>
    <w:qFormat/>
    <w:rsid w:val="00C6690E"/>
    <w:pPr>
      <w:keepNext/>
      <w:keepLines/>
      <w:spacing w:before="40" w:after="0" w:line="293" w:lineRule="auto"/>
      <w:outlineLvl w:val="6"/>
    </w:pPr>
    <w:rPr>
      <w:rFonts w:asciiTheme="majorHAnsi" w:eastAsiaTheme="majorEastAsia" w:hAnsiTheme="majorHAnsi" w:cstheme="majorBidi"/>
      <w:iCs/>
      <w:color w:val="000000" w:themeColor="text1"/>
      <w:lang w:val="cs-CZ"/>
    </w:rPr>
  </w:style>
  <w:style w:type="paragraph" w:styleId="Nadpis8">
    <w:name w:val="heading 8"/>
    <w:basedOn w:val="Normln"/>
    <w:next w:val="Normln"/>
    <w:link w:val="Nadpis8Char"/>
    <w:uiPriority w:val="7"/>
    <w:unhideWhenUsed/>
    <w:qFormat/>
    <w:rsid w:val="00A95C48"/>
    <w:pPr>
      <w:keepNext/>
      <w:keepLines/>
      <w:spacing w:before="40" w:after="0" w:line="293" w:lineRule="auto"/>
      <w:outlineLvl w:val="7"/>
    </w:pPr>
    <w:rPr>
      <w:rFonts w:asciiTheme="majorHAnsi" w:eastAsiaTheme="majorEastAsia" w:hAnsiTheme="majorHAnsi" w:cstheme="majorBidi"/>
      <w:b/>
      <w:color w:val="272727" w:themeColor="text1" w:themeTint="D8"/>
      <w:szCs w:val="21"/>
      <w:lang w:val="cs-CZ"/>
    </w:rPr>
  </w:style>
  <w:style w:type="paragraph" w:styleId="Nadpis9">
    <w:name w:val="heading 9"/>
    <w:basedOn w:val="Normln"/>
    <w:next w:val="Normln"/>
    <w:link w:val="Nadpis9Char"/>
    <w:uiPriority w:val="7"/>
    <w:unhideWhenUsed/>
    <w:qFormat/>
    <w:rsid w:val="00A95C48"/>
    <w:pPr>
      <w:keepNext/>
      <w:keepLines/>
      <w:spacing w:before="40" w:after="0" w:line="293" w:lineRule="auto"/>
      <w:outlineLvl w:val="8"/>
    </w:pPr>
    <w:rPr>
      <w:rFonts w:asciiTheme="majorHAnsi" w:eastAsiaTheme="majorEastAsia" w:hAnsiTheme="majorHAnsi" w:cstheme="majorBidi"/>
      <w:i/>
      <w:iCs/>
      <w:color w:val="272727" w:themeColor="text1" w:themeTint="D8"/>
      <w:sz w:val="21"/>
      <w:szCs w:val="21"/>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umbered list,2,OBC Bullet,Normal 1,Task Body,Viñetas (Inicio Parrafo),Paragrafo elenco,3 Txt tabla,Zerrenda-paragrafoa,Fiche List Paragraph,Dot pt,F5 List Paragraph,List Paragraph1,No Spacing1,List Paragraph Char Char Char,Bullet 1"/>
    <w:basedOn w:val="Normln"/>
    <w:link w:val="OdstavecseseznamemChar"/>
    <w:uiPriority w:val="34"/>
    <w:unhideWhenUsed/>
    <w:qFormat/>
    <w:rsid w:val="009F7F46"/>
    <w:pPr>
      <w:spacing w:after="160" w:line="293" w:lineRule="auto"/>
      <w:ind w:left="720"/>
      <w:contextualSpacing/>
    </w:pPr>
    <w:rPr>
      <w:color w:val="000000" w:themeColor="text1"/>
      <w:lang w:val="cs-CZ"/>
    </w:rPr>
  </w:style>
  <w:style w:type="numbering" w:customStyle="1" w:styleId="VariantaB-odrky">
    <w:name w:val="Varianta B - odrážky"/>
    <w:uiPriority w:val="99"/>
    <w:rsid w:val="007102D2"/>
    <w:pPr>
      <w:numPr>
        <w:numId w:val="7"/>
      </w:numPr>
    </w:pPr>
  </w:style>
  <w:style w:type="character" w:customStyle="1" w:styleId="Nadpis1Char">
    <w:name w:val="Nadpis 1 Char"/>
    <w:basedOn w:val="Standardnpsmoodstavce"/>
    <w:link w:val="Nadpis1"/>
    <w:uiPriority w:val="7"/>
    <w:rsid w:val="003250CB"/>
    <w:rPr>
      <w:rFonts w:asciiTheme="majorHAnsi" w:eastAsiaTheme="majorEastAsia" w:hAnsiTheme="majorHAnsi" w:cstheme="majorBidi"/>
      <w:b/>
      <w:color w:val="000000" w:themeColor="text1"/>
      <w:sz w:val="28"/>
      <w:szCs w:val="32"/>
    </w:rPr>
  </w:style>
  <w:style w:type="numbering" w:customStyle="1" w:styleId="VariantaA-odrky">
    <w:name w:val="Varianta A - odrážky"/>
    <w:uiPriority w:val="99"/>
    <w:rsid w:val="00262DAF"/>
    <w:pPr>
      <w:numPr>
        <w:numId w:val="8"/>
      </w:numPr>
    </w:pPr>
  </w:style>
  <w:style w:type="character" w:customStyle="1" w:styleId="Nadpis2Char">
    <w:name w:val="Nadpis 2 Char"/>
    <w:basedOn w:val="Standardnpsmoodstavce"/>
    <w:link w:val="Nadpis2"/>
    <w:uiPriority w:val="7"/>
    <w:rsid w:val="003250CB"/>
    <w:rPr>
      <w:rFonts w:asciiTheme="majorHAnsi" w:eastAsiaTheme="majorEastAsia" w:hAnsiTheme="majorHAnsi" w:cstheme="majorBidi"/>
      <w:b/>
      <w:color w:val="000000" w:themeColor="text1"/>
      <w:sz w:val="26"/>
      <w:szCs w:val="26"/>
    </w:rPr>
  </w:style>
  <w:style w:type="numbering" w:customStyle="1" w:styleId="VariantaA-sla">
    <w:name w:val="Varianta A - čísla"/>
    <w:uiPriority w:val="99"/>
    <w:rsid w:val="00B50EE6"/>
    <w:pPr>
      <w:numPr>
        <w:numId w:val="10"/>
      </w:numPr>
    </w:pPr>
  </w:style>
  <w:style w:type="numbering" w:customStyle="1" w:styleId="VariantaB-sla">
    <w:name w:val="Varianta B - čísla"/>
    <w:uiPriority w:val="99"/>
    <w:rsid w:val="009F7F46"/>
    <w:pPr>
      <w:numPr>
        <w:numId w:val="9"/>
      </w:numPr>
    </w:pPr>
  </w:style>
  <w:style w:type="character" w:customStyle="1" w:styleId="Nadpis3Char">
    <w:name w:val="Nadpis 3 Char"/>
    <w:basedOn w:val="Standardnpsmoodstavce"/>
    <w:link w:val="Nadpis3"/>
    <w:uiPriority w:val="7"/>
    <w:rsid w:val="003250CB"/>
    <w:rPr>
      <w:rFonts w:asciiTheme="majorHAnsi" w:eastAsiaTheme="majorEastAsia" w:hAnsiTheme="majorHAnsi" w:cstheme="majorBidi"/>
      <w:b/>
      <w:color w:val="000000" w:themeColor="text1"/>
      <w:sz w:val="24"/>
      <w:szCs w:val="24"/>
    </w:rPr>
  </w:style>
  <w:style w:type="character" w:customStyle="1" w:styleId="Nadpis4Char">
    <w:name w:val="Nadpis 4 Char"/>
    <w:basedOn w:val="Standardnpsmoodstavce"/>
    <w:link w:val="Nadpis4"/>
    <w:uiPriority w:val="7"/>
    <w:rsid w:val="003250CB"/>
    <w:rPr>
      <w:rFonts w:asciiTheme="majorHAnsi" w:eastAsiaTheme="majorEastAsia" w:hAnsiTheme="majorHAnsi" w:cstheme="majorBidi"/>
      <w:i/>
      <w:iCs/>
      <w:color w:val="000000" w:themeColor="text1"/>
      <w:sz w:val="24"/>
    </w:rPr>
  </w:style>
  <w:style w:type="character" w:customStyle="1" w:styleId="Nadpis5Char">
    <w:name w:val="Nadpis 5 Char"/>
    <w:basedOn w:val="Standardnpsmoodstavce"/>
    <w:link w:val="Nadpis5"/>
    <w:uiPriority w:val="7"/>
    <w:rsid w:val="003250CB"/>
    <w:rPr>
      <w:rFonts w:asciiTheme="majorHAnsi" w:eastAsiaTheme="majorEastAsia" w:hAnsiTheme="majorHAnsi" w:cstheme="majorBidi"/>
      <w:b/>
      <w:color w:val="000000" w:themeColor="text1"/>
    </w:rPr>
  </w:style>
  <w:style w:type="character" w:customStyle="1" w:styleId="Nadpis6Char">
    <w:name w:val="Nadpis 6 Char"/>
    <w:basedOn w:val="Standardnpsmoodstavce"/>
    <w:link w:val="Nadpis6"/>
    <w:uiPriority w:val="7"/>
    <w:rsid w:val="003250CB"/>
    <w:rPr>
      <w:rFonts w:asciiTheme="majorHAnsi" w:eastAsiaTheme="majorEastAsia" w:hAnsiTheme="majorHAnsi" w:cstheme="majorBidi"/>
      <w:i/>
      <w:color w:val="000000" w:themeColor="text1"/>
    </w:rPr>
  </w:style>
  <w:style w:type="character" w:customStyle="1" w:styleId="Nadpis7Char">
    <w:name w:val="Nadpis 7 Char"/>
    <w:basedOn w:val="Standardnpsmoodstavce"/>
    <w:link w:val="Nadpis7"/>
    <w:uiPriority w:val="7"/>
    <w:rsid w:val="003250CB"/>
    <w:rPr>
      <w:rFonts w:asciiTheme="majorHAnsi" w:eastAsiaTheme="majorEastAsia" w:hAnsiTheme="majorHAnsi" w:cstheme="majorBidi"/>
      <w:iCs/>
      <w:color w:val="000000" w:themeColor="text1"/>
    </w:rPr>
  </w:style>
  <w:style w:type="character" w:customStyle="1" w:styleId="Nadpis8Char">
    <w:name w:val="Nadpis 8 Char"/>
    <w:basedOn w:val="Standardnpsmoodstavce"/>
    <w:link w:val="Nadpis8"/>
    <w:uiPriority w:val="7"/>
    <w:rsid w:val="003250CB"/>
    <w:rPr>
      <w:rFonts w:asciiTheme="majorHAnsi" w:eastAsiaTheme="majorEastAsia" w:hAnsiTheme="majorHAnsi" w:cstheme="majorBidi"/>
      <w:b/>
      <w:color w:val="272727" w:themeColor="text1" w:themeTint="D8"/>
      <w:szCs w:val="21"/>
    </w:rPr>
  </w:style>
  <w:style w:type="character" w:customStyle="1" w:styleId="Nadpis9Char">
    <w:name w:val="Nadpis 9 Char"/>
    <w:basedOn w:val="Standardnpsmoodstavce"/>
    <w:link w:val="Nadpis9"/>
    <w:uiPriority w:val="7"/>
    <w:rsid w:val="003250CB"/>
    <w:rPr>
      <w:rFonts w:asciiTheme="majorHAnsi" w:eastAsiaTheme="majorEastAsia" w:hAnsiTheme="majorHAnsi" w:cstheme="majorBidi"/>
      <w:i/>
      <w:iCs/>
      <w:color w:val="272727" w:themeColor="text1" w:themeTint="D8"/>
      <w:sz w:val="21"/>
      <w:szCs w:val="21"/>
    </w:rPr>
  </w:style>
  <w:style w:type="paragraph" w:styleId="Nzev">
    <w:name w:val="Title"/>
    <w:basedOn w:val="Normln"/>
    <w:next w:val="Normln"/>
    <w:link w:val="NzevChar"/>
    <w:uiPriority w:val="4"/>
    <w:qFormat/>
    <w:rsid w:val="00A63D6B"/>
    <w:pPr>
      <w:keepNext/>
      <w:keepLines/>
      <w:spacing w:after="0" w:line="240" w:lineRule="auto"/>
      <w:contextualSpacing/>
    </w:pPr>
    <w:rPr>
      <w:rFonts w:asciiTheme="majorHAnsi" w:eastAsiaTheme="majorEastAsia" w:hAnsiTheme="majorHAnsi" w:cstheme="majorBidi"/>
      <w:color w:val="000000" w:themeColor="text1"/>
      <w:spacing w:val="-10"/>
      <w:kern w:val="28"/>
      <w:sz w:val="48"/>
      <w:szCs w:val="56"/>
      <w:lang w:val="cs-CZ"/>
    </w:rPr>
  </w:style>
  <w:style w:type="character" w:customStyle="1" w:styleId="NzevChar">
    <w:name w:val="Název Char"/>
    <w:basedOn w:val="Standardnpsmoodstavce"/>
    <w:link w:val="Nzev"/>
    <w:uiPriority w:val="4"/>
    <w:rsid w:val="003250CB"/>
    <w:rPr>
      <w:rFonts w:asciiTheme="majorHAnsi" w:eastAsiaTheme="majorEastAsia" w:hAnsiTheme="majorHAnsi" w:cstheme="majorBidi"/>
      <w:color w:val="000000" w:themeColor="text1"/>
      <w:spacing w:val="-10"/>
      <w:kern w:val="28"/>
      <w:sz w:val="48"/>
      <w:szCs w:val="56"/>
    </w:rPr>
  </w:style>
  <w:style w:type="character" w:styleId="Zdraznnintenzivn">
    <w:name w:val="Intense Emphasis"/>
    <w:basedOn w:val="Standardnpsmoodstavce"/>
    <w:uiPriority w:val="21"/>
    <w:qFormat/>
    <w:rsid w:val="00EE6BD7"/>
    <w:rPr>
      <w:b/>
      <w:i/>
      <w:iCs/>
      <w:color w:val="000000" w:themeColor="text1"/>
    </w:rPr>
  </w:style>
  <w:style w:type="paragraph" w:styleId="Vrazncitt">
    <w:name w:val="Intense Quote"/>
    <w:basedOn w:val="Normln"/>
    <w:next w:val="Normln"/>
    <w:link w:val="VrazncittChar"/>
    <w:uiPriority w:val="28"/>
    <w:qFormat/>
    <w:rsid w:val="00713948"/>
    <w:pPr>
      <w:keepLines/>
      <w:pBdr>
        <w:top w:val="single" w:sz="4" w:space="10" w:color="000000" w:themeColor="text1"/>
        <w:bottom w:val="single" w:sz="4" w:space="10" w:color="000000" w:themeColor="text1"/>
      </w:pBdr>
      <w:spacing w:before="240" w:after="240" w:line="293" w:lineRule="auto"/>
      <w:ind w:left="357" w:right="357"/>
    </w:pPr>
    <w:rPr>
      <w:i/>
      <w:iCs/>
      <w:color w:val="000000" w:themeColor="text1"/>
      <w:lang w:val="cs-CZ"/>
    </w:rPr>
  </w:style>
  <w:style w:type="character" w:customStyle="1" w:styleId="VrazncittChar">
    <w:name w:val="Výrazný citát Char"/>
    <w:basedOn w:val="Standardnpsmoodstavce"/>
    <w:link w:val="Vrazncitt"/>
    <w:uiPriority w:val="28"/>
    <w:rsid w:val="00713948"/>
    <w:rPr>
      <w:i/>
      <w:iCs/>
      <w:color w:val="000000" w:themeColor="text1"/>
    </w:rPr>
  </w:style>
  <w:style w:type="character" w:styleId="Odkazintenzivn">
    <w:name w:val="Intense Reference"/>
    <w:basedOn w:val="Standardnpsmoodstavce"/>
    <w:uiPriority w:val="24"/>
    <w:qFormat/>
    <w:rsid w:val="0039063C"/>
    <w:rPr>
      <w:b/>
      <w:bCs/>
      <w:smallCaps/>
      <w:color w:val="000000" w:themeColor="text1"/>
      <w:spacing w:val="5"/>
    </w:rPr>
  </w:style>
  <w:style w:type="paragraph" w:styleId="slovanseznam">
    <w:name w:val="List Number"/>
    <w:aliases w:val="Číslovaný seznam A"/>
    <w:basedOn w:val="Normln"/>
    <w:uiPriority w:val="15"/>
    <w:qFormat/>
    <w:rsid w:val="001B1E4A"/>
    <w:pPr>
      <w:numPr>
        <w:numId w:val="13"/>
      </w:numPr>
      <w:spacing w:after="0" w:line="293" w:lineRule="auto"/>
    </w:pPr>
    <w:rPr>
      <w:color w:val="000000" w:themeColor="text1"/>
      <w:lang w:val="cs-CZ"/>
    </w:rPr>
  </w:style>
  <w:style w:type="paragraph" w:styleId="slovanseznam2">
    <w:name w:val="List Number 2"/>
    <w:aliases w:val="Číslovaný seznam A 2"/>
    <w:basedOn w:val="Normln"/>
    <w:uiPriority w:val="15"/>
    <w:qFormat/>
    <w:rsid w:val="001B1E4A"/>
    <w:pPr>
      <w:numPr>
        <w:ilvl w:val="1"/>
        <w:numId w:val="13"/>
      </w:numPr>
      <w:spacing w:after="0" w:line="293" w:lineRule="auto"/>
      <w:contextualSpacing/>
    </w:pPr>
    <w:rPr>
      <w:color w:val="000000" w:themeColor="text1"/>
      <w:lang w:val="cs-CZ"/>
    </w:rPr>
  </w:style>
  <w:style w:type="paragraph" w:styleId="slovanseznam3">
    <w:name w:val="List Number 3"/>
    <w:aliases w:val="Číslovaný seznam A 3"/>
    <w:basedOn w:val="Normln"/>
    <w:uiPriority w:val="15"/>
    <w:qFormat/>
    <w:rsid w:val="001B1E4A"/>
    <w:pPr>
      <w:numPr>
        <w:ilvl w:val="2"/>
        <w:numId w:val="13"/>
      </w:numPr>
      <w:spacing w:after="0" w:line="293" w:lineRule="auto"/>
      <w:contextualSpacing/>
    </w:pPr>
    <w:rPr>
      <w:color w:val="000000" w:themeColor="text1"/>
      <w:lang w:val="cs-CZ"/>
    </w:rPr>
  </w:style>
  <w:style w:type="paragraph" w:styleId="slovanseznam4">
    <w:name w:val="List Number 4"/>
    <w:aliases w:val="Číslovaný seznam A 4"/>
    <w:basedOn w:val="Normln"/>
    <w:uiPriority w:val="15"/>
    <w:qFormat/>
    <w:rsid w:val="001B1E4A"/>
    <w:pPr>
      <w:numPr>
        <w:ilvl w:val="3"/>
        <w:numId w:val="13"/>
      </w:numPr>
      <w:spacing w:after="0" w:line="293" w:lineRule="auto"/>
      <w:contextualSpacing/>
    </w:pPr>
    <w:rPr>
      <w:color w:val="000000" w:themeColor="text1"/>
      <w:lang w:val="cs-CZ"/>
    </w:rPr>
  </w:style>
  <w:style w:type="paragraph" w:styleId="slovanseznam5">
    <w:name w:val="List Number 5"/>
    <w:aliases w:val="Číslovaný seznam A 5"/>
    <w:basedOn w:val="Normln"/>
    <w:uiPriority w:val="15"/>
    <w:qFormat/>
    <w:rsid w:val="001B1E4A"/>
    <w:pPr>
      <w:numPr>
        <w:ilvl w:val="4"/>
        <w:numId w:val="13"/>
      </w:numPr>
      <w:spacing w:after="0" w:line="293" w:lineRule="auto"/>
      <w:contextualSpacing/>
    </w:pPr>
    <w:rPr>
      <w:color w:val="000000" w:themeColor="text1"/>
      <w:lang w:val="cs-CZ"/>
    </w:rPr>
  </w:style>
  <w:style w:type="paragraph" w:customStyle="1" w:styleId="slovanseznamB">
    <w:name w:val="Číslovaný seznam B"/>
    <w:basedOn w:val="Normln"/>
    <w:uiPriority w:val="16"/>
    <w:qFormat/>
    <w:rsid w:val="009F7F46"/>
    <w:pPr>
      <w:numPr>
        <w:numId w:val="11"/>
      </w:numPr>
      <w:spacing w:after="0" w:line="293" w:lineRule="auto"/>
    </w:pPr>
    <w:rPr>
      <w:color w:val="000000" w:themeColor="text1"/>
      <w:lang w:val="cs-CZ"/>
    </w:rPr>
  </w:style>
  <w:style w:type="paragraph" w:customStyle="1" w:styleId="slovanseznamB2">
    <w:name w:val="Číslovaný seznam B 2"/>
    <w:basedOn w:val="Normln"/>
    <w:uiPriority w:val="16"/>
    <w:qFormat/>
    <w:rsid w:val="009F7F46"/>
    <w:pPr>
      <w:numPr>
        <w:ilvl w:val="1"/>
        <w:numId w:val="11"/>
      </w:numPr>
      <w:spacing w:after="0" w:line="293" w:lineRule="auto"/>
    </w:pPr>
    <w:rPr>
      <w:color w:val="000000" w:themeColor="text1"/>
      <w:lang w:val="cs-CZ"/>
    </w:rPr>
  </w:style>
  <w:style w:type="paragraph" w:customStyle="1" w:styleId="slovanseznamB3">
    <w:name w:val="Číslovaný seznam B 3"/>
    <w:basedOn w:val="Normln"/>
    <w:uiPriority w:val="16"/>
    <w:qFormat/>
    <w:rsid w:val="009F7F46"/>
    <w:pPr>
      <w:numPr>
        <w:ilvl w:val="2"/>
        <w:numId w:val="11"/>
      </w:numPr>
      <w:spacing w:after="0" w:line="293" w:lineRule="auto"/>
    </w:pPr>
    <w:rPr>
      <w:color w:val="000000" w:themeColor="text1"/>
      <w:lang w:val="cs-CZ"/>
    </w:rPr>
  </w:style>
  <w:style w:type="paragraph" w:customStyle="1" w:styleId="slovanseznamB4">
    <w:name w:val="Číslovaný seznam B 4"/>
    <w:basedOn w:val="Normln"/>
    <w:uiPriority w:val="16"/>
    <w:qFormat/>
    <w:rsid w:val="009F7F46"/>
    <w:pPr>
      <w:numPr>
        <w:ilvl w:val="3"/>
        <w:numId w:val="11"/>
      </w:numPr>
      <w:spacing w:after="0" w:line="293" w:lineRule="auto"/>
    </w:pPr>
    <w:rPr>
      <w:color w:val="000000" w:themeColor="text1"/>
      <w:lang w:val="cs-CZ"/>
    </w:rPr>
  </w:style>
  <w:style w:type="paragraph" w:customStyle="1" w:styleId="slovanseznamB5">
    <w:name w:val="Číslovaný seznam B 5"/>
    <w:basedOn w:val="Normln"/>
    <w:uiPriority w:val="16"/>
    <w:qFormat/>
    <w:rsid w:val="009F7F46"/>
    <w:pPr>
      <w:numPr>
        <w:ilvl w:val="4"/>
        <w:numId w:val="11"/>
      </w:numPr>
      <w:spacing w:after="0" w:line="293" w:lineRule="auto"/>
    </w:pPr>
    <w:rPr>
      <w:color w:val="000000" w:themeColor="text1"/>
      <w:lang w:val="cs-CZ"/>
    </w:rPr>
  </w:style>
  <w:style w:type="paragraph" w:styleId="Seznamsodrkami3">
    <w:name w:val="List Bullet 3"/>
    <w:aliases w:val="Seznam s odrážkami A 3"/>
    <w:basedOn w:val="Normln"/>
    <w:uiPriority w:val="10"/>
    <w:qFormat/>
    <w:rsid w:val="00262DAF"/>
    <w:pPr>
      <w:numPr>
        <w:ilvl w:val="2"/>
        <w:numId w:val="12"/>
      </w:numPr>
      <w:spacing w:after="0" w:line="293" w:lineRule="auto"/>
      <w:contextualSpacing/>
    </w:pPr>
    <w:rPr>
      <w:color w:val="000000" w:themeColor="text1"/>
      <w:lang w:val="cs-CZ"/>
    </w:rPr>
  </w:style>
  <w:style w:type="paragraph" w:styleId="Seznamsodrkami4">
    <w:name w:val="List Bullet 4"/>
    <w:aliases w:val="Seznam s odrážkami A 4"/>
    <w:basedOn w:val="Normln"/>
    <w:uiPriority w:val="10"/>
    <w:qFormat/>
    <w:rsid w:val="00262DAF"/>
    <w:pPr>
      <w:numPr>
        <w:ilvl w:val="3"/>
        <w:numId w:val="12"/>
      </w:numPr>
      <w:spacing w:after="0" w:line="293" w:lineRule="auto"/>
      <w:contextualSpacing/>
    </w:pPr>
    <w:rPr>
      <w:color w:val="000000" w:themeColor="text1"/>
      <w:lang w:val="cs-CZ"/>
    </w:rPr>
  </w:style>
  <w:style w:type="paragraph" w:styleId="Seznamsodrkami5">
    <w:name w:val="List Bullet 5"/>
    <w:aliases w:val="Seznam s odrážkami A 5"/>
    <w:basedOn w:val="Normln"/>
    <w:uiPriority w:val="10"/>
    <w:qFormat/>
    <w:rsid w:val="00262DAF"/>
    <w:pPr>
      <w:numPr>
        <w:ilvl w:val="4"/>
        <w:numId w:val="12"/>
      </w:numPr>
      <w:spacing w:after="0" w:line="293" w:lineRule="auto"/>
    </w:pPr>
    <w:rPr>
      <w:color w:val="000000" w:themeColor="text1"/>
      <w:lang w:val="cs-CZ"/>
    </w:rPr>
  </w:style>
  <w:style w:type="paragraph" w:styleId="Seznamsodrkami">
    <w:name w:val="List Bullet"/>
    <w:aliases w:val="Seznam s odrážkami A"/>
    <w:basedOn w:val="Normln"/>
    <w:uiPriority w:val="10"/>
    <w:qFormat/>
    <w:rsid w:val="00262DAF"/>
    <w:pPr>
      <w:numPr>
        <w:numId w:val="12"/>
      </w:numPr>
      <w:spacing w:after="0" w:line="293" w:lineRule="auto"/>
      <w:contextualSpacing/>
    </w:pPr>
    <w:rPr>
      <w:color w:val="000000" w:themeColor="text1"/>
      <w:lang w:val="cs-CZ"/>
    </w:rPr>
  </w:style>
  <w:style w:type="paragraph" w:styleId="Seznamsodrkami2">
    <w:name w:val="List Bullet 2"/>
    <w:aliases w:val="Seznam s odrážkami A 2"/>
    <w:basedOn w:val="Normln"/>
    <w:uiPriority w:val="10"/>
    <w:qFormat/>
    <w:rsid w:val="00262DAF"/>
    <w:pPr>
      <w:numPr>
        <w:ilvl w:val="1"/>
        <w:numId w:val="12"/>
      </w:numPr>
      <w:spacing w:after="0" w:line="293" w:lineRule="auto"/>
      <w:contextualSpacing/>
    </w:pPr>
    <w:rPr>
      <w:color w:val="000000" w:themeColor="text1"/>
      <w:lang w:val="cs-CZ"/>
    </w:rPr>
  </w:style>
  <w:style w:type="paragraph" w:customStyle="1" w:styleId="Nadpis1-mimoobsah">
    <w:name w:val="Nadpis 1 - mimo obsah"/>
    <w:basedOn w:val="Normln"/>
    <w:next w:val="Normln"/>
    <w:uiPriority w:val="8"/>
    <w:qFormat/>
    <w:rsid w:val="00831374"/>
    <w:pPr>
      <w:keepNext/>
      <w:keepLines/>
      <w:spacing w:before="160" w:after="0" w:line="293" w:lineRule="auto"/>
    </w:pPr>
    <w:rPr>
      <w:rFonts w:asciiTheme="majorHAnsi" w:hAnsiTheme="majorHAnsi"/>
      <w:b/>
      <w:color w:val="000000" w:themeColor="text1"/>
      <w:sz w:val="28"/>
      <w:lang w:val="cs-CZ"/>
    </w:rPr>
  </w:style>
  <w:style w:type="paragraph" w:customStyle="1" w:styleId="Nadpis2-mimoobsah">
    <w:name w:val="Nadpis 2 - mimo obsah"/>
    <w:basedOn w:val="Normln"/>
    <w:next w:val="Normln"/>
    <w:uiPriority w:val="8"/>
    <w:qFormat/>
    <w:rsid w:val="00AB523B"/>
    <w:pPr>
      <w:keepNext/>
      <w:keepLines/>
      <w:spacing w:before="80" w:after="0" w:line="293" w:lineRule="auto"/>
    </w:pPr>
    <w:rPr>
      <w:rFonts w:asciiTheme="majorHAnsi" w:hAnsiTheme="majorHAnsi"/>
      <w:b/>
      <w:color w:val="000000" w:themeColor="text1"/>
      <w:sz w:val="26"/>
      <w:lang w:val="cs-CZ"/>
    </w:rPr>
  </w:style>
  <w:style w:type="paragraph" w:customStyle="1" w:styleId="Nadpis3-mimoobsah">
    <w:name w:val="Nadpis 3 - mimo obsah"/>
    <w:basedOn w:val="Normln"/>
    <w:next w:val="Normln"/>
    <w:uiPriority w:val="8"/>
    <w:qFormat/>
    <w:rsid w:val="00BB479C"/>
    <w:pPr>
      <w:keepNext/>
      <w:keepLines/>
      <w:spacing w:before="40" w:after="0" w:line="293" w:lineRule="auto"/>
    </w:pPr>
    <w:rPr>
      <w:rFonts w:asciiTheme="majorHAnsi" w:hAnsiTheme="majorHAnsi"/>
      <w:b/>
      <w:color w:val="000000" w:themeColor="text1"/>
      <w:sz w:val="24"/>
      <w:lang w:val="cs-CZ"/>
    </w:rPr>
  </w:style>
  <w:style w:type="paragraph" w:customStyle="1" w:styleId="Nadpis4-mimoobsah">
    <w:name w:val="Nadpis 4 - mimo obsah"/>
    <w:basedOn w:val="Normln"/>
    <w:next w:val="Normln"/>
    <w:uiPriority w:val="8"/>
    <w:qFormat/>
    <w:rsid w:val="00BB479C"/>
    <w:pPr>
      <w:keepNext/>
      <w:keepLines/>
      <w:spacing w:before="40" w:after="0" w:line="293" w:lineRule="auto"/>
    </w:pPr>
    <w:rPr>
      <w:rFonts w:asciiTheme="majorHAnsi" w:hAnsiTheme="majorHAnsi"/>
      <w:i/>
      <w:color w:val="000000" w:themeColor="text1"/>
      <w:sz w:val="24"/>
      <w:lang w:val="cs-CZ"/>
    </w:rPr>
  </w:style>
  <w:style w:type="paragraph" w:customStyle="1" w:styleId="Nadpis5-mimoobsah">
    <w:name w:val="Nadpis 5 - mimo obsah"/>
    <w:basedOn w:val="Normln"/>
    <w:next w:val="Normln"/>
    <w:uiPriority w:val="8"/>
    <w:qFormat/>
    <w:rsid w:val="00BB479C"/>
    <w:pPr>
      <w:keepNext/>
      <w:keepLines/>
      <w:spacing w:before="40" w:after="0" w:line="293" w:lineRule="auto"/>
    </w:pPr>
    <w:rPr>
      <w:rFonts w:asciiTheme="majorHAnsi" w:hAnsiTheme="majorHAnsi"/>
      <w:b/>
      <w:color w:val="000000" w:themeColor="text1"/>
      <w:lang w:val="cs-CZ"/>
    </w:rPr>
  </w:style>
  <w:style w:type="paragraph" w:customStyle="1" w:styleId="Nadpis7mimoobsah">
    <w:name w:val="Nadpis 7 mimo obsah"/>
    <w:basedOn w:val="Normln"/>
    <w:next w:val="Normln"/>
    <w:uiPriority w:val="8"/>
    <w:qFormat/>
    <w:rsid w:val="00BB479C"/>
    <w:pPr>
      <w:keepNext/>
      <w:keepLines/>
      <w:spacing w:before="40" w:after="0" w:line="293" w:lineRule="auto"/>
    </w:pPr>
    <w:rPr>
      <w:rFonts w:asciiTheme="majorHAnsi" w:hAnsiTheme="majorHAnsi"/>
      <w:color w:val="000000" w:themeColor="text1"/>
      <w:lang w:val="cs-CZ"/>
    </w:rPr>
  </w:style>
  <w:style w:type="paragraph" w:customStyle="1" w:styleId="Nadpis6mimoobsah">
    <w:name w:val="Nadpis 6 mimo obsah"/>
    <w:basedOn w:val="Normln"/>
    <w:next w:val="Normln"/>
    <w:uiPriority w:val="8"/>
    <w:qFormat/>
    <w:rsid w:val="00A95C48"/>
    <w:pPr>
      <w:keepNext/>
      <w:keepLines/>
      <w:spacing w:before="40" w:after="0" w:line="293" w:lineRule="auto"/>
    </w:pPr>
    <w:rPr>
      <w:rFonts w:asciiTheme="majorHAnsi" w:hAnsiTheme="majorHAnsi"/>
      <w:i/>
      <w:color w:val="000000" w:themeColor="text1"/>
      <w:lang w:val="cs-CZ"/>
    </w:rPr>
  </w:style>
  <w:style w:type="paragraph" w:customStyle="1" w:styleId="Nadpis8mimoobsah">
    <w:name w:val="Nadpis 8 mimo obsah"/>
    <w:basedOn w:val="Normln"/>
    <w:next w:val="Normln"/>
    <w:uiPriority w:val="8"/>
    <w:qFormat/>
    <w:rsid w:val="00A95C48"/>
    <w:pPr>
      <w:keepNext/>
      <w:keepLines/>
      <w:spacing w:before="40" w:after="0" w:line="293" w:lineRule="auto"/>
    </w:pPr>
    <w:rPr>
      <w:rFonts w:asciiTheme="majorHAnsi" w:hAnsiTheme="majorHAnsi"/>
      <w:b/>
      <w:color w:val="000000" w:themeColor="text1"/>
      <w:sz w:val="21"/>
      <w:szCs w:val="21"/>
      <w:lang w:val="cs-CZ"/>
    </w:rPr>
  </w:style>
  <w:style w:type="paragraph" w:customStyle="1" w:styleId="Nadpis9mimoobsah">
    <w:name w:val="Nadpis 9 mimo obsah"/>
    <w:basedOn w:val="Normln"/>
    <w:next w:val="Normln"/>
    <w:uiPriority w:val="8"/>
    <w:qFormat/>
    <w:rsid w:val="00A95C48"/>
    <w:pPr>
      <w:keepNext/>
      <w:keepLines/>
      <w:spacing w:before="40" w:after="0" w:line="293" w:lineRule="auto"/>
    </w:pPr>
    <w:rPr>
      <w:rFonts w:asciiTheme="majorHAnsi" w:hAnsiTheme="majorHAnsi"/>
      <w:i/>
      <w:color w:val="000000" w:themeColor="text1"/>
      <w:sz w:val="21"/>
      <w:szCs w:val="21"/>
      <w:lang w:val="cs-CZ"/>
    </w:rPr>
  </w:style>
  <w:style w:type="paragraph" w:styleId="Podnadpis">
    <w:name w:val="Subtitle"/>
    <w:basedOn w:val="Normln"/>
    <w:next w:val="Normln"/>
    <w:link w:val="PodnadpisChar"/>
    <w:uiPriority w:val="5"/>
    <w:qFormat/>
    <w:rsid w:val="008D4A32"/>
    <w:pPr>
      <w:numPr>
        <w:ilvl w:val="1"/>
      </w:numPr>
      <w:spacing w:after="160" w:line="293" w:lineRule="auto"/>
    </w:pPr>
    <w:rPr>
      <w:rFonts w:eastAsiaTheme="minorEastAsia"/>
      <w:color w:val="595959" w:themeColor="text1" w:themeTint="A6"/>
      <w:spacing w:val="15"/>
      <w:sz w:val="28"/>
      <w:lang w:val="cs-CZ"/>
    </w:rPr>
  </w:style>
  <w:style w:type="character" w:customStyle="1" w:styleId="PodnadpisChar">
    <w:name w:val="Podnadpis Char"/>
    <w:basedOn w:val="Standardnpsmoodstavce"/>
    <w:link w:val="Podnadpis"/>
    <w:uiPriority w:val="5"/>
    <w:rsid w:val="003250CB"/>
    <w:rPr>
      <w:rFonts w:eastAsiaTheme="minorEastAsia"/>
      <w:color w:val="595959" w:themeColor="text1" w:themeTint="A6"/>
      <w:spacing w:val="15"/>
      <w:sz w:val="28"/>
    </w:rPr>
  </w:style>
  <w:style w:type="paragraph" w:styleId="Obsah1">
    <w:name w:val="toc 1"/>
    <w:basedOn w:val="Normln"/>
    <w:next w:val="Normln"/>
    <w:autoRedefine/>
    <w:uiPriority w:val="39"/>
    <w:unhideWhenUsed/>
    <w:rsid w:val="00D22462"/>
    <w:pPr>
      <w:spacing w:after="100" w:line="293" w:lineRule="auto"/>
    </w:pPr>
    <w:rPr>
      <w:color w:val="000000" w:themeColor="text1"/>
      <w:lang w:val="cs-CZ"/>
    </w:rPr>
  </w:style>
  <w:style w:type="paragraph" w:styleId="Obsah2">
    <w:name w:val="toc 2"/>
    <w:basedOn w:val="Normln"/>
    <w:next w:val="Normln"/>
    <w:autoRedefine/>
    <w:uiPriority w:val="39"/>
    <w:unhideWhenUsed/>
    <w:rsid w:val="00D22462"/>
    <w:pPr>
      <w:spacing w:after="100" w:line="293" w:lineRule="auto"/>
      <w:ind w:left="220"/>
    </w:pPr>
    <w:rPr>
      <w:color w:val="000000" w:themeColor="text1"/>
      <w:lang w:val="cs-CZ"/>
    </w:rPr>
  </w:style>
  <w:style w:type="paragraph" w:styleId="Obsah3">
    <w:name w:val="toc 3"/>
    <w:basedOn w:val="Normln"/>
    <w:next w:val="Normln"/>
    <w:autoRedefine/>
    <w:uiPriority w:val="39"/>
    <w:unhideWhenUsed/>
    <w:rsid w:val="00D22462"/>
    <w:pPr>
      <w:spacing w:after="100" w:line="293" w:lineRule="auto"/>
      <w:ind w:left="440"/>
    </w:pPr>
    <w:rPr>
      <w:color w:val="000000" w:themeColor="text1"/>
      <w:lang w:val="cs-CZ"/>
    </w:rPr>
  </w:style>
  <w:style w:type="paragraph" w:styleId="Obsah4">
    <w:name w:val="toc 4"/>
    <w:basedOn w:val="Normln"/>
    <w:next w:val="Normln"/>
    <w:autoRedefine/>
    <w:uiPriority w:val="39"/>
    <w:unhideWhenUsed/>
    <w:rsid w:val="00D22462"/>
    <w:pPr>
      <w:spacing w:after="100" w:line="293" w:lineRule="auto"/>
      <w:ind w:left="660"/>
    </w:pPr>
    <w:rPr>
      <w:color w:val="000000" w:themeColor="text1"/>
      <w:lang w:val="cs-CZ"/>
    </w:rPr>
  </w:style>
  <w:style w:type="paragraph" w:styleId="Obsah5">
    <w:name w:val="toc 5"/>
    <w:basedOn w:val="Normln"/>
    <w:next w:val="Normln"/>
    <w:autoRedefine/>
    <w:uiPriority w:val="39"/>
    <w:unhideWhenUsed/>
    <w:rsid w:val="00D22462"/>
    <w:pPr>
      <w:spacing w:after="100" w:line="293" w:lineRule="auto"/>
      <w:ind w:left="880"/>
    </w:pPr>
    <w:rPr>
      <w:color w:val="000000" w:themeColor="text1"/>
      <w:lang w:val="cs-CZ"/>
    </w:rPr>
  </w:style>
  <w:style w:type="paragraph" w:styleId="Obsah6">
    <w:name w:val="toc 6"/>
    <w:basedOn w:val="Normln"/>
    <w:next w:val="Normln"/>
    <w:autoRedefine/>
    <w:uiPriority w:val="39"/>
    <w:unhideWhenUsed/>
    <w:rsid w:val="00D22462"/>
    <w:pPr>
      <w:spacing w:after="100" w:line="293" w:lineRule="auto"/>
      <w:ind w:left="1100"/>
    </w:pPr>
    <w:rPr>
      <w:color w:val="000000" w:themeColor="text1"/>
      <w:lang w:val="cs-CZ"/>
    </w:rPr>
  </w:style>
  <w:style w:type="paragraph" w:styleId="Obsah7">
    <w:name w:val="toc 7"/>
    <w:basedOn w:val="Normln"/>
    <w:next w:val="Normln"/>
    <w:autoRedefine/>
    <w:uiPriority w:val="39"/>
    <w:unhideWhenUsed/>
    <w:rsid w:val="00D22462"/>
    <w:pPr>
      <w:spacing w:after="100" w:line="293" w:lineRule="auto"/>
      <w:ind w:left="1320"/>
    </w:pPr>
    <w:rPr>
      <w:color w:val="000000" w:themeColor="text1"/>
      <w:lang w:val="cs-CZ"/>
    </w:rPr>
  </w:style>
  <w:style w:type="paragraph" w:styleId="Obsah8">
    <w:name w:val="toc 8"/>
    <w:basedOn w:val="Normln"/>
    <w:next w:val="Normln"/>
    <w:autoRedefine/>
    <w:uiPriority w:val="39"/>
    <w:unhideWhenUsed/>
    <w:rsid w:val="00D22462"/>
    <w:pPr>
      <w:spacing w:after="100" w:line="293" w:lineRule="auto"/>
      <w:ind w:left="1540"/>
    </w:pPr>
    <w:rPr>
      <w:color w:val="000000" w:themeColor="text1"/>
      <w:lang w:val="cs-CZ"/>
    </w:rPr>
  </w:style>
  <w:style w:type="paragraph" w:styleId="Obsah9">
    <w:name w:val="toc 9"/>
    <w:basedOn w:val="Normln"/>
    <w:next w:val="Normln"/>
    <w:autoRedefine/>
    <w:uiPriority w:val="39"/>
    <w:unhideWhenUsed/>
    <w:rsid w:val="00D22462"/>
    <w:pPr>
      <w:spacing w:after="100" w:line="293" w:lineRule="auto"/>
      <w:ind w:left="1760"/>
    </w:pPr>
    <w:rPr>
      <w:color w:val="000000" w:themeColor="text1"/>
      <w:lang w:val="cs-CZ"/>
    </w:rPr>
  </w:style>
  <w:style w:type="character" w:styleId="Hypertextovodkaz">
    <w:name w:val="Hyperlink"/>
    <w:basedOn w:val="Standardnpsmoodstavce"/>
    <w:uiPriority w:val="99"/>
    <w:unhideWhenUsed/>
    <w:rsid w:val="00D22462"/>
    <w:rPr>
      <w:color w:val="004B8D" w:themeColor="hyperlink"/>
      <w:u w:val="single"/>
    </w:rPr>
  </w:style>
  <w:style w:type="character" w:styleId="Zdraznnjemn">
    <w:name w:val="Subtle Emphasis"/>
    <w:basedOn w:val="Standardnpsmoodstavce"/>
    <w:uiPriority w:val="19"/>
    <w:qFormat/>
    <w:rsid w:val="00A275BC"/>
    <w:rPr>
      <w:i/>
      <w:iCs/>
      <w:color w:val="595959" w:themeColor="text1" w:themeTint="A6"/>
    </w:rPr>
  </w:style>
  <w:style w:type="character" w:styleId="Odkazjemn">
    <w:name w:val="Subtle Reference"/>
    <w:basedOn w:val="Standardnpsmoodstavce"/>
    <w:uiPriority w:val="23"/>
    <w:qFormat/>
    <w:rsid w:val="00A275BC"/>
    <w:rPr>
      <w:smallCaps/>
      <w:color w:val="5A5A5A" w:themeColor="text1" w:themeTint="A5"/>
    </w:rPr>
  </w:style>
  <w:style w:type="paragraph" w:styleId="Citt">
    <w:name w:val="Quote"/>
    <w:basedOn w:val="Normln"/>
    <w:next w:val="Normln"/>
    <w:link w:val="CittChar"/>
    <w:uiPriority w:val="27"/>
    <w:qFormat/>
    <w:rsid w:val="00713948"/>
    <w:pPr>
      <w:keepLines/>
      <w:spacing w:before="240" w:after="160" w:line="293" w:lineRule="auto"/>
      <w:ind w:left="357" w:right="357"/>
    </w:pPr>
    <w:rPr>
      <w:i/>
      <w:iCs/>
      <w:color w:val="595959" w:themeColor="text1" w:themeTint="A6"/>
      <w:lang w:val="cs-CZ"/>
    </w:rPr>
  </w:style>
  <w:style w:type="character" w:customStyle="1" w:styleId="CittChar">
    <w:name w:val="Citát Char"/>
    <w:basedOn w:val="Standardnpsmoodstavce"/>
    <w:link w:val="Citt"/>
    <w:uiPriority w:val="27"/>
    <w:rsid w:val="00713948"/>
    <w:rPr>
      <w:i/>
      <w:iCs/>
      <w:color w:val="595959" w:themeColor="text1" w:themeTint="A6"/>
    </w:rPr>
  </w:style>
  <w:style w:type="character" w:styleId="Zdraznn">
    <w:name w:val="Emphasis"/>
    <w:basedOn w:val="Standardnpsmoodstavce"/>
    <w:uiPriority w:val="20"/>
    <w:qFormat/>
    <w:rsid w:val="00713948"/>
    <w:rPr>
      <w:i/>
      <w:iCs/>
    </w:rPr>
  </w:style>
  <w:style w:type="paragraph" w:styleId="Nadpisobsahu">
    <w:name w:val="TOC Heading"/>
    <w:basedOn w:val="Nadpis1-mimoobsah"/>
    <w:next w:val="Normln"/>
    <w:uiPriority w:val="6"/>
    <w:unhideWhenUsed/>
    <w:qFormat/>
    <w:rsid w:val="003B565A"/>
  </w:style>
  <w:style w:type="paragraph" w:styleId="Datum">
    <w:name w:val="Date"/>
    <w:basedOn w:val="Normln"/>
    <w:next w:val="Normln"/>
    <w:link w:val="DatumChar"/>
    <w:uiPriority w:val="31"/>
    <w:unhideWhenUsed/>
    <w:rsid w:val="00486FB9"/>
    <w:pPr>
      <w:spacing w:after="160" w:line="293" w:lineRule="auto"/>
    </w:pPr>
    <w:rPr>
      <w:color w:val="000000" w:themeColor="text1"/>
      <w:lang w:val="cs-CZ"/>
    </w:rPr>
  </w:style>
  <w:style w:type="character" w:customStyle="1" w:styleId="DatumChar">
    <w:name w:val="Datum Char"/>
    <w:basedOn w:val="Standardnpsmoodstavce"/>
    <w:link w:val="Datum"/>
    <w:uiPriority w:val="31"/>
    <w:rsid w:val="005455E1"/>
    <w:rPr>
      <w:color w:val="000000" w:themeColor="text1"/>
    </w:rPr>
  </w:style>
  <w:style w:type="paragraph" w:styleId="Textvbloku">
    <w:name w:val="Block Text"/>
    <w:basedOn w:val="Normln"/>
    <w:uiPriority w:val="29"/>
    <w:unhideWhenUsed/>
    <w:rsid w:val="009516A8"/>
    <w:pPr>
      <w:pBdr>
        <w:top w:val="single" w:sz="2" w:space="10" w:color="000000" w:themeColor="text1"/>
        <w:left w:val="single" w:sz="2" w:space="10" w:color="000000" w:themeColor="text1"/>
        <w:bottom w:val="single" w:sz="2" w:space="10" w:color="000000" w:themeColor="text1"/>
        <w:right w:val="single" w:sz="2" w:space="10" w:color="000000" w:themeColor="text1"/>
      </w:pBdr>
      <w:spacing w:after="160" w:line="293" w:lineRule="auto"/>
      <w:ind w:left="357" w:right="357"/>
    </w:pPr>
    <w:rPr>
      <w:rFonts w:eastAsiaTheme="minorEastAsia"/>
      <w:i/>
      <w:iCs/>
      <w:color w:val="000000" w:themeColor="text1"/>
      <w:lang w:val="cs-CZ"/>
    </w:rPr>
  </w:style>
  <w:style w:type="character" w:styleId="Sledovanodkaz">
    <w:name w:val="FollowedHyperlink"/>
    <w:basedOn w:val="Standardnpsmoodstavce"/>
    <w:uiPriority w:val="34"/>
    <w:semiHidden/>
    <w:unhideWhenUsed/>
    <w:rsid w:val="00486FB9"/>
    <w:rPr>
      <w:color w:val="595959" w:themeColor="text1" w:themeTint="A6"/>
      <w:u w:val="single"/>
    </w:rPr>
  </w:style>
  <w:style w:type="paragraph" w:styleId="Zkladntext">
    <w:name w:val="Body Text"/>
    <w:basedOn w:val="Normln"/>
    <w:link w:val="ZkladntextChar"/>
    <w:uiPriority w:val="1"/>
    <w:rsid w:val="009F393D"/>
    <w:pPr>
      <w:spacing w:after="160" w:line="293" w:lineRule="auto"/>
    </w:pPr>
    <w:rPr>
      <w:color w:val="000000" w:themeColor="text1"/>
      <w:lang w:val="cs-CZ"/>
    </w:rPr>
  </w:style>
  <w:style w:type="character" w:customStyle="1" w:styleId="ZkladntextChar">
    <w:name w:val="Základní text Char"/>
    <w:basedOn w:val="Standardnpsmoodstavce"/>
    <w:link w:val="Zkladntext"/>
    <w:uiPriority w:val="1"/>
    <w:rsid w:val="009F393D"/>
    <w:rPr>
      <w:color w:val="000000" w:themeColor="text1"/>
    </w:rPr>
  </w:style>
  <w:style w:type="paragraph" w:styleId="Zkladntext-prvnodsazen">
    <w:name w:val="Body Text First Indent"/>
    <w:basedOn w:val="Zkladntext"/>
    <w:link w:val="Zkladntext-prvnodsazenChar"/>
    <w:uiPriority w:val="1"/>
    <w:rsid w:val="009F393D"/>
    <w:pPr>
      <w:ind w:firstLine="357"/>
    </w:pPr>
  </w:style>
  <w:style w:type="character" w:customStyle="1" w:styleId="Zkladntext-prvnodsazenChar">
    <w:name w:val="Základní text - první odsazený Char"/>
    <w:basedOn w:val="ZkladntextChar"/>
    <w:link w:val="Zkladntext-prvnodsazen"/>
    <w:uiPriority w:val="1"/>
    <w:rsid w:val="009F393D"/>
    <w:rPr>
      <w:color w:val="000000" w:themeColor="text1"/>
    </w:rPr>
  </w:style>
  <w:style w:type="paragraph" w:styleId="Zkladntextodsazen">
    <w:name w:val="Body Text Indent"/>
    <w:basedOn w:val="Normln"/>
    <w:link w:val="ZkladntextodsazenChar"/>
    <w:uiPriority w:val="1"/>
    <w:rsid w:val="009F393D"/>
    <w:pPr>
      <w:spacing w:after="160" w:line="293" w:lineRule="auto"/>
      <w:ind w:left="357"/>
    </w:pPr>
    <w:rPr>
      <w:color w:val="000000" w:themeColor="text1"/>
      <w:lang w:val="cs-CZ"/>
    </w:rPr>
  </w:style>
  <w:style w:type="character" w:customStyle="1" w:styleId="ZkladntextodsazenChar">
    <w:name w:val="Základní text odsazený Char"/>
    <w:basedOn w:val="Standardnpsmoodstavce"/>
    <w:link w:val="Zkladntextodsazen"/>
    <w:uiPriority w:val="1"/>
    <w:rsid w:val="00C805F2"/>
    <w:rPr>
      <w:color w:val="000000" w:themeColor="text1"/>
    </w:rPr>
  </w:style>
  <w:style w:type="paragraph" w:customStyle="1" w:styleId="SeznamsodrkamiB">
    <w:name w:val="Seznam s odrážkami B"/>
    <w:basedOn w:val="Normln"/>
    <w:uiPriority w:val="11"/>
    <w:qFormat/>
    <w:rsid w:val="007102D2"/>
    <w:pPr>
      <w:numPr>
        <w:numId w:val="14"/>
      </w:numPr>
      <w:spacing w:after="0" w:line="293" w:lineRule="auto"/>
    </w:pPr>
    <w:rPr>
      <w:color w:val="000000" w:themeColor="text1"/>
      <w:lang w:val="cs-CZ"/>
    </w:rPr>
  </w:style>
  <w:style w:type="paragraph" w:customStyle="1" w:styleId="SeznamsodrkamiB2">
    <w:name w:val="Seznam s odrážkami B 2"/>
    <w:basedOn w:val="Normln"/>
    <w:uiPriority w:val="11"/>
    <w:qFormat/>
    <w:rsid w:val="007102D2"/>
    <w:pPr>
      <w:numPr>
        <w:ilvl w:val="1"/>
        <w:numId w:val="14"/>
      </w:numPr>
      <w:spacing w:after="0" w:line="293" w:lineRule="auto"/>
    </w:pPr>
    <w:rPr>
      <w:color w:val="000000" w:themeColor="text1"/>
      <w:lang w:val="cs-CZ"/>
    </w:rPr>
  </w:style>
  <w:style w:type="paragraph" w:customStyle="1" w:styleId="SeznamsodrkamiB3">
    <w:name w:val="Seznam s odrážkami B 3"/>
    <w:basedOn w:val="Normln"/>
    <w:uiPriority w:val="11"/>
    <w:qFormat/>
    <w:rsid w:val="007102D2"/>
    <w:pPr>
      <w:numPr>
        <w:ilvl w:val="2"/>
        <w:numId w:val="14"/>
      </w:numPr>
      <w:spacing w:after="0" w:line="293" w:lineRule="auto"/>
    </w:pPr>
    <w:rPr>
      <w:color w:val="000000" w:themeColor="text1"/>
      <w:lang w:val="cs-CZ"/>
    </w:rPr>
  </w:style>
  <w:style w:type="paragraph" w:customStyle="1" w:styleId="SeznamsodrkamiB4">
    <w:name w:val="Seznam s odrážkami B 4"/>
    <w:basedOn w:val="Normln"/>
    <w:uiPriority w:val="11"/>
    <w:qFormat/>
    <w:rsid w:val="007102D2"/>
    <w:pPr>
      <w:numPr>
        <w:ilvl w:val="3"/>
        <w:numId w:val="14"/>
      </w:numPr>
      <w:spacing w:after="0" w:line="293" w:lineRule="auto"/>
    </w:pPr>
    <w:rPr>
      <w:color w:val="000000" w:themeColor="text1"/>
      <w:lang w:val="cs-CZ"/>
    </w:rPr>
  </w:style>
  <w:style w:type="paragraph" w:customStyle="1" w:styleId="SeznamsodrkamiB5">
    <w:name w:val="Seznam s odrážkami B 5"/>
    <w:basedOn w:val="Normln"/>
    <w:uiPriority w:val="11"/>
    <w:qFormat/>
    <w:rsid w:val="007102D2"/>
    <w:pPr>
      <w:numPr>
        <w:ilvl w:val="4"/>
        <w:numId w:val="14"/>
      </w:numPr>
      <w:spacing w:after="0" w:line="293" w:lineRule="auto"/>
    </w:pPr>
    <w:rPr>
      <w:color w:val="000000" w:themeColor="text1"/>
      <w:lang w:val="cs-CZ"/>
    </w:rPr>
  </w:style>
  <w:style w:type="paragraph" w:styleId="Zhlav">
    <w:name w:val="header"/>
    <w:basedOn w:val="Normln"/>
    <w:link w:val="Zhlav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hlavChar">
    <w:name w:val="Záhlaví Char"/>
    <w:basedOn w:val="Standardnpsmoodstavce"/>
    <w:link w:val="Zhlav"/>
    <w:uiPriority w:val="99"/>
    <w:rsid w:val="00677FE0"/>
    <w:rPr>
      <w:color w:val="000000" w:themeColor="text1"/>
    </w:rPr>
  </w:style>
  <w:style w:type="paragraph" w:styleId="Zpat">
    <w:name w:val="footer"/>
    <w:basedOn w:val="Normln"/>
    <w:link w:val="ZpatChar"/>
    <w:uiPriority w:val="99"/>
    <w:unhideWhenUsed/>
    <w:rsid w:val="00677FE0"/>
    <w:pPr>
      <w:tabs>
        <w:tab w:val="center" w:pos="4536"/>
        <w:tab w:val="right" w:pos="9072"/>
      </w:tabs>
      <w:spacing w:after="0" w:line="240" w:lineRule="auto"/>
    </w:pPr>
    <w:rPr>
      <w:color w:val="000000" w:themeColor="text1"/>
      <w:lang w:val="cs-CZ"/>
    </w:rPr>
  </w:style>
  <w:style w:type="character" w:customStyle="1" w:styleId="ZpatChar">
    <w:name w:val="Zápatí Char"/>
    <w:basedOn w:val="Standardnpsmoodstavce"/>
    <w:link w:val="Zpat"/>
    <w:uiPriority w:val="99"/>
    <w:rsid w:val="00677FE0"/>
    <w:rPr>
      <w:color w:val="000000" w:themeColor="text1"/>
    </w:rPr>
  </w:style>
  <w:style w:type="table" w:styleId="Mkatabulky">
    <w:name w:val="Table Grid"/>
    <w:basedOn w:val="Normlntabulka"/>
    <w:uiPriority w:val="39"/>
    <w:rsid w:val="00425C3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175CFF"/>
    <w:rPr>
      <w:sz w:val="16"/>
      <w:szCs w:val="16"/>
    </w:rPr>
  </w:style>
  <w:style w:type="paragraph" w:styleId="Textkomente">
    <w:name w:val="annotation text"/>
    <w:basedOn w:val="Normln"/>
    <w:link w:val="TextkomenteChar"/>
    <w:uiPriority w:val="99"/>
    <w:unhideWhenUsed/>
    <w:rsid w:val="00175CFF"/>
    <w:pPr>
      <w:spacing w:after="0" w:line="240" w:lineRule="auto"/>
    </w:pPr>
    <w:rPr>
      <w:rFonts w:ascii="Calibri" w:hAnsi="Calibri" w:cs="Calibri"/>
      <w:sz w:val="20"/>
      <w:szCs w:val="20"/>
      <w:lang w:val="cs-CZ" w:eastAsia="cs-CZ"/>
    </w:rPr>
  </w:style>
  <w:style w:type="character" w:customStyle="1" w:styleId="TextkomenteChar">
    <w:name w:val="Text komentáře Char"/>
    <w:basedOn w:val="Standardnpsmoodstavce"/>
    <w:link w:val="Textkomente"/>
    <w:uiPriority w:val="99"/>
    <w:rsid w:val="00175CFF"/>
    <w:rPr>
      <w:rFonts w:ascii="Calibri" w:hAnsi="Calibri" w:cs="Calibri"/>
      <w:sz w:val="20"/>
      <w:szCs w:val="20"/>
      <w:lang w:eastAsia="cs-CZ"/>
    </w:rPr>
  </w:style>
  <w:style w:type="paragraph" w:customStyle="1" w:styleId="TableParagraph">
    <w:name w:val="Table Paragraph"/>
    <w:basedOn w:val="Normln"/>
    <w:uiPriority w:val="1"/>
    <w:qFormat/>
    <w:rsid w:val="00175CFF"/>
    <w:pPr>
      <w:widowControl w:val="0"/>
      <w:autoSpaceDE w:val="0"/>
      <w:autoSpaceDN w:val="0"/>
      <w:spacing w:after="0" w:line="240" w:lineRule="auto"/>
    </w:pPr>
    <w:rPr>
      <w:rFonts w:ascii="Times New Roman" w:eastAsia="Times New Roman" w:hAnsi="Times New Roman" w:cs="Times New Roman"/>
      <w:lang w:eastAsia="en-GB" w:bidi="en-GB"/>
    </w:rPr>
  </w:style>
  <w:style w:type="paragraph" w:styleId="Textbubliny">
    <w:name w:val="Balloon Text"/>
    <w:basedOn w:val="Normln"/>
    <w:link w:val="TextbublinyChar"/>
    <w:uiPriority w:val="99"/>
    <w:semiHidden/>
    <w:unhideWhenUsed/>
    <w:rsid w:val="00175C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75CFF"/>
    <w:rPr>
      <w:rFonts w:ascii="Segoe UI" w:hAnsi="Segoe UI" w:cs="Segoe UI"/>
      <w:sz w:val="18"/>
      <w:szCs w:val="18"/>
      <w:lang w:val="en-GB"/>
    </w:rPr>
  </w:style>
  <w:style w:type="paragraph" w:styleId="Textpoznpodarou">
    <w:name w:val="footnote text"/>
    <w:basedOn w:val="Normln"/>
    <w:link w:val="TextpoznpodarouChar"/>
    <w:uiPriority w:val="99"/>
    <w:semiHidden/>
    <w:unhideWhenUsed/>
    <w:rsid w:val="00CA545B"/>
    <w:pPr>
      <w:spacing w:after="0" w:line="240" w:lineRule="auto"/>
    </w:pPr>
    <w:rPr>
      <w:rFonts w:ascii="Calibri" w:hAnsi="Calibri" w:cs="Calibri"/>
      <w:sz w:val="20"/>
      <w:szCs w:val="20"/>
      <w:lang w:val="cs-CZ"/>
    </w:rPr>
  </w:style>
  <w:style w:type="character" w:customStyle="1" w:styleId="TextpoznpodarouChar">
    <w:name w:val="Text pozn. pod čarou Char"/>
    <w:basedOn w:val="Standardnpsmoodstavce"/>
    <w:link w:val="Textpoznpodarou"/>
    <w:uiPriority w:val="99"/>
    <w:semiHidden/>
    <w:rsid w:val="00CA545B"/>
    <w:rPr>
      <w:rFonts w:ascii="Calibri" w:hAnsi="Calibri" w:cs="Calibri"/>
      <w:sz w:val="20"/>
      <w:szCs w:val="20"/>
    </w:rPr>
  </w:style>
  <w:style w:type="character" w:styleId="Znakapoznpodarou">
    <w:name w:val="footnote reference"/>
    <w:aliases w:val="Footnote symbol,Char Char Char Char Char,Знак Char Char Char Char,Char1 Char Char Char Char,Footnote Reference Superscript,Footnote reference number,stylish,BVI fnr,Footnote symboFußnotenzeichen,Footnote sign"/>
    <w:basedOn w:val="Standardnpsmoodstavce"/>
    <w:unhideWhenUsed/>
    <w:qFormat/>
    <w:rsid w:val="00CA545B"/>
    <w:rPr>
      <w:vertAlign w:val="superscript"/>
    </w:rPr>
  </w:style>
  <w:style w:type="paragraph" w:styleId="Pedmtkomente">
    <w:name w:val="annotation subject"/>
    <w:basedOn w:val="Textkomente"/>
    <w:next w:val="Textkomente"/>
    <w:link w:val="PedmtkomenteChar"/>
    <w:uiPriority w:val="99"/>
    <w:semiHidden/>
    <w:unhideWhenUsed/>
    <w:rsid w:val="00F133AE"/>
    <w:pPr>
      <w:spacing w:after="200"/>
    </w:pPr>
    <w:rPr>
      <w:rFonts w:asciiTheme="minorHAnsi" w:hAnsiTheme="minorHAnsi" w:cstheme="minorBidi"/>
      <w:b/>
      <w:bCs/>
      <w:lang w:val="en-GB" w:eastAsia="en-US"/>
    </w:rPr>
  </w:style>
  <w:style w:type="character" w:customStyle="1" w:styleId="PedmtkomenteChar">
    <w:name w:val="Předmět komentáře Char"/>
    <w:basedOn w:val="TextkomenteChar"/>
    <w:link w:val="Pedmtkomente"/>
    <w:uiPriority w:val="99"/>
    <w:semiHidden/>
    <w:rsid w:val="00F133AE"/>
    <w:rPr>
      <w:rFonts w:ascii="Calibri" w:hAnsi="Calibri" w:cs="Calibri"/>
      <w:b/>
      <w:bCs/>
      <w:sz w:val="20"/>
      <w:szCs w:val="20"/>
      <w:lang w:val="en-GB" w:eastAsia="cs-CZ"/>
    </w:rPr>
  </w:style>
  <w:style w:type="table" w:customStyle="1" w:styleId="TableGrid1">
    <w:name w:val="Table Grid1"/>
    <w:basedOn w:val="Normlntabulka"/>
    <w:next w:val="Mkatabulky"/>
    <w:uiPriority w:val="39"/>
    <w:rsid w:val="002C465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numbered list Char,2 Char,OBC Bullet Char,Normal 1 Char,Task Body Char,Viñetas (Inicio Parrafo) Char,Paragrafo elenco Char,3 Txt tabla Char,Zerrenda-paragrafoa Char,Fiche List Paragraph Char,Dot pt Char,F5 List Paragraph Char"/>
    <w:basedOn w:val="Standardnpsmoodstavce"/>
    <w:link w:val="Odstavecseseznamem"/>
    <w:uiPriority w:val="34"/>
    <w:qFormat/>
    <w:locked/>
    <w:rsid w:val="002C4656"/>
    <w:rPr>
      <w:color w:val="000000" w:themeColor="text1"/>
    </w:rPr>
  </w:style>
  <w:style w:type="paragraph" w:customStyle="1" w:styleId="Default">
    <w:name w:val="Default"/>
    <w:rsid w:val="002C4656"/>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945988">
      <w:bodyDiv w:val="1"/>
      <w:marLeft w:val="0"/>
      <w:marRight w:val="0"/>
      <w:marTop w:val="0"/>
      <w:marBottom w:val="0"/>
      <w:divBdr>
        <w:top w:val="none" w:sz="0" w:space="0" w:color="auto"/>
        <w:left w:val="none" w:sz="0" w:space="0" w:color="auto"/>
        <w:bottom w:val="none" w:sz="0" w:space="0" w:color="auto"/>
        <w:right w:val="none" w:sz="0" w:space="0" w:color="auto"/>
      </w:divBdr>
    </w:div>
    <w:div w:id="168299060">
      <w:bodyDiv w:val="1"/>
      <w:marLeft w:val="0"/>
      <w:marRight w:val="0"/>
      <w:marTop w:val="0"/>
      <w:marBottom w:val="0"/>
      <w:divBdr>
        <w:top w:val="none" w:sz="0" w:space="0" w:color="auto"/>
        <w:left w:val="none" w:sz="0" w:space="0" w:color="auto"/>
        <w:bottom w:val="none" w:sz="0" w:space="0" w:color="auto"/>
        <w:right w:val="none" w:sz="0" w:space="0" w:color="auto"/>
      </w:divBdr>
    </w:div>
    <w:div w:id="208494264">
      <w:bodyDiv w:val="1"/>
      <w:marLeft w:val="0"/>
      <w:marRight w:val="0"/>
      <w:marTop w:val="0"/>
      <w:marBottom w:val="0"/>
      <w:divBdr>
        <w:top w:val="none" w:sz="0" w:space="0" w:color="auto"/>
        <w:left w:val="none" w:sz="0" w:space="0" w:color="auto"/>
        <w:bottom w:val="none" w:sz="0" w:space="0" w:color="auto"/>
        <w:right w:val="none" w:sz="0" w:space="0" w:color="auto"/>
      </w:divBdr>
    </w:div>
    <w:div w:id="250311538">
      <w:bodyDiv w:val="1"/>
      <w:marLeft w:val="0"/>
      <w:marRight w:val="0"/>
      <w:marTop w:val="0"/>
      <w:marBottom w:val="0"/>
      <w:divBdr>
        <w:top w:val="none" w:sz="0" w:space="0" w:color="auto"/>
        <w:left w:val="none" w:sz="0" w:space="0" w:color="auto"/>
        <w:bottom w:val="none" w:sz="0" w:space="0" w:color="auto"/>
        <w:right w:val="none" w:sz="0" w:space="0" w:color="auto"/>
      </w:divBdr>
    </w:div>
    <w:div w:id="402140638">
      <w:bodyDiv w:val="1"/>
      <w:marLeft w:val="0"/>
      <w:marRight w:val="0"/>
      <w:marTop w:val="0"/>
      <w:marBottom w:val="0"/>
      <w:divBdr>
        <w:top w:val="none" w:sz="0" w:space="0" w:color="auto"/>
        <w:left w:val="none" w:sz="0" w:space="0" w:color="auto"/>
        <w:bottom w:val="none" w:sz="0" w:space="0" w:color="auto"/>
        <w:right w:val="none" w:sz="0" w:space="0" w:color="auto"/>
      </w:divBdr>
    </w:div>
    <w:div w:id="424571265">
      <w:bodyDiv w:val="1"/>
      <w:marLeft w:val="0"/>
      <w:marRight w:val="0"/>
      <w:marTop w:val="0"/>
      <w:marBottom w:val="0"/>
      <w:divBdr>
        <w:top w:val="none" w:sz="0" w:space="0" w:color="auto"/>
        <w:left w:val="none" w:sz="0" w:space="0" w:color="auto"/>
        <w:bottom w:val="none" w:sz="0" w:space="0" w:color="auto"/>
        <w:right w:val="none" w:sz="0" w:space="0" w:color="auto"/>
      </w:divBdr>
    </w:div>
    <w:div w:id="498926843">
      <w:bodyDiv w:val="1"/>
      <w:marLeft w:val="0"/>
      <w:marRight w:val="0"/>
      <w:marTop w:val="0"/>
      <w:marBottom w:val="0"/>
      <w:divBdr>
        <w:top w:val="none" w:sz="0" w:space="0" w:color="auto"/>
        <w:left w:val="none" w:sz="0" w:space="0" w:color="auto"/>
        <w:bottom w:val="none" w:sz="0" w:space="0" w:color="auto"/>
        <w:right w:val="none" w:sz="0" w:space="0" w:color="auto"/>
      </w:divBdr>
    </w:div>
    <w:div w:id="549922442">
      <w:bodyDiv w:val="1"/>
      <w:marLeft w:val="0"/>
      <w:marRight w:val="0"/>
      <w:marTop w:val="0"/>
      <w:marBottom w:val="0"/>
      <w:divBdr>
        <w:top w:val="none" w:sz="0" w:space="0" w:color="auto"/>
        <w:left w:val="none" w:sz="0" w:space="0" w:color="auto"/>
        <w:bottom w:val="none" w:sz="0" w:space="0" w:color="auto"/>
        <w:right w:val="none" w:sz="0" w:space="0" w:color="auto"/>
      </w:divBdr>
    </w:div>
    <w:div w:id="821386056">
      <w:bodyDiv w:val="1"/>
      <w:marLeft w:val="0"/>
      <w:marRight w:val="0"/>
      <w:marTop w:val="0"/>
      <w:marBottom w:val="0"/>
      <w:divBdr>
        <w:top w:val="none" w:sz="0" w:space="0" w:color="auto"/>
        <w:left w:val="none" w:sz="0" w:space="0" w:color="auto"/>
        <w:bottom w:val="none" w:sz="0" w:space="0" w:color="auto"/>
        <w:right w:val="none" w:sz="0" w:space="0" w:color="auto"/>
      </w:divBdr>
    </w:div>
    <w:div w:id="927349280">
      <w:bodyDiv w:val="1"/>
      <w:marLeft w:val="0"/>
      <w:marRight w:val="0"/>
      <w:marTop w:val="0"/>
      <w:marBottom w:val="0"/>
      <w:divBdr>
        <w:top w:val="none" w:sz="0" w:space="0" w:color="auto"/>
        <w:left w:val="none" w:sz="0" w:space="0" w:color="auto"/>
        <w:bottom w:val="none" w:sz="0" w:space="0" w:color="auto"/>
        <w:right w:val="none" w:sz="0" w:space="0" w:color="auto"/>
      </w:divBdr>
    </w:div>
    <w:div w:id="1041054014">
      <w:bodyDiv w:val="1"/>
      <w:marLeft w:val="0"/>
      <w:marRight w:val="0"/>
      <w:marTop w:val="0"/>
      <w:marBottom w:val="0"/>
      <w:divBdr>
        <w:top w:val="none" w:sz="0" w:space="0" w:color="auto"/>
        <w:left w:val="none" w:sz="0" w:space="0" w:color="auto"/>
        <w:bottom w:val="none" w:sz="0" w:space="0" w:color="auto"/>
        <w:right w:val="none" w:sz="0" w:space="0" w:color="auto"/>
      </w:divBdr>
    </w:div>
    <w:div w:id="1266309493">
      <w:bodyDiv w:val="1"/>
      <w:marLeft w:val="0"/>
      <w:marRight w:val="0"/>
      <w:marTop w:val="0"/>
      <w:marBottom w:val="0"/>
      <w:divBdr>
        <w:top w:val="none" w:sz="0" w:space="0" w:color="auto"/>
        <w:left w:val="none" w:sz="0" w:space="0" w:color="auto"/>
        <w:bottom w:val="none" w:sz="0" w:space="0" w:color="auto"/>
        <w:right w:val="none" w:sz="0" w:space="0" w:color="auto"/>
      </w:divBdr>
    </w:div>
    <w:div w:id="1554653707">
      <w:bodyDiv w:val="1"/>
      <w:marLeft w:val="0"/>
      <w:marRight w:val="0"/>
      <w:marTop w:val="0"/>
      <w:marBottom w:val="0"/>
      <w:divBdr>
        <w:top w:val="none" w:sz="0" w:space="0" w:color="auto"/>
        <w:left w:val="none" w:sz="0" w:space="0" w:color="auto"/>
        <w:bottom w:val="none" w:sz="0" w:space="0" w:color="auto"/>
        <w:right w:val="none" w:sz="0" w:space="0" w:color="auto"/>
      </w:divBdr>
    </w:div>
    <w:div w:id="1636443626">
      <w:bodyDiv w:val="1"/>
      <w:marLeft w:val="0"/>
      <w:marRight w:val="0"/>
      <w:marTop w:val="0"/>
      <w:marBottom w:val="0"/>
      <w:divBdr>
        <w:top w:val="none" w:sz="0" w:space="0" w:color="auto"/>
        <w:left w:val="none" w:sz="0" w:space="0" w:color="auto"/>
        <w:bottom w:val="none" w:sz="0" w:space="0" w:color="auto"/>
        <w:right w:val="none" w:sz="0" w:space="0" w:color="auto"/>
      </w:divBdr>
    </w:div>
    <w:div w:id="1984389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69dc53b3dafd4ab4" Type="http://schemas.microsoft.com/office/2018/08/relationships/commentsExtensible" Target="commentsExtensi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04E9E634204B8882CFD847505AA2D5"/>
        <w:category>
          <w:name w:val="Obecné"/>
          <w:gallery w:val="placeholder"/>
        </w:category>
        <w:types>
          <w:type w:val="bbPlcHdr"/>
        </w:types>
        <w:behaviors>
          <w:behavior w:val="content"/>
        </w:behaviors>
        <w:guid w:val="{7CA0AD56-8EC1-4096-88E9-18E5C6B39452}"/>
      </w:docPartPr>
      <w:docPartBody>
        <w:p w:rsidR="00EF15D3" w:rsidRDefault="00EF15D3"/>
      </w:docPartBody>
    </w:docPart>
    <w:docPart>
      <w:docPartPr>
        <w:name w:val="3A809196DD2E461A8AE28E530EA5E48D"/>
        <w:category>
          <w:name w:val="Obecné"/>
          <w:gallery w:val="placeholder"/>
        </w:category>
        <w:types>
          <w:type w:val="bbPlcHdr"/>
        </w:types>
        <w:behaviors>
          <w:behavior w:val="content"/>
        </w:behaviors>
        <w:guid w:val="{4C0B28C2-72D2-41F9-8572-755F7E90FC39}"/>
      </w:docPartPr>
      <w:docPartBody>
        <w:p w:rsidR="00EF15D3" w:rsidRDefault="00EF15D3"/>
      </w:docPartBody>
    </w:docPart>
    <w:docPart>
      <w:docPartPr>
        <w:name w:val="DFE95909B31D4623AD4D60E000C45905"/>
        <w:category>
          <w:name w:val="Obecné"/>
          <w:gallery w:val="placeholder"/>
        </w:category>
        <w:types>
          <w:type w:val="bbPlcHdr"/>
        </w:types>
        <w:behaviors>
          <w:behavior w:val="content"/>
        </w:behaviors>
        <w:guid w:val="{DE44346C-1163-4D59-AEAA-FCDD3E0E20FD}"/>
      </w:docPartPr>
      <w:docPartBody>
        <w:p w:rsidR="00EF15D3" w:rsidRDefault="00EF15D3"/>
      </w:docPartBody>
    </w:docPart>
    <w:docPart>
      <w:docPartPr>
        <w:name w:val="5EA9912C03EE40BE8C06E965C86A5C4D"/>
        <w:category>
          <w:name w:val="Obecné"/>
          <w:gallery w:val="placeholder"/>
        </w:category>
        <w:types>
          <w:type w:val="bbPlcHdr"/>
        </w:types>
        <w:behaviors>
          <w:behavior w:val="content"/>
        </w:behaviors>
        <w:guid w:val="{684D7945-A68B-4258-A7A4-AD23B3E44811}"/>
      </w:docPartPr>
      <w:docPartBody>
        <w:p w:rsidR="00EF15D3" w:rsidRDefault="00EF15D3"/>
      </w:docPartBody>
    </w:docPart>
    <w:docPart>
      <w:docPartPr>
        <w:name w:val="60FBA697FBD24680AAD600ABB41598A6"/>
        <w:category>
          <w:name w:val="Obecné"/>
          <w:gallery w:val="placeholder"/>
        </w:category>
        <w:types>
          <w:type w:val="bbPlcHdr"/>
        </w:types>
        <w:behaviors>
          <w:behavior w:val="content"/>
        </w:behaviors>
        <w:guid w:val="{B7AA211A-FF5C-495B-A1B6-B12C60C2FEFB}"/>
      </w:docPartPr>
      <w:docPartBody>
        <w:p w:rsidR="00EF15D3" w:rsidRDefault="00EF15D3"/>
      </w:docPartBody>
    </w:docPart>
    <w:docPart>
      <w:docPartPr>
        <w:name w:val="6ADA95CFB7A54612892C98A558986D60"/>
        <w:category>
          <w:name w:val="Obecné"/>
          <w:gallery w:val="placeholder"/>
        </w:category>
        <w:types>
          <w:type w:val="bbPlcHdr"/>
        </w:types>
        <w:behaviors>
          <w:behavior w:val="content"/>
        </w:behaviors>
        <w:guid w:val="{79D33162-C381-4EA7-8D74-9C006B5DF47A}"/>
      </w:docPartPr>
      <w:docPartBody>
        <w:p w:rsidR="00EF15D3" w:rsidRDefault="00EF15D3"/>
      </w:docPartBody>
    </w:docPart>
    <w:docPart>
      <w:docPartPr>
        <w:name w:val="FB4242F4A83748B1A2E7A816A669C5E3"/>
        <w:category>
          <w:name w:val="Obecné"/>
          <w:gallery w:val="placeholder"/>
        </w:category>
        <w:types>
          <w:type w:val="bbPlcHdr"/>
        </w:types>
        <w:behaviors>
          <w:behavior w:val="content"/>
        </w:behaviors>
        <w:guid w:val="{A53F25CC-7A3F-402E-A6B5-7C2361E379B7}"/>
      </w:docPartPr>
      <w:docPartBody>
        <w:p w:rsidR="00EF15D3" w:rsidRDefault="00EF15D3"/>
      </w:docPartBody>
    </w:docPart>
    <w:docPart>
      <w:docPartPr>
        <w:name w:val="EF80810F5C7C4950BE159D64AD658699"/>
        <w:category>
          <w:name w:val="Obecné"/>
          <w:gallery w:val="placeholder"/>
        </w:category>
        <w:types>
          <w:type w:val="bbPlcHdr"/>
        </w:types>
        <w:behaviors>
          <w:behavior w:val="content"/>
        </w:behaviors>
        <w:guid w:val="{AF5159FB-8826-4A08-A38B-3E5E455533FF}"/>
      </w:docPartPr>
      <w:docPartBody>
        <w:p w:rsidR="00165ED4" w:rsidRDefault="00165ED4"/>
      </w:docPartBody>
    </w:docPart>
    <w:docPart>
      <w:docPartPr>
        <w:name w:val="F9D04AEB75B4460083F99922A999E1C8"/>
        <w:category>
          <w:name w:val="Obecné"/>
          <w:gallery w:val="placeholder"/>
        </w:category>
        <w:types>
          <w:type w:val="bbPlcHdr"/>
        </w:types>
        <w:behaviors>
          <w:behavior w:val="content"/>
        </w:behaviors>
        <w:guid w:val="{8D3DA0CD-3759-4557-BC7A-A78E3379BE7C}"/>
      </w:docPartPr>
      <w:docPartBody>
        <w:p w:rsidR="00165ED4" w:rsidRDefault="00165ED4"/>
      </w:docPartBody>
    </w:docPart>
    <w:docPart>
      <w:docPartPr>
        <w:name w:val="A9665E9D76664D69A6913F59667373D5"/>
        <w:category>
          <w:name w:val="Obecné"/>
          <w:gallery w:val="placeholder"/>
        </w:category>
        <w:types>
          <w:type w:val="bbPlcHdr"/>
        </w:types>
        <w:behaviors>
          <w:behavior w:val="content"/>
        </w:behaviors>
        <w:guid w:val="{7E191304-C9FC-4A4A-B364-67F5BF362123}"/>
      </w:docPartPr>
      <w:docPartBody>
        <w:p w:rsidR="00BA6105" w:rsidRDefault="00BA610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quot;Courier New&quot;">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271"/>
    <w:rsid w:val="00076D1A"/>
    <w:rsid w:val="00165ED4"/>
    <w:rsid w:val="001D0907"/>
    <w:rsid w:val="002A7858"/>
    <w:rsid w:val="00640DF3"/>
    <w:rsid w:val="007D5C5F"/>
    <w:rsid w:val="00816A99"/>
    <w:rsid w:val="00873A2C"/>
    <w:rsid w:val="00A505BA"/>
    <w:rsid w:val="00A752FE"/>
    <w:rsid w:val="00AD79B9"/>
    <w:rsid w:val="00BA6105"/>
    <w:rsid w:val="00BB2BFE"/>
    <w:rsid w:val="00BE5223"/>
    <w:rsid w:val="00EA7552"/>
    <w:rsid w:val="00EF15D3"/>
    <w:rsid w:val="00FF32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Office">
  <a:themeElements>
    <a:clrScheme name="MPO colors">
      <a:dk1>
        <a:srgbClr val="000000"/>
      </a:dk1>
      <a:lt1>
        <a:sysClr val="window" lastClr="FFFFFF"/>
      </a:lt1>
      <a:dk2>
        <a:srgbClr val="004B8D"/>
      </a:dk2>
      <a:lt2>
        <a:srgbClr val="B9E0F7"/>
      </a:lt2>
      <a:accent1>
        <a:srgbClr val="E31B23"/>
      </a:accent1>
      <a:accent2>
        <a:srgbClr val="004B8D"/>
      </a:accent2>
      <a:accent3>
        <a:srgbClr val="0096D6"/>
      </a:accent3>
      <a:accent4>
        <a:srgbClr val="B5121B"/>
      </a:accent4>
      <a:accent5>
        <a:srgbClr val="B9E0F7"/>
      </a:accent5>
      <a:accent6>
        <a:srgbClr val="13B5EA"/>
      </a:accent6>
      <a:hlink>
        <a:srgbClr val="004B8D"/>
      </a:hlink>
      <a:folHlink>
        <a:srgbClr val="B5121B"/>
      </a:folHlink>
    </a:clrScheme>
    <a:fontScheme name="MPO fonts">
      <a:majorFont>
        <a:latin typeface="Calibri"/>
        <a:ea typeface=""/>
        <a:cs typeface=""/>
      </a:majorFont>
      <a:minorFont>
        <a:latin typeface="Calibri"/>
        <a:ea typeface=""/>
        <a:cs typeface=""/>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87AC3D038E8784E9C16E0921B8D5155" ma:contentTypeVersion="15" ma:contentTypeDescription="Vytvoří nový dokument" ma:contentTypeScope="" ma:versionID="00d78ad4826458ef1624f2d93d9153c5">
  <xsd:schema xmlns:xsd="http://www.w3.org/2001/XMLSchema" xmlns:xs="http://www.w3.org/2001/XMLSchema" xmlns:p="http://schemas.microsoft.com/office/2006/metadata/properties" xmlns:ns2="11544cef-d40f-40e0-9fb2-ea3e47b346f0" xmlns:ns3="b4346392-9490-4ec2-979c-afa8507021a9" targetNamespace="http://schemas.microsoft.com/office/2006/metadata/properties" ma:root="true" ma:fieldsID="7f79c3da929e12af0a74d4f77ed7b1e5" ns2:_="" ns3:_="">
    <xsd:import namespace="11544cef-d40f-40e0-9fb2-ea3e47b346f0"/>
    <xsd:import namespace="b4346392-9490-4ec2-979c-afa8507021a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544cef-d40f-40e0-9fb2-ea3e47b346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4dd7ddbe-1f86-4eaf-800e-08e792b06b2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346392-9490-4ec2-979c-afa8507021a9"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770caa18-f488-432e-906b-9ca052482661}" ma:internalName="TaxCatchAll" ma:showField="CatchAllData" ma:web="b4346392-9490-4ec2-979c-afa8507021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1544cef-d40f-40e0-9fb2-ea3e47b346f0">
      <Terms xmlns="http://schemas.microsoft.com/office/infopath/2007/PartnerControls"/>
    </lcf76f155ced4ddcb4097134ff3c332f>
    <TaxCatchAll xmlns="b4346392-9490-4ec2-979c-afa8507021a9" xsi:nil="true"/>
  </documentManagement>
</p:properties>
</file>

<file path=customXml/itemProps1.xml><?xml version="1.0" encoding="utf-8"?>
<ds:datastoreItem xmlns:ds="http://schemas.openxmlformats.org/officeDocument/2006/customXml" ds:itemID="{99DAF31B-0EEF-4407-886B-96A0A4108CA6}">
  <ds:schemaRefs>
    <ds:schemaRef ds:uri="http://schemas.microsoft.com/sharepoint/v3/contenttype/forms"/>
  </ds:schemaRefs>
</ds:datastoreItem>
</file>

<file path=customXml/itemProps2.xml><?xml version="1.0" encoding="utf-8"?>
<ds:datastoreItem xmlns:ds="http://schemas.openxmlformats.org/officeDocument/2006/customXml" ds:itemID="{593513E6-F177-4965-88F5-6F558F7ADA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544cef-d40f-40e0-9fb2-ea3e47b346f0"/>
    <ds:schemaRef ds:uri="b4346392-9490-4ec2-979c-afa8507021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8564EC-5C10-43A6-920B-06F6909F873D}">
  <ds:schemaRefs>
    <ds:schemaRef ds:uri="http://schemas.microsoft.com/office/2006/metadata/properties"/>
    <ds:schemaRef ds:uri="http://schemas.microsoft.com/office/infopath/2007/PartnerControls"/>
    <ds:schemaRef ds:uri="11544cef-d40f-40e0-9fb2-ea3e47b346f0"/>
    <ds:schemaRef ds:uri="b4346392-9490-4ec2-979c-afa8507021a9"/>
  </ds:schemaRefs>
</ds:datastoreItem>
</file>

<file path=docProps/app.xml><?xml version="1.0" encoding="utf-8"?>
<Properties xmlns="http://schemas.openxmlformats.org/officeDocument/2006/extended-properties" xmlns:vt="http://schemas.openxmlformats.org/officeDocument/2006/docPropsVTypes">
  <Template>9D2E88EF.dotm</Template>
  <TotalTime>0</TotalTime>
  <Pages>20</Pages>
  <Words>7356</Words>
  <Characters>43407</Characters>
  <Application>Microsoft Office Word</Application>
  <DocSecurity>0</DocSecurity>
  <Lines>361</Lines>
  <Paragraphs>101</Paragraphs>
  <ScaleCrop>false</ScaleCrop>
  <Company>Ministerstvo průmyslu a obchodu</Company>
  <LinksUpToDate>false</LinksUpToDate>
  <CharactersWithSpaces>50662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Králík Kim</dc:creator>
  <cp:keywords/>
  <dc:description/>
  <cp:lastModifiedBy>Bubenková Monika</cp:lastModifiedBy>
  <cp:revision>31</cp:revision>
  <dcterms:created xsi:type="dcterms:W3CDTF">2023-05-17T18:23:00Z</dcterms:created>
  <dcterms:modified xsi:type="dcterms:W3CDTF">2023-11-22T07:22:00Z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0x010100787AC3D038E8784E9C16E0921B8D5155</vt:lpwstr>
  </property>
  <property fmtid="{D5CDD505-2E9C-101B-9397-08002B2CF9AE}" pid="3" name="MediaServiceImageTags">
    <vt:lpwstr/>
  </property>
</Properties>
</file>