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7D7754" w14:textId="77777777" w:rsidR="003B7FAB" w:rsidRPr="003B7FAB" w:rsidRDefault="008C5B6C" w:rsidP="003B7FAB">
      <w:pPr>
        <w:keepNext/>
        <w:tabs>
          <w:tab w:val="left" w:pos="850"/>
        </w:tabs>
        <w:spacing w:line="240" w:lineRule="auto"/>
        <w:outlineLvl w:val="0"/>
        <w:rPr>
          <w:rFonts w:asciiTheme="minorHAnsi" w:hAnsiTheme="minorHAnsi" w:cstheme="minorHAnsi"/>
          <w:b/>
          <w:bCs/>
          <w:smallCaps/>
          <w:noProof/>
          <w:sz w:val="22"/>
          <w:szCs w:val="22"/>
        </w:rPr>
      </w:pPr>
      <w:bookmarkStart w:id="0" w:name="_GoBack"/>
      <w:bookmarkEnd w:id="0"/>
      <w:r w:rsidRPr="003B7FAB">
        <w:rPr>
          <w:rFonts w:asciiTheme="minorHAnsi" w:hAnsiTheme="minorHAnsi" w:cstheme="minorHAnsi"/>
          <w:b/>
          <w:bCs/>
          <w:sz w:val="22"/>
          <w:szCs w:val="22"/>
        </w:rPr>
        <w:t>Komponenta 7.</w:t>
      </w:r>
      <w:r w:rsidR="004C4A89" w:rsidRPr="003B7FAB">
        <w:rPr>
          <w:rFonts w:asciiTheme="minorHAnsi" w:hAnsiTheme="minorHAnsi" w:cstheme="minorHAnsi"/>
          <w:b/>
          <w:bCs/>
          <w:sz w:val="22"/>
          <w:szCs w:val="22"/>
        </w:rPr>
        <w:t>7</w:t>
      </w:r>
      <w:r w:rsidRPr="003B7FAB">
        <w:rPr>
          <w:rFonts w:asciiTheme="minorHAnsi" w:hAnsiTheme="minorHAnsi" w:cstheme="minorHAnsi"/>
          <w:b/>
          <w:bCs/>
          <w:sz w:val="22"/>
          <w:szCs w:val="22"/>
        </w:rPr>
        <w:t xml:space="preserve">: </w:t>
      </w:r>
      <w:r w:rsidR="003B7FAB" w:rsidRPr="003B7FAB">
        <w:rPr>
          <w:rFonts w:asciiTheme="minorHAnsi" w:hAnsiTheme="minorHAnsi" w:cstheme="minorHAnsi"/>
          <w:b/>
          <w:noProof/>
          <w:sz w:val="22"/>
          <w:szCs w:val="22"/>
        </w:rPr>
        <w:t>Zjednodušení povolovacích řízení v oblasti životního prostředí a vymezení oblastí pro rozvoj obnovitelných zdrojů energie (REPOWER EU)</w:t>
      </w:r>
    </w:p>
    <w:p w14:paraId="5A07640B" w14:textId="5AA5B0D3" w:rsidR="00091175" w:rsidRPr="00660A8E" w:rsidRDefault="00091175" w:rsidP="003B7FAB">
      <w:pPr>
        <w:keepNext/>
        <w:keepLines/>
        <w:spacing w:before="160" w:after="0"/>
        <w:rPr>
          <w:rFonts w:asciiTheme="minorHAnsi" w:hAnsiTheme="minorHAnsi" w:cstheme="minorHAnsi"/>
          <w:b/>
          <w:sz w:val="22"/>
          <w:szCs w:val="22"/>
        </w:rPr>
      </w:pPr>
    </w:p>
    <w:p w14:paraId="23FDA99D" w14:textId="6B19DB85" w:rsidR="009442B6" w:rsidRPr="00660A8E" w:rsidRDefault="0014175A" w:rsidP="00DB6B91">
      <w:pPr>
        <w:keepNext/>
        <w:keepLines/>
        <w:pBdr>
          <w:top w:val="nil"/>
          <w:left w:val="nil"/>
          <w:bottom w:val="nil"/>
          <w:right w:val="nil"/>
          <w:between w:val="nil"/>
        </w:pBdr>
        <w:spacing w:before="120" w:after="0"/>
        <w:rPr>
          <w:rFonts w:asciiTheme="minorHAnsi" w:hAnsiTheme="minorHAnsi" w:cstheme="minorHAnsi"/>
          <w:b/>
          <w:sz w:val="22"/>
          <w:szCs w:val="22"/>
        </w:rPr>
      </w:pPr>
      <w:r w:rsidRPr="00660A8E">
        <w:rPr>
          <w:rFonts w:asciiTheme="minorHAnsi" w:hAnsiTheme="minorHAnsi" w:cstheme="minorHAnsi"/>
          <w:b/>
          <w:sz w:val="22"/>
          <w:szCs w:val="22"/>
        </w:rPr>
        <w:t>1</w:t>
      </w:r>
      <w:r w:rsidR="009442B6" w:rsidRPr="00660A8E">
        <w:rPr>
          <w:rFonts w:asciiTheme="minorHAnsi" w:hAnsiTheme="minorHAnsi" w:cstheme="minorHAnsi"/>
          <w:b/>
          <w:sz w:val="22"/>
          <w:szCs w:val="22"/>
        </w:rPr>
        <w:t>. Popis komponenty</w:t>
      </w:r>
    </w:p>
    <w:tbl>
      <w:tblPr>
        <w:tblStyle w:val="2"/>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9"/>
      </w:tblGrid>
      <w:tr w:rsidR="00960DA5" w:rsidRPr="00660A8E" w14:paraId="61BDCD6E" w14:textId="77777777" w:rsidTr="02F3E1DA">
        <w:tc>
          <w:tcPr>
            <w:tcW w:w="962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B3F683F" w14:textId="77777777" w:rsidR="003B7FAB" w:rsidRDefault="00DA13BD" w:rsidP="00DB6B91">
            <w:pPr>
              <w:pBdr>
                <w:top w:val="nil"/>
                <w:left w:val="nil"/>
                <w:bottom w:val="nil"/>
                <w:right w:val="nil"/>
                <w:between w:val="nil"/>
              </w:pBdr>
              <w:spacing w:before="120"/>
              <w:rPr>
                <w:rFonts w:asciiTheme="minorHAnsi" w:hAnsiTheme="minorHAnsi" w:cstheme="minorHAnsi"/>
                <w:b/>
                <w:sz w:val="22"/>
                <w:szCs w:val="22"/>
              </w:rPr>
            </w:pPr>
            <w:r w:rsidRPr="00660A8E">
              <w:rPr>
                <w:rFonts w:asciiTheme="minorHAnsi" w:hAnsiTheme="minorHAnsi" w:cstheme="minorHAnsi"/>
                <w:b/>
                <w:sz w:val="22"/>
                <w:szCs w:val="22"/>
              </w:rPr>
              <w:t xml:space="preserve">Nová reforma: </w:t>
            </w:r>
            <w:r w:rsidR="003B7FAB" w:rsidRPr="003B7FAB">
              <w:rPr>
                <w:rFonts w:asciiTheme="minorHAnsi" w:hAnsiTheme="minorHAnsi" w:cstheme="minorHAnsi"/>
                <w:b/>
                <w:noProof/>
                <w:sz w:val="22"/>
                <w:szCs w:val="22"/>
              </w:rPr>
              <w:t>Zjednodušení povolovacích řízení v oblasti životního prostředí a vymezení oblastí pro rozvoj obnovitelných zdrojů energie</w:t>
            </w:r>
            <w:r w:rsidR="003B7FAB" w:rsidRPr="00660A8E">
              <w:rPr>
                <w:rFonts w:asciiTheme="minorHAnsi" w:hAnsiTheme="minorHAnsi" w:cstheme="minorHAnsi"/>
                <w:b/>
                <w:sz w:val="22"/>
                <w:szCs w:val="22"/>
              </w:rPr>
              <w:t xml:space="preserve"> </w:t>
            </w:r>
          </w:p>
          <w:p w14:paraId="772D5240" w14:textId="23624009"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b/>
                <w:sz w:val="22"/>
                <w:szCs w:val="22"/>
              </w:rPr>
              <w:t xml:space="preserve">Oblast politiky: </w:t>
            </w:r>
            <w:r w:rsidRPr="00660A8E">
              <w:rPr>
                <w:rFonts w:asciiTheme="minorHAnsi" w:hAnsiTheme="minorHAnsi" w:cstheme="minorHAnsi"/>
                <w:i/>
                <w:sz w:val="22"/>
                <w:szCs w:val="22"/>
              </w:rPr>
              <w:t>ochrana přírody a krajiny</w:t>
            </w:r>
            <w:r w:rsidR="0014175A" w:rsidRPr="00660A8E">
              <w:rPr>
                <w:rFonts w:asciiTheme="minorHAnsi" w:hAnsiTheme="minorHAnsi" w:cstheme="minorHAnsi"/>
                <w:i/>
                <w:sz w:val="22"/>
                <w:szCs w:val="22"/>
              </w:rPr>
              <w:t xml:space="preserve">, </w:t>
            </w:r>
            <w:r w:rsidR="003C3829" w:rsidRPr="00660A8E">
              <w:rPr>
                <w:rFonts w:asciiTheme="minorHAnsi" w:hAnsiTheme="minorHAnsi" w:cstheme="minorHAnsi"/>
                <w:i/>
                <w:sz w:val="22"/>
                <w:szCs w:val="22"/>
              </w:rPr>
              <w:t>technická ochrana životního prostředí,</w:t>
            </w:r>
            <w:r w:rsidR="00B71C7C" w:rsidRPr="00660A8E">
              <w:rPr>
                <w:rFonts w:asciiTheme="minorHAnsi" w:hAnsiTheme="minorHAnsi" w:cstheme="minorHAnsi"/>
                <w:i/>
                <w:sz w:val="22"/>
                <w:szCs w:val="22"/>
              </w:rPr>
              <w:t xml:space="preserve"> </w:t>
            </w:r>
            <w:proofErr w:type="spellStart"/>
            <w:r w:rsidR="00B71C7C" w:rsidRPr="00660A8E">
              <w:rPr>
                <w:rFonts w:asciiTheme="minorHAnsi" w:hAnsiTheme="minorHAnsi" w:cstheme="minorHAnsi"/>
                <w:i/>
                <w:sz w:val="22"/>
                <w:szCs w:val="22"/>
              </w:rPr>
              <w:t>cirkularita</w:t>
            </w:r>
            <w:proofErr w:type="spellEnd"/>
            <w:r w:rsidR="00B71C7C" w:rsidRPr="00660A8E">
              <w:rPr>
                <w:rFonts w:asciiTheme="minorHAnsi" w:hAnsiTheme="minorHAnsi" w:cstheme="minorHAnsi"/>
                <w:i/>
                <w:sz w:val="22"/>
                <w:szCs w:val="22"/>
              </w:rPr>
              <w:t xml:space="preserve"> a</w:t>
            </w:r>
            <w:r w:rsidR="003C3829" w:rsidRPr="00660A8E">
              <w:rPr>
                <w:rFonts w:asciiTheme="minorHAnsi" w:hAnsiTheme="minorHAnsi" w:cstheme="minorHAnsi"/>
                <w:i/>
                <w:sz w:val="22"/>
                <w:szCs w:val="22"/>
              </w:rPr>
              <w:t xml:space="preserve"> ochrana klimatu</w:t>
            </w:r>
            <w:r w:rsidR="00267A79" w:rsidRPr="00660A8E">
              <w:rPr>
                <w:rFonts w:asciiTheme="minorHAnsi" w:hAnsiTheme="minorHAnsi" w:cstheme="minorHAnsi"/>
                <w:i/>
                <w:sz w:val="22"/>
                <w:szCs w:val="22"/>
              </w:rPr>
              <w:t xml:space="preserve">, </w:t>
            </w:r>
            <w:r w:rsidR="008C5B6C" w:rsidRPr="00660A8E">
              <w:rPr>
                <w:rFonts w:asciiTheme="minorHAnsi" w:hAnsiTheme="minorHAnsi" w:cstheme="minorHAnsi"/>
                <w:sz w:val="22"/>
                <w:szCs w:val="22"/>
              </w:rPr>
              <w:t>veřejná správa/public administration/tvorba politik, udržitelný rozvoj, energetika, ochrana přírody a krajiny, obnovitelné zdroje energie</w:t>
            </w:r>
            <w:r w:rsidR="008C5B6C" w:rsidRPr="00660A8E" w:rsidDel="008C5B6C">
              <w:rPr>
                <w:rFonts w:asciiTheme="minorHAnsi" w:hAnsiTheme="minorHAnsi" w:cstheme="minorHAnsi"/>
                <w:i/>
                <w:sz w:val="22"/>
                <w:szCs w:val="22"/>
              </w:rPr>
              <w:t xml:space="preserve"> </w:t>
            </w:r>
            <w:r w:rsidR="0014175A" w:rsidRPr="00660A8E">
              <w:rPr>
                <w:rFonts w:asciiTheme="minorHAnsi" w:hAnsiTheme="minorHAnsi" w:cstheme="minorHAnsi"/>
                <w:i/>
                <w:sz w:val="22"/>
                <w:szCs w:val="22"/>
              </w:rPr>
              <w:t xml:space="preserve"> </w:t>
            </w:r>
          </w:p>
          <w:p w14:paraId="20B95458" w14:textId="77777777" w:rsidR="009442B6" w:rsidRPr="00660A8E" w:rsidRDefault="009442B6" w:rsidP="00DB6B91">
            <w:pPr>
              <w:spacing w:before="120"/>
              <w:rPr>
                <w:rFonts w:asciiTheme="minorHAnsi" w:hAnsiTheme="minorHAnsi" w:cstheme="minorHAnsi"/>
                <w:b/>
                <w:sz w:val="22"/>
                <w:szCs w:val="22"/>
              </w:rPr>
            </w:pPr>
            <w:r w:rsidRPr="00660A8E">
              <w:rPr>
                <w:rFonts w:asciiTheme="minorHAnsi" w:hAnsiTheme="minorHAnsi" w:cstheme="minorHAnsi"/>
                <w:b/>
                <w:sz w:val="22"/>
                <w:szCs w:val="22"/>
              </w:rPr>
              <w:t xml:space="preserve">Cíl: </w:t>
            </w:r>
          </w:p>
          <w:p w14:paraId="2D56C289" w14:textId="5FCEAA3B" w:rsidR="009442B6" w:rsidRDefault="658AD0D0" w:rsidP="02F3E1DA">
            <w:pPr>
              <w:pBdr>
                <w:top w:val="nil"/>
                <w:left w:val="nil"/>
                <w:bottom w:val="nil"/>
                <w:right w:val="nil"/>
                <w:between w:val="nil"/>
              </w:pBdr>
              <w:spacing w:before="120" w:after="60"/>
              <w:rPr>
                <w:rFonts w:asciiTheme="minorHAnsi" w:hAnsiTheme="minorHAnsi" w:cstheme="minorBidi"/>
                <w:sz w:val="22"/>
                <w:szCs w:val="22"/>
              </w:rPr>
            </w:pPr>
            <w:r w:rsidRPr="02F3E1DA">
              <w:rPr>
                <w:rFonts w:ascii="Calibri" w:hAnsi="Calibri" w:cs="Calibri"/>
                <w:sz w:val="22"/>
                <w:szCs w:val="22"/>
                <w:lang w:val="cs"/>
              </w:rPr>
              <w:t xml:space="preserve">Komponenta si klade za cíl zjednodušit proces ekologického povolování projektů obnovitelných zdrojů energie a urychlit zavádění obnovitelných zdrojů energie prostřednictvím vytvoření specifických oblastí, kde se zefektivňují a zjednodušují administrativní a povolovací postupy. Komponenta reflektuje </w:t>
            </w:r>
            <w:r w:rsidR="7AE25E5D" w:rsidRPr="02F3E1DA">
              <w:rPr>
                <w:rFonts w:ascii="Calibri" w:hAnsi="Calibri" w:cs="Calibri"/>
                <w:sz w:val="22"/>
                <w:szCs w:val="22"/>
                <w:lang w:val="cs"/>
              </w:rPr>
              <w:t xml:space="preserve">jedno ze specifických doporučení pro ČR, </w:t>
            </w:r>
            <w:r w:rsidRPr="02F3E1DA">
              <w:rPr>
                <w:rFonts w:ascii="Calibri" w:hAnsi="Calibri" w:cs="Calibri"/>
                <w:sz w:val="22"/>
                <w:szCs w:val="22"/>
                <w:lang w:val="cs"/>
              </w:rPr>
              <w:t>snížit celkovou závislost na fosilních palivech a jejich spotřebu urychlením zavádění obnovitelných zdrojů, včetně dalšího zefektivnění povolovacích postupů a usnadnění přístupu k síti (CSR 4, 2022).</w:t>
            </w:r>
          </w:p>
          <w:p w14:paraId="4F5FEF62" w14:textId="71F13ACB" w:rsidR="009442B6" w:rsidRPr="00660A8E" w:rsidRDefault="009442B6" w:rsidP="00DB6B91">
            <w:pPr>
              <w:spacing w:before="120"/>
              <w:rPr>
                <w:rFonts w:asciiTheme="minorHAnsi" w:hAnsiTheme="minorHAnsi" w:cstheme="minorHAnsi"/>
                <w:b/>
                <w:sz w:val="22"/>
                <w:szCs w:val="22"/>
              </w:rPr>
            </w:pPr>
            <w:r w:rsidRPr="00660A8E">
              <w:rPr>
                <w:rFonts w:asciiTheme="minorHAnsi" w:hAnsiTheme="minorHAnsi" w:cstheme="minorHAnsi"/>
                <w:b/>
                <w:sz w:val="22"/>
                <w:szCs w:val="22"/>
              </w:rPr>
              <w:t xml:space="preserve">Reformy a investice: </w:t>
            </w:r>
          </w:p>
          <w:p w14:paraId="75A4CC36" w14:textId="77777777" w:rsidR="00B14C9F" w:rsidRPr="00660A8E" w:rsidRDefault="00861D9F"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Komponenta je složena ze dvou souvisejících reforem – zavedení jednotného environmentálního stanoviska do praxe a vymezení akceleračních </w:t>
            </w:r>
            <w:r w:rsidR="00B14C9F" w:rsidRPr="00660A8E">
              <w:rPr>
                <w:rFonts w:asciiTheme="minorHAnsi" w:hAnsiTheme="minorHAnsi" w:cstheme="minorHAnsi"/>
                <w:sz w:val="22"/>
                <w:szCs w:val="22"/>
              </w:rPr>
              <w:t>zón</w:t>
            </w:r>
            <w:r w:rsidRPr="00660A8E">
              <w:rPr>
                <w:rFonts w:asciiTheme="minorHAnsi" w:hAnsiTheme="minorHAnsi" w:cstheme="minorHAnsi"/>
                <w:sz w:val="22"/>
                <w:szCs w:val="22"/>
              </w:rPr>
              <w:t xml:space="preserve">. </w:t>
            </w:r>
          </w:p>
          <w:p w14:paraId="6D08FF0C" w14:textId="0F3C1C7F" w:rsidR="00715581" w:rsidRPr="00660A8E" w:rsidRDefault="00715581"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Jednotné environmentální st</w:t>
            </w:r>
            <w:r w:rsidR="00C32731" w:rsidRPr="00660A8E">
              <w:rPr>
                <w:rFonts w:asciiTheme="minorHAnsi" w:hAnsiTheme="minorHAnsi" w:cstheme="minorHAnsi"/>
                <w:sz w:val="22"/>
                <w:szCs w:val="22"/>
              </w:rPr>
              <w:t xml:space="preserve">anovisko zavádí do českého právního řádu výrazné urychlení povolovacích procesů v oblasti ochrany životního prostředí. Ve spojení s novelou </w:t>
            </w:r>
            <w:r w:rsidR="004F79D5" w:rsidRPr="00660A8E">
              <w:rPr>
                <w:rFonts w:asciiTheme="minorHAnsi" w:hAnsiTheme="minorHAnsi" w:cstheme="minorHAnsi"/>
                <w:sz w:val="22"/>
                <w:szCs w:val="22"/>
              </w:rPr>
              <w:t>stavebního zákona (</w:t>
            </w:r>
            <w:r w:rsidR="00C32731" w:rsidRPr="00660A8E">
              <w:rPr>
                <w:rFonts w:asciiTheme="minorHAnsi" w:hAnsiTheme="minorHAnsi" w:cstheme="minorHAnsi"/>
                <w:sz w:val="22"/>
                <w:szCs w:val="22"/>
              </w:rPr>
              <w:t>zákon č.</w:t>
            </w:r>
            <w:r w:rsidR="00DB6B91" w:rsidRPr="00660A8E">
              <w:rPr>
                <w:rFonts w:asciiTheme="minorHAnsi" w:hAnsiTheme="minorHAnsi" w:cstheme="minorHAnsi"/>
                <w:sz w:val="22"/>
                <w:szCs w:val="22"/>
              </w:rPr>
              <w:t> </w:t>
            </w:r>
            <w:r w:rsidR="004F79D5" w:rsidRPr="00660A8E">
              <w:rPr>
                <w:rFonts w:asciiTheme="minorHAnsi" w:hAnsiTheme="minorHAnsi" w:cstheme="minorHAnsi"/>
                <w:sz w:val="22"/>
                <w:szCs w:val="22"/>
              </w:rPr>
              <w:t>152</w:t>
            </w:r>
            <w:r w:rsidR="00C32731" w:rsidRPr="00660A8E">
              <w:rPr>
                <w:rFonts w:asciiTheme="minorHAnsi" w:hAnsiTheme="minorHAnsi" w:cstheme="minorHAnsi"/>
                <w:sz w:val="22"/>
                <w:szCs w:val="22"/>
              </w:rPr>
              <w:t>/202</w:t>
            </w:r>
            <w:r w:rsidR="004F79D5" w:rsidRPr="00660A8E">
              <w:rPr>
                <w:rFonts w:asciiTheme="minorHAnsi" w:hAnsiTheme="minorHAnsi" w:cstheme="minorHAnsi"/>
                <w:sz w:val="22"/>
                <w:szCs w:val="22"/>
              </w:rPr>
              <w:t>3</w:t>
            </w:r>
            <w:r w:rsidR="00C32731" w:rsidRPr="00660A8E">
              <w:rPr>
                <w:rFonts w:asciiTheme="minorHAnsi" w:hAnsiTheme="minorHAnsi" w:cstheme="minorHAnsi"/>
                <w:sz w:val="22"/>
                <w:szCs w:val="22"/>
              </w:rPr>
              <w:t xml:space="preserve"> Sb.</w:t>
            </w:r>
            <w:r w:rsidR="004F79D5" w:rsidRPr="00660A8E">
              <w:rPr>
                <w:rFonts w:asciiTheme="minorHAnsi" w:hAnsiTheme="minorHAnsi" w:cstheme="minorHAnsi"/>
                <w:sz w:val="22"/>
                <w:szCs w:val="22"/>
              </w:rPr>
              <w:t>)</w:t>
            </w:r>
            <w:r w:rsidR="00C32731" w:rsidRPr="00660A8E">
              <w:rPr>
                <w:rFonts w:asciiTheme="minorHAnsi" w:hAnsiTheme="minorHAnsi" w:cstheme="minorHAnsi"/>
                <w:sz w:val="22"/>
                <w:szCs w:val="22"/>
              </w:rPr>
              <w:t xml:space="preserve"> se jedná o reformu v oblasti povolování stavebních záměrů.</w:t>
            </w:r>
          </w:p>
          <w:p w14:paraId="07CD844D" w14:textId="474977BC" w:rsidR="00C32731" w:rsidRPr="00660A8E" w:rsidRDefault="004F79D5" w:rsidP="00DB6B91">
            <w:pPr>
              <w:spacing w:before="120"/>
              <w:rPr>
                <w:rFonts w:asciiTheme="minorHAnsi" w:hAnsiTheme="minorHAnsi" w:cstheme="minorHAnsi"/>
                <w:sz w:val="22"/>
                <w:szCs w:val="22"/>
              </w:rPr>
            </w:pPr>
            <w:r w:rsidRPr="00660A8E">
              <w:rPr>
                <w:rFonts w:asciiTheme="minorHAnsi" w:hAnsiTheme="minorHAnsi" w:cstheme="minorHAnsi"/>
                <w:sz w:val="22"/>
                <w:szCs w:val="22"/>
              </w:rPr>
              <w:t>Z</w:t>
            </w:r>
            <w:r w:rsidR="00C32731" w:rsidRPr="00660A8E">
              <w:rPr>
                <w:rFonts w:asciiTheme="minorHAnsi" w:hAnsiTheme="minorHAnsi" w:cstheme="minorHAnsi"/>
                <w:sz w:val="22"/>
                <w:szCs w:val="22"/>
              </w:rPr>
              <w:t xml:space="preserve">ákon o jednotném environmentálním stanovisku </w:t>
            </w:r>
            <w:r w:rsidRPr="00660A8E">
              <w:rPr>
                <w:rFonts w:asciiTheme="minorHAnsi" w:hAnsiTheme="minorHAnsi" w:cstheme="minorHAnsi"/>
                <w:sz w:val="22"/>
                <w:szCs w:val="22"/>
              </w:rPr>
              <w:t xml:space="preserve">(zákon č. 148/2023 Sb.) a související tzv. změnový zákon (č. 149/2023 Sb.) </w:t>
            </w:r>
            <w:r w:rsidR="00C32731" w:rsidRPr="00660A8E">
              <w:rPr>
                <w:rFonts w:asciiTheme="minorHAnsi" w:hAnsiTheme="minorHAnsi" w:cstheme="minorHAnsi"/>
                <w:sz w:val="22"/>
                <w:szCs w:val="22"/>
              </w:rPr>
              <w:t>představuj</w:t>
            </w:r>
            <w:r w:rsidR="00FB47FE" w:rsidRPr="00660A8E">
              <w:rPr>
                <w:rFonts w:asciiTheme="minorHAnsi" w:hAnsiTheme="minorHAnsi" w:cstheme="minorHAnsi"/>
                <w:sz w:val="22"/>
                <w:szCs w:val="22"/>
              </w:rPr>
              <w:t>í</w:t>
            </w:r>
            <w:r w:rsidR="00C32731" w:rsidRPr="00660A8E">
              <w:rPr>
                <w:rFonts w:asciiTheme="minorHAnsi" w:hAnsiTheme="minorHAnsi" w:cstheme="minorHAnsi"/>
                <w:sz w:val="22"/>
                <w:szCs w:val="22"/>
              </w:rPr>
              <w:t xml:space="preserve"> procesní </w:t>
            </w:r>
            <w:r w:rsidR="00C32731" w:rsidRPr="00660A8E">
              <w:rPr>
                <w:rFonts w:asciiTheme="minorHAnsi" w:hAnsiTheme="minorHAnsi" w:cstheme="minorHAnsi"/>
                <w:b/>
                <w:sz w:val="22"/>
                <w:szCs w:val="22"/>
              </w:rPr>
              <w:t>integraci na úseku ochrany životního prostředí</w:t>
            </w:r>
            <w:r w:rsidR="00C32731" w:rsidRPr="00660A8E">
              <w:rPr>
                <w:rFonts w:asciiTheme="minorHAnsi" w:hAnsiTheme="minorHAnsi" w:cstheme="minorHAnsi"/>
                <w:sz w:val="22"/>
                <w:szCs w:val="22"/>
              </w:rPr>
              <w:t xml:space="preserve"> a zavádí jednotné environmentální stanovisko (JES) ve formě závazného stanoviska, a to pro všechny záměry povolované podle stavebního zákona, ať už jde o záměry vyžadující EIA nebo záměry ostatní, a další záměry, které podléhají posouzení vlivů na životní prostředí a následně jsou povolovány podle jiného než stavebního zákona, např. zákona horního.</w:t>
            </w:r>
          </w:p>
          <w:p w14:paraId="16DDFFD7" w14:textId="6883342C" w:rsidR="00C32731" w:rsidRPr="00660A8E" w:rsidRDefault="00C32731" w:rsidP="00DB6B91">
            <w:pPr>
              <w:autoSpaceDE w:val="0"/>
              <w:autoSpaceDN w:val="0"/>
              <w:adjustRightInd w:val="0"/>
              <w:spacing w:before="120"/>
              <w:rPr>
                <w:rFonts w:asciiTheme="minorHAnsi" w:hAnsiTheme="minorHAnsi" w:cstheme="minorHAnsi"/>
                <w:sz w:val="22"/>
                <w:szCs w:val="22"/>
              </w:rPr>
            </w:pPr>
            <w:r w:rsidRPr="00660A8E">
              <w:rPr>
                <w:rFonts w:asciiTheme="minorHAnsi" w:hAnsiTheme="minorHAnsi" w:cstheme="minorHAnsi"/>
                <w:sz w:val="22"/>
                <w:szCs w:val="22"/>
                <w:lang w:eastAsia="x-none"/>
              </w:rPr>
              <w:t xml:space="preserve">JES bude vydáván namísto správních úkonů obsažených </w:t>
            </w:r>
            <w:r w:rsidRPr="00660A8E">
              <w:rPr>
                <w:rFonts w:asciiTheme="minorHAnsi" w:hAnsiTheme="minorHAnsi" w:cstheme="minorHAnsi"/>
                <w:bCs/>
                <w:sz w:val="22"/>
                <w:szCs w:val="22"/>
              </w:rPr>
              <w:t xml:space="preserve">v devíti různých zákonech z oblasti životního prostředí, které mají podle platné a účinné právní úpravy většinou podobu závazného stanoviska. Příslušným orgánem vydávajícím JES bude v definovaných případech </w:t>
            </w:r>
            <w:r w:rsidRPr="00660A8E">
              <w:rPr>
                <w:rFonts w:asciiTheme="minorHAnsi" w:hAnsiTheme="minorHAnsi" w:cstheme="minorHAnsi"/>
                <w:b/>
                <w:bCs/>
                <w:sz w:val="22"/>
                <w:szCs w:val="22"/>
              </w:rPr>
              <w:t>krajský úřad</w:t>
            </w:r>
            <w:r w:rsidRPr="00660A8E">
              <w:rPr>
                <w:rFonts w:asciiTheme="minorHAnsi" w:hAnsiTheme="minorHAnsi" w:cstheme="minorHAnsi"/>
                <w:bCs/>
                <w:sz w:val="22"/>
                <w:szCs w:val="22"/>
              </w:rPr>
              <w:t xml:space="preserve"> (záměry v režimu EIA podle zákona o </w:t>
            </w:r>
            <w:r w:rsidRPr="00660A8E">
              <w:rPr>
                <w:rFonts w:asciiTheme="minorHAnsi" w:hAnsiTheme="minorHAnsi" w:cstheme="minorHAnsi"/>
                <w:sz w:val="22"/>
                <w:szCs w:val="22"/>
              </w:rPr>
              <w:t>posuzování vlivů na životní prostředí</w:t>
            </w:r>
            <w:r w:rsidRPr="00660A8E">
              <w:rPr>
                <w:rFonts w:asciiTheme="minorHAnsi" w:hAnsiTheme="minorHAnsi" w:cstheme="minorHAnsi"/>
                <w:bCs/>
                <w:sz w:val="22"/>
                <w:szCs w:val="22"/>
              </w:rPr>
              <w:t xml:space="preserve">, záměry, pro jejichž realizaci je vyžadována výjimka z tzv. druhové ochrany podle zákona o ochraně přírody a krajiny apod.), v ostatních případech pak </w:t>
            </w:r>
            <w:r w:rsidRPr="00660A8E">
              <w:rPr>
                <w:rFonts w:asciiTheme="minorHAnsi" w:hAnsiTheme="minorHAnsi" w:cstheme="minorHAnsi"/>
                <w:b/>
                <w:bCs/>
                <w:sz w:val="22"/>
                <w:szCs w:val="22"/>
              </w:rPr>
              <w:t>obecní úřad obce s rozšířenou působností</w:t>
            </w:r>
            <w:r w:rsidRPr="00660A8E">
              <w:rPr>
                <w:rFonts w:asciiTheme="minorHAnsi" w:hAnsiTheme="minorHAnsi" w:cstheme="minorHAnsi"/>
                <w:bCs/>
                <w:sz w:val="22"/>
                <w:szCs w:val="22"/>
              </w:rPr>
              <w:t>. U typově stanovených záměrů (výslovně uvedených v příloze č. 1 k zákonu o </w:t>
            </w:r>
            <w:r w:rsidRPr="00660A8E">
              <w:rPr>
                <w:rFonts w:asciiTheme="minorHAnsi" w:hAnsiTheme="minorHAnsi" w:cstheme="minorHAnsi"/>
                <w:sz w:val="22"/>
                <w:szCs w:val="22"/>
              </w:rPr>
              <w:t>posuzování vlivů na životní prostředí</w:t>
            </w:r>
            <w:r w:rsidR="002460EC" w:rsidRPr="00660A8E">
              <w:rPr>
                <w:rFonts w:asciiTheme="minorHAnsi" w:hAnsiTheme="minorHAnsi" w:cstheme="minorHAnsi"/>
                <w:sz w:val="22"/>
                <w:szCs w:val="22"/>
              </w:rPr>
              <w:t xml:space="preserve"> – infrastrukturní a jaderné stavby</w:t>
            </w:r>
            <w:r w:rsidRPr="00660A8E">
              <w:rPr>
                <w:rFonts w:asciiTheme="minorHAnsi" w:hAnsiTheme="minorHAnsi" w:cstheme="minorHAnsi"/>
                <w:sz w:val="22"/>
                <w:szCs w:val="22"/>
              </w:rPr>
              <w:t xml:space="preserve">) bude k vydání JES příslušné </w:t>
            </w:r>
            <w:r w:rsidRPr="00660A8E">
              <w:rPr>
                <w:rFonts w:asciiTheme="minorHAnsi" w:hAnsiTheme="minorHAnsi" w:cstheme="minorHAnsi"/>
                <w:b/>
                <w:sz w:val="22"/>
                <w:szCs w:val="22"/>
              </w:rPr>
              <w:t>Ministerstvo životního prostředí</w:t>
            </w:r>
            <w:r w:rsidRPr="00660A8E">
              <w:rPr>
                <w:rFonts w:asciiTheme="minorHAnsi" w:hAnsiTheme="minorHAnsi" w:cstheme="minorHAnsi"/>
                <w:sz w:val="22"/>
                <w:szCs w:val="22"/>
              </w:rPr>
              <w:t xml:space="preserve">. </w:t>
            </w:r>
            <w:r w:rsidR="00FB7F61" w:rsidRPr="00660A8E">
              <w:rPr>
                <w:rFonts w:asciiTheme="minorHAnsi" w:hAnsiTheme="minorHAnsi" w:cstheme="minorHAnsi"/>
                <w:sz w:val="22"/>
                <w:szCs w:val="22"/>
              </w:rPr>
              <w:t>U n</w:t>
            </w:r>
            <w:r w:rsidR="003C3829" w:rsidRPr="00660A8E">
              <w:rPr>
                <w:rFonts w:asciiTheme="minorHAnsi" w:hAnsiTheme="minorHAnsi" w:cstheme="minorHAnsi"/>
                <w:sz w:val="22"/>
                <w:szCs w:val="22"/>
              </w:rPr>
              <w:t>astavení z hlediska nadřízenosti a</w:t>
            </w:r>
            <w:r w:rsidR="000C0257" w:rsidRPr="00660A8E">
              <w:rPr>
                <w:rFonts w:asciiTheme="minorHAnsi" w:hAnsiTheme="minorHAnsi" w:cstheme="minorHAnsi"/>
                <w:sz w:val="22"/>
                <w:szCs w:val="22"/>
              </w:rPr>
              <w:t> </w:t>
            </w:r>
            <w:r w:rsidR="003C3829" w:rsidRPr="00660A8E">
              <w:rPr>
                <w:rFonts w:asciiTheme="minorHAnsi" w:hAnsiTheme="minorHAnsi" w:cstheme="minorHAnsi"/>
                <w:sz w:val="22"/>
                <w:szCs w:val="22"/>
              </w:rPr>
              <w:t xml:space="preserve">podřízenosti bude zachován stávající model státní správy, tedy krajské úřady budou </w:t>
            </w:r>
            <w:r w:rsidR="00B96166" w:rsidRPr="00660A8E">
              <w:rPr>
                <w:rFonts w:asciiTheme="minorHAnsi" w:hAnsiTheme="minorHAnsi" w:cstheme="minorHAnsi"/>
                <w:sz w:val="22"/>
                <w:szCs w:val="22"/>
              </w:rPr>
              <w:t xml:space="preserve">příslušné k případnému přezkumu, potvrzování nebo ke změnám JES vydaných obcemi s rozšířenou působností (ORP). Odbory výkonu státní správy (OVSS) Ministerstva životního prostředí (MŽP) budou příslušné k případnému přezkumu, potvrzování nebo ke změnám JES vydaných krajskými úřady. Ministr životního prostředí bude příslušný k případnému přezkumu, potvrzování nebo ke změnám JES vydaných OVSS nebo </w:t>
            </w:r>
            <w:r w:rsidR="00163A41" w:rsidRPr="00660A8E">
              <w:rPr>
                <w:rFonts w:asciiTheme="minorHAnsi" w:hAnsiTheme="minorHAnsi" w:cstheme="minorHAnsi"/>
                <w:sz w:val="22"/>
                <w:szCs w:val="22"/>
              </w:rPr>
              <w:t xml:space="preserve">příslušným organizačním </w:t>
            </w:r>
            <w:r w:rsidR="00163A41" w:rsidRPr="00660A8E">
              <w:rPr>
                <w:rFonts w:asciiTheme="minorHAnsi" w:hAnsiTheme="minorHAnsi" w:cstheme="minorHAnsi"/>
                <w:sz w:val="22"/>
                <w:szCs w:val="22"/>
              </w:rPr>
              <w:lastRenderedPageBreak/>
              <w:t>útvarem v sekci ochrany životního prostředí (SOŽP)</w:t>
            </w:r>
            <w:r w:rsidR="00B96166" w:rsidRPr="00660A8E">
              <w:rPr>
                <w:rFonts w:asciiTheme="minorHAnsi" w:hAnsiTheme="minorHAnsi" w:cstheme="minorHAnsi"/>
                <w:sz w:val="22"/>
                <w:szCs w:val="22"/>
              </w:rPr>
              <w:t xml:space="preserve"> MŽP. ORP budou tedy v agendě JES výhradně orgány první instance.</w:t>
            </w:r>
            <w:r w:rsidR="00FB7F61" w:rsidRPr="00660A8E">
              <w:rPr>
                <w:rFonts w:asciiTheme="minorHAnsi" w:hAnsiTheme="minorHAnsi" w:cstheme="minorHAnsi"/>
                <w:sz w:val="22"/>
                <w:szCs w:val="22"/>
              </w:rPr>
              <w:t xml:space="preserve"> Krajské úřady, MHMP a MŽP OVSS budou orgány první i druhé instance (samozřejmě u</w:t>
            </w:r>
            <w:r w:rsidR="00893B75" w:rsidRPr="00660A8E">
              <w:rPr>
                <w:rFonts w:asciiTheme="minorHAnsi" w:hAnsiTheme="minorHAnsi" w:cstheme="minorHAnsi"/>
                <w:sz w:val="22"/>
                <w:szCs w:val="22"/>
              </w:rPr>
              <w:t> </w:t>
            </w:r>
            <w:r w:rsidR="00FB7F61" w:rsidRPr="00660A8E">
              <w:rPr>
                <w:rFonts w:asciiTheme="minorHAnsi" w:hAnsiTheme="minorHAnsi" w:cstheme="minorHAnsi"/>
                <w:sz w:val="22"/>
                <w:szCs w:val="22"/>
              </w:rPr>
              <w:t xml:space="preserve">různých záměrů). </w:t>
            </w:r>
            <w:r w:rsidR="00163A41" w:rsidRPr="00660A8E">
              <w:rPr>
                <w:rFonts w:asciiTheme="minorHAnsi" w:hAnsiTheme="minorHAnsi" w:cstheme="minorHAnsi"/>
                <w:sz w:val="22"/>
                <w:szCs w:val="22"/>
              </w:rPr>
              <w:t xml:space="preserve">SOŽP </w:t>
            </w:r>
            <w:r w:rsidR="00FB7F61" w:rsidRPr="00660A8E">
              <w:rPr>
                <w:rFonts w:asciiTheme="minorHAnsi" w:hAnsiTheme="minorHAnsi" w:cstheme="minorHAnsi"/>
                <w:sz w:val="22"/>
                <w:szCs w:val="22"/>
              </w:rPr>
              <w:t>MŽP bude zejména orgánem metodickým a</w:t>
            </w:r>
            <w:r w:rsidR="000C0257" w:rsidRPr="00660A8E">
              <w:rPr>
                <w:rFonts w:asciiTheme="minorHAnsi" w:hAnsiTheme="minorHAnsi" w:cstheme="minorHAnsi"/>
                <w:sz w:val="22"/>
                <w:szCs w:val="22"/>
              </w:rPr>
              <w:t> </w:t>
            </w:r>
            <w:r w:rsidR="00A43FC9" w:rsidRPr="00660A8E">
              <w:rPr>
                <w:rFonts w:asciiTheme="minorHAnsi" w:hAnsiTheme="minorHAnsi" w:cstheme="minorHAnsi"/>
                <w:sz w:val="22"/>
                <w:szCs w:val="22"/>
              </w:rPr>
              <w:t>u</w:t>
            </w:r>
            <w:r w:rsidR="000C0257" w:rsidRPr="00660A8E">
              <w:rPr>
                <w:rFonts w:asciiTheme="minorHAnsi" w:hAnsiTheme="minorHAnsi" w:cstheme="minorHAnsi"/>
                <w:sz w:val="22"/>
                <w:szCs w:val="22"/>
              </w:rPr>
              <w:t> </w:t>
            </w:r>
            <w:r w:rsidR="00FB7F61" w:rsidRPr="00660A8E">
              <w:rPr>
                <w:rFonts w:asciiTheme="minorHAnsi" w:hAnsiTheme="minorHAnsi" w:cstheme="minorHAnsi"/>
                <w:sz w:val="22"/>
                <w:szCs w:val="22"/>
              </w:rPr>
              <w:t xml:space="preserve">vybraných záměrů i orgánem prvním instance. Ministr životního prostředí bude v agendě JES výhradně orgánem druhé instance. Při uvažování velikosti agendy je třeba brát v úvahu kromě prvoinstančního a metodického výkonu agendy právě značnou zátěž i v oblasti druhoinstančního výkonu agendy JES. </w:t>
            </w:r>
            <w:r w:rsidRPr="00660A8E">
              <w:rPr>
                <w:rFonts w:asciiTheme="minorHAnsi" w:hAnsiTheme="minorHAnsi" w:cstheme="minorHAnsi"/>
                <w:sz w:val="22"/>
                <w:szCs w:val="22"/>
              </w:rPr>
              <w:t xml:space="preserve">V chodu těchto správních orgánů dojde k potřebě restrukturalizace, vyčlenění či přijetí nových zaměstnanců pro danou agendu. </w:t>
            </w:r>
          </w:p>
          <w:p w14:paraId="562BD2F1" w14:textId="0C7563C3" w:rsidR="00C32731" w:rsidRPr="00660A8E" w:rsidRDefault="00C32731" w:rsidP="00DB6B91">
            <w:pPr>
              <w:pBdr>
                <w:top w:val="nil"/>
                <w:left w:val="nil"/>
                <w:bottom w:val="nil"/>
                <w:right w:val="nil"/>
                <w:between w:val="nil"/>
              </w:pBdr>
              <w:spacing w:before="120" w:after="60"/>
              <w:rPr>
                <w:rFonts w:asciiTheme="minorHAnsi" w:eastAsiaTheme="minorHAnsi" w:hAnsiTheme="minorHAnsi" w:cstheme="minorHAnsi"/>
                <w:sz w:val="22"/>
                <w:szCs w:val="22"/>
              </w:rPr>
            </w:pPr>
            <w:r w:rsidRPr="00660A8E">
              <w:rPr>
                <w:rFonts w:asciiTheme="minorHAnsi" w:eastAsiaTheme="minorHAnsi" w:hAnsiTheme="minorHAnsi" w:cstheme="minorHAnsi"/>
                <w:sz w:val="22"/>
                <w:szCs w:val="22"/>
              </w:rPr>
              <w:t xml:space="preserve">Za účelem správného </w:t>
            </w:r>
            <w:r w:rsidR="005279EF" w:rsidRPr="00660A8E">
              <w:rPr>
                <w:rFonts w:asciiTheme="minorHAnsi" w:eastAsiaTheme="minorHAnsi" w:hAnsiTheme="minorHAnsi" w:cstheme="minorHAnsi"/>
                <w:sz w:val="22"/>
                <w:szCs w:val="22"/>
              </w:rPr>
              <w:t>zavedení</w:t>
            </w:r>
            <w:r w:rsidRPr="00660A8E">
              <w:rPr>
                <w:rFonts w:asciiTheme="minorHAnsi" w:eastAsiaTheme="minorHAnsi" w:hAnsiTheme="minorHAnsi" w:cstheme="minorHAnsi"/>
                <w:sz w:val="22"/>
                <w:szCs w:val="22"/>
              </w:rPr>
              <w:t xml:space="preserve"> jednotného environmentálního stanoviska do </w:t>
            </w:r>
            <w:r w:rsidR="000454BD" w:rsidRPr="00660A8E">
              <w:rPr>
                <w:rFonts w:asciiTheme="minorHAnsi" w:eastAsiaTheme="minorHAnsi" w:hAnsiTheme="minorHAnsi" w:cstheme="minorHAnsi"/>
                <w:sz w:val="22"/>
                <w:szCs w:val="22"/>
              </w:rPr>
              <w:t>praxe</w:t>
            </w:r>
            <w:r w:rsidRPr="00660A8E">
              <w:rPr>
                <w:rFonts w:asciiTheme="minorHAnsi" w:eastAsiaTheme="minorHAnsi" w:hAnsiTheme="minorHAnsi" w:cstheme="minorHAnsi"/>
                <w:sz w:val="22"/>
                <w:szCs w:val="22"/>
              </w:rPr>
              <w:t xml:space="preserve"> orgánů státní správy bude nezbytn</w:t>
            </w:r>
            <w:r w:rsidR="00FB7F61" w:rsidRPr="00660A8E">
              <w:rPr>
                <w:rFonts w:asciiTheme="minorHAnsi" w:eastAsiaTheme="minorHAnsi" w:hAnsiTheme="minorHAnsi" w:cstheme="minorHAnsi"/>
                <w:sz w:val="22"/>
                <w:szCs w:val="22"/>
              </w:rPr>
              <w:t>é zejména zajištění dostatečných odborných kapacit na všech úrovních orgánů státní správy v oblasti JES, kterou tyto orgány doposud nedisponují, a dále</w:t>
            </w:r>
            <w:r w:rsidRPr="00660A8E">
              <w:rPr>
                <w:rFonts w:asciiTheme="minorHAnsi" w:eastAsiaTheme="minorHAnsi" w:hAnsiTheme="minorHAnsi" w:cstheme="minorHAnsi"/>
                <w:sz w:val="22"/>
                <w:szCs w:val="22"/>
              </w:rPr>
              <w:t xml:space="preserve"> intenzivní metodická činnost spočívající ve školení a souvisejícím odborném vzdělávání zaměstnanců správních orgánů, přípravě a průběžné úpravě vzorů vybraných dokumentů, metodickém vedení</w:t>
            </w:r>
            <w:r w:rsidR="00E9353E" w:rsidRPr="00660A8E">
              <w:rPr>
                <w:rFonts w:asciiTheme="minorHAnsi" w:eastAsiaTheme="minorHAnsi" w:hAnsiTheme="minorHAnsi" w:cstheme="minorHAnsi"/>
                <w:sz w:val="22"/>
                <w:szCs w:val="22"/>
              </w:rPr>
              <w:t xml:space="preserve"> a porad</w:t>
            </w:r>
            <w:r w:rsidRPr="00660A8E">
              <w:rPr>
                <w:rFonts w:asciiTheme="minorHAnsi" w:eastAsiaTheme="minorHAnsi" w:hAnsiTheme="minorHAnsi" w:cstheme="minorHAnsi"/>
                <w:sz w:val="22"/>
                <w:szCs w:val="22"/>
              </w:rPr>
              <w:t>, včetně získávání zpětné vazby a zajištění rychlé a efektivní komunikace s dotčenými správními orgány.</w:t>
            </w:r>
            <w:r w:rsidR="000454BD" w:rsidRPr="00660A8E">
              <w:rPr>
                <w:rFonts w:asciiTheme="minorHAnsi" w:eastAsiaTheme="minorHAnsi" w:hAnsiTheme="minorHAnsi" w:cstheme="minorHAnsi"/>
                <w:sz w:val="22"/>
                <w:szCs w:val="22"/>
              </w:rPr>
              <w:t xml:space="preserve"> Zavedení jednotného environmentálního stanoviska bude klást větší odborné nároky na jednotlivé správní orgány. Závěrečná zpráva </w:t>
            </w:r>
            <w:r w:rsidR="0081789E" w:rsidRPr="00660A8E">
              <w:rPr>
                <w:rFonts w:asciiTheme="minorHAnsi" w:eastAsiaTheme="minorHAnsi" w:hAnsiTheme="minorHAnsi" w:cstheme="minorHAnsi"/>
                <w:sz w:val="22"/>
                <w:szCs w:val="22"/>
              </w:rPr>
              <w:t>z</w:t>
            </w:r>
            <w:r w:rsidR="000C0257" w:rsidRPr="00660A8E">
              <w:rPr>
                <w:rFonts w:asciiTheme="minorHAnsi" w:eastAsiaTheme="minorHAnsi" w:hAnsiTheme="minorHAnsi" w:cstheme="minorHAnsi"/>
                <w:sz w:val="22"/>
                <w:szCs w:val="22"/>
              </w:rPr>
              <w:t> </w:t>
            </w:r>
            <w:r w:rsidR="000454BD" w:rsidRPr="00660A8E">
              <w:rPr>
                <w:rFonts w:asciiTheme="minorHAnsi" w:eastAsiaTheme="minorHAnsi" w:hAnsiTheme="minorHAnsi" w:cstheme="minorHAnsi"/>
                <w:sz w:val="22"/>
                <w:szCs w:val="22"/>
              </w:rPr>
              <w:t xml:space="preserve">hodnocení </w:t>
            </w:r>
            <w:r w:rsidR="0081789E" w:rsidRPr="00660A8E">
              <w:rPr>
                <w:rFonts w:asciiTheme="minorHAnsi" w:eastAsiaTheme="minorHAnsi" w:hAnsiTheme="minorHAnsi" w:cstheme="minorHAnsi"/>
                <w:sz w:val="22"/>
                <w:szCs w:val="22"/>
              </w:rPr>
              <w:t xml:space="preserve">dopadů </w:t>
            </w:r>
            <w:r w:rsidR="000454BD" w:rsidRPr="00660A8E">
              <w:rPr>
                <w:rFonts w:asciiTheme="minorHAnsi" w:eastAsiaTheme="minorHAnsi" w:hAnsiTheme="minorHAnsi" w:cstheme="minorHAnsi"/>
                <w:sz w:val="22"/>
                <w:szCs w:val="22"/>
              </w:rPr>
              <w:t>regulace vyčíslila konkrétní požadované navýšení pracovních úvazků na jednotlivých typech správních orgánů</w:t>
            </w:r>
            <w:r w:rsidR="00E9353E" w:rsidRPr="00660A8E">
              <w:rPr>
                <w:rFonts w:asciiTheme="minorHAnsi" w:eastAsiaTheme="minorHAnsi" w:hAnsiTheme="minorHAnsi" w:cstheme="minorHAnsi"/>
                <w:sz w:val="22"/>
                <w:szCs w:val="22"/>
              </w:rPr>
              <w:t>, v případě MŽP se ovšem omezila pouze na metodickou část agendy a zcela opomněla roli MŽP v oblasti samotného výkonu agendy JES, a to jako prvoinstančního (OVSS+</w:t>
            </w:r>
            <w:r w:rsidR="00163A41" w:rsidRPr="00660A8E">
              <w:rPr>
                <w:rFonts w:asciiTheme="minorHAnsi" w:eastAsiaTheme="minorHAnsi" w:hAnsiTheme="minorHAnsi" w:cstheme="minorHAnsi"/>
                <w:sz w:val="22"/>
                <w:szCs w:val="22"/>
              </w:rPr>
              <w:t>SOŽP</w:t>
            </w:r>
            <w:r w:rsidR="00E9353E" w:rsidRPr="00660A8E">
              <w:rPr>
                <w:rFonts w:asciiTheme="minorHAnsi" w:eastAsiaTheme="minorHAnsi" w:hAnsiTheme="minorHAnsi" w:cstheme="minorHAnsi"/>
                <w:sz w:val="22"/>
                <w:szCs w:val="22"/>
              </w:rPr>
              <w:t>) i</w:t>
            </w:r>
            <w:r w:rsidR="00893B75" w:rsidRPr="00660A8E">
              <w:rPr>
                <w:rFonts w:asciiTheme="minorHAnsi" w:eastAsiaTheme="minorHAnsi" w:hAnsiTheme="minorHAnsi" w:cstheme="minorHAnsi"/>
                <w:sz w:val="22"/>
                <w:szCs w:val="22"/>
              </w:rPr>
              <w:t> </w:t>
            </w:r>
            <w:r w:rsidR="00E9353E" w:rsidRPr="00660A8E">
              <w:rPr>
                <w:rFonts w:asciiTheme="minorHAnsi" w:eastAsiaTheme="minorHAnsi" w:hAnsiTheme="minorHAnsi" w:cstheme="minorHAnsi"/>
                <w:sz w:val="22"/>
                <w:szCs w:val="22"/>
              </w:rPr>
              <w:t>druhoinstančního (</w:t>
            </w:r>
            <w:proofErr w:type="spellStart"/>
            <w:r w:rsidR="00E9353E" w:rsidRPr="00660A8E">
              <w:rPr>
                <w:rFonts w:asciiTheme="minorHAnsi" w:eastAsiaTheme="minorHAnsi" w:hAnsiTheme="minorHAnsi" w:cstheme="minorHAnsi"/>
                <w:sz w:val="22"/>
                <w:szCs w:val="22"/>
              </w:rPr>
              <w:t>OVSS+ministr</w:t>
            </w:r>
            <w:proofErr w:type="spellEnd"/>
            <w:r w:rsidR="00E9353E" w:rsidRPr="00660A8E">
              <w:rPr>
                <w:rFonts w:asciiTheme="minorHAnsi" w:eastAsiaTheme="minorHAnsi" w:hAnsiTheme="minorHAnsi" w:cstheme="minorHAnsi"/>
                <w:sz w:val="22"/>
                <w:szCs w:val="22"/>
              </w:rPr>
              <w:t>) orgánu</w:t>
            </w:r>
            <w:r w:rsidR="000454BD" w:rsidRPr="00660A8E">
              <w:rPr>
                <w:rFonts w:asciiTheme="minorHAnsi" w:eastAsiaTheme="minorHAnsi" w:hAnsiTheme="minorHAnsi" w:cstheme="minorHAnsi"/>
                <w:sz w:val="22"/>
                <w:szCs w:val="22"/>
              </w:rPr>
              <w:t>. Bude proto nezbytné navýšit finanční prostředky spojené s výkonem agendy orgánů státní správy v oblasti ochrany životního prostředí.</w:t>
            </w:r>
          </w:p>
          <w:p w14:paraId="4252D0CA" w14:textId="5AF3399E" w:rsidR="006A4C1A" w:rsidRPr="00660A8E" w:rsidRDefault="006A4C1A"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bCs/>
                <w:sz w:val="22"/>
                <w:szCs w:val="22"/>
              </w:rPr>
              <w:t xml:space="preserve">Zavedení této reformy a vytvoření odpovídajících personálních kapacit potřebných k jejímu výkonu, včetně metodického vedení, je tedy navrhováno financovat za pomocí podpory z této komponenty JES, a to až do </w:t>
            </w:r>
            <w:r w:rsidR="00BF176A">
              <w:rPr>
                <w:rFonts w:asciiTheme="minorHAnsi" w:hAnsiTheme="minorHAnsi" w:cstheme="minorHAnsi"/>
                <w:bCs/>
                <w:sz w:val="22"/>
                <w:szCs w:val="22"/>
              </w:rPr>
              <w:t>poloviny roku 2026</w:t>
            </w:r>
            <w:r w:rsidRPr="00660A8E">
              <w:rPr>
                <w:rFonts w:asciiTheme="minorHAnsi" w:hAnsiTheme="minorHAnsi" w:cstheme="minorHAnsi"/>
                <w:bCs/>
                <w:sz w:val="22"/>
                <w:szCs w:val="22"/>
              </w:rPr>
              <w:t xml:space="preserve">. Zdroje financování jsou tedy časově omezené, resp. dočasné, přičemž s výkonem příslušné agendy je třeba počítat trvale. </w:t>
            </w:r>
            <w:r w:rsidRPr="00660A8E">
              <w:rPr>
                <w:rFonts w:asciiTheme="minorHAnsi" w:hAnsiTheme="minorHAnsi" w:cstheme="minorHAnsi"/>
                <w:sz w:val="22"/>
                <w:szCs w:val="22"/>
              </w:rPr>
              <w:t>Po ukončení podpory bude proto třeba nalézt jiné zdroje financování vzniklých kapacit, bez nichž se výkon nové agendy JES neobejde.</w:t>
            </w:r>
            <w:r w:rsidR="00E62395" w:rsidRPr="00660A8E">
              <w:rPr>
                <w:rFonts w:asciiTheme="minorHAnsi" w:hAnsiTheme="minorHAnsi" w:cstheme="minorHAnsi"/>
                <w:sz w:val="22"/>
                <w:szCs w:val="22"/>
              </w:rPr>
              <w:t xml:space="preserve"> </w:t>
            </w:r>
            <w:r w:rsidR="00BF176A">
              <w:rPr>
                <w:rFonts w:asciiTheme="minorHAnsi" w:hAnsiTheme="minorHAnsi" w:cstheme="minorHAnsi"/>
                <w:sz w:val="22"/>
                <w:szCs w:val="22"/>
              </w:rPr>
              <w:t>K</w:t>
            </w:r>
            <w:r w:rsidR="00A93C67" w:rsidRPr="00660A8E">
              <w:rPr>
                <w:rFonts w:asciiTheme="minorHAnsi" w:hAnsiTheme="minorHAnsi" w:cstheme="minorHAnsi"/>
                <w:sz w:val="22"/>
                <w:szCs w:val="22"/>
              </w:rPr>
              <w:t>onečný</w:t>
            </w:r>
            <w:r w:rsidR="00BF176A">
              <w:rPr>
                <w:rFonts w:asciiTheme="minorHAnsi" w:hAnsiTheme="minorHAnsi" w:cstheme="minorHAnsi"/>
                <w:sz w:val="22"/>
                <w:szCs w:val="22"/>
              </w:rPr>
              <w:t xml:space="preserve">m </w:t>
            </w:r>
            <w:r w:rsidR="00F1633D">
              <w:rPr>
                <w:rFonts w:asciiTheme="minorHAnsi" w:hAnsiTheme="minorHAnsi" w:cstheme="minorHAnsi"/>
                <w:sz w:val="22"/>
                <w:szCs w:val="22"/>
              </w:rPr>
              <w:t>(věcným)</w:t>
            </w:r>
            <w:r w:rsidR="00A93C67" w:rsidRPr="00660A8E">
              <w:rPr>
                <w:rFonts w:asciiTheme="minorHAnsi" w:hAnsiTheme="minorHAnsi" w:cstheme="minorHAnsi"/>
                <w:sz w:val="22"/>
                <w:szCs w:val="22"/>
              </w:rPr>
              <w:t xml:space="preserve"> výstup</w:t>
            </w:r>
            <w:r w:rsidR="00BF176A">
              <w:rPr>
                <w:rFonts w:asciiTheme="minorHAnsi" w:hAnsiTheme="minorHAnsi" w:cstheme="minorHAnsi"/>
                <w:sz w:val="22"/>
                <w:szCs w:val="22"/>
              </w:rPr>
              <w:t>em</w:t>
            </w:r>
            <w:r w:rsidR="00A93C67" w:rsidRPr="00660A8E">
              <w:rPr>
                <w:rFonts w:asciiTheme="minorHAnsi" w:hAnsiTheme="minorHAnsi" w:cstheme="minorHAnsi"/>
                <w:sz w:val="22"/>
                <w:szCs w:val="22"/>
              </w:rPr>
              <w:t xml:space="preserve"> reformy </w:t>
            </w:r>
            <w:r w:rsidR="00BF176A">
              <w:rPr>
                <w:rFonts w:asciiTheme="minorHAnsi" w:hAnsiTheme="minorHAnsi" w:cstheme="minorHAnsi"/>
                <w:sz w:val="22"/>
                <w:szCs w:val="22"/>
              </w:rPr>
              <w:t>by mělo být</w:t>
            </w:r>
            <w:r w:rsidR="00A93C67" w:rsidRPr="00660A8E">
              <w:rPr>
                <w:rFonts w:asciiTheme="minorHAnsi" w:hAnsiTheme="minorHAnsi" w:cstheme="minorHAnsi"/>
                <w:sz w:val="22"/>
                <w:szCs w:val="22"/>
              </w:rPr>
              <w:t xml:space="preserve"> zavedení funkční, jednotně a koordinovaně vystupující státní správy (tedy personálních kapacit) v oblasti vydávání JES na úrovni MŽP a krajských úřadů, a prostřednictvím jejich metodického vedení pak i na úrovni obcí s rozšířenou působností.</w:t>
            </w:r>
            <w:r w:rsidR="00EF64E2" w:rsidRPr="00660A8E">
              <w:rPr>
                <w:rFonts w:asciiTheme="minorHAnsi" w:hAnsiTheme="minorHAnsi" w:cstheme="minorHAnsi"/>
                <w:sz w:val="22"/>
                <w:szCs w:val="22"/>
              </w:rPr>
              <w:t xml:space="preserve"> </w:t>
            </w:r>
            <w:r w:rsidR="00BF176A">
              <w:rPr>
                <w:rFonts w:asciiTheme="minorHAnsi" w:hAnsiTheme="minorHAnsi" w:cstheme="minorHAnsi"/>
                <w:sz w:val="22"/>
                <w:szCs w:val="22"/>
              </w:rPr>
              <w:t>Prvním m</w:t>
            </w:r>
            <w:r w:rsidR="00E62395" w:rsidRPr="00660A8E">
              <w:rPr>
                <w:rFonts w:asciiTheme="minorHAnsi" w:hAnsiTheme="minorHAnsi" w:cstheme="minorHAnsi"/>
                <w:sz w:val="22"/>
                <w:szCs w:val="22"/>
              </w:rPr>
              <w:t>ilníkem j</w:t>
            </w:r>
            <w:r w:rsidR="003700E3" w:rsidRPr="00660A8E">
              <w:rPr>
                <w:rFonts w:asciiTheme="minorHAnsi" w:hAnsiTheme="minorHAnsi" w:cstheme="minorHAnsi"/>
                <w:sz w:val="22"/>
                <w:szCs w:val="22"/>
              </w:rPr>
              <w:t>e</w:t>
            </w:r>
            <w:r w:rsidR="00E62395" w:rsidRPr="00660A8E">
              <w:rPr>
                <w:rFonts w:asciiTheme="minorHAnsi" w:hAnsiTheme="minorHAnsi" w:cstheme="minorHAnsi"/>
                <w:sz w:val="22"/>
                <w:szCs w:val="22"/>
              </w:rPr>
              <w:t xml:space="preserve"> vstup legislativní úpravy JES v</w:t>
            </w:r>
            <w:r w:rsidR="00F1633D">
              <w:rPr>
                <w:rFonts w:asciiTheme="minorHAnsi" w:hAnsiTheme="minorHAnsi" w:cstheme="minorHAnsi"/>
                <w:sz w:val="22"/>
                <w:szCs w:val="22"/>
              </w:rPr>
              <w:t> </w:t>
            </w:r>
            <w:r w:rsidR="00BF176A">
              <w:rPr>
                <w:rFonts w:asciiTheme="minorHAnsi" w:hAnsiTheme="minorHAnsi" w:cstheme="minorHAnsi"/>
                <w:sz w:val="22"/>
                <w:szCs w:val="22"/>
              </w:rPr>
              <w:t>platnost</w:t>
            </w:r>
            <w:r w:rsidR="00F1633D">
              <w:rPr>
                <w:rFonts w:asciiTheme="minorHAnsi" w:hAnsiTheme="minorHAnsi" w:cstheme="minorHAnsi"/>
                <w:sz w:val="22"/>
                <w:szCs w:val="22"/>
              </w:rPr>
              <w:t xml:space="preserve"> s termínem splnění Q3 2023, cílem pak zajištění technické pomoci s termínem splnění Q4 2023 a druhým milníkem publikace metodik s termínem splnění Q4 2024.</w:t>
            </w:r>
            <w:r w:rsidR="00E62395" w:rsidRPr="00660A8E">
              <w:rPr>
                <w:rFonts w:asciiTheme="minorHAnsi" w:hAnsiTheme="minorHAnsi" w:cstheme="minorHAnsi"/>
                <w:sz w:val="22"/>
                <w:szCs w:val="22"/>
              </w:rPr>
              <w:t xml:space="preserve"> Z charakteru reformy je zřejmé, že prostředky z podpory budou vynakládány </w:t>
            </w:r>
            <w:r w:rsidR="00EF64E2" w:rsidRPr="00660A8E">
              <w:rPr>
                <w:rFonts w:asciiTheme="minorHAnsi" w:hAnsiTheme="minorHAnsi" w:cstheme="minorHAnsi"/>
                <w:sz w:val="22"/>
                <w:szCs w:val="22"/>
              </w:rPr>
              <w:t>průběžně po celou dobou podpory až do dosažení</w:t>
            </w:r>
            <w:r w:rsidR="00E62395" w:rsidRPr="00660A8E">
              <w:rPr>
                <w:rFonts w:asciiTheme="minorHAnsi" w:hAnsiTheme="minorHAnsi" w:cstheme="minorHAnsi"/>
                <w:sz w:val="22"/>
                <w:szCs w:val="22"/>
              </w:rPr>
              <w:t xml:space="preserve"> </w:t>
            </w:r>
            <w:r w:rsidR="00F1633D">
              <w:rPr>
                <w:rFonts w:asciiTheme="minorHAnsi" w:hAnsiTheme="minorHAnsi" w:cstheme="minorHAnsi"/>
                <w:sz w:val="22"/>
                <w:szCs w:val="22"/>
              </w:rPr>
              <w:t>těchto milník</w:t>
            </w:r>
            <w:r w:rsidR="007915AA">
              <w:rPr>
                <w:rFonts w:asciiTheme="minorHAnsi" w:hAnsiTheme="minorHAnsi" w:cstheme="minorHAnsi"/>
                <w:sz w:val="22"/>
                <w:szCs w:val="22"/>
              </w:rPr>
              <w:t>ů</w:t>
            </w:r>
            <w:r w:rsidR="00F1633D">
              <w:rPr>
                <w:rFonts w:asciiTheme="minorHAnsi" w:hAnsiTheme="minorHAnsi" w:cstheme="minorHAnsi"/>
                <w:sz w:val="22"/>
                <w:szCs w:val="22"/>
              </w:rPr>
              <w:t xml:space="preserve"> a cíle a dokončení všech prací dle níže uvedeného harmonogramu</w:t>
            </w:r>
            <w:r w:rsidR="00EF64E2" w:rsidRPr="00660A8E">
              <w:rPr>
                <w:rFonts w:asciiTheme="minorHAnsi" w:hAnsiTheme="minorHAnsi" w:cstheme="minorHAnsi"/>
                <w:sz w:val="22"/>
                <w:szCs w:val="22"/>
              </w:rPr>
              <w:t xml:space="preserve"> (Q</w:t>
            </w:r>
            <w:r w:rsidR="00F1633D">
              <w:rPr>
                <w:rFonts w:asciiTheme="minorHAnsi" w:hAnsiTheme="minorHAnsi" w:cstheme="minorHAnsi"/>
                <w:sz w:val="22"/>
                <w:szCs w:val="22"/>
              </w:rPr>
              <w:t>2</w:t>
            </w:r>
            <w:r w:rsidR="00EF64E2" w:rsidRPr="00660A8E">
              <w:rPr>
                <w:rFonts w:asciiTheme="minorHAnsi" w:hAnsiTheme="minorHAnsi" w:cstheme="minorHAnsi"/>
                <w:sz w:val="22"/>
                <w:szCs w:val="22"/>
              </w:rPr>
              <w:t xml:space="preserve"> 202</w:t>
            </w:r>
            <w:r w:rsidR="00BF176A">
              <w:rPr>
                <w:rFonts w:asciiTheme="minorHAnsi" w:hAnsiTheme="minorHAnsi" w:cstheme="minorHAnsi"/>
                <w:sz w:val="22"/>
                <w:szCs w:val="22"/>
              </w:rPr>
              <w:t>6</w:t>
            </w:r>
            <w:r w:rsidR="00EF64E2" w:rsidRPr="00660A8E">
              <w:rPr>
                <w:rFonts w:asciiTheme="minorHAnsi" w:hAnsiTheme="minorHAnsi" w:cstheme="minorHAnsi"/>
                <w:sz w:val="22"/>
                <w:szCs w:val="22"/>
              </w:rPr>
              <w:t>)</w:t>
            </w:r>
            <w:r w:rsidR="00E62395" w:rsidRPr="00660A8E">
              <w:rPr>
                <w:rFonts w:asciiTheme="minorHAnsi" w:hAnsiTheme="minorHAnsi" w:cstheme="minorHAnsi"/>
                <w:sz w:val="22"/>
                <w:szCs w:val="22"/>
              </w:rPr>
              <w:t>, tedy do přechodu na jiný zdroj financování.</w:t>
            </w:r>
          </w:p>
          <w:p w14:paraId="4E8AE4B1" w14:textId="114903F9" w:rsidR="00B14C9F" w:rsidRPr="00660A8E" w:rsidRDefault="006150E8"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Druhou reformou v rámci této komponenty je vymezení vhodných oblastí pro výstavbu obnovitelných zdrojů (tzv. akceleračních zón). Tato reforma významně urychlí povolování a instalaci obnovitelných zdrojů energie v souladu s unijními dekarbonizačními cíli a zlepší investiční prostředí v České republice. K</w:t>
            </w:r>
            <w:r w:rsidR="00C24F5F" w:rsidRPr="00660A8E">
              <w:rPr>
                <w:rFonts w:asciiTheme="minorHAnsi" w:hAnsiTheme="minorHAnsi" w:cstheme="minorHAnsi"/>
                <w:sz w:val="22"/>
                <w:szCs w:val="22"/>
              </w:rPr>
              <w:t> </w:t>
            </w:r>
            <w:r w:rsidRPr="00660A8E">
              <w:rPr>
                <w:rFonts w:asciiTheme="minorHAnsi" w:hAnsiTheme="minorHAnsi" w:cstheme="minorHAnsi"/>
                <w:sz w:val="22"/>
                <w:szCs w:val="22"/>
              </w:rPr>
              <w:t xml:space="preserve">vymezení </w:t>
            </w:r>
            <w:r w:rsidR="00513A7A" w:rsidRPr="00660A8E">
              <w:rPr>
                <w:rFonts w:asciiTheme="minorHAnsi" w:hAnsiTheme="minorHAnsi" w:cstheme="minorHAnsi"/>
                <w:sz w:val="22"/>
                <w:szCs w:val="22"/>
              </w:rPr>
              <w:t>akceleračních</w:t>
            </w:r>
            <w:r w:rsidRPr="00660A8E">
              <w:rPr>
                <w:rFonts w:asciiTheme="minorHAnsi" w:hAnsiTheme="minorHAnsi" w:cstheme="minorHAnsi"/>
                <w:sz w:val="22"/>
                <w:szCs w:val="22"/>
              </w:rPr>
              <w:t xml:space="preserve"> zón dojde v souladu s principem subsidiarity v zásadách územního rozvoje a</w:t>
            </w:r>
            <w:r w:rsidR="00C24F5F" w:rsidRPr="00660A8E">
              <w:rPr>
                <w:rFonts w:asciiTheme="minorHAnsi" w:hAnsiTheme="minorHAnsi" w:cstheme="minorHAnsi"/>
                <w:sz w:val="22"/>
                <w:szCs w:val="22"/>
              </w:rPr>
              <w:t> </w:t>
            </w:r>
            <w:r w:rsidRPr="00660A8E">
              <w:rPr>
                <w:rFonts w:asciiTheme="minorHAnsi" w:hAnsiTheme="minorHAnsi" w:cstheme="minorHAnsi"/>
                <w:sz w:val="22"/>
                <w:szCs w:val="22"/>
              </w:rPr>
              <w:t>v</w:t>
            </w:r>
            <w:r w:rsidR="00C24F5F" w:rsidRPr="00660A8E">
              <w:rPr>
                <w:rFonts w:asciiTheme="minorHAnsi" w:hAnsiTheme="minorHAnsi" w:cstheme="minorHAnsi"/>
                <w:sz w:val="22"/>
                <w:szCs w:val="22"/>
              </w:rPr>
              <w:t> </w:t>
            </w:r>
            <w:r w:rsidRPr="00660A8E">
              <w:rPr>
                <w:rFonts w:asciiTheme="minorHAnsi" w:hAnsiTheme="minorHAnsi" w:cstheme="minorHAnsi"/>
                <w:sz w:val="22"/>
                <w:szCs w:val="22"/>
              </w:rPr>
              <w:t>územních plánech na základě datového modelu. Jde o komplexní reformu, jejíž součástí je zpracování dat, vytvoření datového modelu, včetně implementace na krajskou úroveň včetně zajištění aktualizací Zásad územního rozvoje a jejich hodnocení SEA, příprava a přijetí vhodných zmírňujících opatření, komunikační strategie směrem k samosprávám a širší veřejnosti. Reforma bude probíhat paralelně s</w:t>
            </w:r>
            <w:r w:rsidR="00C24F5F" w:rsidRPr="00660A8E">
              <w:rPr>
                <w:rFonts w:asciiTheme="minorHAnsi" w:hAnsiTheme="minorHAnsi" w:cstheme="minorHAnsi"/>
                <w:sz w:val="22"/>
                <w:szCs w:val="22"/>
              </w:rPr>
              <w:t> </w:t>
            </w:r>
            <w:r w:rsidRPr="00660A8E">
              <w:rPr>
                <w:rFonts w:asciiTheme="minorHAnsi" w:hAnsiTheme="minorHAnsi" w:cstheme="minorHAnsi"/>
                <w:sz w:val="22"/>
                <w:szCs w:val="22"/>
              </w:rPr>
              <w:t>přípravou Politiky krajiny.</w:t>
            </w:r>
          </w:p>
          <w:p w14:paraId="5E65E2C6" w14:textId="5B19BC85" w:rsidR="008173E9" w:rsidRPr="00660A8E" w:rsidRDefault="006150E8" w:rsidP="008173E9">
            <w:pPr>
              <w:keepNext/>
              <w:keepLines/>
              <w:pBdr>
                <w:top w:val="nil"/>
                <w:left w:val="nil"/>
                <w:bottom w:val="nil"/>
                <w:right w:val="nil"/>
                <w:between w:val="nil"/>
              </w:pBdr>
              <w:spacing w:before="160" w:after="0"/>
              <w:rPr>
                <w:rFonts w:asciiTheme="minorHAnsi" w:eastAsia="Verdana" w:hAnsiTheme="minorHAnsi" w:cstheme="minorHAnsi"/>
                <w:sz w:val="22"/>
                <w:szCs w:val="22"/>
              </w:rPr>
            </w:pPr>
            <w:r w:rsidRPr="00660A8E">
              <w:rPr>
                <w:rFonts w:asciiTheme="minorHAnsi" w:eastAsia="Verdana" w:hAnsiTheme="minorHAnsi" w:cstheme="minorHAnsi"/>
                <w:sz w:val="22"/>
                <w:szCs w:val="22"/>
              </w:rPr>
              <w:lastRenderedPageBreak/>
              <w:t xml:space="preserve">Předkládané reformy jsou </w:t>
            </w:r>
            <w:r w:rsidR="008173E9" w:rsidRPr="00660A8E">
              <w:rPr>
                <w:rFonts w:asciiTheme="minorHAnsi" w:eastAsia="Verdana" w:hAnsiTheme="minorHAnsi" w:cstheme="minorHAnsi"/>
                <w:sz w:val="22"/>
                <w:szCs w:val="22"/>
              </w:rPr>
              <w:t>součástí souhrnu reforem a aktivit zacílených na optimalizaci mechanismů státní správy, které dosud brzdily implementaci klíčových strategií a politik. Reformy jsou navzájem provázané, týkají se podpory udržitelnosti a klimatických cílů. Základem je koherence politik – překonání dosud existujícího rozporu mezi nutností energetické tranzice a ochranou a obnovou přírody a krajiny. Jde o</w:t>
            </w:r>
            <w:r w:rsidRPr="00660A8E">
              <w:rPr>
                <w:rFonts w:asciiTheme="minorHAnsi" w:eastAsia="Verdana" w:hAnsiTheme="minorHAnsi" w:cstheme="minorHAnsi"/>
                <w:sz w:val="22"/>
                <w:szCs w:val="22"/>
              </w:rPr>
              <w:t> </w:t>
            </w:r>
            <w:r w:rsidR="008173E9" w:rsidRPr="00660A8E">
              <w:rPr>
                <w:rFonts w:asciiTheme="minorHAnsi" w:eastAsia="Verdana" w:hAnsiTheme="minorHAnsi" w:cstheme="minorHAnsi"/>
                <w:sz w:val="22"/>
                <w:szCs w:val="22"/>
              </w:rPr>
              <w:t>aplikaci koherentního přístupu ze strany státní správy na pilotních projektech vymezení oblastí pro obnovitelné zdroje (</w:t>
            </w:r>
            <w:r w:rsidRPr="00660A8E">
              <w:rPr>
                <w:rFonts w:asciiTheme="minorHAnsi" w:eastAsia="Verdana" w:hAnsiTheme="minorHAnsi" w:cstheme="minorHAnsi"/>
                <w:sz w:val="22"/>
                <w:szCs w:val="22"/>
              </w:rPr>
              <w:t>akcelerační</w:t>
            </w:r>
            <w:r w:rsidR="008173E9" w:rsidRPr="00660A8E">
              <w:rPr>
                <w:rFonts w:asciiTheme="minorHAnsi" w:eastAsia="Verdana" w:hAnsiTheme="minorHAnsi" w:cstheme="minorHAnsi"/>
                <w:sz w:val="22"/>
                <w:szCs w:val="22"/>
              </w:rPr>
              <w:t xml:space="preserve"> zóny, jednotné environmentální stanovisko, národní plán obnovy přírody, translace poznatků vědeckého výzkumu do rozhodování státní správy) s cílem urychlit energetickou tranzici (aplikace repower) a zároveň zahrnout cíle obnovy přírody ve smyslu nařízení na obnovu přírody (aplikace restore). Součástí je také zavedení funkční, jednotně a koordinovaně vystupující státní správy na úrovni MŽP a krajských úřadů, a prostřednictvím jejich metodického vedení pak i na úrovni obcí s</w:t>
            </w:r>
            <w:r w:rsidRPr="00660A8E">
              <w:rPr>
                <w:rFonts w:asciiTheme="minorHAnsi" w:eastAsia="Verdana" w:hAnsiTheme="minorHAnsi" w:cstheme="minorHAnsi"/>
                <w:sz w:val="22"/>
                <w:szCs w:val="22"/>
              </w:rPr>
              <w:t> </w:t>
            </w:r>
            <w:r w:rsidR="008173E9" w:rsidRPr="00660A8E">
              <w:rPr>
                <w:rFonts w:asciiTheme="minorHAnsi" w:eastAsia="Verdana" w:hAnsiTheme="minorHAnsi" w:cstheme="minorHAnsi"/>
                <w:sz w:val="22"/>
                <w:szCs w:val="22"/>
              </w:rPr>
              <w:t>rozšířenou působností.</w:t>
            </w:r>
          </w:p>
          <w:p w14:paraId="36104974" w14:textId="77777777" w:rsidR="009442B6" w:rsidRPr="00660A8E" w:rsidRDefault="009442B6" w:rsidP="00DB6B91">
            <w:pPr>
              <w:spacing w:before="120" w:after="60"/>
              <w:rPr>
                <w:rFonts w:asciiTheme="minorHAnsi" w:hAnsiTheme="minorHAnsi" w:cstheme="minorHAnsi"/>
                <w:b/>
                <w:sz w:val="22"/>
                <w:szCs w:val="22"/>
              </w:rPr>
            </w:pPr>
            <w:r w:rsidRPr="00660A8E">
              <w:rPr>
                <w:rFonts w:asciiTheme="minorHAnsi" w:hAnsiTheme="minorHAnsi" w:cstheme="minorHAnsi"/>
                <w:b/>
                <w:sz w:val="22"/>
                <w:szCs w:val="22"/>
              </w:rPr>
              <w:t xml:space="preserve">Odhadované náklady: </w:t>
            </w:r>
          </w:p>
          <w:p w14:paraId="0F6C2512" w14:textId="715BF646" w:rsidR="00052677" w:rsidRPr="00660A8E" w:rsidRDefault="009B7AE2"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349,</w:t>
            </w:r>
            <w:r w:rsidR="00CC276A" w:rsidRPr="00660A8E">
              <w:rPr>
                <w:rFonts w:asciiTheme="minorHAnsi" w:hAnsiTheme="minorHAnsi" w:cstheme="minorHAnsi"/>
                <w:sz w:val="22"/>
                <w:szCs w:val="22"/>
              </w:rPr>
              <w:t>8</w:t>
            </w:r>
            <w:r w:rsidR="00194EF2" w:rsidRPr="00660A8E">
              <w:rPr>
                <w:rFonts w:asciiTheme="minorHAnsi" w:hAnsiTheme="minorHAnsi" w:cstheme="minorHAnsi"/>
                <w:sz w:val="22"/>
                <w:szCs w:val="22"/>
              </w:rPr>
              <w:t xml:space="preserve"> </w:t>
            </w:r>
            <w:r w:rsidR="00960DA5" w:rsidRPr="00660A8E">
              <w:rPr>
                <w:rFonts w:asciiTheme="minorHAnsi" w:hAnsiTheme="minorHAnsi" w:cstheme="minorHAnsi"/>
                <w:sz w:val="22"/>
                <w:szCs w:val="22"/>
              </w:rPr>
              <w:t>mil. Kč (</w:t>
            </w:r>
            <w:r w:rsidR="00194EF2" w:rsidRPr="00660A8E">
              <w:rPr>
                <w:rFonts w:asciiTheme="minorHAnsi" w:hAnsiTheme="minorHAnsi" w:cstheme="minorHAnsi"/>
                <w:sz w:val="22"/>
                <w:szCs w:val="22"/>
              </w:rPr>
              <w:t>3</w:t>
            </w:r>
            <w:r w:rsidR="00CC276A" w:rsidRPr="00660A8E">
              <w:rPr>
                <w:rFonts w:asciiTheme="minorHAnsi" w:hAnsiTheme="minorHAnsi" w:cstheme="minorHAnsi"/>
                <w:sz w:val="22"/>
                <w:szCs w:val="22"/>
              </w:rPr>
              <w:t>11</w:t>
            </w:r>
            <w:r w:rsidR="00194EF2" w:rsidRPr="00660A8E">
              <w:rPr>
                <w:rFonts w:asciiTheme="minorHAnsi" w:hAnsiTheme="minorHAnsi" w:cstheme="minorHAnsi"/>
                <w:sz w:val="22"/>
                <w:szCs w:val="22"/>
              </w:rPr>
              <w:t>,1</w:t>
            </w:r>
            <w:r w:rsidR="00960DA5" w:rsidRPr="00660A8E">
              <w:rPr>
                <w:rFonts w:asciiTheme="minorHAnsi" w:hAnsiTheme="minorHAnsi" w:cstheme="minorHAnsi"/>
                <w:sz w:val="22"/>
                <w:szCs w:val="22"/>
              </w:rPr>
              <w:t xml:space="preserve"> mil. Kč financováno z RRF a výdaje na DPH ve výši 38,7 mil. Kč financováno ze státního rozpočtu), z toho</w:t>
            </w:r>
          </w:p>
          <w:p w14:paraId="08641865" w14:textId="75D903EE" w:rsidR="009442B6" w:rsidRPr="00660A8E" w:rsidRDefault="00960DA5" w:rsidP="008004E7">
            <w:pPr>
              <w:pStyle w:val="Odstavecseseznamem"/>
              <w:numPr>
                <w:ilvl w:val="0"/>
                <w:numId w:val="21"/>
              </w:num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jednotné environmentální stanovisko –</w:t>
            </w:r>
            <w:r w:rsidR="00194EF2" w:rsidRPr="00660A8E">
              <w:rPr>
                <w:rFonts w:asciiTheme="minorHAnsi" w:hAnsiTheme="minorHAnsi" w:cstheme="minorHAnsi"/>
                <w:sz w:val="22"/>
                <w:szCs w:val="22"/>
              </w:rPr>
              <w:t xml:space="preserve"> </w:t>
            </w:r>
            <w:r w:rsidR="009B7AE2" w:rsidRPr="00660A8E">
              <w:rPr>
                <w:rFonts w:asciiTheme="minorHAnsi" w:hAnsiTheme="minorHAnsi" w:cstheme="minorHAnsi"/>
                <w:sz w:val="22"/>
                <w:szCs w:val="22"/>
              </w:rPr>
              <w:t>133,</w:t>
            </w:r>
            <w:r w:rsidR="00CC276A" w:rsidRPr="00660A8E">
              <w:rPr>
                <w:rFonts w:asciiTheme="minorHAnsi" w:hAnsiTheme="minorHAnsi" w:cstheme="minorHAnsi"/>
                <w:sz w:val="22"/>
                <w:szCs w:val="22"/>
              </w:rPr>
              <w:t>8</w:t>
            </w:r>
            <w:r w:rsidR="00194EF2" w:rsidRPr="00660A8E">
              <w:rPr>
                <w:rFonts w:asciiTheme="minorHAnsi" w:hAnsiTheme="minorHAnsi" w:cstheme="minorHAnsi"/>
                <w:sz w:val="22"/>
                <w:szCs w:val="22"/>
              </w:rPr>
              <w:t xml:space="preserve"> </w:t>
            </w:r>
            <w:r w:rsidR="009442B6" w:rsidRPr="00660A8E">
              <w:rPr>
                <w:rFonts w:asciiTheme="minorHAnsi" w:hAnsiTheme="minorHAnsi" w:cstheme="minorHAnsi"/>
                <w:sz w:val="22"/>
                <w:szCs w:val="22"/>
              </w:rPr>
              <w:t>mil. Kč</w:t>
            </w:r>
            <w:r w:rsidR="00F0795A" w:rsidRPr="00660A8E">
              <w:rPr>
                <w:rFonts w:asciiTheme="minorHAnsi" w:hAnsiTheme="minorHAnsi" w:cstheme="minorHAnsi"/>
                <w:sz w:val="22"/>
                <w:szCs w:val="22"/>
              </w:rPr>
              <w:t xml:space="preserve"> (</w:t>
            </w:r>
            <w:r w:rsidR="009B7AE2" w:rsidRPr="00660A8E">
              <w:rPr>
                <w:rFonts w:asciiTheme="minorHAnsi" w:hAnsiTheme="minorHAnsi" w:cstheme="minorHAnsi"/>
                <w:sz w:val="22"/>
                <w:szCs w:val="22"/>
              </w:rPr>
              <w:t>130,1</w:t>
            </w:r>
            <w:r w:rsidR="00194EF2" w:rsidRPr="00660A8E">
              <w:rPr>
                <w:rFonts w:asciiTheme="minorHAnsi" w:hAnsiTheme="minorHAnsi" w:cstheme="minorHAnsi"/>
                <w:sz w:val="22"/>
                <w:szCs w:val="22"/>
              </w:rPr>
              <w:t xml:space="preserve"> </w:t>
            </w:r>
            <w:r w:rsidR="00F0795A" w:rsidRPr="00660A8E">
              <w:rPr>
                <w:rFonts w:asciiTheme="minorHAnsi" w:hAnsiTheme="minorHAnsi" w:cstheme="minorHAnsi"/>
                <w:sz w:val="22"/>
                <w:szCs w:val="22"/>
              </w:rPr>
              <w:t xml:space="preserve">mil. Kč financováno z RRF a výdaje na DPH ve výši </w:t>
            </w:r>
            <w:r w:rsidR="00194EF2" w:rsidRPr="00660A8E">
              <w:rPr>
                <w:rFonts w:asciiTheme="minorHAnsi" w:hAnsiTheme="minorHAnsi" w:cstheme="minorHAnsi"/>
                <w:sz w:val="22"/>
                <w:szCs w:val="22"/>
              </w:rPr>
              <w:t>3,</w:t>
            </w:r>
            <w:r w:rsidR="00CC276A" w:rsidRPr="00660A8E">
              <w:rPr>
                <w:rFonts w:asciiTheme="minorHAnsi" w:hAnsiTheme="minorHAnsi" w:cstheme="minorHAnsi"/>
                <w:sz w:val="22"/>
                <w:szCs w:val="22"/>
              </w:rPr>
              <w:t>7</w:t>
            </w:r>
            <w:r w:rsidR="00F0795A" w:rsidRPr="00660A8E">
              <w:rPr>
                <w:rFonts w:asciiTheme="minorHAnsi" w:hAnsiTheme="minorHAnsi" w:cstheme="minorHAnsi"/>
                <w:sz w:val="22"/>
                <w:szCs w:val="22"/>
              </w:rPr>
              <w:t xml:space="preserve"> mil. Kč financováno ze státního rozpočtu)</w:t>
            </w:r>
            <w:r w:rsidR="009442B6" w:rsidRPr="00660A8E">
              <w:rPr>
                <w:rFonts w:asciiTheme="minorHAnsi" w:hAnsiTheme="minorHAnsi" w:cstheme="minorHAnsi"/>
                <w:sz w:val="22"/>
                <w:szCs w:val="22"/>
              </w:rPr>
              <w:t xml:space="preserve"> </w:t>
            </w:r>
          </w:p>
          <w:p w14:paraId="29DEC1CE" w14:textId="34D15DD3" w:rsidR="00960DA5" w:rsidRPr="00660A8E" w:rsidRDefault="00960DA5" w:rsidP="008004E7">
            <w:pPr>
              <w:pStyle w:val="Odstavecseseznamem"/>
              <w:numPr>
                <w:ilvl w:val="0"/>
                <w:numId w:val="21"/>
              </w:num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zavedení akceleračních zón – 216 mil. Kč (181 mil. Kč financováno z RRF a výdaje na DPH ve výši 35 mil. Kč financováno ze státního rozpočtu)</w:t>
            </w:r>
          </w:p>
        </w:tc>
      </w:tr>
    </w:tbl>
    <w:p w14:paraId="497EEDBF"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 w:name="_heading=h.30j0zll" w:colFirst="0" w:colLast="0"/>
      <w:bookmarkEnd w:id="1"/>
    </w:p>
    <w:p w14:paraId="25738ABC" w14:textId="7F87991E"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r w:rsidRPr="00660A8E">
        <w:rPr>
          <w:rFonts w:asciiTheme="minorHAnsi" w:hAnsiTheme="minorHAnsi" w:cstheme="minorHAnsi"/>
          <w:b/>
          <w:sz w:val="22"/>
          <w:szCs w:val="22"/>
        </w:rPr>
        <w:t>2. Hlavní výzvy a cíle</w:t>
      </w:r>
      <w:r w:rsidR="00091175" w:rsidRPr="00660A8E">
        <w:rPr>
          <w:rFonts w:asciiTheme="minorHAnsi" w:hAnsiTheme="minorHAnsi" w:cstheme="minorHAnsi"/>
          <w:b/>
          <w:sz w:val="22"/>
          <w:szCs w:val="22"/>
        </w:rPr>
        <w:t xml:space="preserve"> - doplnění</w:t>
      </w:r>
    </w:p>
    <w:p w14:paraId="5C9E19AC" w14:textId="77777777" w:rsidR="009442B6" w:rsidRPr="00660A8E" w:rsidRDefault="009442B6" w:rsidP="00DB6B91">
      <w:pPr>
        <w:keepNext/>
        <w:keepLines/>
        <w:numPr>
          <w:ilvl w:val="0"/>
          <w:numId w:val="15"/>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2" w:name="_heading=h.1fob9te" w:colFirst="0" w:colLast="0"/>
      <w:bookmarkEnd w:id="2"/>
      <w:r w:rsidRPr="00660A8E">
        <w:rPr>
          <w:rFonts w:asciiTheme="minorHAnsi" w:hAnsiTheme="minorHAnsi" w:cstheme="minorHAnsi"/>
          <w:b/>
          <w:sz w:val="22"/>
          <w:szCs w:val="22"/>
        </w:rPr>
        <w:t>Hlavní výzvy</w:t>
      </w:r>
    </w:p>
    <w:p w14:paraId="3369BA8E" w14:textId="77777777" w:rsidR="00333891" w:rsidRPr="00660A8E" w:rsidRDefault="00333891" w:rsidP="00DB6B91">
      <w:pPr>
        <w:spacing w:before="120" w:after="0"/>
        <w:rPr>
          <w:rFonts w:asciiTheme="minorHAnsi" w:hAnsiTheme="minorHAnsi" w:cstheme="minorHAnsi"/>
          <w:b/>
          <w:sz w:val="22"/>
          <w:szCs w:val="22"/>
        </w:rPr>
      </w:pPr>
      <w:r w:rsidRPr="00660A8E">
        <w:rPr>
          <w:rFonts w:asciiTheme="minorHAnsi" w:hAnsiTheme="minorHAnsi" w:cstheme="minorHAnsi"/>
          <w:b/>
          <w:sz w:val="22"/>
          <w:szCs w:val="22"/>
        </w:rPr>
        <w:t>Jednotné environmentální stanovisko</w:t>
      </w:r>
    </w:p>
    <w:p w14:paraId="386814BF" w14:textId="46B1F0A5" w:rsidR="000454BD" w:rsidRPr="00660A8E" w:rsidRDefault="000454BD" w:rsidP="00DB6B91">
      <w:pPr>
        <w:spacing w:before="120" w:after="0"/>
        <w:rPr>
          <w:rFonts w:asciiTheme="minorHAnsi" w:hAnsiTheme="minorHAnsi" w:cstheme="minorHAnsi"/>
          <w:sz w:val="22"/>
          <w:szCs w:val="22"/>
        </w:rPr>
      </w:pPr>
      <w:r w:rsidRPr="00660A8E">
        <w:rPr>
          <w:rFonts w:asciiTheme="minorHAnsi" w:hAnsiTheme="minorHAnsi" w:cstheme="minorHAnsi"/>
          <w:sz w:val="22"/>
          <w:szCs w:val="22"/>
        </w:rPr>
        <w:t>Povolování záměrů z hlediska jejich dopadů na životní prostředí je náročnou, odbornou činností s významným dopadem na stav životního prostředí, ale rovněž s vlivem na kvalitu a délku povolovacích procesů stavebních záměrů a ve výsledku také na samotné vlivy stavby na životní prostředí.</w:t>
      </w:r>
    </w:p>
    <w:p w14:paraId="79E5090D" w14:textId="7B5E031E" w:rsidR="00DB6B91" w:rsidRPr="00660A8E" w:rsidRDefault="000454BD" w:rsidP="00DB6B91">
      <w:pPr>
        <w:spacing w:before="120" w:after="0"/>
        <w:rPr>
          <w:rFonts w:asciiTheme="minorHAnsi" w:hAnsiTheme="minorHAnsi" w:cstheme="minorHAnsi"/>
          <w:sz w:val="22"/>
          <w:szCs w:val="22"/>
        </w:rPr>
      </w:pPr>
      <w:r w:rsidRPr="00660A8E">
        <w:rPr>
          <w:rFonts w:asciiTheme="minorHAnsi" w:hAnsiTheme="minorHAnsi" w:cstheme="minorHAnsi"/>
          <w:sz w:val="22"/>
          <w:szCs w:val="22"/>
        </w:rPr>
        <w:t>Zavedením jednotného environmentálního stanoviska dojde k zefektivnění povolovacích procesů v oblasti ochrany životního prostředí, avšak pouze za předpokladu, že bude plnohodnotně a</w:t>
      </w:r>
      <w:r w:rsidR="000C0257" w:rsidRPr="00660A8E">
        <w:rPr>
          <w:rFonts w:asciiTheme="minorHAnsi" w:hAnsiTheme="minorHAnsi" w:cstheme="minorHAnsi"/>
          <w:sz w:val="22"/>
          <w:szCs w:val="22"/>
        </w:rPr>
        <w:t> </w:t>
      </w:r>
      <w:r w:rsidRPr="00660A8E">
        <w:rPr>
          <w:rFonts w:asciiTheme="minorHAnsi" w:hAnsiTheme="minorHAnsi" w:cstheme="minorHAnsi"/>
          <w:sz w:val="22"/>
          <w:szCs w:val="22"/>
        </w:rPr>
        <w:t>efektivně začleněn</w:t>
      </w:r>
      <w:r w:rsidR="00F13D96" w:rsidRPr="00660A8E">
        <w:rPr>
          <w:rFonts w:asciiTheme="minorHAnsi" w:hAnsiTheme="minorHAnsi" w:cstheme="minorHAnsi"/>
          <w:sz w:val="22"/>
          <w:szCs w:val="22"/>
        </w:rPr>
        <w:t xml:space="preserve">o </w:t>
      </w:r>
      <w:r w:rsidRPr="00660A8E">
        <w:rPr>
          <w:rFonts w:asciiTheme="minorHAnsi" w:hAnsiTheme="minorHAnsi" w:cstheme="minorHAnsi"/>
          <w:sz w:val="22"/>
          <w:szCs w:val="22"/>
        </w:rPr>
        <w:t>do stávající soustavy orgánů státní správy. Za tímto účelem bude nezbytné vynaložit značné úsilí všech jednotlivých složek této soustavy, aby byla stanoviska vydávaná na potřebné odborné úrovni a ve stanovených lhůtách.</w:t>
      </w:r>
    </w:p>
    <w:p w14:paraId="2B36C729" w14:textId="42B84384" w:rsidR="000454BD" w:rsidRPr="00660A8E" w:rsidRDefault="00DB6B91" w:rsidP="00DB6B91">
      <w:pPr>
        <w:spacing w:before="120" w:after="0" w:line="264" w:lineRule="auto"/>
        <w:rPr>
          <w:rFonts w:asciiTheme="minorHAnsi" w:hAnsiTheme="minorHAnsi" w:cstheme="minorHAnsi"/>
          <w:sz w:val="22"/>
          <w:szCs w:val="22"/>
        </w:rPr>
      </w:pPr>
      <w:r w:rsidRPr="00660A8E">
        <w:rPr>
          <w:rFonts w:asciiTheme="minorHAnsi" w:hAnsiTheme="minorHAnsi" w:cstheme="minorHAnsi"/>
          <w:sz w:val="22"/>
          <w:szCs w:val="22"/>
        </w:rPr>
        <w:t xml:space="preserve">Posuzování veřejného zájmu na ochraně životního prostředí a jeho vážení s ostatními veřejnými zájmy je jedním z klíčových nástrojů ochrany životního prostředí při povolování </w:t>
      </w:r>
      <w:r w:rsidR="00C82667" w:rsidRPr="00660A8E">
        <w:rPr>
          <w:rFonts w:asciiTheme="minorHAnsi" w:hAnsiTheme="minorHAnsi" w:cstheme="minorHAnsi"/>
          <w:sz w:val="22"/>
          <w:szCs w:val="22"/>
        </w:rPr>
        <w:t xml:space="preserve">(nejen) </w:t>
      </w:r>
      <w:r w:rsidRPr="00660A8E">
        <w:rPr>
          <w:rFonts w:asciiTheme="minorHAnsi" w:hAnsiTheme="minorHAnsi" w:cstheme="minorHAnsi"/>
          <w:sz w:val="22"/>
          <w:szCs w:val="22"/>
        </w:rPr>
        <w:t xml:space="preserve">stavebních záměrů. </w:t>
      </w:r>
      <w:r w:rsidR="00C82667" w:rsidRPr="00660A8E">
        <w:rPr>
          <w:rFonts w:asciiTheme="minorHAnsi" w:hAnsiTheme="minorHAnsi" w:cstheme="minorHAnsi"/>
          <w:sz w:val="22"/>
          <w:szCs w:val="22"/>
        </w:rPr>
        <w:t>Tento aspekt se do agendy JES promítá prostřednictvím několika integrovaných agend (např. výjimky z druhové ochrany).</w:t>
      </w:r>
      <w:r w:rsidR="00724854" w:rsidRPr="00660A8E">
        <w:rPr>
          <w:rFonts w:asciiTheme="minorHAnsi" w:hAnsiTheme="minorHAnsi" w:cstheme="minorHAnsi"/>
          <w:sz w:val="22"/>
          <w:szCs w:val="22"/>
        </w:rPr>
        <w:t xml:space="preserve"> Hlavními výzvami také bude v rámci přechodu na cirkulární – oběhové hospodářství vytvářet takové podmínky, které budou více akcentovat využívání recyklovaných materiálů ve stavebnictví. </w:t>
      </w:r>
    </w:p>
    <w:p w14:paraId="1951D2C0" w14:textId="7A26B538" w:rsidR="000454BD" w:rsidRPr="00660A8E" w:rsidRDefault="00DB6B91" w:rsidP="00DB6B91">
      <w:pPr>
        <w:spacing w:before="120" w:after="0" w:line="264" w:lineRule="auto"/>
        <w:rPr>
          <w:rFonts w:asciiTheme="minorHAnsi" w:hAnsiTheme="minorHAnsi" w:cstheme="minorHAnsi"/>
          <w:sz w:val="22"/>
          <w:szCs w:val="22"/>
        </w:rPr>
      </w:pPr>
      <w:r w:rsidRPr="00660A8E">
        <w:rPr>
          <w:rFonts w:asciiTheme="minorHAnsi" w:hAnsiTheme="minorHAnsi" w:cstheme="minorHAnsi"/>
          <w:sz w:val="22"/>
          <w:szCs w:val="22"/>
        </w:rPr>
        <w:t xml:space="preserve">Stavební činnost se kromě ryze národním právem chráněných zájmů dotýká rovněž celé řady evropskými či mezinárodními normami </w:t>
      </w:r>
      <w:r w:rsidR="0081789E" w:rsidRPr="00660A8E">
        <w:rPr>
          <w:rFonts w:asciiTheme="minorHAnsi" w:hAnsiTheme="minorHAnsi" w:cstheme="minorHAnsi"/>
          <w:sz w:val="22"/>
          <w:szCs w:val="22"/>
        </w:rPr>
        <w:t xml:space="preserve">regulovaných </w:t>
      </w:r>
      <w:r w:rsidRPr="00660A8E">
        <w:rPr>
          <w:rFonts w:asciiTheme="minorHAnsi" w:hAnsiTheme="minorHAnsi" w:cstheme="minorHAnsi"/>
          <w:sz w:val="22"/>
          <w:szCs w:val="22"/>
        </w:rPr>
        <w:t>oblastí, např. posuzování vlivů na životní prostředí, soustavy NATURA 2000, přírodních stanovišť nebo hraničních vod.</w:t>
      </w:r>
      <w:r w:rsidR="00724854" w:rsidRPr="00660A8E">
        <w:rPr>
          <w:rFonts w:asciiTheme="minorHAnsi" w:hAnsiTheme="minorHAnsi" w:cstheme="minorHAnsi"/>
          <w:sz w:val="22"/>
          <w:szCs w:val="22"/>
        </w:rPr>
        <w:t xml:space="preserve"> </w:t>
      </w:r>
    </w:p>
    <w:p w14:paraId="3A032B2B" w14:textId="3FF65A23" w:rsidR="00333891" w:rsidRPr="00660A8E" w:rsidRDefault="000C277B" w:rsidP="008004E7">
      <w:pPr>
        <w:keepNext/>
        <w:spacing w:before="120" w:after="0" w:line="264" w:lineRule="auto"/>
        <w:rPr>
          <w:rFonts w:asciiTheme="minorHAnsi" w:hAnsiTheme="minorHAnsi" w:cstheme="minorHAnsi"/>
          <w:b/>
          <w:sz w:val="22"/>
          <w:szCs w:val="22"/>
        </w:rPr>
      </w:pPr>
      <w:r>
        <w:rPr>
          <w:rFonts w:asciiTheme="minorHAnsi" w:hAnsiTheme="minorHAnsi" w:cstheme="minorHAnsi"/>
          <w:b/>
          <w:sz w:val="22"/>
          <w:szCs w:val="22"/>
        </w:rPr>
        <w:lastRenderedPageBreak/>
        <w:t xml:space="preserve"> </w:t>
      </w:r>
      <w:bookmarkStart w:id="3" w:name="_Hlk150415829"/>
      <w:r>
        <w:rPr>
          <w:rFonts w:asciiTheme="minorHAnsi" w:hAnsiTheme="minorHAnsi" w:cstheme="minorHAnsi"/>
          <w:b/>
          <w:sz w:val="22"/>
          <w:szCs w:val="22"/>
        </w:rPr>
        <w:t>Oblasti pro urychlené zavádění obnovitelných zdrojů energie</w:t>
      </w:r>
      <w:bookmarkEnd w:id="3"/>
    </w:p>
    <w:p w14:paraId="3DE7FEC6" w14:textId="05621522" w:rsidR="00333891" w:rsidRPr="00660A8E" w:rsidRDefault="00333891" w:rsidP="00333891">
      <w:pPr>
        <w:spacing w:before="120" w:after="0" w:line="264" w:lineRule="auto"/>
        <w:rPr>
          <w:rFonts w:asciiTheme="minorHAnsi" w:hAnsiTheme="minorHAnsi" w:cstheme="minorHAnsi"/>
          <w:sz w:val="22"/>
          <w:szCs w:val="22"/>
        </w:rPr>
      </w:pPr>
      <w:r w:rsidRPr="00660A8E">
        <w:rPr>
          <w:rFonts w:asciiTheme="minorHAnsi" w:hAnsiTheme="minorHAnsi" w:cstheme="minorHAnsi"/>
          <w:sz w:val="22"/>
          <w:szCs w:val="22"/>
        </w:rPr>
        <w:t>Česká ekonomika zůstává i v roce 2023 závislá na fosilních palivech, dominantní příčině klimatické změny. Uhlí, které má skončit v souladu s Programovým prohlášením vlády nejpozději do 10 let, je už teď ekonomicky nerentabilní palivo. Jeho těžba a spalování navíc zemi způsobuje obrovské škody na životním prostředí a lidském zdraví. Zemní plyn má sice emisní faktor o něco nižší, ke klimatické krizi ale přispívá také, a navíc se společně s ropou dováží z autoritářských režimů, které fosilní paliva dlouhodobě používají jako nástroje politického vydírání – naposledy během ruské agrese na Ukrajině. To vše zesiluje tlak na výstavbu obnovitelných zdrojů energie, které zažívají prudký rozmach po celém světě.</w:t>
      </w:r>
    </w:p>
    <w:p w14:paraId="0825C554" w14:textId="315DDBA1" w:rsidR="00333891" w:rsidRPr="00660A8E" w:rsidRDefault="00333891" w:rsidP="00333891">
      <w:pPr>
        <w:spacing w:before="120" w:after="0" w:line="264" w:lineRule="auto"/>
        <w:rPr>
          <w:rFonts w:asciiTheme="minorHAnsi" w:hAnsiTheme="minorHAnsi" w:cstheme="minorHAnsi"/>
          <w:sz w:val="22"/>
          <w:szCs w:val="22"/>
        </w:rPr>
      </w:pPr>
      <w:r w:rsidRPr="00660A8E">
        <w:rPr>
          <w:rFonts w:asciiTheme="minorHAnsi" w:hAnsiTheme="minorHAnsi" w:cstheme="minorHAnsi"/>
          <w:sz w:val="22"/>
          <w:szCs w:val="22"/>
        </w:rPr>
        <w:t xml:space="preserve">Alternativ k instalaci velkokapacitních solárních a větrných elektráren v dalších 10-15 letech není mnoho. Nový jaderný blok v Dukovanech bude dostaven optimisticky v roce 2038, osud malých modulárních reaktorů zůstává nejistý. Potenciál vodních elektráren dnes stát využívá téměř na maximum. Geotermální energii stát nevyužívá, potenciál její výroby ale není vysoký (přes 1 </w:t>
      </w:r>
      <w:proofErr w:type="spellStart"/>
      <w:r w:rsidRPr="00660A8E">
        <w:rPr>
          <w:rFonts w:asciiTheme="minorHAnsi" w:hAnsiTheme="minorHAnsi" w:cstheme="minorHAnsi"/>
          <w:sz w:val="22"/>
          <w:szCs w:val="22"/>
        </w:rPr>
        <w:t>TWh</w:t>
      </w:r>
      <w:proofErr w:type="spellEnd"/>
      <w:r w:rsidRPr="00660A8E">
        <w:rPr>
          <w:rFonts w:asciiTheme="minorHAnsi" w:hAnsiTheme="minorHAnsi" w:cstheme="minorHAnsi"/>
          <w:sz w:val="22"/>
          <w:szCs w:val="22"/>
        </w:rPr>
        <w:t xml:space="preserve"> v roce 2040). Z primárních energetických zdrojů vláda počítá ještě s růstem energie z biomasy. Přitom však musí být respektována nejen podmínka zachování strategické úrovně zemědělské produkce pro potravinové využití, ale především podmínka udržitelnosti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podmínka nutného vyčlenění části krajiny obnově přírody.</w:t>
      </w:r>
    </w:p>
    <w:p w14:paraId="5B59B2CC" w14:textId="44ECA47B" w:rsidR="00333891" w:rsidRPr="00660A8E" w:rsidRDefault="00333891" w:rsidP="00333891">
      <w:pPr>
        <w:spacing w:before="120" w:after="0" w:line="264" w:lineRule="auto"/>
        <w:rPr>
          <w:rFonts w:asciiTheme="minorHAnsi" w:hAnsiTheme="minorHAnsi" w:cstheme="minorHAnsi"/>
          <w:sz w:val="22"/>
          <w:szCs w:val="22"/>
        </w:rPr>
      </w:pPr>
      <w:r w:rsidRPr="00660A8E">
        <w:rPr>
          <w:rFonts w:asciiTheme="minorHAnsi" w:hAnsiTheme="minorHAnsi" w:cstheme="minorHAnsi"/>
          <w:sz w:val="22"/>
          <w:szCs w:val="22"/>
        </w:rPr>
        <w:t>Česká republika v budování obnovitelných zdrojů energie výrazně zaostává. Přestože potenciál solárních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větrných elektráren je v zemi mnohonásobně vyšší než současná instalovaná kapacita, ve společnosti převládá názor (reflektovaný v národní legislativě), že solární a větrné zdroje do krajiny nepatří; přístup, jehož kořeny sahají až do počátku průmyslové revoluce v českých zemích, kdy začaly být zdroje energie poprvé vytlačovány mimo lidská sídla. Je zřejmé, že jakákoli výrazná změna tohoto stavu se neobejde bez zásadní reformy přístupu ke krajině coby dějišti nikoli jen lidské práce a volného času na pozadí přírodních procesů, ale i dějišti výroby čisté energie, která jediná může udržitelně pohánět moderní společnost.</w:t>
      </w:r>
    </w:p>
    <w:p w14:paraId="567965E5" w14:textId="77777777" w:rsidR="009442B6" w:rsidRPr="00660A8E" w:rsidRDefault="009442B6" w:rsidP="00DB6B91">
      <w:pPr>
        <w:keepNext/>
        <w:keepLines/>
        <w:numPr>
          <w:ilvl w:val="0"/>
          <w:numId w:val="15"/>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4" w:name="_heading=h.3znysh7" w:colFirst="0" w:colLast="0"/>
      <w:bookmarkEnd w:id="4"/>
      <w:r w:rsidRPr="00660A8E">
        <w:rPr>
          <w:rFonts w:asciiTheme="minorHAnsi" w:hAnsiTheme="minorHAnsi" w:cstheme="minorHAnsi"/>
          <w:b/>
          <w:sz w:val="22"/>
          <w:szCs w:val="22"/>
        </w:rPr>
        <w:t xml:space="preserve">Cíle </w:t>
      </w:r>
    </w:p>
    <w:p w14:paraId="64845013" w14:textId="77777777" w:rsidR="00333891" w:rsidRPr="00660A8E" w:rsidRDefault="00333891" w:rsidP="00DB6B91">
      <w:pPr>
        <w:pBdr>
          <w:top w:val="nil"/>
          <w:left w:val="nil"/>
          <w:bottom w:val="nil"/>
          <w:right w:val="nil"/>
          <w:between w:val="nil"/>
        </w:pBdr>
        <w:spacing w:before="120" w:after="0" w:line="240" w:lineRule="auto"/>
        <w:rPr>
          <w:rFonts w:asciiTheme="minorHAnsi" w:hAnsiTheme="minorHAnsi" w:cstheme="minorHAnsi"/>
          <w:b/>
          <w:sz w:val="22"/>
          <w:szCs w:val="22"/>
        </w:rPr>
      </w:pPr>
      <w:r w:rsidRPr="02F3E1DA">
        <w:rPr>
          <w:rFonts w:asciiTheme="minorHAnsi" w:hAnsiTheme="minorHAnsi" w:cstheme="minorBidi"/>
          <w:b/>
          <w:bCs/>
          <w:sz w:val="22"/>
          <w:szCs w:val="22"/>
        </w:rPr>
        <w:t>Jednotné environmentální stanovisko</w:t>
      </w:r>
    </w:p>
    <w:p w14:paraId="47BA758D" w14:textId="4DDC54FC" w:rsidR="6FE0561A" w:rsidRDefault="6FE0561A" w:rsidP="02F3E1DA">
      <w:pPr>
        <w:pBdr>
          <w:top w:val="nil"/>
          <w:left w:val="nil"/>
          <w:bottom w:val="nil"/>
          <w:right w:val="nil"/>
          <w:between w:val="nil"/>
        </w:pBdr>
        <w:spacing w:before="120" w:after="0" w:line="240" w:lineRule="auto"/>
      </w:pPr>
      <w:r w:rsidRPr="02F3E1DA">
        <w:rPr>
          <w:rFonts w:ascii="Calibri" w:hAnsi="Calibri" w:cs="Calibri"/>
          <w:sz w:val="22"/>
          <w:szCs w:val="22"/>
          <w:lang w:val="cs"/>
        </w:rPr>
        <w:t xml:space="preserve">Cílem opatření je zavést jednotné environmentální stanovisko a podpořit jeho </w:t>
      </w:r>
      <w:proofErr w:type="spellStart"/>
      <w:r w:rsidRPr="02F3E1DA">
        <w:rPr>
          <w:rFonts w:ascii="Calibri" w:hAnsi="Calibri" w:cs="Calibri"/>
          <w:sz w:val="22"/>
          <w:szCs w:val="22"/>
          <w:lang w:val="cs"/>
        </w:rPr>
        <w:t>impolementaci</w:t>
      </w:r>
      <w:proofErr w:type="spellEnd"/>
      <w:r w:rsidRPr="02F3E1DA">
        <w:rPr>
          <w:rFonts w:ascii="Calibri" w:hAnsi="Calibri" w:cs="Calibri"/>
          <w:sz w:val="22"/>
          <w:szCs w:val="22"/>
          <w:lang w:val="cs"/>
        </w:rPr>
        <w:t xml:space="preserve"> českou státní správou. Reforma </w:t>
      </w:r>
      <w:r w:rsidR="499841C8" w:rsidRPr="02F3E1DA">
        <w:rPr>
          <w:rFonts w:ascii="Calibri" w:hAnsi="Calibri" w:cs="Calibri"/>
          <w:sz w:val="22"/>
          <w:szCs w:val="22"/>
          <w:lang w:val="cs"/>
        </w:rPr>
        <w:t xml:space="preserve">- zavedení </w:t>
      </w:r>
      <w:r w:rsidRPr="02F3E1DA">
        <w:rPr>
          <w:rFonts w:ascii="Calibri" w:hAnsi="Calibri" w:cs="Calibri"/>
          <w:sz w:val="22"/>
          <w:szCs w:val="22"/>
          <w:lang w:val="cs"/>
        </w:rPr>
        <w:t>jednotného</w:t>
      </w:r>
      <w:r w:rsidR="1CBDC67B" w:rsidRPr="02F3E1DA">
        <w:rPr>
          <w:rFonts w:ascii="Calibri" w:hAnsi="Calibri" w:cs="Calibri"/>
          <w:sz w:val="22"/>
          <w:szCs w:val="22"/>
          <w:lang w:val="cs"/>
        </w:rPr>
        <w:t xml:space="preserve"> environmentálního</w:t>
      </w:r>
      <w:r w:rsidRPr="02F3E1DA">
        <w:rPr>
          <w:rFonts w:ascii="Calibri" w:hAnsi="Calibri" w:cs="Calibri"/>
          <w:sz w:val="22"/>
          <w:szCs w:val="22"/>
          <w:lang w:val="cs"/>
        </w:rPr>
        <w:t xml:space="preserve"> stanoviska má za cíl zjednodušit a zefektivnit povolovací procesy v oblasti životního prostředí, včetně projektů obnovitelných zdrojů energie, a zároveň zohlednit zájmy ochrany přírody a krajiny a požadavky podle práva EU a dalších mezinárodních právních předpisů o účasti veřejnosti a přístup ke spravedlnosti v </w:t>
      </w:r>
      <w:r w:rsidR="7F557F65" w:rsidRPr="02F3E1DA">
        <w:rPr>
          <w:rFonts w:ascii="Calibri" w:hAnsi="Calibri" w:cs="Calibri"/>
          <w:sz w:val="22"/>
          <w:szCs w:val="22"/>
          <w:lang w:val="cs"/>
        </w:rPr>
        <w:t>oblasti</w:t>
      </w:r>
      <w:r w:rsidRPr="02F3E1DA">
        <w:rPr>
          <w:rFonts w:ascii="Calibri" w:hAnsi="Calibri" w:cs="Calibri"/>
          <w:sz w:val="22"/>
          <w:szCs w:val="22"/>
          <w:lang w:val="cs"/>
        </w:rPr>
        <w:t xml:space="preserve"> životního prostředí. </w:t>
      </w:r>
    </w:p>
    <w:p w14:paraId="4A533E18" w14:textId="1DED3E35" w:rsidR="6FE0561A" w:rsidRDefault="6FE0561A" w:rsidP="4F0B69F9">
      <w:pPr>
        <w:pBdr>
          <w:top w:val="nil"/>
          <w:left w:val="nil"/>
          <w:bottom w:val="nil"/>
          <w:right w:val="nil"/>
          <w:between w:val="nil"/>
        </w:pBdr>
        <w:spacing w:before="120" w:after="0" w:line="240" w:lineRule="auto"/>
      </w:pPr>
      <w:r w:rsidRPr="4F0B69F9">
        <w:rPr>
          <w:rFonts w:ascii="Calibri" w:hAnsi="Calibri" w:cs="Calibri"/>
          <w:sz w:val="22"/>
          <w:szCs w:val="22"/>
          <w:lang w:val="cs"/>
        </w:rPr>
        <w:t xml:space="preserve">Reforma zavede jednotný postup zahrnující různá environmentální </w:t>
      </w:r>
      <w:r w:rsidR="43DCC8D9" w:rsidRPr="4F0B69F9">
        <w:rPr>
          <w:rFonts w:ascii="Calibri" w:hAnsi="Calibri" w:cs="Calibri"/>
          <w:sz w:val="22"/>
          <w:szCs w:val="22"/>
          <w:lang w:val="cs"/>
        </w:rPr>
        <w:t>stanoviska</w:t>
      </w:r>
      <w:r w:rsidRPr="4F0B69F9">
        <w:rPr>
          <w:rFonts w:ascii="Calibri" w:hAnsi="Calibri" w:cs="Calibri"/>
          <w:sz w:val="22"/>
          <w:szCs w:val="22"/>
          <w:lang w:val="cs"/>
        </w:rPr>
        <w:t xml:space="preserve"> vydaná podle odvětvových právních předpisů v oblasti životního prostředí pro projekty, na které se vztahuje stavební zákon, a pokud o to žadatel projektu požádá, také pro projekty podléhající posuzování vlivů na životní prostředí podle zákona o posuzování vlivů na životní prostředí ( č. 100/2001 Sb.) Očekává se, že reforma povede ke zkrácení procesů posuzování vlivů na životní prostředí u projektů obnovitelných zdrojů energie, včetně těch, které spadají pod </w:t>
      </w:r>
      <w:r w:rsidR="4CF456DB" w:rsidRPr="4F0B69F9">
        <w:rPr>
          <w:rFonts w:ascii="Calibri" w:hAnsi="Calibri" w:cs="Calibri"/>
          <w:sz w:val="22"/>
          <w:szCs w:val="22"/>
          <w:lang w:val="cs"/>
        </w:rPr>
        <w:t>obligatorní posouzení podle zákona nebo zjišťovací řízení</w:t>
      </w:r>
      <w:r w:rsidRPr="4F0B69F9">
        <w:rPr>
          <w:rFonts w:ascii="Calibri" w:hAnsi="Calibri" w:cs="Calibri"/>
          <w:sz w:val="22"/>
          <w:szCs w:val="22"/>
          <w:lang w:val="cs"/>
        </w:rPr>
        <w:t xml:space="preserve">. </w:t>
      </w:r>
    </w:p>
    <w:p w14:paraId="0E7B0F4B" w14:textId="4B2D5AB2" w:rsidR="6FE0561A" w:rsidRDefault="6FE0561A" w:rsidP="02F3E1DA">
      <w:pPr>
        <w:pBdr>
          <w:top w:val="nil"/>
          <w:left w:val="nil"/>
          <w:bottom w:val="nil"/>
          <w:right w:val="nil"/>
          <w:between w:val="nil"/>
        </w:pBdr>
        <w:spacing w:before="120" w:after="0" w:line="240" w:lineRule="auto"/>
      </w:pPr>
      <w:r w:rsidRPr="02F3E1DA">
        <w:rPr>
          <w:rFonts w:ascii="Calibri" w:hAnsi="Calibri" w:cs="Calibri"/>
          <w:sz w:val="22"/>
          <w:szCs w:val="22"/>
          <w:lang w:val="cs"/>
        </w:rPr>
        <w:t>Podpora implementace</w:t>
      </w:r>
      <w:r w:rsidR="54E00888" w:rsidRPr="02F3E1DA">
        <w:rPr>
          <w:rFonts w:ascii="Calibri" w:hAnsi="Calibri" w:cs="Calibri"/>
          <w:sz w:val="22"/>
          <w:szCs w:val="22"/>
          <w:lang w:val="cs"/>
        </w:rPr>
        <w:t xml:space="preserve"> reformy</w:t>
      </w:r>
      <w:r w:rsidRPr="02F3E1DA">
        <w:rPr>
          <w:rFonts w:ascii="Calibri" w:hAnsi="Calibri" w:cs="Calibri"/>
          <w:sz w:val="22"/>
          <w:szCs w:val="22"/>
          <w:lang w:val="cs"/>
        </w:rPr>
        <w:t xml:space="preserve"> spočívá v náboru dalších pracovníků pro vypracování a implementaci závazných metodických pokynů na podporu správních orgánů dotčených zavedením </w:t>
      </w:r>
      <w:r w:rsidR="63B4F4AE" w:rsidRPr="02F3E1DA">
        <w:rPr>
          <w:rFonts w:ascii="Calibri" w:hAnsi="Calibri" w:cs="Calibri"/>
          <w:sz w:val="22"/>
          <w:szCs w:val="22"/>
          <w:lang w:val="cs"/>
        </w:rPr>
        <w:t>j</w:t>
      </w:r>
      <w:r w:rsidRPr="02F3E1DA">
        <w:rPr>
          <w:rFonts w:ascii="Calibri" w:hAnsi="Calibri" w:cs="Calibri"/>
          <w:sz w:val="22"/>
          <w:szCs w:val="22"/>
          <w:lang w:val="cs"/>
        </w:rPr>
        <w:t>ednotného</w:t>
      </w:r>
      <w:r w:rsidR="6283A5CA" w:rsidRPr="02F3E1DA">
        <w:rPr>
          <w:rFonts w:ascii="Calibri" w:hAnsi="Calibri" w:cs="Calibri"/>
          <w:sz w:val="22"/>
          <w:szCs w:val="22"/>
          <w:lang w:val="cs"/>
        </w:rPr>
        <w:t xml:space="preserve"> environmentálního</w:t>
      </w:r>
      <w:r w:rsidRPr="02F3E1DA">
        <w:rPr>
          <w:rFonts w:ascii="Calibri" w:hAnsi="Calibri" w:cs="Calibri"/>
          <w:sz w:val="22"/>
          <w:szCs w:val="22"/>
          <w:lang w:val="cs"/>
        </w:rPr>
        <w:t xml:space="preserve"> stanoviska</w:t>
      </w:r>
      <w:r w:rsidR="29DDAF2D" w:rsidRPr="02F3E1DA">
        <w:rPr>
          <w:rFonts w:ascii="Calibri" w:hAnsi="Calibri" w:cs="Calibri"/>
          <w:sz w:val="22"/>
          <w:szCs w:val="22"/>
          <w:lang w:val="cs"/>
        </w:rPr>
        <w:t xml:space="preserve"> </w:t>
      </w:r>
      <w:r w:rsidRPr="02F3E1DA">
        <w:rPr>
          <w:rFonts w:ascii="Calibri" w:hAnsi="Calibri" w:cs="Calibri"/>
          <w:sz w:val="22"/>
          <w:szCs w:val="22"/>
          <w:lang w:val="cs"/>
        </w:rPr>
        <w:t>(např. krajské úřady, obce. Jednotné</w:t>
      </w:r>
      <w:r w:rsidR="4CC4706D" w:rsidRPr="02F3E1DA">
        <w:rPr>
          <w:rFonts w:ascii="Calibri" w:hAnsi="Calibri" w:cs="Calibri"/>
          <w:sz w:val="22"/>
          <w:szCs w:val="22"/>
          <w:lang w:val="cs"/>
        </w:rPr>
        <w:t xml:space="preserve"> environmentální</w:t>
      </w:r>
      <w:r w:rsidRPr="02F3E1DA">
        <w:rPr>
          <w:rFonts w:ascii="Calibri" w:hAnsi="Calibri" w:cs="Calibri"/>
          <w:sz w:val="22"/>
          <w:szCs w:val="22"/>
          <w:lang w:val="cs"/>
        </w:rPr>
        <w:t xml:space="preserve"> stanovisko pro projekty podléhající posouzení vlivů na životní prostředí budou zpřístupněny prostřednictvím národního informačního systému EIA/SEA.</w:t>
      </w:r>
    </w:p>
    <w:p w14:paraId="24339DAE" w14:textId="52BA66C4" w:rsidR="00DB6B91" w:rsidRPr="00660A8E" w:rsidRDefault="00A43FC9" w:rsidP="02F3E1DA">
      <w:pPr>
        <w:pBdr>
          <w:top w:val="nil"/>
          <w:left w:val="nil"/>
          <w:bottom w:val="nil"/>
          <w:right w:val="nil"/>
          <w:between w:val="nil"/>
        </w:pBdr>
        <w:spacing w:before="120" w:after="0" w:line="240" w:lineRule="auto"/>
        <w:rPr>
          <w:rFonts w:asciiTheme="minorHAnsi" w:hAnsiTheme="minorHAnsi" w:cstheme="minorBidi"/>
          <w:sz w:val="22"/>
          <w:szCs w:val="22"/>
        </w:rPr>
      </w:pPr>
      <w:r w:rsidRPr="02F3E1DA">
        <w:rPr>
          <w:rFonts w:asciiTheme="minorHAnsi" w:hAnsiTheme="minorHAnsi" w:cstheme="minorBidi"/>
          <w:sz w:val="22"/>
          <w:szCs w:val="22"/>
        </w:rPr>
        <w:t xml:space="preserve">Nutno podotknout, že </w:t>
      </w:r>
      <w:r w:rsidR="004D3656" w:rsidRPr="02F3E1DA">
        <w:rPr>
          <w:rFonts w:asciiTheme="minorHAnsi" w:hAnsiTheme="minorHAnsi" w:cstheme="minorBidi"/>
          <w:sz w:val="22"/>
          <w:szCs w:val="22"/>
        </w:rPr>
        <w:t xml:space="preserve">potřeba odborného personálního (kapacitního) zajištění předmětné agendy neskončí spolu s termínem ukončení podpory z této komponenty. Pokračování kapacitního výkonu této agendy v rámci orgánů státní správy bude muset stát zajistit i po ukončení podpory. </w:t>
      </w:r>
    </w:p>
    <w:p w14:paraId="7FA8C1E7" w14:textId="74C0AE1D" w:rsidR="0CAE2928" w:rsidRDefault="0CAE2928" w:rsidP="02F3E1DA">
      <w:pPr>
        <w:pBdr>
          <w:top w:val="nil"/>
          <w:left w:val="nil"/>
          <w:bottom w:val="nil"/>
          <w:right w:val="nil"/>
          <w:between w:val="nil"/>
        </w:pBdr>
        <w:spacing w:before="120" w:after="0" w:line="240" w:lineRule="auto"/>
        <w:rPr>
          <w:rFonts w:asciiTheme="minorHAnsi" w:hAnsiTheme="minorHAnsi" w:cstheme="minorBidi"/>
          <w:sz w:val="22"/>
          <w:szCs w:val="22"/>
        </w:rPr>
      </w:pPr>
      <w:r w:rsidRPr="02F3E1DA">
        <w:rPr>
          <w:rFonts w:asciiTheme="minorHAnsi" w:hAnsiTheme="minorHAnsi" w:cstheme="minorBidi"/>
          <w:sz w:val="22"/>
          <w:szCs w:val="22"/>
        </w:rPr>
        <w:lastRenderedPageBreak/>
        <w:t>Reformní oblastí v rámci povolovacích procesů v ČR je taktéž efektivní využívání materiálových zdrojů, včetně využití druhotných surovin ve stavebnictví. Povolovací procesy mohou také požadovat plány na demontáž budov. Zároveň bude upřednostňováno využití recyklovaných nebo recyklovatelných materiálů ve stavebnictví. Toto zefektivnění se týká mj. i povolovacích procesů v oblasti OZE.</w:t>
      </w:r>
    </w:p>
    <w:p w14:paraId="5B3B9D9C" w14:textId="3B2F84D3" w:rsidR="02F3E1DA" w:rsidRDefault="02F3E1DA" w:rsidP="02F3E1DA">
      <w:pPr>
        <w:pBdr>
          <w:top w:val="nil"/>
          <w:left w:val="nil"/>
          <w:bottom w:val="nil"/>
          <w:right w:val="nil"/>
          <w:between w:val="nil"/>
        </w:pBdr>
        <w:spacing w:before="120" w:after="0" w:line="240" w:lineRule="auto"/>
        <w:rPr>
          <w:rFonts w:asciiTheme="minorHAnsi" w:hAnsiTheme="minorHAnsi" w:cstheme="minorBidi"/>
          <w:sz w:val="22"/>
          <w:szCs w:val="22"/>
        </w:rPr>
      </w:pPr>
    </w:p>
    <w:p w14:paraId="29BFB383" w14:textId="0B7B341D" w:rsidR="4570AA17" w:rsidRDefault="000C277B">
      <w:pPr>
        <w:spacing w:before="120" w:after="0"/>
      </w:pPr>
      <w:r>
        <w:rPr>
          <w:rFonts w:asciiTheme="minorHAnsi" w:hAnsiTheme="minorHAnsi" w:cstheme="minorHAnsi"/>
          <w:b/>
          <w:sz w:val="22"/>
          <w:szCs w:val="22"/>
        </w:rPr>
        <w:t>Oblasti pro urychlené zavádění obnovitelných zdrojů energie</w:t>
      </w:r>
      <w:r w:rsidRPr="02F3E1DA" w:rsidDel="000C277B">
        <w:rPr>
          <w:rFonts w:asciiTheme="minorHAnsi" w:hAnsiTheme="minorHAnsi" w:cstheme="minorBidi"/>
          <w:b/>
          <w:bCs/>
          <w:sz w:val="22"/>
          <w:szCs w:val="22"/>
        </w:rPr>
        <w:t xml:space="preserve"> </w:t>
      </w:r>
      <w:r w:rsidR="4570AA17" w:rsidRPr="02F3E1DA">
        <w:rPr>
          <w:rFonts w:ascii="Calibri" w:hAnsi="Calibri" w:cs="Calibri"/>
          <w:sz w:val="22"/>
          <w:szCs w:val="22"/>
          <w:lang w:val="cs"/>
        </w:rPr>
        <w:t xml:space="preserve">Cílem opatření je podpořit urychlené zavádění větrné a solární energie ve specifických lokalitách nazývaných akcelerační </w:t>
      </w:r>
      <w:r w:rsidR="16A0A31E" w:rsidRPr="02F3E1DA">
        <w:rPr>
          <w:rFonts w:ascii="Calibri" w:hAnsi="Calibri" w:cs="Calibri"/>
          <w:sz w:val="22"/>
          <w:szCs w:val="22"/>
          <w:lang w:val="cs"/>
        </w:rPr>
        <w:t>zóny</w:t>
      </w:r>
      <w:r w:rsidR="4570AA17" w:rsidRPr="02F3E1DA">
        <w:rPr>
          <w:rFonts w:ascii="Calibri" w:hAnsi="Calibri" w:cs="Calibri"/>
          <w:sz w:val="22"/>
          <w:szCs w:val="22"/>
          <w:lang w:val="cs"/>
        </w:rPr>
        <w:t xml:space="preserve"> s celkovou kapacitou minimálně 2500 MW. </w:t>
      </w:r>
    </w:p>
    <w:p w14:paraId="0DA29F59" w14:textId="7D4E4F32" w:rsidR="4570AA17" w:rsidRDefault="4570AA17" w:rsidP="02F3E1DA">
      <w:pPr>
        <w:spacing w:before="120" w:after="0"/>
      </w:pPr>
      <w:r w:rsidRPr="02F3E1DA">
        <w:rPr>
          <w:rFonts w:ascii="Calibri" w:hAnsi="Calibri" w:cs="Calibri"/>
          <w:sz w:val="22"/>
          <w:szCs w:val="22"/>
          <w:lang w:val="cs"/>
        </w:rPr>
        <w:t xml:space="preserve">Reforma vytvoří možnost pro regiony a obce, aby určily </w:t>
      </w:r>
      <w:r w:rsidR="69AA1B10" w:rsidRPr="02F3E1DA">
        <w:rPr>
          <w:rFonts w:ascii="Calibri" w:hAnsi="Calibri" w:cs="Calibri"/>
          <w:sz w:val="22"/>
          <w:szCs w:val="22"/>
          <w:lang w:val="cs"/>
        </w:rPr>
        <w:t>akcelerační zóny pro instalaci obnovitelných zdrojů</w:t>
      </w:r>
      <w:r w:rsidRPr="02F3E1DA">
        <w:rPr>
          <w:rFonts w:ascii="Calibri" w:hAnsi="Calibri" w:cs="Calibri"/>
          <w:sz w:val="22"/>
          <w:szCs w:val="22"/>
          <w:lang w:val="cs"/>
        </w:rPr>
        <w:t xml:space="preserve"> energie pro solární a větrné technologie. Každá oblast bude zahrnovat cílovou instalovanou kapacitu (MW) pro větrnou a solární energii. Vymezení akceleračních </w:t>
      </w:r>
      <w:r w:rsidR="3CB39303" w:rsidRPr="02F3E1DA">
        <w:rPr>
          <w:rFonts w:ascii="Calibri" w:hAnsi="Calibri" w:cs="Calibri"/>
          <w:sz w:val="22"/>
          <w:szCs w:val="22"/>
          <w:lang w:val="cs"/>
        </w:rPr>
        <w:t>zón</w:t>
      </w:r>
      <w:r w:rsidRPr="02F3E1DA">
        <w:rPr>
          <w:rFonts w:ascii="Calibri" w:hAnsi="Calibri" w:cs="Calibri"/>
          <w:sz w:val="22"/>
          <w:szCs w:val="22"/>
          <w:lang w:val="cs"/>
        </w:rPr>
        <w:t xml:space="preserve"> bude realizováno do 3. čtvrtletí 2025 v krajích a obcích. </w:t>
      </w:r>
    </w:p>
    <w:p w14:paraId="4F05CA08" w14:textId="2B27DB11" w:rsidR="697FE22D" w:rsidRDefault="697FE22D" w:rsidP="02F3E1DA">
      <w:pPr>
        <w:spacing w:before="120" w:after="0"/>
      </w:pPr>
      <w:r w:rsidRPr="02F3E1DA">
        <w:rPr>
          <w:rFonts w:ascii="Calibri" w:hAnsi="Calibri" w:cs="Calibri"/>
          <w:sz w:val="22"/>
          <w:szCs w:val="22"/>
          <w:lang w:val="cs"/>
        </w:rPr>
        <w:t>Akcelerační zóny</w:t>
      </w:r>
      <w:r w:rsidR="4570AA17" w:rsidRPr="02F3E1DA">
        <w:rPr>
          <w:rFonts w:ascii="Calibri" w:hAnsi="Calibri" w:cs="Calibri"/>
          <w:sz w:val="22"/>
          <w:szCs w:val="22"/>
          <w:lang w:val="cs"/>
        </w:rPr>
        <w:t xml:space="preserve"> </w:t>
      </w:r>
      <w:r w:rsidR="4F63240D" w:rsidRPr="02F3E1DA">
        <w:rPr>
          <w:rFonts w:ascii="Calibri" w:hAnsi="Calibri" w:cs="Calibri"/>
          <w:sz w:val="22"/>
          <w:szCs w:val="22"/>
          <w:lang w:val="cs"/>
        </w:rPr>
        <w:t>budou vymezeny</w:t>
      </w:r>
      <w:r w:rsidR="4570AA17" w:rsidRPr="02F3E1DA">
        <w:rPr>
          <w:rFonts w:ascii="Calibri" w:hAnsi="Calibri" w:cs="Calibri"/>
          <w:sz w:val="22"/>
          <w:szCs w:val="22"/>
          <w:lang w:val="cs"/>
        </w:rPr>
        <w:t xml:space="preserve"> podle jednotné metodiky </w:t>
      </w:r>
      <w:r w:rsidR="6A1156E0" w:rsidRPr="02F3E1DA">
        <w:rPr>
          <w:rFonts w:ascii="Calibri" w:hAnsi="Calibri" w:cs="Calibri"/>
          <w:sz w:val="22"/>
          <w:szCs w:val="22"/>
          <w:lang w:val="cs"/>
        </w:rPr>
        <w:t>stanovující objektivní</w:t>
      </w:r>
      <w:r w:rsidR="4570AA17" w:rsidRPr="02F3E1DA">
        <w:rPr>
          <w:rFonts w:ascii="Calibri" w:hAnsi="Calibri" w:cs="Calibri"/>
          <w:sz w:val="22"/>
          <w:szCs w:val="22"/>
          <w:lang w:val="cs"/>
        </w:rPr>
        <w:t xml:space="preserve"> kritéri</w:t>
      </w:r>
      <w:r w:rsidR="4388F211" w:rsidRPr="02F3E1DA">
        <w:rPr>
          <w:rFonts w:ascii="Calibri" w:hAnsi="Calibri" w:cs="Calibri"/>
          <w:sz w:val="22"/>
          <w:szCs w:val="22"/>
          <w:lang w:val="cs"/>
        </w:rPr>
        <w:t>a</w:t>
      </w:r>
      <w:r w:rsidR="4570AA17" w:rsidRPr="02F3E1DA">
        <w:rPr>
          <w:rFonts w:ascii="Calibri" w:hAnsi="Calibri" w:cs="Calibri"/>
          <w:sz w:val="22"/>
          <w:szCs w:val="22"/>
          <w:lang w:val="cs"/>
        </w:rPr>
        <w:t xml:space="preserve">, jako je hustota větrné energie, rychlost větru, sluneční záření a nízký dopad na životní prostředí. Reforma zavede zvláštní povolovací postupy vztahující se na projekty obnovitelné energie v rámci akceleračních oblastí, což povede ke snazším postupům a kratším lhůtám. Strategické posouzení vlivů na životní prostředí bude provedeno na úrovni </w:t>
      </w:r>
      <w:r w:rsidR="4ACBB445" w:rsidRPr="02F3E1DA">
        <w:rPr>
          <w:rFonts w:ascii="Calibri" w:hAnsi="Calibri" w:cs="Calibri"/>
          <w:sz w:val="22"/>
          <w:szCs w:val="22"/>
          <w:lang w:val="cs"/>
        </w:rPr>
        <w:t xml:space="preserve">konkrétního </w:t>
      </w:r>
      <w:r w:rsidR="4570AA17" w:rsidRPr="02F3E1DA">
        <w:rPr>
          <w:rFonts w:ascii="Calibri" w:hAnsi="Calibri" w:cs="Calibri"/>
          <w:sz w:val="22"/>
          <w:szCs w:val="22"/>
          <w:lang w:val="cs"/>
        </w:rPr>
        <w:t>území</w:t>
      </w:r>
      <w:r w:rsidR="4BF32FBA" w:rsidRPr="02F3E1DA">
        <w:rPr>
          <w:rFonts w:ascii="Calibri" w:hAnsi="Calibri" w:cs="Calibri"/>
          <w:sz w:val="22"/>
          <w:szCs w:val="22"/>
          <w:lang w:val="cs"/>
        </w:rPr>
        <w:t>, kdy projektovým záměrům bude udělena výjimka</w:t>
      </w:r>
      <w:r w:rsidR="4570AA17" w:rsidRPr="02F3E1DA">
        <w:rPr>
          <w:rFonts w:ascii="Calibri" w:hAnsi="Calibri" w:cs="Calibri"/>
          <w:sz w:val="22"/>
          <w:szCs w:val="22"/>
          <w:lang w:val="cs"/>
        </w:rPr>
        <w:t xml:space="preserve"> z provádění individuálního posouzení vlivů na životní prostředí, s výjimkou případ</w:t>
      </w:r>
      <w:r w:rsidR="59D214E6" w:rsidRPr="02F3E1DA">
        <w:rPr>
          <w:rFonts w:ascii="Calibri" w:hAnsi="Calibri" w:cs="Calibri"/>
          <w:sz w:val="22"/>
          <w:szCs w:val="22"/>
          <w:lang w:val="cs"/>
        </w:rPr>
        <w:t>ů</w:t>
      </w:r>
      <w:r w:rsidR="4570AA17" w:rsidRPr="02F3E1DA">
        <w:rPr>
          <w:rFonts w:ascii="Calibri" w:hAnsi="Calibri" w:cs="Calibri"/>
          <w:sz w:val="22"/>
          <w:szCs w:val="22"/>
          <w:lang w:val="cs"/>
        </w:rPr>
        <w:t xml:space="preserve">, kdy u konkrétního záměru hrozí negativní dopady na životní prostředí. Projekty umístěné v </w:t>
      </w:r>
      <w:r w:rsidR="09A31E94" w:rsidRPr="02F3E1DA">
        <w:rPr>
          <w:rFonts w:ascii="Calibri" w:hAnsi="Calibri" w:cs="Calibri"/>
          <w:sz w:val="22"/>
          <w:szCs w:val="22"/>
          <w:lang w:val="cs"/>
        </w:rPr>
        <w:t>akceleračních zónách</w:t>
      </w:r>
      <w:r w:rsidR="4570AA17" w:rsidRPr="02F3E1DA">
        <w:rPr>
          <w:rFonts w:ascii="Calibri" w:hAnsi="Calibri" w:cs="Calibri"/>
          <w:sz w:val="22"/>
          <w:szCs w:val="22"/>
          <w:lang w:val="cs"/>
        </w:rPr>
        <w:t xml:space="preserve"> budou </w:t>
      </w:r>
      <w:r w:rsidR="641CC208" w:rsidRPr="02F3E1DA">
        <w:rPr>
          <w:rFonts w:ascii="Calibri" w:hAnsi="Calibri" w:cs="Calibri"/>
          <w:sz w:val="22"/>
          <w:szCs w:val="22"/>
          <w:lang w:val="cs"/>
        </w:rPr>
        <w:t>spadat pod</w:t>
      </w:r>
      <w:r w:rsidR="4570AA17" w:rsidRPr="02F3E1DA">
        <w:rPr>
          <w:rFonts w:ascii="Calibri" w:hAnsi="Calibri" w:cs="Calibri"/>
          <w:sz w:val="22"/>
          <w:szCs w:val="22"/>
          <w:lang w:val="cs"/>
        </w:rPr>
        <w:t xml:space="preserve"> zrychlené povolovací řízení. S ohledem na zajištění zapojení dotčeného obyvatelstva do projektů obnovitelné energie se očekává, že reformu doprovází opatření pro přijetí projekt</w:t>
      </w:r>
      <w:r w:rsidR="5697AD27" w:rsidRPr="02F3E1DA">
        <w:rPr>
          <w:rFonts w:ascii="Calibri" w:hAnsi="Calibri" w:cs="Calibri"/>
          <w:sz w:val="22"/>
          <w:szCs w:val="22"/>
          <w:lang w:val="cs"/>
        </w:rPr>
        <w:t>ových záměrů</w:t>
      </w:r>
      <w:r w:rsidR="4570AA17" w:rsidRPr="02F3E1DA">
        <w:rPr>
          <w:rFonts w:ascii="Calibri" w:hAnsi="Calibri" w:cs="Calibri"/>
          <w:sz w:val="22"/>
          <w:szCs w:val="22"/>
          <w:lang w:val="cs"/>
        </w:rPr>
        <w:t xml:space="preserve">, jako jsou místní referenda, finanční účast, sdílení ekonomických výhod, mechanismy řešení konfliktů a opatření včasného zapojení. Asistenční a komunikační osvětové akce </w:t>
      </w:r>
      <w:r w:rsidR="134C802A" w:rsidRPr="02F3E1DA">
        <w:rPr>
          <w:rFonts w:ascii="Calibri" w:hAnsi="Calibri" w:cs="Calibri"/>
          <w:sz w:val="22"/>
          <w:szCs w:val="22"/>
          <w:lang w:val="cs"/>
        </w:rPr>
        <w:t>pro problematiku</w:t>
      </w:r>
      <w:r w:rsidR="4570AA17" w:rsidRPr="02F3E1DA">
        <w:rPr>
          <w:rFonts w:ascii="Calibri" w:hAnsi="Calibri" w:cs="Calibri"/>
          <w:sz w:val="22"/>
          <w:szCs w:val="22"/>
          <w:lang w:val="cs"/>
        </w:rPr>
        <w:t xml:space="preserve"> akceleračních </w:t>
      </w:r>
      <w:r w:rsidR="54ECE1F6" w:rsidRPr="02F3E1DA">
        <w:rPr>
          <w:rFonts w:ascii="Calibri" w:hAnsi="Calibri" w:cs="Calibri"/>
          <w:sz w:val="22"/>
          <w:szCs w:val="22"/>
          <w:lang w:val="cs"/>
        </w:rPr>
        <w:t>zón</w:t>
      </w:r>
      <w:r w:rsidR="4570AA17" w:rsidRPr="02F3E1DA">
        <w:rPr>
          <w:rFonts w:ascii="Calibri" w:hAnsi="Calibri" w:cs="Calibri"/>
          <w:sz w:val="22"/>
          <w:szCs w:val="22"/>
          <w:lang w:val="cs"/>
        </w:rPr>
        <w:t xml:space="preserve"> bude krajům poskytovat Ministerstvo životního prostředí. </w:t>
      </w:r>
    </w:p>
    <w:p w14:paraId="6CDFA687" w14:textId="29E747E3" w:rsidR="4570AA17" w:rsidRDefault="4570AA17" w:rsidP="02F3E1DA">
      <w:pPr>
        <w:spacing w:before="120" w:after="0"/>
      </w:pPr>
      <w:r w:rsidRPr="4F0B69F9">
        <w:rPr>
          <w:rFonts w:ascii="Calibri" w:hAnsi="Calibri" w:cs="Calibri"/>
          <w:sz w:val="22"/>
          <w:szCs w:val="22"/>
          <w:lang w:val="cs"/>
        </w:rPr>
        <w:t xml:space="preserve">Bude posílena administrativní kapacita pro realizaci reformy </w:t>
      </w:r>
      <w:r w:rsidR="50D4353B" w:rsidRPr="4F0B69F9">
        <w:rPr>
          <w:rFonts w:ascii="Calibri" w:hAnsi="Calibri" w:cs="Calibri"/>
          <w:sz w:val="22"/>
          <w:szCs w:val="22"/>
          <w:lang w:val="cs"/>
        </w:rPr>
        <w:t>na</w:t>
      </w:r>
      <w:r w:rsidRPr="4F0B69F9">
        <w:rPr>
          <w:rFonts w:ascii="Calibri" w:hAnsi="Calibri" w:cs="Calibri"/>
          <w:sz w:val="22"/>
          <w:szCs w:val="22"/>
          <w:lang w:val="cs"/>
        </w:rPr>
        <w:t xml:space="preserve"> Ministerstv</w:t>
      </w:r>
      <w:r w:rsidR="12973803" w:rsidRPr="4F0B69F9">
        <w:rPr>
          <w:rFonts w:ascii="Calibri" w:hAnsi="Calibri" w:cs="Calibri"/>
          <w:sz w:val="22"/>
          <w:szCs w:val="22"/>
          <w:lang w:val="cs"/>
        </w:rPr>
        <w:t>u</w:t>
      </w:r>
      <w:r w:rsidRPr="4F0B69F9">
        <w:rPr>
          <w:rFonts w:ascii="Calibri" w:hAnsi="Calibri" w:cs="Calibri"/>
          <w:sz w:val="22"/>
          <w:szCs w:val="22"/>
          <w:lang w:val="cs"/>
        </w:rPr>
        <w:t xml:space="preserve"> životního prostředí ČR (3,5 FTE) a Agentu</w:t>
      </w:r>
      <w:r w:rsidR="5EBEF6D4" w:rsidRPr="4F0B69F9">
        <w:rPr>
          <w:rFonts w:ascii="Calibri" w:hAnsi="Calibri" w:cs="Calibri"/>
          <w:sz w:val="22"/>
          <w:szCs w:val="22"/>
          <w:lang w:val="cs"/>
        </w:rPr>
        <w:t>ře</w:t>
      </w:r>
      <w:r w:rsidRPr="4F0B69F9">
        <w:rPr>
          <w:rFonts w:ascii="Calibri" w:hAnsi="Calibri" w:cs="Calibri"/>
          <w:sz w:val="22"/>
          <w:szCs w:val="22"/>
          <w:lang w:val="cs"/>
        </w:rPr>
        <w:t xml:space="preserve"> ochrany přírody</w:t>
      </w:r>
      <w:r w:rsidR="6C38C64D" w:rsidRPr="4F0B69F9">
        <w:rPr>
          <w:rFonts w:ascii="Calibri" w:hAnsi="Calibri" w:cs="Calibri"/>
          <w:sz w:val="22"/>
          <w:szCs w:val="22"/>
          <w:lang w:val="cs"/>
        </w:rPr>
        <w:t xml:space="preserve"> a krajiny</w:t>
      </w:r>
      <w:r w:rsidRPr="4F0B69F9">
        <w:rPr>
          <w:rFonts w:ascii="Calibri" w:hAnsi="Calibri" w:cs="Calibri"/>
          <w:sz w:val="22"/>
          <w:szCs w:val="22"/>
          <w:lang w:val="cs"/>
        </w:rPr>
        <w:t xml:space="preserve"> ČR (1 FTE)</w:t>
      </w:r>
      <w:r w:rsidR="318B28C3" w:rsidRPr="4F0B69F9">
        <w:rPr>
          <w:rFonts w:ascii="Calibri" w:hAnsi="Calibri" w:cs="Calibri"/>
          <w:sz w:val="22"/>
          <w:szCs w:val="22"/>
          <w:lang w:val="cs"/>
        </w:rPr>
        <w:t>, která</w:t>
      </w:r>
      <w:r w:rsidRPr="4F0B69F9">
        <w:rPr>
          <w:rFonts w:ascii="Calibri" w:hAnsi="Calibri" w:cs="Calibri"/>
          <w:sz w:val="22"/>
          <w:szCs w:val="22"/>
          <w:lang w:val="cs"/>
        </w:rPr>
        <w:t xml:space="preserve"> bude financována v rámci RRF.</w:t>
      </w:r>
    </w:p>
    <w:p w14:paraId="6EEE631D" w14:textId="0B351225" w:rsidR="00333891" w:rsidRPr="00660A8E" w:rsidRDefault="005C6C7C" w:rsidP="00333891">
      <w:pPr>
        <w:spacing w:before="120" w:after="0"/>
        <w:rPr>
          <w:rFonts w:asciiTheme="minorHAnsi" w:hAnsiTheme="minorHAnsi" w:cstheme="minorHAnsi"/>
          <w:sz w:val="22"/>
          <w:szCs w:val="22"/>
        </w:rPr>
      </w:pPr>
      <w:r>
        <w:rPr>
          <w:rFonts w:asciiTheme="minorHAnsi" w:hAnsiTheme="minorHAnsi" w:cstheme="minorHAnsi"/>
          <w:sz w:val="22"/>
          <w:szCs w:val="22"/>
        </w:rPr>
        <w:t>Dne 31. října 2023</w:t>
      </w:r>
      <w:r w:rsidR="006F5885">
        <w:rPr>
          <w:rFonts w:asciiTheme="minorHAnsi" w:hAnsiTheme="minorHAnsi" w:cstheme="minorHAnsi"/>
          <w:sz w:val="22"/>
          <w:szCs w:val="22"/>
        </w:rPr>
        <w:t xml:space="preserve"> byla v Úředním věstníku EU publikována</w:t>
      </w:r>
      <w:r w:rsidR="00333891" w:rsidRPr="00660A8E">
        <w:rPr>
          <w:rFonts w:asciiTheme="minorHAnsi" w:hAnsiTheme="minorHAnsi" w:cstheme="minorHAnsi"/>
          <w:sz w:val="22"/>
          <w:szCs w:val="22"/>
        </w:rPr>
        <w:t xml:space="preserve"> </w:t>
      </w:r>
      <w:r w:rsidR="006F5885">
        <w:rPr>
          <w:rFonts w:asciiTheme="minorHAnsi" w:hAnsiTheme="minorHAnsi" w:cstheme="minorHAnsi"/>
          <w:sz w:val="22"/>
          <w:szCs w:val="22"/>
        </w:rPr>
        <w:t xml:space="preserve">směrnice (EU) 2023/2413, která </w:t>
      </w:r>
      <w:r w:rsidR="006F5885" w:rsidRPr="00660A8E">
        <w:rPr>
          <w:rFonts w:asciiTheme="minorHAnsi" w:hAnsiTheme="minorHAnsi" w:cstheme="minorHAnsi"/>
          <w:sz w:val="22"/>
          <w:szCs w:val="22"/>
        </w:rPr>
        <w:t>revi</w:t>
      </w:r>
      <w:r w:rsidR="006F5885">
        <w:rPr>
          <w:rFonts w:asciiTheme="minorHAnsi" w:hAnsiTheme="minorHAnsi" w:cstheme="minorHAnsi"/>
          <w:sz w:val="22"/>
          <w:szCs w:val="22"/>
        </w:rPr>
        <w:t>duje</w:t>
      </w:r>
      <w:r w:rsidR="006F5885" w:rsidRPr="00660A8E">
        <w:rPr>
          <w:rFonts w:asciiTheme="minorHAnsi" w:hAnsiTheme="minorHAnsi" w:cstheme="minorHAnsi"/>
          <w:sz w:val="22"/>
          <w:szCs w:val="22"/>
        </w:rPr>
        <w:t xml:space="preserve"> </w:t>
      </w:r>
      <w:r w:rsidR="00333891" w:rsidRPr="00660A8E">
        <w:rPr>
          <w:rFonts w:asciiTheme="minorHAnsi" w:hAnsiTheme="minorHAnsi" w:cstheme="minorHAnsi"/>
          <w:sz w:val="22"/>
          <w:szCs w:val="22"/>
        </w:rPr>
        <w:t xml:space="preserve">unijní </w:t>
      </w:r>
      <w:r w:rsidR="006F5885" w:rsidRPr="00660A8E">
        <w:rPr>
          <w:rFonts w:asciiTheme="minorHAnsi" w:hAnsiTheme="minorHAnsi" w:cstheme="minorHAnsi"/>
          <w:sz w:val="22"/>
          <w:szCs w:val="22"/>
        </w:rPr>
        <w:t>směrnic</w:t>
      </w:r>
      <w:r w:rsidR="006F5885">
        <w:rPr>
          <w:rFonts w:asciiTheme="minorHAnsi" w:hAnsiTheme="minorHAnsi" w:cstheme="minorHAnsi"/>
          <w:sz w:val="22"/>
          <w:szCs w:val="22"/>
        </w:rPr>
        <w:t>i</w:t>
      </w:r>
      <w:r w:rsidR="006F5885" w:rsidRPr="00660A8E">
        <w:rPr>
          <w:rFonts w:asciiTheme="minorHAnsi" w:hAnsiTheme="minorHAnsi" w:cstheme="minorHAnsi"/>
          <w:sz w:val="22"/>
          <w:szCs w:val="22"/>
        </w:rPr>
        <w:t xml:space="preserve"> </w:t>
      </w:r>
      <w:r w:rsidR="00333891" w:rsidRPr="00660A8E">
        <w:rPr>
          <w:rFonts w:asciiTheme="minorHAnsi" w:hAnsiTheme="minorHAnsi" w:cstheme="minorHAnsi"/>
          <w:sz w:val="22"/>
          <w:szCs w:val="22"/>
        </w:rPr>
        <w:t>č. 2018/2001 o podpoře využívání energie z</w:t>
      </w:r>
      <w:r w:rsidR="00893B75" w:rsidRPr="00660A8E">
        <w:rPr>
          <w:rFonts w:asciiTheme="minorHAnsi" w:hAnsiTheme="minorHAnsi" w:cstheme="minorHAnsi"/>
          <w:sz w:val="22"/>
          <w:szCs w:val="22"/>
        </w:rPr>
        <w:t> </w:t>
      </w:r>
      <w:r w:rsidR="00333891" w:rsidRPr="00660A8E">
        <w:rPr>
          <w:rFonts w:asciiTheme="minorHAnsi" w:hAnsiTheme="minorHAnsi" w:cstheme="minorHAnsi"/>
          <w:sz w:val="22"/>
          <w:szCs w:val="22"/>
        </w:rPr>
        <w:t xml:space="preserve">obnovitelných zdrojů (směrnice RED II). </w:t>
      </w:r>
      <w:r w:rsidR="006F5885">
        <w:rPr>
          <w:rFonts w:asciiTheme="minorHAnsi" w:hAnsiTheme="minorHAnsi" w:cstheme="minorHAnsi"/>
          <w:sz w:val="22"/>
          <w:szCs w:val="22"/>
        </w:rPr>
        <w:t>S</w:t>
      </w:r>
      <w:r w:rsidR="006F5885" w:rsidRPr="00660A8E">
        <w:rPr>
          <w:rFonts w:asciiTheme="minorHAnsi" w:hAnsiTheme="minorHAnsi" w:cstheme="minorHAnsi"/>
          <w:sz w:val="22"/>
          <w:szCs w:val="22"/>
        </w:rPr>
        <w:t>měrnice zav</w:t>
      </w:r>
      <w:r w:rsidR="006F5885">
        <w:rPr>
          <w:rFonts w:asciiTheme="minorHAnsi" w:hAnsiTheme="minorHAnsi" w:cstheme="minorHAnsi"/>
          <w:sz w:val="22"/>
          <w:szCs w:val="22"/>
        </w:rPr>
        <w:t>á</w:t>
      </w:r>
      <w:r w:rsidR="006F5885" w:rsidRPr="00660A8E">
        <w:rPr>
          <w:rFonts w:asciiTheme="minorHAnsi" w:hAnsiTheme="minorHAnsi" w:cstheme="minorHAnsi"/>
          <w:sz w:val="22"/>
          <w:szCs w:val="22"/>
        </w:rPr>
        <w:t>d</w:t>
      </w:r>
      <w:r w:rsidR="006F5885">
        <w:rPr>
          <w:rFonts w:asciiTheme="minorHAnsi" w:hAnsiTheme="minorHAnsi" w:cstheme="minorHAnsi"/>
          <w:sz w:val="22"/>
          <w:szCs w:val="22"/>
        </w:rPr>
        <w:t>í</w:t>
      </w:r>
      <w:r w:rsidR="006F5885" w:rsidRPr="00660A8E">
        <w:rPr>
          <w:rFonts w:asciiTheme="minorHAnsi" w:hAnsiTheme="minorHAnsi" w:cstheme="minorHAnsi"/>
          <w:sz w:val="22"/>
          <w:szCs w:val="22"/>
        </w:rPr>
        <w:t xml:space="preserve"> </w:t>
      </w:r>
      <w:r w:rsidR="00333891" w:rsidRPr="00660A8E">
        <w:rPr>
          <w:rFonts w:asciiTheme="minorHAnsi" w:hAnsiTheme="minorHAnsi" w:cstheme="minorHAnsi"/>
          <w:sz w:val="22"/>
          <w:szCs w:val="22"/>
        </w:rPr>
        <w:t xml:space="preserve">povinnost členských států vymezit tzv. “nezbytné oblasti” pro urychlený rozvoj OZE. Politiku územního rozvoje bude třeba do 18 měsíců upravit tak, aby směřovala ke splnění národního příspěvku k dosažení unijního cíle pro OZE v roce 2030. Nejpozději do 1 roku poté musí státy zajistit, aby „příslušné orgány“ (zřejmě územně samosprávné celky) vybraly konkrétní, tzv. „vhodné oblasti“ pro výstavbu OZE (tzv. </w:t>
      </w:r>
      <w:r w:rsidR="00C24F5F" w:rsidRPr="00660A8E">
        <w:rPr>
          <w:rFonts w:asciiTheme="minorHAnsi" w:hAnsiTheme="minorHAnsi" w:cstheme="minorHAnsi"/>
          <w:sz w:val="22"/>
          <w:szCs w:val="22"/>
        </w:rPr>
        <w:t>akcelerační</w:t>
      </w:r>
      <w:r w:rsidR="00333891" w:rsidRPr="00660A8E">
        <w:rPr>
          <w:rFonts w:asciiTheme="minorHAnsi" w:hAnsiTheme="minorHAnsi" w:cstheme="minorHAnsi"/>
          <w:sz w:val="22"/>
          <w:szCs w:val="22"/>
        </w:rPr>
        <w:t xml:space="preserve"> zóny). Při stanovení oblastí má být mj. zohledněna i dostupnost síťové infrastruktury, akumulace či potenciálu k rozvoji sítí a akumulace a</w:t>
      </w:r>
      <w:r w:rsidR="00893B75" w:rsidRPr="00660A8E">
        <w:rPr>
          <w:rFonts w:asciiTheme="minorHAnsi" w:hAnsiTheme="minorHAnsi" w:cstheme="minorHAnsi"/>
          <w:sz w:val="22"/>
          <w:szCs w:val="22"/>
        </w:rPr>
        <w:t> </w:t>
      </w:r>
      <w:r w:rsidR="00333891" w:rsidRPr="00660A8E">
        <w:rPr>
          <w:rFonts w:asciiTheme="minorHAnsi" w:hAnsiTheme="minorHAnsi" w:cstheme="minorHAnsi"/>
          <w:sz w:val="22"/>
          <w:szCs w:val="22"/>
        </w:rPr>
        <w:t>současně environmentální citlivost daných oblastí.</w:t>
      </w:r>
    </w:p>
    <w:p w14:paraId="4A5D41CD" w14:textId="77777777" w:rsidR="00333891" w:rsidRPr="00660A8E" w:rsidRDefault="00333891" w:rsidP="00333891">
      <w:pPr>
        <w:spacing w:before="120" w:after="0"/>
        <w:rPr>
          <w:rFonts w:asciiTheme="minorHAnsi" w:hAnsiTheme="minorHAnsi" w:cstheme="minorHAnsi"/>
          <w:sz w:val="22"/>
          <w:szCs w:val="22"/>
        </w:rPr>
      </w:pPr>
      <w:r w:rsidRPr="00660A8E">
        <w:rPr>
          <w:rFonts w:asciiTheme="minorHAnsi" w:hAnsiTheme="minorHAnsi" w:cstheme="minorHAnsi"/>
          <w:sz w:val="22"/>
          <w:szCs w:val="22"/>
        </w:rPr>
        <w:t>Je třeba zajistit kapacity pro mapování a vymezení vhodných oblastí pro obnovitelné zdroje energie, doplnit a zpracovat mapové podklady na základě dostupných prostorových dat, navrhnout zmírňující opatření, projednat se zástupci územních samospráv, připravit metodické vedení stavebních úřadů a naplnit požadavky revidované směrnice RED II.</w:t>
      </w:r>
    </w:p>
    <w:p w14:paraId="76B22F75" w14:textId="77777777" w:rsidR="00333891" w:rsidRPr="00660A8E" w:rsidRDefault="00333891" w:rsidP="00333891">
      <w:pP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Cíl naplnění požadavků revidované směrnice RED II se rozpadá do 5 specifických cílů: </w:t>
      </w:r>
    </w:p>
    <w:p w14:paraId="2CD3A17A" w14:textId="5FD6FE31" w:rsidR="00333891" w:rsidRPr="00660A8E" w:rsidRDefault="00333891" w:rsidP="00333891">
      <w:pPr>
        <w:pStyle w:val="Odstavecseseznamem"/>
        <w:numPr>
          <w:ilvl w:val="0"/>
          <w:numId w:val="17"/>
        </w:numPr>
        <w:spacing w:after="0"/>
        <w:rPr>
          <w:rFonts w:asciiTheme="minorHAnsi" w:hAnsiTheme="minorHAnsi" w:cstheme="minorHAnsi"/>
          <w:sz w:val="22"/>
          <w:szCs w:val="22"/>
        </w:rPr>
      </w:pPr>
      <w:r w:rsidRPr="00660A8E">
        <w:rPr>
          <w:rFonts w:asciiTheme="minorHAnsi" w:hAnsiTheme="minorHAnsi" w:cstheme="minorHAnsi"/>
          <w:b/>
          <w:bCs/>
          <w:sz w:val="22"/>
          <w:szCs w:val="22"/>
        </w:rPr>
        <w:t>GIS model</w:t>
      </w:r>
      <w:r w:rsidRPr="00660A8E">
        <w:rPr>
          <w:rFonts w:asciiTheme="minorHAnsi" w:hAnsiTheme="minorHAnsi" w:cstheme="minorHAnsi"/>
          <w:sz w:val="22"/>
          <w:szCs w:val="22"/>
        </w:rPr>
        <w:t xml:space="preserve"> - doplnění a zpracování mapových podkladů pro vymezení </w:t>
      </w:r>
      <w:r w:rsidR="00C24F5F" w:rsidRPr="00660A8E">
        <w:rPr>
          <w:rFonts w:asciiTheme="minorHAnsi" w:hAnsiTheme="minorHAnsi" w:cstheme="minorHAnsi"/>
          <w:sz w:val="22"/>
          <w:szCs w:val="22"/>
        </w:rPr>
        <w:t>akceleračních</w:t>
      </w:r>
      <w:r w:rsidRPr="00660A8E">
        <w:rPr>
          <w:rFonts w:asciiTheme="minorHAnsi" w:hAnsiTheme="minorHAnsi" w:cstheme="minorHAnsi"/>
          <w:sz w:val="22"/>
          <w:szCs w:val="22"/>
        </w:rPr>
        <w:t xml:space="preserve"> zón na základě dostupných prostorových dat; parametrizace (relativní váha veřejných zájmů, seřazení lokalit z</w:t>
      </w:r>
      <w:r w:rsidR="00C24F5F" w:rsidRPr="00660A8E">
        <w:rPr>
          <w:rFonts w:asciiTheme="minorHAnsi" w:hAnsiTheme="minorHAnsi" w:cstheme="minorHAnsi"/>
          <w:sz w:val="22"/>
          <w:szCs w:val="22"/>
        </w:rPr>
        <w:t> </w:t>
      </w:r>
      <w:r w:rsidRPr="00660A8E">
        <w:rPr>
          <w:rFonts w:asciiTheme="minorHAnsi" w:hAnsiTheme="minorHAnsi" w:cstheme="minorHAnsi"/>
          <w:sz w:val="22"/>
          <w:szCs w:val="22"/>
        </w:rPr>
        <w:t>hlediska jejich citlivosti).</w:t>
      </w:r>
    </w:p>
    <w:p w14:paraId="4DE69678" w14:textId="77777777" w:rsidR="00333891" w:rsidRPr="00660A8E" w:rsidRDefault="00333891" w:rsidP="00333891">
      <w:pPr>
        <w:pStyle w:val="Odstavecseseznamem"/>
        <w:numPr>
          <w:ilvl w:val="0"/>
          <w:numId w:val="17"/>
        </w:numPr>
        <w:spacing w:after="0"/>
        <w:rPr>
          <w:rFonts w:asciiTheme="minorHAnsi" w:hAnsiTheme="minorHAnsi" w:cstheme="minorHAnsi"/>
          <w:sz w:val="22"/>
          <w:szCs w:val="22"/>
        </w:rPr>
      </w:pPr>
      <w:r w:rsidRPr="00660A8E">
        <w:rPr>
          <w:rFonts w:asciiTheme="minorHAnsi" w:hAnsiTheme="minorHAnsi" w:cstheme="minorHAnsi"/>
          <w:b/>
          <w:bCs/>
          <w:sz w:val="22"/>
          <w:szCs w:val="22"/>
        </w:rPr>
        <w:lastRenderedPageBreak/>
        <w:t xml:space="preserve">Datová báze a datový portál </w:t>
      </w:r>
      <w:r w:rsidRPr="00660A8E">
        <w:rPr>
          <w:rFonts w:asciiTheme="minorHAnsi" w:hAnsiTheme="minorHAnsi" w:cstheme="minorHAnsi"/>
          <w:sz w:val="22"/>
          <w:szCs w:val="22"/>
        </w:rPr>
        <w:t>- koncentrace, automatická aktualizace a vizualizace prostorových dat (včetně územně analytických podkladů) na jednom virtuálním místě volně dostupném všem orgánům veřejné moci a soukromým osobám.</w:t>
      </w:r>
    </w:p>
    <w:p w14:paraId="22274892" w14:textId="77777777" w:rsidR="00333891" w:rsidRPr="00660A8E" w:rsidRDefault="00333891" w:rsidP="00333891">
      <w:pPr>
        <w:pStyle w:val="Odstavecseseznamem"/>
        <w:numPr>
          <w:ilvl w:val="0"/>
          <w:numId w:val="17"/>
        </w:numPr>
        <w:spacing w:after="0"/>
        <w:rPr>
          <w:rFonts w:asciiTheme="minorHAnsi" w:hAnsiTheme="minorHAnsi" w:cstheme="minorHAnsi"/>
          <w:sz w:val="22"/>
          <w:szCs w:val="22"/>
        </w:rPr>
      </w:pPr>
      <w:r w:rsidRPr="00660A8E">
        <w:rPr>
          <w:rFonts w:asciiTheme="minorHAnsi" w:hAnsiTheme="minorHAnsi" w:cstheme="minorHAnsi"/>
          <w:b/>
          <w:bCs/>
          <w:sz w:val="22"/>
          <w:szCs w:val="22"/>
        </w:rPr>
        <w:t xml:space="preserve">Zmírňující/environmentální opatření </w:t>
      </w:r>
      <w:r w:rsidRPr="00660A8E">
        <w:rPr>
          <w:rFonts w:asciiTheme="minorHAnsi" w:hAnsiTheme="minorHAnsi" w:cstheme="minorHAnsi"/>
          <w:sz w:val="22"/>
          <w:szCs w:val="22"/>
        </w:rPr>
        <w:t xml:space="preserve">- podmínky instalace a provozu jednotlivých zdrojů OZE, účinná zmírňující opatření, </w:t>
      </w:r>
      <w:proofErr w:type="spellStart"/>
      <w:r w:rsidRPr="00660A8E">
        <w:rPr>
          <w:rFonts w:asciiTheme="minorHAnsi" w:hAnsiTheme="minorHAnsi" w:cstheme="minorHAnsi"/>
          <w:sz w:val="22"/>
          <w:szCs w:val="22"/>
        </w:rPr>
        <w:t>win-win</w:t>
      </w:r>
      <w:proofErr w:type="spellEnd"/>
      <w:r w:rsidRPr="00660A8E">
        <w:rPr>
          <w:rFonts w:asciiTheme="minorHAnsi" w:hAnsiTheme="minorHAnsi" w:cstheme="minorHAnsi"/>
          <w:sz w:val="22"/>
          <w:szCs w:val="22"/>
        </w:rPr>
        <w:t xml:space="preserve"> řešení umístění obnovitelných zdrojů a obnovy krajinných funkcí.</w:t>
      </w:r>
    </w:p>
    <w:p w14:paraId="5817CDBF" w14:textId="77777777" w:rsidR="00333891" w:rsidRPr="00660A8E" w:rsidRDefault="00333891" w:rsidP="00333891">
      <w:pPr>
        <w:pStyle w:val="Odstavecseseznamem"/>
        <w:numPr>
          <w:ilvl w:val="0"/>
          <w:numId w:val="17"/>
        </w:numPr>
        <w:spacing w:after="0"/>
        <w:rPr>
          <w:rFonts w:asciiTheme="minorHAnsi" w:hAnsiTheme="minorHAnsi" w:cstheme="minorHAnsi"/>
          <w:sz w:val="22"/>
          <w:szCs w:val="22"/>
        </w:rPr>
      </w:pPr>
      <w:r w:rsidRPr="00660A8E">
        <w:rPr>
          <w:rFonts w:asciiTheme="minorHAnsi" w:hAnsiTheme="minorHAnsi" w:cstheme="minorHAnsi"/>
          <w:b/>
          <w:bCs/>
          <w:sz w:val="22"/>
          <w:szCs w:val="22"/>
        </w:rPr>
        <w:t>Právní reforma a projednání</w:t>
      </w:r>
      <w:r w:rsidRPr="00660A8E">
        <w:rPr>
          <w:rFonts w:asciiTheme="minorHAnsi" w:hAnsiTheme="minorHAnsi" w:cstheme="minorHAnsi"/>
          <w:sz w:val="22"/>
          <w:szCs w:val="22"/>
        </w:rPr>
        <w:t xml:space="preserve"> - návrh podmínek v Politice územního rozvoje, návrh legislativních úprav (</w:t>
      </w:r>
      <w:proofErr w:type="spellStart"/>
      <w:r w:rsidRPr="00660A8E">
        <w:rPr>
          <w:rFonts w:asciiTheme="minorHAnsi" w:hAnsiTheme="minorHAnsi" w:cstheme="minorHAnsi"/>
          <w:sz w:val="22"/>
          <w:szCs w:val="22"/>
        </w:rPr>
        <w:t>StavZ</w:t>
      </w:r>
      <w:proofErr w:type="spellEnd"/>
      <w:r w:rsidRPr="00660A8E">
        <w:rPr>
          <w:rFonts w:asciiTheme="minorHAnsi" w:hAnsiTheme="minorHAnsi" w:cstheme="minorHAnsi"/>
          <w:sz w:val="22"/>
          <w:szCs w:val="22"/>
        </w:rPr>
        <w:t>, zákon EIA) a metodických pokynů; zpětná vazba k návrhu mapových podkladů od relevantních stakeholderů (zejména územních samospráv) a nabídnutí kapacit územním samosprávám při výběru vhodných lokalit a úpravě ZÚR a ÚP.</w:t>
      </w:r>
    </w:p>
    <w:p w14:paraId="243D07E2" w14:textId="21914C15" w:rsidR="00333891" w:rsidRPr="00660A8E" w:rsidRDefault="00333891" w:rsidP="00333891">
      <w:pPr>
        <w:pStyle w:val="Odstavecseseznamem"/>
        <w:numPr>
          <w:ilvl w:val="0"/>
          <w:numId w:val="17"/>
        </w:numPr>
        <w:spacing w:after="0"/>
        <w:rPr>
          <w:rFonts w:asciiTheme="minorHAnsi" w:hAnsiTheme="minorHAnsi" w:cstheme="minorHAnsi"/>
          <w:sz w:val="22"/>
          <w:szCs w:val="22"/>
        </w:rPr>
      </w:pPr>
      <w:r w:rsidRPr="00660A8E">
        <w:rPr>
          <w:rFonts w:asciiTheme="minorHAnsi" w:hAnsiTheme="minorHAnsi" w:cstheme="minorHAnsi"/>
          <w:b/>
          <w:bCs/>
          <w:sz w:val="22"/>
          <w:szCs w:val="22"/>
        </w:rPr>
        <w:t>Komunikace</w:t>
      </w:r>
      <w:r w:rsidRPr="00660A8E">
        <w:rPr>
          <w:rFonts w:asciiTheme="minorHAnsi" w:hAnsiTheme="minorHAnsi" w:cstheme="minorHAnsi"/>
          <w:sz w:val="22"/>
          <w:szCs w:val="22"/>
        </w:rPr>
        <w:t xml:space="preserve"> - zpracování komunikační strategie k </w:t>
      </w:r>
      <w:r w:rsidR="00C24F5F" w:rsidRPr="00660A8E">
        <w:rPr>
          <w:rFonts w:asciiTheme="minorHAnsi" w:hAnsiTheme="minorHAnsi" w:cstheme="minorHAnsi"/>
          <w:sz w:val="22"/>
          <w:szCs w:val="22"/>
        </w:rPr>
        <w:t>akceleračním</w:t>
      </w:r>
      <w:r w:rsidRPr="00660A8E">
        <w:rPr>
          <w:rFonts w:asciiTheme="minorHAnsi" w:hAnsiTheme="minorHAnsi" w:cstheme="minorHAnsi"/>
          <w:sz w:val="22"/>
          <w:szCs w:val="22"/>
        </w:rPr>
        <w:t xml:space="preserve"> zónám a její převedení do komunikace Ministerstva životního prostředí, Ministerstva pro místní rozvoj a Ministerstva průmyslu a obchodu.</w:t>
      </w:r>
    </w:p>
    <w:p w14:paraId="5464275E" w14:textId="77777777" w:rsidR="00333891" w:rsidRPr="00660A8E" w:rsidRDefault="00333891" w:rsidP="00333891">
      <w:pPr>
        <w:spacing w:before="120" w:after="0"/>
        <w:rPr>
          <w:rFonts w:asciiTheme="minorHAnsi" w:hAnsiTheme="minorHAnsi" w:cstheme="minorHAnsi"/>
          <w:sz w:val="22"/>
          <w:szCs w:val="22"/>
        </w:rPr>
      </w:pPr>
      <w:r w:rsidRPr="00660A8E">
        <w:rPr>
          <w:rFonts w:asciiTheme="minorHAnsi" w:hAnsiTheme="minorHAnsi" w:cstheme="minorHAnsi"/>
          <w:i/>
          <w:iCs/>
          <w:sz w:val="22"/>
          <w:szCs w:val="22"/>
        </w:rPr>
        <w:t xml:space="preserve">Smart </w:t>
      </w:r>
      <w:proofErr w:type="spellStart"/>
      <w:r w:rsidRPr="00660A8E">
        <w:rPr>
          <w:rFonts w:asciiTheme="minorHAnsi" w:hAnsiTheme="minorHAnsi" w:cstheme="minorHAnsi"/>
          <w:i/>
          <w:iCs/>
          <w:sz w:val="22"/>
          <w:szCs w:val="22"/>
        </w:rPr>
        <w:t>siting</w:t>
      </w:r>
      <w:proofErr w:type="spellEnd"/>
      <w:r w:rsidRPr="00660A8E">
        <w:rPr>
          <w:rFonts w:asciiTheme="minorHAnsi" w:hAnsiTheme="minorHAnsi" w:cstheme="minorHAnsi"/>
          <w:sz w:val="22"/>
          <w:szCs w:val="22"/>
        </w:rPr>
        <w:t xml:space="preserve"> obnovitelných zdrojů v souladu s unijní legislativou je důležitým strategickým cílem České republiky. Ani státní správa, ani samospráva ale aktuálně zdaleka nedisponují dostatečnými kapacitami, aby tento unijní požadavek splnily řádně a včas. Reforma si vyžádá navýšení expertních kapacit na úrovni státní správy a finanční podporu </w:t>
      </w:r>
      <w:proofErr w:type="spellStart"/>
      <w:r w:rsidRPr="00660A8E">
        <w:rPr>
          <w:rFonts w:asciiTheme="minorHAnsi" w:hAnsiTheme="minorHAnsi" w:cstheme="minorHAnsi"/>
          <w:sz w:val="22"/>
          <w:szCs w:val="22"/>
        </w:rPr>
        <w:t>projektantské</w:t>
      </w:r>
      <w:proofErr w:type="spellEnd"/>
      <w:r w:rsidRPr="00660A8E">
        <w:rPr>
          <w:rFonts w:asciiTheme="minorHAnsi" w:hAnsiTheme="minorHAnsi" w:cstheme="minorHAnsi"/>
          <w:sz w:val="22"/>
          <w:szCs w:val="22"/>
        </w:rPr>
        <w:t xml:space="preserve"> práce na úrovni krajů. </w:t>
      </w:r>
    </w:p>
    <w:p w14:paraId="6FFA4322" w14:textId="69F35D9F" w:rsidR="00333891" w:rsidRPr="00660A8E" w:rsidRDefault="00333891" w:rsidP="02F3E1DA">
      <w:pPr>
        <w:pBdr>
          <w:top w:val="nil"/>
          <w:left w:val="nil"/>
          <w:bottom w:val="nil"/>
          <w:right w:val="nil"/>
          <w:between w:val="nil"/>
        </w:pBdr>
        <w:spacing w:before="120" w:after="0" w:line="240" w:lineRule="auto"/>
        <w:rPr>
          <w:rFonts w:asciiTheme="minorHAnsi" w:hAnsiTheme="minorHAnsi" w:cstheme="minorBidi"/>
          <w:sz w:val="22"/>
          <w:szCs w:val="22"/>
        </w:rPr>
      </w:pPr>
      <w:r w:rsidRPr="02F3E1DA">
        <w:rPr>
          <w:rFonts w:asciiTheme="minorHAnsi" w:hAnsiTheme="minorHAnsi" w:cstheme="minorBidi"/>
          <w:sz w:val="22"/>
          <w:szCs w:val="22"/>
        </w:rPr>
        <w:t>Práce na prvním specifickém cíli, GIS modelu, začala na půdě VÚKOZ,</w:t>
      </w:r>
      <w:r w:rsidR="00E960A4" w:rsidRPr="02F3E1DA">
        <w:rPr>
          <w:rFonts w:asciiTheme="minorHAnsi" w:hAnsiTheme="minorHAnsi" w:cstheme="minorBidi"/>
          <w:sz w:val="22"/>
          <w:szCs w:val="22"/>
        </w:rPr>
        <w:t xml:space="preserve"> </w:t>
      </w:r>
      <w:proofErr w:type="spellStart"/>
      <w:r w:rsidRPr="02F3E1DA">
        <w:rPr>
          <w:rFonts w:asciiTheme="minorHAnsi" w:hAnsiTheme="minorHAnsi" w:cstheme="minorBidi"/>
          <w:sz w:val="22"/>
          <w:szCs w:val="22"/>
        </w:rPr>
        <w:t>v.v.i</w:t>
      </w:r>
      <w:proofErr w:type="spellEnd"/>
      <w:r w:rsidRPr="02F3E1DA">
        <w:rPr>
          <w:rFonts w:asciiTheme="minorHAnsi" w:hAnsiTheme="minorHAnsi" w:cstheme="minorBidi"/>
          <w:sz w:val="22"/>
          <w:szCs w:val="22"/>
        </w:rPr>
        <w:t xml:space="preserve">., kde je v prvním pololetí roku 2023 řešen projekt „Návrh ploch pro umístění obnovitelných zdrojů energie (tzv. go-to </w:t>
      </w:r>
      <w:proofErr w:type="spellStart"/>
      <w:r w:rsidRPr="02F3E1DA">
        <w:rPr>
          <w:rFonts w:asciiTheme="minorHAnsi" w:hAnsiTheme="minorHAnsi" w:cstheme="minorBidi"/>
          <w:sz w:val="22"/>
          <w:szCs w:val="22"/>
        </w:rPr>
        <w:t>areas</w:t>
      </w:r>
      <w:proofErr w:type="spellEnd"/>
      <w:r w:rsidRPr="02F3E1DA">
        <w:rPr>
          <w:rFonts w:asciiTheme="minorHAnsi" w:hAnsiTheme="minorHAnsi" w:cstheme="minorBidi"/>
          <w:sz w:val="22"/>
          <w:szCs w:val="22"/>
        </w:rPr>
        <w:t>) v České republice“ financovaný ze státního rozpočtu (viz níže). Doplnění a rozšíření modelu i jeho implementace na krajskou úroveň je součástí této komponenty. Budou doplněna také data týkající se ekosystémového zdraví, a to v</w:t>
      </w:r>
      <w:r w:rsidR="00893B75" w:rsidRPr="02F3E1DA">
        <w:rPr>
          <w:rFonts w:asciiTheme="minorHAnsi" w:hAnsiTheme="minorHAnsi" w:cstheme="minorBidi"/>
          <w:sz w:val="22"/>
          <w:szCs w:val="22"/>
        </w:rPr>
        <w:t> </w:t>
      </w:r>
      <w:r w:rsidRPr="02F3E1DA">
        <w:rPr>
          <w:rFonts w:asciiTheme="minorHAnsi" w:hAnsiTheme="minorHAnsi" w:cstheme="minorBidi"/>
          <w:sz w:val="22"/>
          <w:szCs w:val="22"/>
        </w:rPr>
        <w:t>synergii s přípravou Národního plánu obnovy přírody a Politiky krajiny.</w:t>
      </w:r>
    </w:p>
    <w:p w14:paraId="170703CB" w14:textId="77777777" w:rsidR="009442B6" w:rsidRPr="00660A8E" w:rsidRDefault="009442B6" w:rsidP="00DB6B91">
      <w:pPr>
        <w:keepNext/>
        <w:keepLines/>
        <w:numPr>
          <w:ilvl w:val="0"/>
          <w:numId w:val="15"/>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5" w:name="_heading=h.2et92p0" w:colFirst="0" w:colLast="0"/>
      <w:bookmarkEnd w:id="5"/>
      <w:r w:rsidRPr="00660A8E">
        <w:rPr>
          <w:rFonts w:asciiTheme="minorHAnsi" w:hAnsiTheme="minorHAnsi" w:cstheme="minorHAnsi"/>
          <w:b/>
          <w:sz w:val="22"/>
          <w:szCs w:val="22"/>
        </w:rPr>
        <w:t>Národní strategický kontext</w:t>
      </w:r>
    </w:p>
    <w:p w14:paraId="03294AAE" w14:textId="01E1E2BB" w:rsidR="009442B6" w:rsidRPr="00660A8E" w:rsidRDefault="0081789E"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Zavedení jednotného environmentálního stanoviska a podpora jeho implementace do praxe správních orgánů</w:t>
      </w:r>
      <w:r w:rsidR="009442B6" w:rsidRPr="00660A8E">
        <w:rPr>
          <w:rFonts w:asciiTheme="minorHAnsi" w:hAnsiTheme="minorHAnsi" w:cstheme="minorHAnsi"/>
          <w:sz w:val="22"/>
          <w:szCs w:val="22"/>
        </w:rPr>
        <w:t xml:space="preserve"> je v souladu cíli strategických dokumentů ČR:</w:t>
      </w:r>
    </w:p>
    <w:p w14:paraId="6222B712" w14:textId="77777777" w:rsidR="009442B6" w:rsidRPr="00660A8E" w:rsidRDefault="009442B6" w:rsidP="00DB6B91">
      <w:pPr>
        <w:pBdr>
          <w:top w:val="nil"/>
          <w:left w:val="nil"/>
          <w:bottom w:val="nil"/>
          <w:right w:val="nil"/>
          <w:between w:val="nil"/>
        </w:pBdr>
        <w:spacing w:before="120" w:after="180" w:line="264" w:lineRule="auto"/>
        <w:rPr>
          <w:rFonts w:asciiTheme="minorHAnsi" w:hAnsiTheme="minorHAnsi" w:cstheme="minorHAnsi"/>
          <w:b/>
          <w:sz w:val="22"/>
          <w:szCs w:val="22"/>
        </w:rPr>
      </w:pPr>
      <w:r w:rsidRPr="00660A8E">
        <w:rPr>
          <w:rFonts w:asciiTheme="minorHAnsi" w:hAnsiTheme="minorHAnsi" w:cstheme="minorHAnsi"/>
          <w:b/>
          <w:sz w:val="22"/>
          <w:szCs w:val="22"/>
        </w:rPr>
        <w:t>Státní politika životního prostředí České republiky 2030 s výhledem do 2050 (2021)</w:t>
      </w:r>
    </w:p>
    <w:p w14:paraId="68D620C7" w14:textId="642348DB" w:rsidR="009442B6" w:rsidRPr="00660A8E" w:rsidRDefault="009442B6" w:rsidP="00DB6B91">
      <w:pPr>
        <w:numPr>
          <w:ilvl w:val="0"/>
          <w:numId w:val="13"/>
        </w:numPr>
        <w:pBdr>
          <w:top w:val="nil"/>
          <w:left w:val="nil"/>
          <w:bottom w:val="nil"/>
          <w:right w:val="nil"/>
          <w:between w:val="nil"/>
        </w:pBd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Cíl 3.1 (Ekologick</w:t>
      </w:r>
      <w:r w:rsidR="00F1108E" w:rsidRPr="00660A8E">
        <w:rPr>
          <w:rFonts w:asciiTheme="minorHAnsi" w:hAnsiTheme="minorHAnsi" w:cstheme="minorHAnsi"/>
          <w:sz w:val="22"/>
          <w:szCs w:val="22"/>
        </w:rPr>
        <w:t>á stabilita krajiny je obnovena, hospodaření v krajině je dlouhodobě udržitelné a</w:t>
      </w:r>
      <w:r w:rsidR="00893B75" w:rsidRPr="00660A8E">
        <w:rPr>
          <w:rFonts w:asciiTheme="minorHAnsi" w:hAnsiTheme="minorHAnsi" w:cstheme="minorHAnsi"/>
          <w:sz w:val="22"/>
          <w:szCs w:val="22"/>
        </w:rPr>
        <w:t> </w:t>
      </w:r>
      <w:r w:rsidR="00F1108E" w:rsidRPr="00660A8E">
        <w:rPr>
          <w:rFonts w:asciiTheme="minorHAnsi" w:hAnsiTheme="minorHAnsi" w:cstheme="minorHAnsi"/>
          <w:sz w:val="22"/>
          <w:szCs w:val="22"/>
        </w:rPr>
        <w:t>reaguje na změnu klimatu</w:t>
      </w:r>
      <w:r w:rsidRPr="00660A8E">
        <w:rPr>
          <w:rFonts w:asciiTheme="minorHAnsi" w:hAnsiTheme="minorHAnsi" w:cstheme="minorHAnsi"/>
          <w:sz w:val="22"/>
          <w:szCs w:val="22"/>
        </w:rPr>
        <w:t>) a 3.2 (</w:t>
      </w:r>
      <w:r w:rsidR="00F1108E" w:rsidRPr="00660A8E">
        <w:rPr>
          <w:rFonts w:asciiTheme="minorHAnsi" w:hAnsiTheme="minorHAnsi" w:cstheme="minorHAnsi"/>
          <w:sz w:val="22"/>
          <w:szCs w:val="22"/>
        </w:rPr>
        <w:t>Biologická rozmanitost je zachována v mezích tlaku změny klimatu</w:t>
      </w:r>
      <w:r w:rsidRPr="00660A8E">
        <w:rPr>
          <w:rFonts w:asciiTheme="minorHAnsi" w:hAnsiTheme="minorHAnsi" w:cstheme="minorHAnsi"/>
          <w:sz w:val="22"/>
          <w:szCs w:val="22"/>
        </w:rPr>
        <w:t xml:space="preserve">) - zajištění ochrany biodiverzity, podpora zvyšování stability krajiny a retence vody, </w:t>
      </w:r>
      <w:r w:rsidR="00F1108E" w:rsidRPr="00660A8E">
        <w:rPr>
          <w:rFonts w:asciiTheme="minorHAnsi" w:hAnsiTheme="minorHAnsi" w:cstheme="minorHAnsi"/>
          <w:sz w:val="22"/>
          <w:szCs w:val="22"/>
        </w:rPr>
        <w:t>snižování plošného úbytku zemědělské půdy, zajištění ochrany nejcennějších částí přírody</w:t>
      </w:r>
      <w:r w:rsidRPr="00660A8E">
        <w:rPr>
          <w:rFonts w:asciiTheme="minorHAnsi" w:hAnsiTheme="minorHAnsi" w:cstheme="minorHAnsi"/>
          <w:sz w:val="22"/>
          <w:szCs w:val="22"/>
        </w:rPr>
        <w:t>.</w:t>
      </w:r>
    </w:p>
    <w:p w14:paraId="79B47112" w14:textId="77777777" w:rsidR="009442B6" w:rsidRPr="00660A8E" w:rsidRDefault="009442B6" w:rsidP="008173E9">
      <w:pPr>
        <w:keepNext/>
        <w:pBdr>
          <w:top w:val="nil"/>
          <w:left w:val="nil"/>
          <w:bottom w:val="nil"/>
          <w:right w:val="nil"/>
          <w:between w:val="nil"/>
        </w:pBdr>
        <w:spacing w:before="120" w:after="180" w:line="264" w:lineRule="auto"/>
        <w:rPr>
          <w:rFonts w:asciiTheme="minorHAnsi" w:hAnsiTheme="minorHAnsi" w:cstheme="minorHAnsi"/>
          <w:b/>
          <w:sz w:val="22"/>
          <w:szCs w:val="22"/>
        </w:rPr>
      </w:pPr>
      <w:r w:rsidRPr="00660A8E">
        <w:rPr>
          <w:rFonts w:asciiTheme="minorHAnsi" w:hAnsiTheme="minorHAnsi" w:cstheme="minorHAnsi"/>
          <w:b/>
          <w:sz w:val="22"/>
          <w:szCs w:val="22"/>
        </w:rPr>
        <w:t>Strategický rámec Česká republika 2030 (2017)</w:t>
      </w:r>
    </w:p>
    <w:p w14:paraId="1A62A645" w14:textId="38AEF305" w:rsidR="009442B6" w:rsidRPr="00660A8E" w:rsidRDefault="009442B6" w:rsidP="00DB6B91">
      <w:pPr>
        <w:numPr>
          <w:ilvl w:val="0"/>
          <w:numId w:val="14"/>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 xml:space="preserve">Cíl 3 (Odolné ekosystémy) </w:t>
      </w:r>
      <w:r w:rsidR="008718BB" w:rsidRPr="00660A8E">
        <w:rPr>
          <w:rFonts w:asciiTheme="minorHAnsi" w:hAnsiTheme="minorHAnsi" w:cstheme="minorHAnsi"/>
          <w:sz w:val="22"/>
          <w:szCs w:val="22"/>
        </w:rPr>
        <w:t>–</w:t>
      </w:r>
      <w:r w:rsidRPr="00660A8E">
        <w:rPr>
          <w:rFonts w:asciiTheme="minorHAnsi" w:hAnsiTheme="minorHAnsi" w:cstheme="minorHAnsi"/>
          <w:sz w:val="22"/>
          <w:szCs w:val="22"/>
        </w:rPr>
        <w:t xml:space="preserve"> </w:t>
      </w:r>
      <w:r w:rsidR="008718BB" w:rsidRPr="00660A8E">
        <w:rPr>
          <w:rFonts w:asciiTheme="minorHAnsi" w:hAnsiTheme="minorHAnsi" w:cstheme="minorHAnsi"/>
          <w:sz w:val="22"/>
          <w:szCs w:val="22"/>
        </w:rPr>
        <w:t>zamezení úbytku zemědělské půdy,</w:t>
      </w:r>
      <w:r w:rsidRPr="00660A8E">
        <w:rPr>
          <w:rFonts w:asciiTheme="minorHAnsi" w:hAnsiTheme="minorHAnsi" w:cstheme="minorHAnsi"/>
          <w:sz w:val="22"/>
          <w:szCs w:val="22"/>
        </w:rPr>
        <w:t xml:space="preserve"> zpomalení odtoku vody z krajiny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udržení biologické rozmanitosti.</w:t>
      </w:r>
      <w:r w:rsidRPr="00660A8E">
        <w:rPr>
          <w:rFonts w:asciiTheme="minorHAnsi" w:hAnsiTheme="minorHAnsi" w:cstheme="minorHAnsi"/>
          <w:b/>
          <w:sz w:val="22"/>
          <w:szCs w:val="22"/>
        </w:rPr>
        <w:t xml:space="preserve"> </w:t>
      </w:r>
    </w:p>
    <w:p w14:paraId="560A83AD" w14:textId="3E7B9565" w:rsidR="008718BB" w:rsidRPr="00660A8E" w:rsidRDefault="008718BB" w:rsidP="00DB6B91">
      <w:pPr>
        <w:numPr>
          <w:ilvl w:val="0"/>
          <w:numId w:val="14"/>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Cíl 6 (Dobré vládnutí) – zlepšení schopnosti horizontální koordinace veřejné správy, schopnost pracovat při rozhodování s dlouhodobou perspektivou.</w:t>
      </w:r>
    </w:p>
    <w:p w14:paraId="559159BD" w14:textId="77777777" w:rsidR="009442B6" w:rsidRPr="00660A8E" w:rsidRDefault="009442B6" w:rsidP="00DB6B91">
      <w:pPr>
        <w:spacing w:before="120" w:after="0" w:line="264" w:lineRule="auto"/>
        <w:rPr>
          <w:rFonts w:asciiTheme="minorHAnsi" w:hAnsiTheme="minorHAnsi" w:cstheme="minorHAnsi"/>
          <w:b/>
          <w:sz w:val="22"/>
          <w:szCs w:val="22"/>
        </w:rPr>
      </w:pPr>
      <w:r w:rsidRPr="00660A8E">
        <w:rPr>
          <w:rFonts w:asciiTheme="minorHAnsi" w:hAnsiTheme="minorHAnsi" w:cstheme="minorHAnsi"/>
          <w:b/>
          <w:sz w:val="22"/>
          <w:szCs w:val="22"/>
        </w:rPr>
        <w:t>Strategie ochrany biologické rozmanitosti ČR pro období 2016-2025 (2015)</w:t>
      </w:r>
    </w:p>
    <w:p w14:paraId="5CF8574F" w14:textId="28FE6E63" w:rsidR="00ED6B81" w:rsidRPr="00660A8E" w:rsidRDefault="009442B6"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 xml:space="preserve">Dílčí cíl </w:t>
      </w:r>
      <w:r w:rsidR="00ED6B81" w:rsidRPr="00660A8E">
        <w:rPr>
          <w:rFonts w:asciiTheme="minorHAnsi" w:hAnsiTheme="minorHAnsi" w:cstheme="minorHAnsi"/>
          <w:sz w:val="22"/>
          <w:szCs w:val="22"/>
        </w:rPr>
        <w:t>1.2.2 Zajistit kvalitní metodickou podporu</w:t>
      </w:r>
    </w:p>
    <w:p w14:paraId="719AB5AA" w14:textId="77777777" w:rsidR="00ED6B81" w:rsidRPr="00660A8E" w:rsidRDefault="00ED6B81"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 xml:space="preserve">Dílčí cíl </w:t>
      </w:r>
      <w:r w:rsidR="009442B6" w:rsidRPr="00660A8E">
        <w:rPr>
          <w:rFonts w:asciiTheme="minorHAnsi" w:hAnsiTheme="minorHAnsi" w:cstheme="minorHAnsi"/>
          <w:sz w:val="22"/>
          <w:szCs w:val="22"/>
        </w:rPr>
        <w:t>2.</w:t>
      </w:r>
      <w:r w:rsidRPr="00660A8E">
        <w:rPr>
          <w:rFonts w:asciiTheme="minorHAnsi" w:hAnsiTheme="minorHAnsi" w:cstheme="minorHAnsi"/>
          <w:sz w:val="22"/>
          <w:szCs w:val="22"/>
        </w:rPr>
        <w:t>5.1 Omezit rozšiřování zástavby do krajiny</w:t>
      </w:r>
      <w:r w:rsidR="009442B6" w:rsidRPr="00660A8E">
        <w:rPr>
          <w:rFonts w:asciiTheme="minorHAnsi" w:hAnsiTheme="minorHAnsi" w:cstheme="minorHAnsi"/>
          <w:sz w:val="22"/>
          <w:szCs w:val="22"/>
        </w:rPr>
        <w:t xml:space="preserve"> </w:t>
      </w:r>
    </w:p>
    <w:p w14:paraId="3D4A71B0" w14:textId="77777777" w:rsidR="00ED6B81" w:rsidRPr="00660A8E" w:rsidRDefault="00ED6B81" w:rsidP="00ED6B8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Dílčí cíl 3.5.1. Omezit negativní vlivy suburbanizace na ekologickou stabilitu krajiny</w:t>
      </w:r>
    </w:p>
    <w:p w14:paraId="7E6D4F42" w14:textId="210EB2AC" w:rsidR="009442B6" w:rsidRPr="00660A8E" w:rsidRDefault="009442B6" w:rsidP="00ED6B81">
      <w:pPr>
        <w:spacing w:before="120" w:after="180" w:line="264" w:lineRule="auto"/>
        <w:rPr>
          <w:rFonts w:asciiTheme="minorHAnsi" w:hAnsiTheme="minorHAnsi" w:cstheme="minorHAnsi"/>
          <w:sz w:val="22"/>
          <w:szCs w:val="22"/>
        </w:rPr>
      </w:pPr>
      <w:r w:rsidRPr="00660A8E">
        <w:rPr>
          <w:rFonts w:asciiTheme="minorHAnsi" w:hAnsiTheme="minorHAnsi" w:cstheme="minorHAnsi"/>
          <w:b/>
          <w:sz w:val="22"/>
          <w:szCs w:val="22"/>
        </w:rPr>
        <w:t>Státní program ochrany přírody a krajiny pro období 2020 - 2025</w:t>
      </w:r>
    </w:p>
    <w:p w14:paraId="15E290D9" w14:textId="41BA0B0A" w:rsidR="00ED6B81" w:rsidRPr="00660A8E" w:rsidRDefault="00ED6B81"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lastRenderedPageBreak/>
        <w:t>Cíl 1.1.4 Omezit negativní vliv fragmentace krajiny a dalších významných antropogenních příčin úhynu, zraňování a dalších ohrožujících faktorů působících na živočichy</w:t>
      </w:r>
    </w:p>
    <w:p w14:paraId="164AD661" w14:textId="6CC74C5C" w:rsidR="00ED6B81" w:rsidRPr="00660A8E" w:rsidRDefault="00C4161A"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Opatření 1.2.2.3 Zajištění adekvátní ochrany lokalit soustavy NATURA 2000</w:t>
      </w:r>
    </w:p>
    <w:p w14:paraId="34C951FE" w14:textId="2AADCB27" w:rsidR="00C4161A" w:rsidRPr="00660A8E" w:rsidRDefault="00C4161A"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Cíl 2.1.1 Zajisti</w:t>
      </w:r>
      <w:r w:rsidR="008C777F" w:rsidRPr="00660A8E">
        <w:rPr>
          <w:rFonts w:asciiTheme="minorHAnsi" w:hAnsiTheme="minorHAnsi" w:cstheme="minorHAnsi"/>
          <w:sz w:val="22"/>
          <w:szCs w:val="22"/>
        </w:rPr>
        <w:t>t</w:t>
      </w:r>
      <w:r w:rsidRPr="00660A8E">
        <w:rPr>
          <w:rFonts w:asciiTheme="minorHAnsi" w:hAnsiTheme="minorHAnsi" w:cstheme="minorHAnsi"/>
          <w:sz w:val="22"/>
          <w:szCs w:val="22"/>
        </w:rPr>
        <w:t xml:space="preserve"> legislativní a metodickou podporu výkonu státní správy v ochraně krajiny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ekosystémů</w:t>
      </w:r>
    </w:p>
    <w:p w14:paraId="6C5CC587" w14:textId="327E5B51" w:rsidR="00C4161A" w:rsidRPr="00660A8E" w:rsidRDefault="00C4161A"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Cíl 2.2.4 Zpomalit úbytek zemědělského půdního fondu a omezit degradaci půdy</w:t>
      </w:r>
    </w:p>
    <w:p w14:paraId="39C20FC9" w14:textId="5A95C931" w:rsidR="00C4161A" w:rsidRPr="00660A8E" w:rsidRDefault="00C4161A" w:rsidP="00DB6B91">
      <w:pPr>
        <w:numPr>
          <w:ilvl w:val="0"/>
          <w:numId w:val="13"/>
        </w:num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Cíl 3.5.2 Sjednocení výkonu státní správy a zefektivnění systému podpory a kontroly v rámci ochrany přírody a krajiny</w:t>
      </w:r>
    </w:p>
    <w:p w14:paraId="3F544C98" w14:textId="6EDA420B" w:rsidR="006148A3" w:rsidRPr="00660A8E" w:rsidRDefault="006148A3" w:rsidP="006148A3">
      <w:p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 xml:space="preserve">Kromě </w:t>
      </w:r>
      <w:r w:rsidR="00E5584F" w:rsidRPr="00660A8E">
        <w:rPr>
          <w:rFonts w:asciiTheme="minorHAnsi" w:hAnsiTheme="minorHAnsi" w:cstheme="minorHAnsi"/>
          <w:sz w:val="22"/>
          <w:szCs w:val="22"/>
        </w:rPr>
        <w:t xml:space="preserve">souladu s </w:t>
      </w:r>
      <w:r w:rsidRPr="00660A8E">
        <w:rPr>
          <w:rFonts w:asciiTheme="minorHAnsi" w:hAnsiTheme="minorHAnsi" w:cstheme="minorHAnsi"/>
          <w:sz w:val="22"/>
          <w:szCs w:val="22"/>
        </w:rPr>
        <w:t>výše uveden</w:t>
      </w:r>
      <w:r w:rsidR="00E5584F" w:rsidRPr="00660A8E">
        <w:rPr>
          <w:rFonts w:asciiTheme="minorHAnsi" w:hAnsiTheme="minorHAnsi" w:cstheme="minorHAnsi"/>
          <w:sz w:val="22"/>
          <w:szCs w:val="22"/>
        </w:rPr>
        <w:t>ými</w:t>
      </w:r>
      <w:r w:rsidRPr="00660A8E">
        <w:rPr>
          <w:rFonts w:asciiTheme="minorHAnsi" w:hAnsiTheme="minorHAnsi" w:cstheme="minorHAnsi"/>
          <w:sz w:val="22"/>
          <w:szCs w:val="22"/>
        </w:rPr>
        <w:t xml:space="preserve"> strategický</w:t>
      </w:r>
      <w:r w:rsidR="00E5584F" w:rsidRPr="00660A8E">
        <w:rPr>
          <w:rFonts w:asciiTheme="minorHAnsi" w:hAnsiTheme="minorHAnsi" w:cstheme="minorHAnsi"/>
          <w:sz w:val="22"/>
          <w:szCs w:val="22"/>
        </w:rPr>
        <w:t>mi</w:t>
      </w:r>
      <w:r w:rsidRPr="00660A8E">
        <w:rPr>
          <w:rFonts w:asciiTheme="minorHAnsi" w:hAnsiTheme="minorHAnsi" w:cstheme="minorHAnsi"/>
          <w:sz w:val="22"/>
          <w:szCs w:val="22"/>
        </w:rPr>
        <w:t xml:space="preserve"> dokument</w:t>
      </w:r>
      <w:r w:rsidR="00E5584F" w:rsidRPr="00660A8E">
        <w:rPr>
          <w:rFonts w:asciiTheme="minorHAnsi" w:hAnsiTheme="minorHAnsi" w:cstheme="minorHAnsi"/>
          <w:sz w:val="22"/>
          <w:szCs w:val="22"/>
        </w:rPr>
        <w:t>y</w:t>
      </w:r>
      <w:r w:rsidRPr="00660A8E">
        <w:rPr>
          <w:rFonts w:asciiTheme="minorHAnsi" w:hAnsiTheme="minorHAnsi" w:cstheme="minorHAnsi"/>
          <w:sz w:val="22"/>
          <w:szCs w:val="22"/>
        </w:rPr>
        <w:t xml:space="preserve"> je zavedení JES i jedním z nástrojů zjednodušení schvalovacích procesů </w:t>
      </w:r>
      <w:r w:rsidR="00E5584F" w:rsidRPr="00660A8E">
        <w:rPr>
          <w:rFonts w:asciiTheme="minorHAnsi" w:hAnsiTheme="minorHAnsi" w:cstheme="minorHAnsi"/>
          <w:sz w:val="22"/>
          <w:szCs w:val="22"/>
        </w:rPr>
        <w:t xml:space="preserve">mj. </w:t>
      </w:r>
      <w:r w:rsidRPr="00660A8E">
        <w:rPr>
          <w:rFonts w:asciiTheme="minorHAnsi" w:hAnsiTheme="minorHAnsi" w:cstheme="minorHAnsi"/>
          <w:sz w:val="22"/>
          <w:szCs w:val="22"/>
        </w:rPr>
        <w:t>pro OZE.</w:t>
      </w:r>
    </w:p>
    <w:p w14:paraId="46248560" w14:textId="2078B6A6" w:rsidR="00333891" w:rsidRPr="00660A8E" w:rsidRDefault="00333891" w:rsidP="006148A3">
      <w:pPr>
        <w:spacing w:before="120" w:after="180" w:line="264" w:lineRule="auto"/>
        <w:rPr>
          <w:rFonts w:asciiTheme="minorHAnsi" w:hAnsiTheme="minorHAnsi" w:cstheme="minorHAnsi"/>
          <w:sz w:val="22"/>
          <w:szCs w:val="22"/>
        </w:rPr>
      </w:pPr>
      <w:r w:rsidRPr="00660A8E">
        <w:rPr>
          <w:rFonts w:asciiTheme="minorHAnsi" w:hAnsiTheme="minorHAnsi" w:cstheme="minorHAnsi"/>
          <w:sz w:val="22"/>
          <w:szCs w:val="22"/>
        </w:rPr>
        <w:t>Strategické dokumenty ČR v sektoru energetiky a ochrany životního prostředí s eventualitou akceleračních zón zatím nepočítají. Cíl vymezení akceleračních zón tedy není ani v souladu, ani v rozporu s těmito dokumenty. S nutností výrazně navýšit instalovanou kapacitu obnovitelných zdrojů počítá řada dokumentů.</w:t>
      </w:r>
    </w:p>
    <w:p w14:paraId="768DEBDF" w14:textId="77777777" w:rsidR="00333891" w:rsidRPr="00660A8E" w:rsidRDefault="00333891" w:rsidP="00333891">
      <w:pPr>
        <w:spacing w:before="180" w:after="180" w:line="264" w:lineRule="auto"/>
        <w:rPr>
          <w:rFonts w:asciiTheme="minorHAnsi" w:hAnsiTheme="minorHAnsi" w:cstheme="minorHAnsi"/>
          <w:sz w:val="22"/>
          <w:szCs w:val="22"/>
        </w:rPr>
      </w:pPr>
      <w:r w:rsidRPr="00660A8E">
        <w:rPr>
          <w:rFonts w:asciiTheme="minorHAnsi" w:hAnsiTheme="minorHAnsi" w:cstheme="minorHAnsi"/>
          <w:b/>
          <w:bCs/>
          <w:sz w:val="22"/>
          <w:szCs w:val="22"/>
        </w:rPr>
        <w:t>Politika ochrany klimatu (schválena 2017, probíhá aktualizace 2023)</w:t>
      </w:r>
    </w:p>
    <w:p w14:paraId="3D9EC62B" w14:textId="77777777" w:rsidR="00333891" w:rsidRPr="00660A8E" w:rsidRDefault="00333891" w:rsidP="00333891">
      <w:pPr>
        <w:pStyle w:val="Odstavecseseznamem"/>
        <w:numPr>
          <w:ilvl w:val="0"/>
          <w:numId w:val="19"/>
        </w:numPr>
        <w:spacing w:after="0" w:line="264" w:lineRule="auto"/>
        <w:rPr>
          <w:rFonts w:asciiTheme="minorHAnsi" w:hAnsiTheme="minorHAnsi" w:cstheme="minorHAnsi"/>
          <w:sz w:val="22"/>
          <w:szCs w:val="22"/>
        </w:rPr>
      </w:pPr>
      <w:r w:rsidRPr="00660A8E">
        <w:rPr>
          <w:rFonts w:asciiTheme="minorHAnsi" w:hAnsiTheme="minorHAnsi" w:cstheme="minorHAnsi"/>
          <w:sz w:val="22"/>
          <w:szCs w:val="22"/>
        </w:rPr>
        <w:t>Bude rozvinuto tzv. chytré řešení v souladu s plánovaným opatřením 2C) Podpora využívání OZE při výrobě elektrické energie a tepla</w:t>
      </w:r>
    </w:p>
    <w:p w14:paraId="0F2538B7" w14:textId="77777777" w:rsidR="00333891" w:rsidRPr="00660A8E" w:rsidRDefault="00333891" w:rsidP="00333891">
      <w:pPr>
        <w:spacing w:before="180" w:after="180" w:line="264" w:lineRule="auto"/>
        <w:rPr>
          <w:rFonts w:asciiTheme="minorHAnsi" w:hAnsiTheme="minorHAnsi" w:cstheme="minorHAnsi"/>
          <w:sz w:val="22"/>
          <w:szCs w:val="22"/>
        </w:rPr>
      </w:pPr>
      <w:r w:rsidRPr="00660A8E">
        <w:rPr>
          <w:rFonts w:asciiTheme="minorHAnsi" w:hAnsiTheme="minorHAnsi" w:cstheme="minorHAnsi"/>
          <w:b/>
          <w:bCs/>
          <w:sz w:val="22"/>
          <w:szCs w:val="22"/>
        </w:rPr>
        <w:t>Státní energetická koncepce (schválena 2015, probíhá aktualizace 2023)</w:t>
      </w:r>
    </w:p>
    <w:p w14:paraId="21FD76D6" w14:textId="77777777" w:rsidR="00333891" w:rsidRPr="00660A8E" w:rsidRDefault="00333891" w:rsidP="00333891">
      <w:pPr>
        <w:pStyle w:val="Odstavecseseznamem"/>
        <w:numPr>
          <w:ilvl w:val="0"/>
          <w:numId w:val="18"/>
        </w:numPr>
        <w:spacing w:after="0" w:line="264" w:lineRule="auto"/>
        <w:rPr>
          <w:rFonts w:asciiTheme="minorHAnsi" w:hAnsiTheme="minorHAnsi" w:cstheme="minorHAnsi"/>
          <w:sz w:val="22"/>
          <w:szCs w:val="22"/>
        </w:rPr>
      </w:pPr>
      <w:r w:rsidRPr="00660A8E">
        <w:rPr>
          <w:rFonts w:asciiTheme="minorHAnsi" w:hAnsiTheme="minorHAnsi" w:cstheme="minorHAnsi"/>
          <w:sz w:val="22"/>
          <w:szCs w:val="22"/>
        </w:rPr>
        <w:t>Bude plně podpořena Priorita I – Vyvážený energetický mix, a to zejména podporou rozvoje konkurenceschopných OZE s účinnou podporou státu v oblasti povolovacích procesů</w:t>
      </w:r>
    </w:p>
    <w:p w14:paraId="13C4A59E" w14:textId="77777777" w:rsidR="00333891" w:rsidRPr="00660A8E" w:rsidRDefault="00333891" w:rsidP="00333891">
      <w:pPr>
        <w:spacing w:before="180" w:after="180" w:line="264" w:lineRule="auto"/>
        <w:rPr>
          <w:rFonts w:asciiTheme="minorHAnsi" w:hAnsiTheme="minorHAnsi" w:cstheme="minorHAnsi"/>
          <w:sz w:val="22"/>
          <w:szCs w:val="22"/>
        </w:rPr>
      </w:pPr>
      <w:r w:rsidRPr="00660A8E">
        <w:rPr>
          <w:rFonts w:asciiTheme="minorHAnsi" w:hAnsiTheme="minorHAnsi" w:cstheme="minorHAnsi"/>
          <w:b/>
          <w:bCs/>
          <w:sz w:val="22"/>
          <w:szCs w:val="22"/>
        </w:rPr>
        <w:t>Vnitrostátní plán České republiky v oblasti energetiky a klimatu (schválen 1/2020, probíhá aktualizace 2023)</w:t>
      </w:r>
    </w:p>
    <w:p w14:paraId="7A1268E0" w14:textId="77777777" w:rsidR="00333891" w:rsidRPr="00660A8E" w:rsidRDefault="00333891" w:rsidP="00333891">
      <w:pPr>
        <w:pStyle w:val="Odstavecseseznamem"/>
        <w:numPr>
          <w:ilvl w:val="0"/>
          <w:numId w:val="19"/>
        </w:numPr>
        <w:spacing w:after="0" w:line="264" w:lineRule="auto"/>
        <w:rPr>
          <w:rFonts w:asciiTheme="minorHAnsi" w:hAnsiTheme="minorHAnsi" w:cstheme="minorHAnsi"/>
          <w:sz w:val="22"/>
          <w:szCs w:val="22"/>
        </w:rPr>
      </w:pPr>
      <w:r w:rsidRPr="00660A8E">
        <w:rPr>
          <w:rFonts w:asciiTheme="minorHAnsi" w:hAnsiTheme="minorHAnsi" w:cstheme="minorHAnsi"/>
          <w:sz w:val="22"/>
          <w:szCs w:val="22"/>
        </w:rPr>
        <w:t>Počítá se zvýšením instalované kapacity FVE na dvojnásobek do roku 2030 a kapacity VTE na více než dvojnásobek do roku 2030 oproti roku 2018, bude docíleno zjednodušení administrativních postupů jako důležitý krok k cílům snižování emisí uhlíku a energetické bezpečnosti</w:t>
      </w:r>
    </w:p>
    <w:p w14:paraId="2F4E4858" w14:textId="77777777" w:rsidR="00333891" w:rsidRPr="00660A8E" w:rsidRDefault="00333891" w:rsidP="00333891">
      <w:pPr>
        <w:spacing w:after="0" w:line="264" w:lineRule="auto"/>
        <w:rPr>
          <w:rFonts w:asciiTheme="minorHAnsi" w:hAnsiTheme="minorHAnsi" w:cstheme="minorHAnsi"/>
          <w:sz w:val="22"/>
          <w:szCs w:val="22"/>
        </w:rPr>
      </w:pPr>
      <w:r w:rsidRPr="00660A8E">
        <w:rPr>
          <w:rFonts w:asciiTheme="minorHAnsi" w:hAnsiTheme="minorHAnsi" w:cstheme="minorHAnsi"/>
          <w:b/>
          <w:bCs/>
          <w:sz w:val="22"/>
          <w:szCs w:val="22"/>
        </w:rPr>
        <w:t>Národní akční plán České republiky pro energii z obnovitelných zdrojů (2015)</w:t>
      </w:r>
    </w:p>
    <w:p w14:paraId="693A3241" w14:textId="77777777" w:rsidR="00333891" w:rsidRPr="00660A8E" w:rsidRDefault="00333891" w:rsidP="00333891">
      <w:pPr>
        <w:pStyle w:val="Odstavecseseznamem"/>
        <w:numPr>
          <w:ilvl w:val="0"/>
          <w:numId w:val="19"/>
        </w:numPr>
        <w:spacing w:after="0" w:line="264" w:lineRule="auto"/>
        <w:rPr>
          <w:rFonts w:asciiTheme="minorHAnsi" w:hAnsiTheme="minorHAnsi" w:cstheme="minorHAnsi"/>
          <w:sz w:val="22"/>
          <w:szCs w:val="22"/>
        </w:rPr>
      </w:pPr>
      <w:r w:rsidRPr="00660A8E">
        <w:rPr>
          <w:rFonts w:asciiTheme="minorHAnsi" w:hAnsiTheme="minorHAnsi" w:cstheme="minorHAnsi"/>
          <w:sz w:val="22"/>
          <w:szCs w:val="22"/>
        </w:rPr>
        <w:t>Realizace pomáhá zvýšení podílu energie z obnovitelných zdrojů a naplnění opatření 4.2.1 c) Implementace opatření pro zjednodušení schvalovacích procesů do stávající legislativy</w:t>
      </w:r>
    </w:p>
    <w:p w14:paraId="78A6E318" w14:textId="77777777" w:rsidR="00333891" w:rsidRPr="00660A8E" w:rsidRDefault="00333891" w:rsidP="00333891">
      <w:pP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V roce 2023 se koncentruje aktualizace ČR 2030 a několika klíčových strategií z oblasti klimaticko-energetické (Státní energetická koncepce, Vnitrostátní plán ČR v oblasti energetiky a klimatu, Politika ochrany klimatu). V příštím roce bude zároveň aktualizována Strategie ochrany biologické rozmanitosti, nedávno byla naopak aktualizována Strategie přizpůsobení se změně klimatu a adaptační cíle jsou nyní na několik let konsolidovány. </w:t>
      </w:r>
    </w:p>
    <w:p w14:paraId="3562F6BF" w14:textId="77777777" w:rsidR="00333891" w:rsidRPr="00660A8E" w:rsidRDefault="00333891" w:rsidP="00333891">
      <w:pP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V obecné rovině jsou záměry v souladu se Strategií </w:t>
      </w:r>
      <w:r w:rsidRPr="00660A8E">
        <w:rPr>
          <w:rFonts w:asciiTheme="minorHAnsi" w:hAnsiTheme="minorHAnsi" w:cstheme="minorHAnsi"/>
          <w:b/>
          <w:bCs/>
          <w:sz w:val="22"/>
          <w:szCs w:val="22"/>
        </w:rPr>
        <w:t>ČR 2030</w:t>
      </w:r>
      <w:r w:rsidRPr="00660A8E">
        <w:rPr>
          <w:rFonts w:asciiTheme="minorHAnsi" w:hAnsiTheme="minorHAnsi" w:cstheme="minorHAnsi"/>
          <w:sz w:val="22"/>
          <w:szCs w:val="22"/>
        </w:rPr>
        <w:t>. Prostřednictvím tohoto strategického rámce se do českého prostředí převádí globální Cíle udržitelného rozvoje (</w:t>
      </w:r>
      <w:proofErr w:type="spellStart"/>
      <w:r w:rsidRPr="00660A8E">
        <w:rPr>
          <w:rFonts w:asciiTheme="minorHAnsi" w:hAnsiTheme="minorHAnsi" w:cstheme="minorHAnsi"/>
          <w:sz w:val="22"/>
          <w:szCs w:val="22"/>
        </w:rPr>
        <w:t>SDGs</w:t>
      </w:r>
      <w:proofErr w:type="spellEnd"/>
      <w:r w:rsidRPr="00660A8E">
        <w:rPr>
          <w:rFonts w:asciiTheme="minorHAnsi" w:hAnsiTheme="minorHAnsi" w:cstheme="minorHAnsi"/>
          <w:sz w:val="22"/>
          <w:szCs w:val="22"/>
        </w:rPr>
        <w:t>), zároveň jde o střešní strategii rozvoje ČR (aktuálně do roku 2030, výhledově do roku 2035-2040.</w:t>
      </w:r>
    </w:p>
    <w:p w14:paraId="5203CAF5" w14:textId="77777777" w:rsidR="00333891" w:rsidRPr="00660A8E" w:rsidRDefault="00333891" w:rsidP="006148A3">
      <w:pPr>
        <w:spacing w:before="120" w:after="180" w:line="264" w:lineRule="auto"/>
        <w:rPr>
          <w:rFonts w:asciiTheme="minorHAnsi" w:hAnsiTheme="minorHAnsi" w:cstheme="minorHAnsi"/>
          <w:sz w:val="22"/>
          <w:szCs w:val="22"/>
        </w:rPr>
      </w:pPr>
    </w:p>
    <w:p w14:paraId="34FADEAF" w14:textId="77777777" w:rsidR="009442B6" w:rsidRPr="00660A8E" w:rsidRDefault="009442B6" w:rsidP="00DB6B91">
      <w:pPr>
        <w:keepNext/>
        <w:keepLines/>
        <w:numPr>
          <w:ilvl w:val="0"/>
          <w:numId w:val="15"/>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6" w:name="_heading=h.tyjcwt" w:colFirst="0" w:colLast="0"/>
      <w:bookmarkEnd w:id="6"/>
      <w:r w:rsidRPr="00660A8E">
        <w:rPr>
          <w:rFonts w:asciiTheme="minorHAnsi" w:hAnsiTheme="minorHAnsi" w:cstheme="minorHAnsi"/>
          <w:b/>
          <w:sz w:val="22"/>
          <w:szCs w:val="22"/>
        </w:rPr>
        <w:lastRenderedPageBreak/>
        <w:t>Předchozí snahy</w:t>
      </w:r>
    </w:p>
    <w:p w14:paraId="1E8FFE1F" w14:textId="5AFFF4B0" w:rsidR="00AA6DC5" w:rsidRPr="00660A8E" w:rsidRDefault="00DC5452" w:rsidP="00AA6DC5">
      <w:pPr>
        <w:spacing w:before="120"/>
        <w:rPr>
          <w:rFonts w:asciiTheme="minorHAnsi" w:hAnsiTheme="minorHAnsi" w:cstheme="minorHAnsi"/>
          <w:sz w:val="22"/>
          <w:szCs w:val="22"/>
        </w:rPr>
      </w:pPr>
      <w:r w:rsidRPr="00660A8E">
        <w:rPr>
          <w:rFonts w:asciiTheme="minorHAnsi" w:hAnsiTheme="minorHAnsi" w:cstheme="minorHAnsi"/>
          <w:b/>
          <w:sz w:val="22"/>
          <w:szCs w:val="22"/>
        </w:rPr>
        <w:t xml:space="preserve">Integrace </w:t>
      </w:r>
      <w:r w:rsidR="00AA6DC5" w:rsidRPr="00660A8E">
        <w:rPr>
          <w:rFonts w:asciiTheme="minorHAnsi" w:hAnsiTheme="minorHAnsi" w:cstheme="minorHAnsi"/>
          <w:b/>
          <w:sz w:val="22"/>
          <w:szCs w:val="22"/>
        </w:rPr>
        <w:t>povolovacích procesů</w:t>
      </w:r>
      <w:r w:rsidR="00AA6DC5" w:rsidRPr="00660A8E">
        <w:rPr>
          <w:rFonts w:asciiTheme="minorHAnsi" w:hAnsiTheme="minorHAnsi" w:cstheme="minorHAnsi"/>
          <w:sz w:val="22"/>
          <w:szCs w:val="22"/>
        </w:rPr>
        <w:t xml:space="preserve"> v oblasti ochrany životního prostředí byla zamýšlena již novým stavebním zákonem </w:t>
      </w:r>
      <w:r w:rsidR="00FB47FE" w:rsidRPr="00660A8E">
        <w:rPr>
          <w:rFonts w:asciiTheme="minorHAnsi" w:hAnsiTheme="minorHAnsi" w:cstheme="minorHAnsi"/>
          <w:sz w:val="22"/>
          <w:szCs w:val="22"/>
        </w:rPr>
        <w:t xml:space="preserve">(zákon </w:t>
      </w:r>
      <w:r w:rsidR="00AA6DC5" w:rsidRPr="00660A8E">
        <w:rPr>
          <w:rFonts w:asciiTheme="minorHAnsi" w:hAnsiTheme="minorHAnsi" w:cstheme="minorHAnsi"/>
          <w:sz w:val="22"/>
          <w:szCs w:val="22"/>
        </w:rPr>
        <w:t>č. 283/2021 Sb</w:t>
      </w:r>
      <w:r w:rsidR="00FB47FE" w:rsidRPr="00660A8E">
        <w:rPr>
          <w:rFonts w:asciiTheme="minorHAnsi" w:hAnsiTheme="minorHAnsi" w:cstheme="minorHAnsi"/>
          <w:sz w:val="22"/>
          <w:szCs w:val="22"/>
        </w:rPr>
        <w:t>.)</w:t>
      </w:r>
      <w:r w:rsidR="00AA6DC5" w:rsidRPr="00660A8E">
        <w:rPr>
          <w:rFonts w:asciiTheme="minorHAnsi" w:hAnsiTheme="minorHAnsi" w:cstheme="minorHAnsi"/>
          <w:sz w:val="22"/>
          <w:szCs w:val="22"/>
        </w:rPr>
        <w:t>. Ten zavedl novou soustavu orgánů státní stavební správy tvořenou Nejvyšším stavebním úřadem</w:t>
      </w:r>
      <w:r w:rsidR="00AA6DC5" w:rsidRPr="00660A8E">
        <w:rPr>
          <w:rFonts w:asciiTheme="minorHAnsi" w:hAnsiTheme="minorHAnsi" w:cstheme="minorHAnsi"/>
          <w:b/>
          <w:sz w:val="22"/>
          <w:szCs w:val="22"/>
        </w:rPr>
        <w:t xml:space="preserve"> </w:t>
      </w:r>
      <w:r w:rsidR="00AA6DC5" w:rsidRPr="00660A8E">
        <w:rPr>
          <w:rFonts w:asciiTheme="minorHAnsi" w:hAnsiTheme="minorHAnsi" w:cstheme="minorHAnsi"/>
          <w:sz w:val="22"/>
          <w:szCs w:val="22"/>
        </w:rPr>
        <w:t>jakožto ústředním správním úřadem ve věcech územního plánování, stavebního řádu a</w:t>
      </w:r>
      <w:r w:rsidR="00893B75" w:rsidRPr="00660A8E">
        <w:rPr>
          <w:rFonts w:asciiTheme="minorHAnsi" w:hAnsiTheme="minorHAnsi" w:cstheme="minorHAnsi"/>
          <w:sz w:val="22"/>
          <w:szCs w:val="22"/>
        </w:rPr>
        <w:t> </w:t>
      </w:r>
      <w:r w:rsidR="00AA6DC5" w:rsidRPr="00660A8E">
        <w:rPr>
          <w:rFonts w:asciiTheme="minorHAnsi" w:hAnsiTheme="minorHAnsi" w:cstheme="minorHAnsi"/>
          <w:sz w:val="22"/>
          <w:szCs w:val="22"/>
        </w:rPr>
        <w:t xml:space="preserve">vyvlastnění, dále Specializovaným a odvolacím stavebním úřadem jakožto stavebním úřadem s celostátní působností ve věcech stavebního řádu pro tzv. vyhrazené stavby (stavby dálnic a drah, letecké stavby, stavby definovaných vodních nádrží apod.); posledním stupněm státní stavební správy </w:t>
      </w:r>
      <w:r w:rsidR="00FB47FE" w:rsidRPr="00660A8E">
        <w:rPr>
          <w:rFonts w:asciiTheme="minorHAnsi" w:hAnsiTheme="minorHAnsi" w:cstheme="minorHAnsi"/>
          <w:sz w:val="22"/>
          <w:szCs w:val="22"/>
        </w:rPr>
        <w:t xml:space="preserve">měly být </w:t>
      </w:r>
      <w:r w:rsidR="00AA6DC5" w:rsidRPr="00660A8E">
        <w:rPr>
          <w:rFonts w:asciiTheme="minorHAnsi" w:hAnsiTheme="minorHAnsi" w:cstheme="minorHAnsi"/>
          <w:sz w:val="22"/>
          <w:szCs w:val="22"/>
        </w:rPr>
        <w:t>krajské stavební úřady jakožto územní správní úřady ve věcech stavebního řádu, které m</w:t>
      </w:r>
      <w:r w:rsidR="00FB47FE" w:rsidRPr="00660A8E">
        <w:rPr>
          <w:rFonts w:asciiTheme="minorHAnsi" w:hAnsiTheme="minorHAnsi" w:cstheme="minorHAnsi"/>
          <w:sz w:val="22"/>
          <w:szCs w:val="22"/>
        </w:rPr>
        <w:t xml:space="preserve">ěly </w:t>
      </w:r>
      <w:r w:rsidR="00AA6DC5" w:rsidRPr="00660A8E">
        <w:rPr>
          <w:rFonts w:asciiTheme="minorHAnsi" w:hAnsiTheme="minorHAnsi" w:cstheme="minorHAnsi"/>
          <w:sz w:val="22"/>
          <w:szCs w:val="22"/>
        </w:rPr>
        <w:t xml:space="preserve">pokrývat území jednotlivých krajů. Úprava nové soustavy orgánů státní stavební správy </w:t>
      </w:r>
      <w:r w:rsidR="00C549D5" w:rsidRPr="00660A8E">
        <w:rPr>
          <w:rFonts w:asciiTheme="minorHAnsi" w:hAnsiTheme="minorHAnsi" w:cstheme="minorHAnsi"/>
          <w:sz w:val="22"/>
          <w:szCs w:val="22"/>
        </w:rPr>
        <w:t>nabyla účinnosti</w:t>
      </w:r>
      <w:r w:rsidR="00AA6DC5" w:rsidRPr="00660A8E">
        <w:rPr>
          <w:rFonts w:asciiTheme="minorHAnsi" w:hAnsiTheme="minorHAnsi" w:cstheme="minorHAnsi"/>
          <w:sz w:val="22"/>
          <w:szCs w:val="22"/>
        </w:rPr>
        <w:t xml:space="preserve"> k 1. lednu 2022.</w:t>
      </w:r>
      <w:r w:rsidR="00F96585" w:rsidRPr="00660A8E">
        <w:rPr>
          <w:rFonts w:asciiTheme="minorHAnsi" w:hAnsiTheme="minorHAnsi" w:cstheme="minorHAnsi"/>
          <w:sz w:val="22"/>
          <w:szCs w:val="22"/>
        </w:rPr>
        <w:t xml:space="preserve"> S ohledem na avizované změny však fakticky dosud nevznikla.</w:t>
      </w:r>
    </w:p>
    <w:p w14:paraId="5500547A" w14:textId="07B80681" w:rsidR="00AA6DC5" w:rsidRPr="00660A8E" w:rsidRDefault="00AA6DC5" w:rsidP="00AA6DC5">
      <w:pPr>
        <w:spacing w:before="120"/>
        <w:rPr>
          <w:rFonts w:asciiTheme="minorHAnsi" w:hAnsiTheme="minorHAnsi" w:cstheme="minorHAnsi"/>
          <w:sz w:val="22"/>
          <w:szCs w:val="22"/>
        </w:rPr>
      </w:pPr>
      <w:r w:rsidRPr="00660A8E">
        <w:rPr>
          <w:rFonts w:asciiTheme="minorHAnsi" w:hAnsiTheme="minorHAnsi" w:cstheme="minorHAnsi"/>
          <w:sz w:val="22"/>
          <w:szCs w:val="22"/>
        </w:rPr>
        <w:t xml:space="preserve">V návaznosti na stavební zákon novelizoval související (doprovodný) tzv. změnový zákon (č. 284/2021 Sb.) většinu předpisů na úseku ochrany životního prostředí. K nejvýznamnějším změnám došlo na úseku posuzování vlivů na životní prostředí, ochrany přírody a krajiny, ochrany zemědělského půdního fondu, ochrany lesa, ochrany vod, ochrany ovzduší a prevence závažných havárií. </w:t>
      </w:r>
    </w:p>
    <w:p w14:paraId="70561F5B" w14:textId="1B6789D5" w:rsidR="00AA6DC5" w:rsidRPr="00660A8E" w:rsidRDefault="00AA6DC5" w:rsidP="00AA6DC5">
      <w:pPr>
        <w:spacing w:before="120"/>
        <w:rPr>
          <w:rFonts w:asciiTheme="minorHAnsi" w:hAnsiTheme="minorHAnsi" w:cstheme="minorHAnsi"/>
          <w:sz w:val="22"/>
          <w:szCs w:val="22"/>
        </w:rPr>
      </w:pPr>
      <w:r w:rsidRPr="00660A8E">
        <w:rPr>
          <w:rFonts w:asciiTheme="minorHAnsi" w:hAnsiTheme="minorHAnsi" w:cstheme="minorHAnsi"/>
          <w:sz w:val="22"/>
          <w:szCs w:val="22"/>
        </w:rPr>
        <w:t xml:space="preserve">Ve věci povolování záměrů (zejména staveb) stavební a změnový zákon s cílem zrychlit povolovací proces pro záměry v působnosti stavebního zákona integroval podstatnou část kompetencí, tj. agendy dnešních dotčených orgánů do působnosti orgánů státní stavební správy. Agenda dnes vykonávaná dotčenými orgány </w:t>
      </w:r>
      <w:r w:rsidR="00FB47FE" w:rsidRPr="00660A8E">
        <w:rPr>
          <w:rFonts w:asciiTheme="minorHAnsi" w:hAnsiTheme="minorHAnsi" w:cstheme="minorHAnsi"/>
          <w:sz w:val="22"/>
          <w:szCs w:val="22"/>
        </w:rPr>
        <w:t xml:space="preserve">měla </w:t>
      </w:r>
      <w:r w:rsidRPr="00660A8E">
        <w:rPr>
          <w:rFonts w:asciiTheme="minorHAnsi" w:hAnsiTheme="minorHAnsi" w:cstheme="minorHAnsi"/>
          <w:sz w:val="22"/>
          <w:szCs w:val="22"/>
        </w:rPr>
        <w:t>tak s účinností nového stavebního zákona pře</w:t>
      </w:r>
      <w:r w:rsidR="00FB47FE" w:rsidRPr="00660A8E">
        <w:rPr>
          <w:rFonts w:asciiTheme="minorHAnsi" w:hAnsiTheme="minorHAnsi" w:cstheme="minorHAnsi"/>
          <w:sz w:val="22"/>
          <w:szCs w:val="22"/>
        </w:rPr>
        <w:t xml:space="preserve">jít </w:t>
      </w:r>
      <w:r w:rsidRPr="00660A8E">
        <w:rPr>
          <w:rFonts w:asciiTheme="minorHAnsi" w:hAnsiTheme="minorHAnsi" w:cstheme="minorHAnsi"/>
          <w:sz w:val="22"/>
          <w:szCs w:val="22"/>
        </w:rPr>
        <w:t xml:space="preserve">na stavební úřady. Z hlediska předpisů upravujících působnost dotčených orgánů by se tak stavební úřady ve vymezených věcech nově staly i orgány působícími na jiných úsecích veřejné správy, včetně oblasti ochrany životního prostředí (orgán posuzování vlivů na životní prostředí, orgán ochrany přírody, orgán ochrany zemědělského půdního fondu, vodoprávní úřad apod.). Součástí řízení vedeného stavebním úřadem by tak bylo rovněž rozhodování o otázkách, které doposud, podle platného a účinného stavebního zákona (zákon č. 183/2006 Sb.) zajišťují dotčené orgány, zejména formou závazných stanovisek. </w:t>
      </w:r>
    </w:p>
    <w:p w14:paraId="54786C60" w14:textId="6E1F802D" w:rsidR="00DC5452" w:rsidRPr="00660A8E" w:rsidRDefault="00AA6DC5" w:rsidP="00F96585">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Přijatá právní úprava však </w:t>
      </w:r>
      <w:r w:rsidR="00C212B9" w:rsidRPr="00660A8E">
        <w:rPr>
          <w:rFonts w:asciiTheme="minorHAnsi" w:hAnsiTheme="minorHAnsi" w:cstheme="minorHAnsi"/>
          <w:sz w:val="22"/>
          <w:szCs w:val="22"/>
        </w:rPr>
        <w:t>nedostatečně chránila</w:t>
      </w:r>
      <w:r w:rsidRPr="00660A8E">
        <w:rPr>
          <w:rFonts w:asciiTheme="minorHAnsi" w:hAnsiTheme="minorHAnsi" w:cstheme="minorHAnsi"/>
          <w:sz w:val="22"/>
          <w:szCs w:val="22"/>
        </w:rPr>
        <w:t xml:space="preserve"> zájmy životního prostředí. S tímto cílem bylo od plné integrace novelou stavebního zákona (společně se zákonem o jednotném environmentálním stanovisku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jeho doprovodným zákonem) upuštěno. Snaha zjednodušit a</w:t>
      </w:r>
      <w:r w:rsidR="004E783B" w:rsidRPr="00660A8E">
        <w:rPr>
          <w:rFonts w:asciiTheme="minorHAnsi" w:hAnsiTheme="minorHAnsi" w:cstheme="minorHAnsi"/>
          <w:sz w:val="22"/>
          <w:szCs w:val="22"/>
        </w:rPr>
        <w:t> </w:t>
      </w:r>
      <w:r w:rsidRPr="00660A8E">
        <w:rPr>
          <w:rFonts w:asciiTheme="minorHAnsi" w:hAnsiTheme="minorHAnsi" w:cstheme="minorHAnsi"/>
          <w:sz w:val="22"/>
          <w:szCs w:val="22"/>
        </w:rPr>
        <w:t>zefektivnit povolovací postupy v oblasti ochrany životního prostředí je naplněna právě zavedením institutu jednotného environmentálního stanoviska.</w:t>
      </w:r>
    </w:p>
    <w:p w14:paraId="4BD96630" w14:textId="72136C56" w:rsidR="00DC5452" w:rsidRPr="00660A8E" w:rsidRDefault="00F96585" w:rsidP="00F96585">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Jedná se o zcela nový institut v českém právním řádu. Předchozí snahy proto nelze relevantně uvést.</w:t>
      </w:r>
    </w:p>
    <w:p w14:paraId="6532E01A" w14:textId="514EA4B8"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Reforma spočívající ve </w:t>
      </w:r>
      <w:r w:rsidRPr="00660A8E">
        <w:rPr>
          <w:rFonts w:asciiTheme="minorHAnsi" w:hAnsiTheme="minorHAnsi" w:cstheme="minorHAnsi"/>
          <w:b/>
          <w:sz w:val="22"/>
          <w:szCs w:val="22"/>
        </w:rPr>
        <w:t>vymezení akceleračních zón</w:t>
      </w:r>
      <w:r w:rsidRPr="00660A8E">
        <w:rPr>
          <w:rFonts w:asciiTheme="minorHAnsi" w:hAnsiTheme="minorHAnsi" w:cstheme="minorHAnsi"/>
          <w:sz w:val="22"/>
          <w:szCs w:val="22"/>
        </w:rPr>
        <w:t xml:space="preserve"> naváže na přípravný projekt </w:t>
      </w:r>
      <w:r w:rsidRPr="00660A8E">
        <w:rPr>
          <w:rFonts w:asciiTheme="minorHAnsi" w:hAnsiTheme="minorHAnsi" w:cstheme="minorHAnsi"/>
          <w:b/>
          <w:i/>
          <w:sz w:val="22"/>
          <w:szCs w:val="22"/>
        </w:rPr>
        <w:t xml:space="preserve">„Návrh ploch pro umístění obnovitelných zdrojů energie (tzv. go-to </w:t>
      </w:r>
      <w:proofErr w:type="spellStart"/>
      <w:r w:rsidRPr="00660A8E">
        <w:rPr>
          <w:rFonts w:asciiTheme="minorHAnsi" w:hAnsiTheme="minorHAnsi" w:cstheme="minorHAnsi"/>
          <w:b/>
          <w:i/>
          <w:sz w:val="22"/>
          <w:szCs w:val="22"/>
        </w:rPr>
        <w:t>areas</w:t>
      </w:r>
      <w:proofErr w:type="spellEnd"/>
      <w:r w:rsidRPr="00660A8E">
        <w:rPr>
          <w:rFonts w:asciiTheme="minorHAnsi" w:hAnsiTheme="minorHAnsi" w:cstheme="minorHAnsi"/>
          <w:b/>
          <w:i/>
          <w:sz w:val="22"/>
          <w:szCs w:val="22"/>
        </w:rPr>
        <w:t>) v České republice“</w:t>
      </w:r>
      <w:r w:rsidRPr="00660A8E">
        <w:rPr>
          <w:rFonts w:asciiTheme="minorHAnsi" w:hAnsiTheme="minorHAnsi" w:cstheme="minorHAnsi"/>
          <w:sz w:val="22"/>
          <w:szCs w:val="22"/>
        </w:rPr>
        <w:t xml:space="preserve">, který řeší VÚKOZ v období 3/2023-6/2023. Jeho cílem je nasbírat maximum existujících mapových vrstev a provést GIS analýzu s cílem identifikovat vhodné lokality bez významných vlivů potenciálních záměrů na životní prostředí, památky, veřejné zdraví apod. Tento projekt s limitovaným rozpočtem 2 mil. Kč ještě není u konce, ale již nyní je zjevné, že jeho výstupy budou pouhým začátkem na dlouhé cestě k úplné transpozici chystaných revizí směrnice RED II. Důvody jsou tyto: (1.) Některé mapové vrstvy nebudou řešitelům poskytnuty včas, anebo se teprve vytváří. Jde o vrstvy týkající se např. pozic a dosahu vojenských radarů, ochrany krajinného rázu, výskytu ptáků, přípojných bodů elektrické sítě apod. Se dotvářením a sběrem vrstev bude třeba pokračovat. (2.) Projekt cílí na vyhledání území s žádnými, resp. jen se zanedbatelnými limity. Lze očekávat, že tyto plochy ke splnění klimatických cílů stačit nebudou. Identifikace území dotčených pouze „soft limity“ si však bude vyžadovat další práci na racionálně obhajitelné prioritizaci veřejných zájmů. (3.) Finální GIS model právní regulaci </w:t>
      </w:r>
      <w:r w:rsidRPr="00660A8E">
        <w:rPr>
          <w:rFonts w:asciiTheme="minorHAnsi" w:hAnsiTheme="minorHAnsi" w:cstheme="minorHAnsi"/>
          <w:sz w:val="22"/>
          <w:szCs w:val="22"/>
        </w:rPr>
        <w:lastRenderedPageBreak/>
        <w:t xml:space="preserve">nezmění, bude podkladem pro Politiku územního rozvoje a další koncepční dokumenty. Další změny bude potřeba navrhnout a projednat s dotčenými stakeholdery, a to s ohledem na obtížnost problematiky v expertních kolektivech. Tento proces, jakož i komunikační strategie projektu, si vyžádají nasazení dedikované skupiny expertů, příp. </w:t>
      </w:r>
      <w:proofErr w:type="spellStart"/>
      <w:r w:rsidRPr="00660A8E">
        <w:rPr>
          <w:rFonts w:asciiTheme="minorHAnsi" w:hAnsiTheme="minorHAnsi" w:cstheme="minorHAnsi"/>
          <w:sz w:val="22"/>
          <w:szCs w:val="22"/>
        </w:rPr>
        <w:t>outsourcování</w:t>
      </w:r>
      <w:proofErr w:type="spellEnd"/>
      <w:r w:rsidRPr="00660A8E">
        <w:rPr>
          <w:rFonts w:asciiTheme="minorHAnsi" w:hAnsiTheme="minorHAnsi" w:cstheme="minorHAnsi"/>
          <w:sz w:val="22"/>
          <w:szCs w:val="22"/>
        </w:rPr>
        <w:t xml:space="preserve"> na specializované organizace. </w:t>
      </w:r>
    </w:p>
    <w:p w14:paraId="6BCC340A" w14:textId="77777777"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Při přípravě reformy budou zužitkována cenná vstupní data dalších úspěšných výzkumných projektů. Například projekt </w:t>
      </w:r>
      <w:proofErr w:type="spellStart"/>
      <w:r w:rsidRPr="00660A8E">
        <w:rPr>
          <w:rFonts w:asciiTheme="minorHAnsi" w:hAnsiTheme="minorHAnsi" w:cstheme="minorHAnsi"/>
          <w:sz w:val="22"/>
          <w:szCs w:val="22"/>
        </w:rPr>
        <w:t>Divland</w:t>
      </w:r>
      <w:proofErr w:type="spellEnd"/>
      <w:r w:rsidRPr="00660A8E">
        <w:rPr>
          <w:rFonts w:asciiTheme="minorHAnsi" w:hAnsiTheme="minorHAnsi" w:cstheme="minorHAnsi"/>
          <w:sz w:val="22"/>
          <w:szCs w:val="22"/>
        </w:rPr>
        <w:t xml:space="preserve"> řešený konsorciem vědeckých institucí v letech 2021-2026, směřuje k poznání dosavadního vývoje přírody a krajiny, vyhodnocení aktuálních trendů proměňujících se ekosystémů nebo odhalování prostorového rozložení biodiverzity a ohrožujících faktorů. </w:t>
      </w:r>
    </w:p>
    <w:p w14:paraId="13F5415F" w14:textId="77777777"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Pro vyhodnocení heterogenity trvalých travních porostů budou využity též výstupy hodnocení regionální systémové integrity (CGI &amp; Člověk v tísni).</w:t>
      </w:r>
    </w:p>
    <w:p w14:paraId="42D995FB" w14:textId="77777777"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Další projekty předcházející aktuálním snahám: </w:t>
      </w:r>
    </w:p>
    <w:p w14:paraId="305B8810" w14:textId="2FBAA2EB"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proofErr w:type="spellStart"/>
      <w:r w:rsidRPr="00660A8E">
        <w:rPr>
          <w:rFonts w:asciiTheme="minorHAnsi" w:hAnsiTheme="minorHAnsi" w:cstheme="minorHAnsi"/>
          <w:b/>
          <w:i/>
          <w:sz w:val="22"/>
          <w:szCs w:val="22"/>
        </w:rPr>
        <w:t>ReStEP</w:t>
      </w:r>
      <w:proofErr w:type="spellEnd"/>
      <w:r w:rsidRPr="00660A8E">
        <w:rPr>
          <w:rFonts w:asciiTheme="minorHAnsi" w:hAnsiTheme="minorHAnsi" w:cstheme="minorHAnsi"/>
          <w:b/>
          <w:i/>
          <w:sz w:val="22"/>
          <w:szCs w:val="22"/>
        </w:rPr>
        <w:t xml:space="preserve"> - </w:t>
      </w:r>
      <w:proofErr w:type="spellStart"/>
      <w:r w:rsidRPr="00660A8E">
        <w:rPr>
          <w:rFonts w:asciiTheme="minorHAnsi" w:hAnsiTheme="minorHAnsi" w:cstheme="minorHAnsi"/>
          <w:b/>
          <w:i/>
          <w:sz w:val="22"/>
          <w:szCs w:val="22"/>
        </w:rPr>
        <w:t>Regional</w:t>
      </w:r>
      <w:proofErr w:type="spellEnd"/>
      <w:r w:rsidRPr="00660A8E">
        <w:rPr>
          <w:rFonts w:asciiTheme="minorHAnsi" w:hAnsiTheme="minorHAnsi" w:cstheme="minorHAnsi"/>
          <w:b/>
          <w:i/>
          <w:sz w:val="22"/>
          <w:szCs w:val="22"/>
        </w:rPr>
        <w:t xml:space="preserve"> Sustainable Energy Policy based on the </w:t>
      </w:r>
      <w:proofErr w:type="spellStart"/>
      <w:r w:rsidRPr="00660A8E">
        <w:rPr>
          <w:rFonts w:asciiTheme="minorHAnsi" w:hAnsiTheme="minorHAnsi" w:cstheme="minorHAnsi"/>
          <w:b/>
          <w:i/>
          <w:sz w:val="22"/>
          <w:szCs w:val="22"/>
        </w:rPr>
        <w:t>Interactive</w:t>
      </w:r>
      <w:proofErr w:type="spellEnd"/>
      <w:r w:rsidRPr="00660A8E">
        <w:rPr>
          <w:rFonts w:asciiTheme="minorHAnsi" w:hAnsiTheme="minorHAnsi" w:cstheme="minorHAnsi"/>
          <w:b/>
          <w:i/>
          <w:sz w:val="22"/>
          <w:szCs w:val="22"/>
        </w:rPr>
        <w:t xml:space="preserve"> Map of </w:t>
      </w:r>
      <w:proofErr w:type="spellStart"/>
      <w:r w:rsidRPr="00660A8E">
        <w:rPr>
          <w:rFonts w:asciiTheme="minorHAnsi" w:hAnsiTheme="minorHAnsi" w:cstheme="minorHAnsi"/>
          <w:b/>
          <w:i/>
          <w:sz w:val="22"/>
          <w:szCs w:val="22"/>
        </w:rPr>
        <w:t>Sources</w:t>
      </w:r>
      <w:proofErr w:type="spellEnd"/>
      <w:r w:rsidRPr="00660A8E">
        <w:rPr>
          <w:rFonts w:asciiTheme="minorHAnsi" w:hAnsiTheme="minorHAnsi" w:cstheme="minorHAnsi"/>
          <w:sz w:val="22"/>
          <w:szCs w:val="22"/>
        </w:rPr>
        <w:t>. Cílem projektu ČZU z</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let 2011 až 2014 s rozpočtem 1,58 mil. EUR bylo vypracovat a legislativně ukotvit novou komplexní metodiku posuzování výstavby a provozu obnovitelných zdrojů energie a výroben biopaliv využívající interaktivní mapu podmínek pro obnovitelné a alternativní zdroje energie. Cílem bylo dále vytvořit na základě existujícího software a datových zdrojů inovativní nástroj k objektivnímu rozhodování o využití přírodních zdrojů a prostředí pro energetické účely, ke stanovení podmínek pro rozvoj udržitelné energetiky při zachování biodiverzity, potravinové a energetické bezpečnosti a respektování lokálních podmínek a vlivů na životní prostředí.</w:t>
      </w:r>
    </w:p>
    <w:p w14:paraId="427FAB66" w14:textId="77777777"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Klíčovým nedostatkem </w:t>
      </w:r>
      <w:proofErr w:type="spellStart"/>
      <w:r w:rsidRPr="00660A8E">
        <w:rPr>
          <w:rFonts w:asciiTheme="minorHAnsi" w:hAnsiTheme="minorHAnsi" w:cstheme="minorHAnsi"/>
          <w:sz w:val="22"/>
          <w:szCs w:val="22"/>
        </w:rPr>
        <w:t>ReStEPu</w:t>
      </w:r>
      <w:proofErr w:type="spellEnd"/>
      <w:r w:rsidRPr="00660A8E">
        <w:rPr>
          <w:rFonts w:asciiTheme="minorHAnsi" w:hAnsiTheme="minorHAnsi" w:cstheme="minorHAnsi"/>
          <w:sz w:val="22"/>
          <w:szCs w:val="22"/>
        </w:rPr>
        <w:t xml:space="preserve"> je zastaralost některých datových sad. Přestože některé datové sady musí orgány státní správy povinně průběžně aktualizovat (př. ZABAGED), tyto změny se nepropisují do nástroje </w:t>
      </w:r>
      <w:proofErr w:type="spellStart"/>
      <w:r w:rsidRPr="00660A8E">
        <w:rPr>
          <w:rFonts w:asciiTheme="minorHAnsi" w:hAnsiTheme="minorHAnsi" w:cstheme="minorHAnsi"/>
          <w:sz w:val="22"/>
          <w:szCs w:val="22"/>
        </w:rPr>
        <w:t>ReStEP</w:t>
      </w:r>
      <w:proofErr w:type="spellEnd"/>
      <w:r w:rsidRPr="00660A8E">
        <w:rPr>
          <w:rFonts w:asciiTheme="minorHAnsi" w:hAnsiTheme="minorHAnsi" w:cstheme="minorHAnsi"/>
          <w:sz w:val="22"/>
          <w:szCs w:val="22"/>
        </w:rPr>
        <w:t xml:space="preserve"> a z hlediska úředníků i běžných občanů je proto výstup projektu těžko využitelný.</w:t>
      </w:r>
    </w:p>
    <w:p w14:paraId="36DF3CE0" w14:textId="77777777"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b/>
          <w:i/>
          <w:sz w:val="22"/>
          <w:szCs w:val="22"/>
        </w:rPr>
        <w:t>Limity využití půdy</w:t>
      </w:r>
      <w:r w:rsidRPr="00660A8E">
        <w:rPr>
          <w:rFonts w:asciiTheme="minorHAnsi" w:hAnsiTheme="minorHAnsi" w:cstheme="minorHAnsi"/>
          <w:sz w:val="22"/>
          <w:szCs w:val="22"/>
        </w:rPr>
        <w:t xml:space="preserve">. Aplikace „Limity využití půdy“ vytvořená Výzkumným ústavem meliorací a ochrany půdy, </w:t>
      </w:r>
      <w:proofErr w:type="spellStart"/>
      <w:r w:rsidRPr="00660A8E">
        <w:rPr>
          <w:rFonts w:asciiTheme="minorHAnsi" w:hAnsiTheme="minorHAnsi" w:cstheme="minorHAnsi"/>
          <w:sz w:val="22"/>
          <w:szCs w:val="22"/>
        </w:rPr>
        <w:t>v.v.i</w:t>
      </w:r>
      <w:proofErr w:type="spellEnd"/>
      <w:r w:rsidRPr="00660A8E">
        <w:rPr>
          <w:rFonts w:asciiTheme="minorHAnsi" w:hAnsiTheme="minorHAnsi" w:cstheme="minorHAnsi"/>
          <w:sz w:val="22"/>
          <w:szCs w:val="22"/>
        </w:rPr>
        <w:t>. má sloužit jako nástroj objektivního hodnocení záměrů v krajině s ohledem na potřebu ochrany zemědělské půdy. Netýká se tedy přímo umisťování obnovitelných zdrojů, ale všech typů záměrů. Její funkcí není vytipovat všechny vhodné oblasti pro určitý typ záměru (např. VTE), ale poskytnout uživateli maximum informací o dotčenosti konkrétní parcely veřejnými zájmy, resp. o vyhledání příbuzné parcely dotčené méně. Jako taková shromažďuje data vedená ČÚZK, SZIF nebo AOPK.</w:t>
      </w:r>
    </w:p>
    <w:p w14:paraId="6E300511" w14:textId="55DB178B" w:rsidR="00573CD3" w:rsidRPr="00660A8E" w:rsidRDefault="00573CD3" w:rsidP="00573CD3">
      <w:pPr>
        <w:pBdr>
          <w:top w:val="nil"/>
          <w:left w:val="nil"/>
          <w:bottom w:val="nil"/>
          <w:right w:val="nil"/>
          <w:between w:val="nil"/>
        </w:pBdr>
        <w:spacing w:before="120" w:after="0"/>
        <w:rPr>
          <w:rFonts w:asciiTheme="minorHAnsi" w:hAnsiTheme="minorHAnsi" w:cstheme="minorHAnsi"/>
          <w:sz w:val="22"/>
          <w:szCs w:val="22"/>
        </w:rPr>
      </w:pPr>
      <w:r w:rsidRPr="00660A8E">
        <w:rPr>
          <w:rFonts w:asciiTheme="minorHAnsi" w:hAnsiTheme="minorHAnsi" w:cstheme="minorHAnsi"/>
          <w:sz w:val="22"/>
          <w:szCs w:val="22"/>
        </w:rPr>
        <w:t>Ani tato data nejsou “živá”. A protože projekt dále neběží, data zastarávají. Některé datové sady navíc úplně chybí (památková ochrana, letové koridory atd.). Aplikace „Limity využití půdy“ obecně nebyla vyvíjena s</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 xml:space="preserve">cílem porovnat celé </w:t>
      </w:r>
      <w:proofErr w:type="spellStart"/>
      <w:r w:rsidRPr="00660A8E">
        <w:rPr>
          <w:rFonts w:asciiTheme="minorHAnsi" w:hAnsiTheme="minorHAnsi" w:cstheme="minorHAnsi"/>
          <w:sz w:val="22"/>
          <w:szCs w:val="22"/>
        </w:rPr>
        <w:t>subregiony</w:t>
      </w:r>
      <w:proofErr w:type="spellEnd"/>
      <w:r w:rsidRPr="00660A8E">
        <w:rPr>
          <w:rFonts w:asciiTheme="minorHAnsi" w:hAnsiTheme="minorHAnsi" w:cstheme="minorHAnsi"/>
          <w:sz w:val="22"/>
          <w:szCs w:val="22"/>
        </w:rPr>
        <w:t xml:space="preserve"> z hlediska limitů pro výstavbu OZE.</w:t>
      </w:r>
    </w:p>
    <w:p w14:paraId="31A5602B"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7" w:name="_heading=h.3dy6vkm" w:colFirst="0" w:colLast="0"/>
      <w:bookmarkEnd w:id="7"/>
      <w:r w:rsidRPr="00660A8E">
        <w:rPr>
          <w:rFonts w:asciiTheme="minorHAnsi" w:hAnsiTheme="minorHAnsi" w:cstheme="minorHAnsi"/>
          <w:b/>
          <w:sz w:val="22"/>
          <w:szCs w:val="22"/>
        </w:rPr>
        <w:t xml:space="preserve">3. Popis reforem a investic komponenty </w:t>
      </w:r>
    </w:p>
    <w:p w14:paraId="3067294A" w14:textId="77777777" w:rsidR="009442B6" w:rsidRPr="00660A8E" w:rsidRDefault="009442B6" w:rsidP="00DB6B91">
      <w:pPr>
        <w:keepNext/>
        <w:keepLines/>
        <w:numPr>
          <w:ilvl w:val="0"/>
          <w:numId w:val="16"/>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8" w:name="_heading=h.1t3h5sf" w:colFirst="0" w:colLast="0"/>
      <w:bookmarkEnd w:id="8"/>
      <w:r w:rsidRPr="00660A8E">
        <w:rPr>
          <w:rFonts w:asciiTheme="minorHAnsi" w:hAnsiTheme="minorHAnsi" w:cstheme="minorHAnsi"/>
          <w:b/>
          <w:sz w:val="22"/>
          <w:szCs w:val="22"/>
        </w:rPr>
        <w:t xml:space="preserve">Popis reforem </w:t>
      </w:r>
    </w:p>
    <w:p w14:paraId="00A7C34B" w14:textId="76F95B37" w:rsidR="009442B6" w:rsidRPr="00660A8E" w:rsidRDefault="00573CD3" w:rsidP="4F0B69F9">
      <w:pPr>
        <w:pBdr>
          <w:top w:val="nil"/>
          <w:left w:val="nil"/>
          <w:bottom w:val="nil"/>
          <w:right w:val="nil"/>
          <w:between w:val="nil"/>
        </w:pBdr>
        <w:spacing w:before="120" w:after="0" w:line="240" w:lineRule="auto"/>
        <w:rPr>
          <w:rFonts w:asciiTheme="minorHAnsi" w:hAnsiTheme="minorHAnsi" w:cstheme="minorBidi"/>
          <w:sz w:val="22"/>
          <w:szCs w:val="22"/>
        </w:rPr>
      </w:pPr>
      <w:r w:rsidRPr="4F0B69F9">
        <w:rPr>
          <w:rFonts w:asciiTheme="minorHAnsi" w:hAnsiTheme="minorHAnsi" w:cstheme="minorBidi"/>
          <w:b/>
          <w:bCs/>
          <w:sz w:val="22"/>
          <w:szCs w:val="22"/>
        </w:rPr>
        <w:t>7.</w:t>
      </w:r>
      <w:r w:rsidR="004C4A89">
        <w:rPr>
          <w:rFonts w:asciiTheme="minorHAnsi" w:hAnsiTheme="minorHAnsi" w:cstheme="minorBidi"/>
          <w:b/>
          <w:bCs/>
          <w:sz w:val="22"/>
          <w:szCs w:val="22"/>
        </w:rPr>
        <w:t>7</w:t>
      </w:r>
      <w:r w:rsidRPr="4F0B69F9">
        <w:rPr>
          <w:rFonts w:asciiTheme="minorHAnsi" w:hAnsiTheme="minorHAnsi" w:cstheme="minorBidi"/>
          <w:b/>
          <w:bCs/>
          <w:sz w:val="22"/>
          <w:szCs w:val="22"/>
        </w:rPr>
        <w:t xml:space="preserve">.1 </w:t>
      </w:r>
      <w:r w:rsidR="6050C588" w:rsidRPr="4F0B69F9">
        <w:rPr>
          <w:rFonts w:asciiTheme="minorHAnsi" w:hAnsiTheme="minorHAnsi" w:cstheme="minorBidi"/>
          <w:b/>
          <w:bCs/>
          <w:sz w:val="22"/>
          <w:szCs w:val="22"/>
        </w:rPr>
        <w:t>Jednotné environmentální stanovisko</w:t>
      </w:r>
    </w:p>
    <w:p w14:paraId="3EFBCBB2" w14:textId="77777777" w:rsidR="009442B6" w:rsidRPr="00660A8E" w:rsidRDefault="009442B6" w:rsidP="00DB6B91">
      <w:pPr>
        <w:pBdr>
          <w:top w:val="nil"/>
          <w:left w:val="nil"/>
          <w:bottom w:val="nil"/>
          <w:right w:val="nil"/>
          <w:between w:val="nil"/>
        </w:pBdr>
        <w:spacing w:before="120" w:after="0" w:line="240" w:lineRule="auto"/>
        <w:rPr>
          <w:rFonts w:asciiTheme="minorHAnsi" w:hAnsiTheme="minorHAnsi" w:cstheme="minorHAnsi"/>
          <w:i/>
          <w:sz w:val="22"/>
          <w:szCs w:val="22"/>
        </w:rPr>
      </w:pPr>
    </w:p>
    <w:tbl>
      <w:tblPr>
        <w:tblStyle w:val="1"/>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8004E7" w:rsidRPr="00660A8E" w14:paraId="3F20112C" w14:textId="77777777" w:rsidTr="0061500C">
        <w:tc>
          <w:tcPr>
            <w:tcW w:w="2405" w:type="dxa"/>
            <w:vAlign w:val="center"/>
          </w:tcPr>
          <w:p w14:paraId="5CC22F06"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Výzva</w:t>
            </w:r>
          </w:p>
        </w:tc>
        <w:tc>
          <w:tcPr>
            <w:tcW w:w="7223" w:type="dxa"/>
            <w:vAlign w:val="center"/>
          </w:tcPr>
          <w:p w14:paraId="2092E9CD" w14:textId="37AFE174" w:rsidR="009442B6" w:rsidRPr="00660A8E" w:rsidRDefault="00192EC7"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b/>
                <w:sz w:val="22"/>
                <w:szCs w:val="22"/>
              </w:rPr>
              <w:t>Zavedení institutu jednotného environmentálního stanoviska do praxe správních orgánů</w:t>
            </w:r>
          </w:p>
        </w:tc>
      </w:tr>
      <w:tr w:rsidR="008004E7" w:rsidRPr="00660A8E" w14:paraId="6BDAE2B0" w14:textId="77777777" w:rsidTr="0061500C">
        <w:tc>
          <w:tcPr>
            <w:tcW w:w="2405" w:type="dxa"/>
            <w:vAlign w:val="center"/>
          </w:tcPr>
          <w:p w14:paraId="4C3FAB90"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Cíl</w:t>
            </w:r>
          </w:p>
        </w:tc>
        <w:tc>
          <w:tcPr>
            <w:tcW w:w="7223" w:type="dxa"/>
            <w:vAlign w:val="center"/>
          </w:tcPr>
          <w:p w14:paraId="053958F5" w14:textId="1EE48320" w:rsidR="009442B6" w:rsidRPr="00660A8E" w:rsidRDefault="00192EC7"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 </w:t>
            </w:r>
            <w:r w:rsidR="009442B6" w:rsidRPr="00660A8E">
              <w:rPr>
                <w:rFonts w:asciiTheme="minorHAnsi" w:hAnsiTheme="minorHAnsi" w:cstheme="minorHAnsi"/>
                <w:sz w:val="22"/>
                <w:szCs w:val="22"/>
              </w:rPr>
              <w:t xml:space="preserve">(I) </w:t>
            </w:r>
            <w:r w:rsidRPr="00660A8E">
              <w:rPr>
                <w:rFonts w:asciiTheme="minorHAnsi" w:hAnsiTheme="minorHAnsi" w:cstheme="minorHAnsi"/>
                <w:sz w:val="22"/>
                <w:szCs w:val="22"/>
              </w:rPr>
              <w:t xml:space="preserve">Podpořit zefektivnění povolovacích procesů v oblasti ochrany životního prostředí </w:t>
            </w:r>
            <w:r w:rsidR="00E5584F" w:rsidRPr="00660A8E">
              <w:rPr>
                <w:rFonts w:asciiTheme="minorHAnsi" w:hAnsiTheme="minorHAnsi" w:cstheme="minorHAnsi"/>
                <w:sz w:val="22"/>
                <w:szCs w:val="22"/>
              </w:rPr>
              <w:t xml:space="preserve">včetně OZE </w:t>
            </w:r>
            <w:r w:rsidRPr="00660A8E">
              <w:rPr>
                <w:rFonts w:asciiTheme="minorHAnsi" w:hAnsiTheme="minorHAnsi" w:cstheme="minorHAnsi"/>
                <w:sz w:val="22"/>
                <w:szCs w:val="22"/>
              </w:rPr>
              <w:t xml:space="preserve">s ohledem na potřebu na jedné straně hájit veřejný zájem </w:t>
            </w:r>
            <w:r w:rsidRPr="00660A8E">
              <w:rPr>
                <w:rFonts w:asciiTheme="minorHAnsi" w:hAnsiTheme="minorHAnsi" w:cstheme="minorHAnsi"/>
                <w:sz w:val="22"/>
                <w:szCs w:val="22"/>
              </w:rPr>
              <w:lastRenderedPageBreak/>
              <w:t>na ochraně přírody a krajiny a na straně druhé umožnit udržitelný rozvoj území</w:t>
            </w:r>
            <w:r w:rsidR="00724854" w:rsidRPr="00660A8E">
              <w:rPr>
                <w:rFonts w:asciiTheme="minorHAnsi" w:hAnsiTheme="minorHAnsi" w:cstheme="minorHAnsi"/>
                <w:sz w:val="22"/>
                <w:szCs w:val="22"/>
              </w:rPr>
              <w:t xml:space="preserve"> a efektivn</w:t>
            </w:r>
            <w:r w:rsidR="00A63332" w:rsidRPr="00660A8E">
              <w:rPr>
                <w:rFonts w:asciiTheme="minorHAnsi" w:hAnsiTheme="minorHAnsi" w:cstheme="minorHAnsi"/>
                <w:sz w:val="22"/>
                <w:szCs w:val="22"/>
              </w:rPr>
              <w:t>í</w:t>
            </w:r>
            <w:r w:rsidR="00724854" w:rsidRPr="00660A8E">
              <w:rPr>
                <w:rFonts w:asciiTheme="minorHAnsi" w:hAnsiTheme="minorHAnsi" w:cstheme="minorHAnsi"/>
                <w:sz w:val="22"/>
                <w:szCs w:val="22"/>
              </w:rPr>
              <w:t xml:space="preserve"> využití surovinových zdrojů </w:t>
            </w:r>
          </w:p>
          <w:p w14:paraId="04167032" w14:textId="0D29D499"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(II) </w:t>
            </w:r>
            <w:r w:rsidR="00192EC7" w:rsidRPr="00660A8E">
              <w:rPr>
                <w:rFonts w:asciiTheme="minorHAnsi" w:hAnsiTheme="minorHAnsi" w:cstheme="minorHAnsi"/>
                <w:sz w:val="22"/>
                <w:szCs w:val="22"/>
              </w:rPr>
              <w:t>Rozvinout metodickou činnost směřující vůči jednotlivým správním orgánům a jejich zaměstnancům, umožnit odborné zpracování vzorových dokumentů a rovněž pomocí dílčích projektů na úrovni jednotlivých orgánů státní správy posílit jejich personální zázemí s ohledem na potřebu koordinace nových činností vyplývajících z implementace institutu JES do soustavy orgánů státní správy</w:t>
            </w:r>
          </w:p>
        </w:tc>
      </w:tr>
      <w:tr w:rsidR="008004E7" w:rsidRPr="00660A8E" w14:paraId="4A1426A4" w14:textId="77777777" w:rsidTr="0061500C">
        <w:tc>
          <w:tcPr>
            <w:tcW w:w="2405" w:type="dxa"/>
            <w:vAlign w:val="center"/>
          </w:tcPr>
          <w:p w14:paraId="47376070"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lastRenderedPageBreak/>
              <w:t>Implementace</w:t>
            </w:r>
          </w:p>
        </w:tc>
        <w:tc>
          <w:tcPr>
            <w:tcW w:w="7223" w:type="dxa"/>
            <w:vAlign w:val="center"/>
          </w:tcPr>
          <w:p w14:paraId="327B951C" w14:textId="70222033"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Implementaci řídí MŽP, na implementaci se podílí </w:t>
            </w:r>
            <w:r w:rsidR="00192EC7" w:rsidRPr="00660A8E">
              <w:rPr>
                <w:rFonts w:asciiTheme="minorHAnsi" w:hAnsiTheme="minorHAnsi" w:cstheme="minorHAnsi"/>
                <w:sz w:val="22"/>
                <w:szCs w:val="22"/>
              </w:rPr>
              <w:t>kraje a obce s rozšířenou působností</w:t>
            </w:r>
            <w:r w:rsidRPr="00660A8E">
              <w:rPr>
                <w:rFonts w:asciiTheme="minorHAnsi" w:hAnsiTheme="minorHAnsi" w:cstheme="minorHAnsi"/>
                <w:sz w:val="22"/>
                <w:szCs w:val="22"/>
              </w:rPr>
              <w:t xml:space="preserve"> a externí odborné subjekty.</w:t>
            </w:r>
          </w:p>
        </w:tc>
      </w:tr>
      <w:tr w:rsidR="008004E7" w:rsidRPr="00660A8E" w14:paraId="30DED36D" w14:textId="77777777" w:rsidTr="0061500C">
        <w:trPr>
          <w:trHeight w:val="70"/>
        </w:trPr>
        <w:tc>
          <w:tcPr>
            <w:tcW w:w="2405" w:type="dxa"/>
            <w:vAlign w:val="center"/>
          </w:tcPr>
          <w:p w14:paraId="021B48C2"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Spolupráce a zapojení zúčastněných stran</w:t>
            </w:r>
          </w:p>
        </w:tc>
        <w:tc>
          <w:tcPr>
            <w:tcW w:w="7223" w:type="dxa"/>
            <w:vAlign w:val="center"/>
          </w:tcPr>
          <w:p w14:paraId="6BC2F285" w14:textId="4AB9B416"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Vedle spolupráce implementačního týmu bude zajištěna spolupráce zejm. s Ministerstvem pro místní rozvoj </w:t>
            </w:r>
            <w:r w:rsidR="00D56A0D" w:rsidRPr="00660A8E">
              <w:rPr>
                <w:rFonts w:asciiTheme="minorHAnsi" w:hAnsiTheme="minorHAnsi" w:cstheme="minorHAnsi"/>
                <w:sz w:val="22"/>
                <w:szCs w:val="22"/>
              </w:rPr>
              <w:t>jako garantem stavebního zákona, v návaznosti na jehož novelizaci se JES zavádí.</w:t>
            </w:r>
          </w:p>
        </w:tc>
      </w:tr>
      <w:tr w:rsidR="008004E7" w:rsidRPr="00660A8E" w14:paraId="3E6250D5" w14:textId="77777777" w:rsidTr="0061500C">
        <w:tc>
          <w:tcPr>
            <w:tcW w:w="2405" w:type="dxa"/>
            <w:vAlign w:val="center"/>
          </w:tcPr>
          <w:p w14:paraId="6F61D7C8"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Překážky a rizika</w:t>
            </w:r>
          </w:p>
        </w:tc>
        <w:tc>
          <w:tcPr>
            <w:tcW w:w="7223" w:type="dxa"/>
            <w:vAlign w:val="center"/>
          </w:tcPr>
          <w:p w14:paraId="17A01609" w14:textId="7E2BCE9C"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Překážkou je</w:t>
            </w:r>
            <w:r w:rsidR="00D56A0D" w:rsidRPr="00660A8E">
              <w:rPr>
                <w:rFonts w:asciiTheme="minorHAnsi" w:hAnsiTheme="minorHAnsi" w:cstheme="minorHAnsi"/>
                <w:sz w:val="22"/>
                <w:szCs w:val="22"/>
              </w:rPr>
              <w:t xml:space="preserve"> krátká </w:t>
            </w:r>
            <w:proofErr w:type="spellStart"/>
            <w:r w:rsidR="00670F1B" w:rsidRPr="00660A8E">
              <w:rPr>
                <w:rFonts w:asciiTheme="minorHAnsi" w:hAnsiTheme="minorHAnsi" w:cstheme="minorHAnsi"/>
                <w:sz w:val="22"/>
                <w:szCs w:val="22"/>
              </w:rPr>
              <w:t>legisvakan</w:t>
            </w:r>
            <w:r w:rsidR="006D6C3B" w:rsidRPr="00660A8E">
              <w:rPr>
                <w:rFonts w:asciiTheme="minorHAnsi" w:hAnsiTheme="minorHAnsi" w:cstheme="minorHAnsi"/>
                <w:sz w:val="22"/>
                <w:szCs w:val="22"/>
              </w:rPr>
              <w:t>ční</w:t>
            </w:r>
            <w:proofErr w:type="spellEnd"/>
            <w:r w:rsidR="006D6C3B" w:rsidRPr="00660A8E">
              <w:rPr>
                <w:rFonts w:asciiTheme="minorHAnsi" w:hAnsiTheme="minorHAnsi" w:cstheme="minorHAnsi"/>
                <w:sz w:val="22"/>
                <w:szCs w:val="22"/>
              </w:rPr>
              <w:t xml:space="preserve"> lhůta</w:t>
            </w:r>
            <w:r w:rsidR="00D56A0D" w:rsidRPr="00660A8E">
              <w:rPr>
                <w:rFonts w:asciiTheme="minorHAnsi" w:hAnsiTheme="minorHAnsi" w:cstheme="minorHAnsi"/>
                <w:sz w:val="22"/>
                <w:szCs w:val="22"/>
              </w:rPr>
              <w:t>, a s tím související omezené personální a finanční prostředky na straně MŽP jako ústředního orgánu státní správy v dotčené oblasti, ale i jednotlivých krajských úřadů a</w:t>
            </w:r>
            <w:r w:rsidR="000C0257" w:rsidRPr="00660A8E">
              <w:rPr>
                <w:rFonts w:asciiTheme="minorHAnsi" w:hAnsiTheme="minorHAnsi" w:cstheme="minorHAnsi"/>
                <w:sz w:val="22"/>
                <w:szCs w:val="22"/>
              </w:rPr>
              <w:t> </w:t>
            </w:r>
            <w:r w:rsidR="00D56A0D" w:rsidRPr="00660A8E">
              <w:rPr>
                <w:rFonts w:asciiTheme="minorHAnsi" w:hAnsiTheme="minorHAnsi" w:cstheme="minorHAnsi"/>
                <w:sz w:val="22"/>
                <w:szCs w:val="22"/>
              </w:rPr>
              <w:t>obecních úřadů obcí s rozšířenou působností, které budou vykonávat hlavní část agendy.</w:t>
            </w:r>
            <w:sdt>
              <w:sdtPr>
                <w:rPr>
                  <w:rFonts w:asciiTheme="minorHAnsi" w:hAnsiTheme="minorHAnsi" w:cstheme="minorHAnsi"/>
                  <w:sz w:val="22"/>
                  <w:szCs w:val="22"/>
                </w:rPr>
                <w:tag w:val="goog_rdk_0"/>
                <w:id w:val="-585919779"/>
                <w:showingPlcHdr/>
              </w:sdtPr>
              <w:sdtEndPr/>
              <w:sdtContent>
                <w:r w:rsidR="00D56A0D" w:rsidRPr="00660A8E">
                  <w:rPr>
                    <w:rFonts w:asciiTheme="minorHAnsi" w:hAnsiTheme="minorHAnsi" w:cstheme="minorHAnsi"/>
                    <w:sz w:val="22"/>
                    <w:szCs w:val="22"/>
                  </w:rPr>
                  <w:t xml:space="preserve">     </w:t>
                </w:r>
              </w:sdtContent>
            </w:sdt>
          </w:p>
          <w:p w14:paraId="621B6D42" w14:textId="71A22BA2" w:rsidR="00D56A0D"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Riziko č. 1 </w:t>
            </w:r>
            <w:r w:rsidR="00D56A0D" w:rsidRPr="00660A8E">
              <w:rPr>
                <w:rFonts w:asciiTheme="minorHAnsi" w:hAnsiTheme="minorHAnsi" w:cstheme="minorHAnsi"/>
                <w:sz w:val="22"/>
                <w:szCs w:val="22"/>
              </w:rPr>
              <w:t>–</w:t>
            </w:r>
            <w:r w:rsidRPr="00660A8E">
              <w:rPr>
                <w:rFonts w:asciiTheme="minorHAnsi" w:hAnsiTheme="minorHAnsi" w:cstheme="minorHAnsi"/>
                <w:sz w:val="22"/>
                <w:szCs w:val="22"/>
              </w:rPr>
              <w:t xml:space="preserve"> </w:t>
            </w:r>
            <w:r w:rsidR="00D56A0D" w:rsidRPr="00660A8E">
              <w:rPr>
                <w:rFonts w:asciiTheme="minorHAnsi" w:hAnsiTheme="minorHAnsi" w:cstheme="minorHAnsi"/>
                <w:sz w:val="22"/>
                <w:szCs w:val="22"/>
              </w:rPr>
              <w:t>Prodlení s metodickou činností, vytvářením vzorů a</w:t>
            </w:r>
            <w:r w:rsidR="000C0257" w:rsidRPr="00660A8E">
              <w:rPr>
                <w:rFonts w:asciiTheme="minorHAnsi" w:hAnsiTheme="minorHAnsi" w:cstheme="minorHAnsi"/>
                <w:sz w:val="22"/>
                <w:szCs w:val="22"/>
              </w:rPr>
              <w:t> </w:t>
            </w:r>
            <w:r w:rsidR="00D56A0D" w:rsidRPr="00660A8E">
              <w:rPr>
                <w:rFonts w:asciiTheme="minorHAnsi" w:hAnsiTheme="minorHAnsi" w:cstheme="minorHAnsi"/>
                <w:sz w:val="22"/>
                <w:szCs w:val="22"/>
              </w:rPr>
              <w:t>nezbytnými odbornými školeními.</w:t>
            </w:r>
          </w:p>
          <w:p w14:paraId="2754905A" w14:textId="75CC9114" w:rsidR="00D56A0D" w:rsidRPr="00660A8E" w:rsidRDefault="00D56A0D"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Toto riziko bude minimalizováno včasným zahájením prací na potřebných dokumentech </w:t>
            </w:r>
            <w:r w:rsidR="006D6C3B" w:rsidRPr="00660A8E">
              <w:rPr>
                <w:rFonts w:asciiTheme="minorHAnsi" w:hAnsiTheme="minorHAnsi" w:cstheme="minorHAnsi"/>
                <w:sz w:val="22"/>
                <w:szCs w:val="22"/>
              </w:rPr>
              <w:t xml:space="preserve">a </w:t>
            </w:r>
            <w:r w:rsidRPr="00660A8E">
              <w:rPr>
                <w:rFonts w:asciiTheme="minorHAnsi" w:hAnsiTheme="minorHAnsi" w:cstheme="minorHAnsi"/>
                <w:sz w:val="22"/>
                <w:szCs w:val="22"/>
              </w:rPr>
              <w:t>vytvářením časového plánu školení, včetně oslovování všech dotčených subjektů.</w:t>
            </w:r>
          </w:p>
          <w:p w14:paraId="342A3683" w14:textId="38D763CC" w:rsidR="00D56A0D" w:rsidRPr="00660A8E" w:rsidRDefault="00D56A0D"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Riziko č. 2 – Nenalezení dostatečného množství odborníků pro metodické vedení, školení, ale i samotnou podporu implementace </w:t>
            </w:r>
            <w:r w:rsidR="000E7562" w:rsidRPr="00660A8E">
              <w:rPr>
                <w:rFonts w:asciiTheme="minorHAnsi" w:hAnsiTheme="minorHAnsi" w:cstheme="minorHAnsi"/>
                <w:sz w:val="22"/>
                <w:szCs w:val="22"/>
              </w:rPr>
              <w:t>zavádění institutu JES do činnosti orgánů státní správy.</w:t>
            </w:r>
          </w:p>
          <w:p w14:paraId="683AF7F5" w14:textId="7570D485"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Toto riziko bude minimalizováno zahájením včasné komunikace s</w:t>
            </w:r>
            <w:r w:rsidR="000C0257" w:rsidRPr="00660A8E">
              <w:rPr>
                <w:rFonts w:asciiTheme="minorHAnsi" w:hAnsiTheme="minorHAnsi" w:cstheme="minorHAnsi"/>
                <w:sz w:val="22"/>
                <w:szCs w:val="22"/>
              </w:rPr>
              <w:t> </w:t>
            </w:r>
            <w:r w:rsidRPr="00660A8E">
              <w:rPr>
                <w:rFonts w:asciiTheme="minorHAnsi" w:hAnsiTheme="minorHAnsi" w:cstheme="minorHAnsi"/>
                <w:sz w:val="22"/>
                <w:szCs w:val="22"/>
              </w:rPr>
              <w:t xml:space="preserve">potenciálními </w:t>
            </w:r>
            <w:r w:rsidR="000E7562" w:rsidRPr="00660A8E">
              <w:rPr>
                <w:rFonts w:asciiTheme="minorHAnsi" w:hAnsiTheme="minorHAnsi" w:cstheme="minorHAnsi"/>
                <w:sz w:val="22"/>
                <w:szCs w:val="22"/>
              </w:rPr>
              <w:t>odborníky a včasným vypsáním výběrových řízení na vzniklé projektové pozice.</w:t>
            </w:r>
          </w:p>
          <w:p w14:paraId="39476FBC" w14:textId="32F0789B"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Riziko č. 3 </w:t>
            </w:r>
            <w:r w:rsidR="000E7562" w:rsidRPr="00660A8E">
              <w:rPr>
                <w:rFonts w:asciiTheme="minorHAnsi" w:hAnsiTheme="minorHAnsi" w:cstheme="minorHAnsi"/>
                <w:sz w:val="22"/>
                <w:szCs w:val="22"/>
              </w:rPr>
              <w:t>–</w:t>
            </w:r>
            <w:r w:rsidRPr="00660A8E">
              <w:rPr>
                <w:rFonts w:asciiTheme="minorHAnsi" w:hAnsiTheme="minorHAnsi" w:cstheme="minorHAnsi"/>
                <w:sz w:val="22"/>
                <w:szCs w:val="22"/>
              </w:rPr>
              <w:t xml:space="preserve"> </w:t>
            </w:r>
            <w:r w:rsidR="000E7562" w:rsidRPr="00660A8E">
              <w:rPr>
                <w:rFonts w:asciiTheme="minorHAnsi" w:hAnsiTheme="minorHAnsi" w:cstheme="minorHAnsi"/>
                <w:sz w:val="22"/>
                <w:szCs w:val="22"/>
              </w:rPr>
              <w:t>Nedostatečné finanční zázemí jednotlivých orgánů státní správy, nízké příspěvky na jejich činnost</w:t>
            </w:r>
          </w:p>
          <w:p w14:paraId="4E4FB3F1" w14:textId="2C329D63" w:rsidR="000E7562" w:rsidRPr="00660A8E" w:rsidRDefault="000E7562"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Závěrečná zpráva z hodnocení dopadů regulace předpokládá nárůst personálních, a tím i finančních požadavků na úrovni jednotlivých orgánů státní správy. S nedostatkem těchto prostředků jsou spojeny především komplikace při hledání vhodných odborníků, kteří by se podíleli na implementaci JES.</w:t>
            </w:r>
          </w:p>
          <w:p w14:paraId="60127012" w14:textId="1A15988C" w:rsidR="009442B6" w:rsidRPr="00660A8E" w:rsidRDefault="009442B6" w:rsidP="000E7562">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Všechna výše uvedená rizika lze minimalizovat, popř. na případný vznik překážek reagovat jejich včasnou identifikací a řízením</w:t>
            </w:r>
            <w:r w:rsidR="000E7562" w:rsidRPr="00660A8E">
              <w:rPr>
                <w:rFonts w:asciiTheme="minorHAnsi" w:hAnsiTheme="minorHAnsi" w:cstheme="minorHAnsi"/>
                <w:sz w:val="22"/>
                <w:szCs w:val="22"/>
              </w:rPr>
              <w:t>.</w:t>
            </w:r>
          </w:p>
        </w:tc>
      </w:tr>
      <w:tr w:rsidR="008004E7" w:rsidRPr="00660A8E" w14:paraId="2198B8DA" w14:textId="77777777" w:rsidTr="0061500C">
        <w:tc>
          <w:tcPr>
            <w:tcW w:w="2405" w:type="dxa"/>
            <w:vAlign w:val="center"/>
          </w:tcPr>
          <w:p w14:paraId="5CC3E39A"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Cílové skupiny populace a ekonomické subjekty</w:t>
            </w:r>
          </w:p>
        </w:tc>
        <w:tc>
          <w:tcPr>
            <w:tcW w:w="7223" w:type="dxa"/>
            <w:vAlign w:val="center"/>
          </w:tcPr>
          <w:p w14:paraId="4CD46634" w14:textId="3E990576" w:rsidR="000E7562" w:rsidRPr="00660A8E" w:rsidRDefault="009442B6" w:rsidP="00DB6B91">
            <w:pP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Cílovou skupinou jsou občané České republiky, </w:t>
            </w:r>
            <w:r w:rsidR="000E7562" w:rsidRPr="00660A8E">
              <w:rPr>
                <w:rFonts w:asciiTheme="minorHAnsi" w:hAnsiTheme="minorHAnsi" w:cstheme="minorHAnsi"/>
                <w:sz w:val="22"/>
                <w:szCs w:val="22"/>
              </w:rPr>
              <w:t>a to jak ti, kteří budou žádat o</w:t>
            </w:r>
            <w:r w:rsidR="00893B75" w:rsidRPr="00660A8E">
              <w:rPr>
                <w:rFonts w:asciiTheme="minorHAnsi" w:hAnsiTheme="minorHAnsi" w:cstheme="minorHAnsi"/>
                <w:sz w:val="22"/>
                <w:szCs w:val="22"/>
              </w:rPr>
              <w:t> </w:t>
            </w:r>
            <w:r w:rsidR="000E7562" w:rsidRPr="00660A8E">
              <w:rPr>
                <w:rFonts w:asciiTheme="minorHAnsi" w:hAnsiTheme="minorHAnsi" w:cstheme="minorHAnsi"/>
                <w:sz w:val="22"/>
                <w:szCs w:val="22"/>
              </w:rPr>
              <w:t>povolení záměru, tak ti, kteří mohou být takovým záměrem dotčeni na sv</w:t>
            </w:r>
            <w:r w:rsidR="006D6C3B" w:rsidRPr="00660A8E">
              <w:rPr>
                <w:rFonts w:asciiTheme="minorHAnsi" w:hAnsiTheme="minorHAnsi" w:cstheme="minorHAnsi"/>
                <w:sz w:val="22"/>
                <w:szCs w:val="22"/>
              </w:rPr>
              <w:t>ém</w:t>
            </w:r>
            <w:r w:rsidR="000E7562" w:rsidRPr="00660A8E">
              <w:rPr>
                <w:rFonts w:asciiTheme="minorHAnsi" w:hAnsiTheme="minorHAnsi" w:cstheme="minorHAnsi"/>
                <w:sz w:val="22"/>
                <w:szCs w:val="22"/>
              </w:rPr>
              <w:t xml:space="preserve"> práv</w:t>
            </w:r>
            <w:r w:rsidR="006D6C3B" w:rsidRPr="00660A8E">
              <w:rPr>
                <w:rFonts w:asciiTheme="minorHAnsi" w:hAnsiTheme="minorHAnsi" w:cstheme="minorHAnsi"/>
                <w:sz w:val="22"/>
                <w:szCs w:val="22"/>
              </w:rPr>
              <w:t>u</w:t>
            </w:r>
            <w:r w:rsidR="000E7562" w:rsidRPr="00660A8E">
              <w:rPr>
                <w:rFonts w:asciiTheme="minorHAnsi" w:hAnsiTheme="minorHAnsi" w:cstheme="minorHAnsi"/>
                <w:sz w:val="22"/>
                <w:szCs w:val="22"/>
              </w:rPr>
              <w:t xml:space="preserve"> na příznivé životní prostředí.</w:t>
            </w:r>
          </w:p>
          <w:p w14:paraId="417169E7" w14:textId="690D47B5" w:rsidR="000E7562" w:rsidRPr="00660A8E" w:rsidRDefault="000E7562" w:rsidP="00DB6B91">
            <w:pPr>
              <w:spacing w:before="120" w:after="60"/>
              <w:rPr>
                <w:rFonts w:asciiTheme="minorHAnsi" w:hAnsiTheme="minorHAnsi" w:cstheme="minorHAnsi"/>
                <w:sz w:val="22"/>
                <w:szCs w:val="22"/>
              </w:rPr>
            </w:pPr>
            <w:r w:rsidRPr="00660A8E">
              <w:rPr>
                <w:rFonts w:asciiTheme="minorHAnsi" w:hAnsiTheme="minorHAnsi" w:cstheme="minorHAnsi"/>
                <w:sz w:val="22"/>
                <w:szCs w:val="22"/>
              </w:rPr>
              <w:lastRenderedPageBreak/>
              <w:t>Cílovou skupinou jsou i právnické osoby a podnikatelé, především z pozice žadatelů z povolení záměru.</w:t>
            </w:r>
          </w:p>
          <w:p w14:paraId="61FF7E2F" w14:textId="0F7352E4" w:rsidR="009442B6" w:rsidRPr="00660A8E" w:rsidRDefault="000E7562" w:rsidP="00DB6B91">
            <w:pP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Cílovou skupinou samotného předmětu komponenty jsou </w:t>
            </w:r>
            <w:r w:rsidR="00E4560F" w:rsidRPr="00660A8E">
              <w:rPr>
                <w:rFonts w:asciiTheme="minorHAnsi" w:hAnsiTheme="minorHAnsi" w:cstheme="minorHAnsi"/>
                <w:sz w:val="22"/>
                <w:szCs w:val="22"/>
              </w:rPr>
              <w:t xml:space="preserve">dále </w:t>
            </w:r>
            <w:r w:rsidRPr="00660A8E">
              <w:rPr>
                <w:rFonts w:asciiTheme="minorHAnsi" w:hAnsiTheme="minorHAnsi" w:cstheme="minorHAnsi"/>
                <w:sz w:val="22"/>
                <w:szCs w:val="22"/>
              </w:rPr>
              <w:t>úřední osoby na MŽP, krajských úřadech a obecních úřadech obcí s rozšířenou působností,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další subjekty s nimi odborně spolupracující.</w:t>
            </w:r>
          </w:p>
        </w:tc>
      </w:tr>
      <w:tr w:rsidR="008004E7" w:rsidRPr="00660A8E" w14:paraId="7FFFA7F5" w14:textId="77777777" w:rsidTr="0061500C">
        <w:tc>
          <w:tcPr>
            <w:tcW w:w="2405" w:type="dxa"/>
            <w:vAlign w:val="center"/>
          </w:tcPr>
          <w:p w14:paraId="7AF84C9F"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lastRenderedPageBreak/>
              <w:t>Souhrnné náklady realizace financované z RRF za celé období</w:t>
            </w:r>
          </w:p>
        </w:tc>
        <w:tc>
          <w:tcPr>
            <w:tcW w:w="7223" w:type="dxa"/>
            <w:vAlign w:val="center"/>
          </w:tcPr>
          <w:p w14:paraId="22A07044" w14:textId="100FEDD2" w:rsidR="009442B6" w:rsidRPr="00660A8E" w:rsidRDefault="003C1E97"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156,3 mil. Kč (výdaje na DPH ve výši 3,7 mil. Kč financováno ze státního rozpočtu)</w:t>
            </w:r>
          </w:p>
        </w:tc>
      </w:tr>
      <w:tr w:rsidR="008004E7" w:rsidRPr="00660A8E" w14:paraId="329185C5" w14:textId="77777777" w:rsidTr="0061500C">
        <w:tc>
          <w:tcPr>
            <w:tcW w:w="2405" w:type="dxa"/>
            <w:vAlign w:val="center"/>
          </w:tcPr>
          <w:p w14:paraId="0DDB583F"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Dodržování pravidel státní podpory</w:t>
            </w:r>
          </w:p>
        </w:tc>
        <w:tc>
          <w:tcPr>
            <w:tcW w:w="7223" w:type="dxa"/>
            <w:vAlign w:val="center"/>
          </w:tcPr>
          <w:p w14:paraId="32D50E47" w14:textId="77777777" w:rsidR="009442B6" w:rsidRPr="00660A8E" w:rsidRDefault="009442B6" w:rsidP="00DB6B91">
            <w:pPr>
              <w:spacing w:before="120" w:after="60"/>
              <w:rPr>
                <w:rFonts w:asciiTheme="minorHAnsi" w:hAnsiTheme="minorHAnsi" w:cstheme="minorHAnsi"/>
                <w:sz w:val="22"/>
                <w:szCs w:val="22"/>
              </w:rPr>
            </w:pPr>
            <w:r w:rsidRPr="00660A8E">
              <w:rPr>
                <w:rFonts w:asciiTheme="minorHAnsi" w:hAnsiTheme="minorHAnsi" w:cstheme="minorHAnsi"/>
                <w:sz w:val="22"/>
                <w:szCs w:val="22"/>
              </w:rPr>
              <w:t xml:space="preserve">Vzhledem k zaměření komponenty není veřejná podpora relevantní. </w:t>
            </w:r>
          </w:p>
        </w:tc>
      </w:tr>
      <w:tr w:rsidR="008004E7" w:rsidRPr="00660A8E" w14:paraId="72BBB840" w14:textId="77777777" w:rsidTr="0061500C">
        <w:tc>
          <w:tcPr>
            <w:tcW w:w="2405" w:type="dxa"/>
            <w:vAlign w:val="center"/>
          </w:tcPr>
          <w:p w14:paraId="13C5B774" w14:textId="77777777" w:rsidR="009442B6" w:rsidRPr="00660A8E" w:rsidRDefault="009442B6" w:rsidP="00DB6B91">
            <w:pPr>
              <w:pBdr>
                <w:top w:val="nil"/>
                <w:left w:val="nil"/>
                <w:bottom w:val="nil"/>
                <w:right w:val="nil"/>
                <w:between w:val="nil"/>
              </w:pBdr>
              <w:spacing w:before="120"/>
              <w:rPr>
                <w:rFonts w:asciiTheme="minorHAnsi" w:hAnsiTheme="minorHAnsi" w:cstheme="minorHAnsi"/>
                <w:sz w:val="22"/>
                <w:szCs w:val="22"/>
              </w:rPr>
            </w:pPr>
            <w:r w:rsidRPr="00660A8E">
              <w:rPr>
                <w:rFonts w:asciiTheme="minorHAnsi" w:hAnsiTheme="minorHAnsi" w:cstheme="minorHAnsi"/>
                <w:sz w:val="22"/>
                <w:szCs w:val="22"/>
              </w:rPr>
              <w:t>Uveďte dobu implementace</w:t>
            </w:r>
          </w:p>
        </w:tc>
        <w:tc>
          <w:tcPr>
            <w:tcW w:w="7223" w:type="dxa"/>
            <w:vAlign w:val="center"/>
          </w:tcPr>
          <w:p w14:paraId="231B8B4C" w14:textId="47ACF2CE" w:rsidR="009442B6" w:rsidRPr="00660A8E" w:rsidRDefault="009442B6" w:rsidP="00DB6B91">
            <w:pPr>
              <w:pBdr>
                <w:top w:val="nil"/>
                <w:left w:val="nil"/>
                <w:bottom w:val="nil"/>
                <w:right w:val="nil"/>
                <w:between w:val="nil"/>
              </w:pBdr>
              <w:spacing w:before="120" w:after="60"/>
              <w:rPr>
                <w:rFonts w:asciiTheme="minorHAnsi" w:hAnsiTheme="minorHAnsi" w:cstheme="minorHAnsi"/>
                <w:sz w:val="22"/>
                <w:szCs w:val="22"/>
              </w:rPr>
            </w:pPr>
            <w:r w:rsidRPr="00660A8E">
              <w:rPr>
                <w:rFonts w:asciiTheme="minorHAnsi" w:hAnsiTheme="minorHAnsi" w:cstheme="minorHAnsi"/>
                <w:sz w:val="22"/>
                <w:szCs w:val="22"/>
              </w:rPr>
              <w:t>Q</w:t>
            </w:r>
            <w:r w:rsidR="006B55FA">
              <w:rPr>
                <w:rFonts w:asciiTheme="minorHAnsi" w:hAnsiTheme="minorHAnsi" w:cstheme="minorHAnsi"/>
                <w:sz w:val="22"/>
                <w:szCs w:val="22"/>
              </w:rPr>
              <w:t>2</w:t>
            </w:r>
            <w:r w:rsidR="00091175" w:rsidRPr="00660A8E">
              <w:rPr>
                <w:rFonts w:asciiTheme="minorHAnsi" w:hAnsiTheme="minorHAnsi" w:cstheme="minorHAnsi"/>
                <w:sz w:val="22"/>
                <w:szCs w:val="22"/>
              </w:rPr>
              <w:t>/</w:t>
            </w:r>
            <w:r w:rsidR="00F75B03" w:rsidRPr="00660A8E">
              <w:rPr>
                <w:rFonts w:asciiTheme="minorHAnsi" w:hAnsiTheme="minorHAnsi" w:cstheme="minorHAnsi"/>
                <w:sz w:val="22"/>
                <w:szCs w:val="22"/>
              </w:rPr>
              <w:t>202</w:t>
            </w:r>
            <w:r w:rsidR="006B55FA">
              <w:rPr>
                <w:rFonts w:asciiTheme="minorHAnsi" w:hAnsiTheme="minorHAnsi" w:cstheme="minorHAnsi"/>
                <w:sz w:val="22"/>
                <w:szCs w:val="22"/>
              </w:rPr>
              <w:t>6</w:t>
            </w:r>
            <w:r w:rsidR="00F75B03" w:rsidRPr="00660A8E">
              <w:rPr>
                <w:rFonts w:asciiTheme="minorHAnsi" w:hAnsiTheme="minorHAnsi" w:cstheme="minorHAnsi"/>
                <w:sz w:val="22"/>
                <w:szCs w:val="22"/>
              </w:rPr>
              <w:t xml:space="preserve"> </w:t>
            </w:r>
          </w:p>
        </w:tc>
      </w:tr>
    </w:tbl>
    <w:p w14:paraId="269860B1" w14:textId="2BF2F935" w:rsidR="009442B6" w:rsidRPr="00660A8E" w:rsidRDefault="009442B6" w:rsidP="00573CD3">
      <w:pPr>
        <w:rPr>
          <w:rFonts w:asciiTheme="minorHAnsi" w:hAnsiTheme="minorHAnsi" w:cstheme="minorHAnsi"/>
          <w:sz w:val="22"/>
          <w:szCs w:val="22"/>
        </w:rPr>
      </w:pPr>
    </w:p>
    <w:p w14:paraId="32BC65FF" w14:textId="0CB25977" w:rsidR="00573CD3" w:rsidRPr="00660A8E" w:rsidRDefault="00573CD3" w:rsidP="6E451F49">
      <w:pPr>
        <w:spacing w:before="120" w:after="0"/>
        <w:rPr>
          <w:rFonts w:asciiTheme="minorHAnsi" w:hAnsiTheme="minorHAnsi" w:cstheme="minorBidi"/>
          <w:sz w:val="22"/>
          <w:szCs w:val="22"/>
        </w:rPr>
      </w:pPr>
      <w:r w:rsidRPr="4F0B69F9">
        <w:rPr>
          <w:rFonts w:asciiTheme="minorHAnsi" w:hAnsiTheme="minorHAnsi" w:cstheme="minorBidi"/>
          <w:b/>
          <w:bCs/>
          <w:sz w:val="22"/>
          <w:szCs w:val="22"/>
        </w:rPr>
        <w:t>7.</w:t>
      </w:r>
      <w:r w:rsidR="004C4A89">
        <w:rPr>
          <w:rFonts w:asciiTheme="minorHAnsi" w:hAnsiTheme="minorHAnsi" w:cstheme="minorBidi"/>
          <w:b/>
          <w:bCs/>
          <w:sz w:val="22"/>
          <w:szCs w:val="22"/>
        </w:rPr>
        <w:t>7</w:t>
      </w:r>
      <w:r w:rsidRPr="4F0B69F9">
        <w:rPr>
          <w:rFonts w:asciiTheme="minorHAnsi" w:hAnsiTheme="minorHAnsi" w:cstheme="minorBidi"/>
          <w:b/>
          <w:bCs/>
          <w:sz w:val="22"/>
          <w:szCs w:val="22"/>
        </w:rPr>
        <w:t xml:space="preserve">.2 </w:t>
      </w:r>
      <w:r w:rsidR="003B7FAB">
        <w:rPr>
          <w:rFonts w:asciiTheme="minorHAnsi" w:hAnsiTheme="minorHAnsi" w:cstheme="minorBidi"/>
          <w:b/>
          <w:bCs/>
          <w:sz w:val="22"/>
          <w:szCs w:val="22"/>
        </w:rPr>
        <w:t xml:space="preserve">Oblasti pro urychlené zavádění obnovitelných zdrojů energie </w:t>
      </w:r>
      <w:r w:rsidR="003B7FAB" w:rsidRPr="00EA792D">
        <w:rPr>
          <w:rFonts w:asciiTheme="minorHAnsi" w:hAnsiTheme="minorHAnsi" w:cstheme="minorBidi"/>
          <w:b/>
          <w:bCs/>
          <w:strike/>
          <w:sz w:val="22"/>
          <w:szCs w:val="22"/>
        </w:rPr>
        <w:t xml:space="preserve">- </w:t>
      </w:r>
      <w:r w:rsidR="462914B1" w:rsidRPr="00EA792D">
        <w:rPr>
          <w:rFonts w:asciiTheme="minorHAnsi" w:hAnsiTheme="minorHAnsi" w:cstheme="minorBidi"/>
          <w:b/>
          <w:bCs/>
          <w:strike/>
          <w:sz w:val="22"/>
          <w:szCs w:val="22"/>
        </w:rPr>
        <w:t>Akcelerační zóny</w:t>
      </w:r>
    </w:p>
    <w:p w14:paraId="00A1A801" w14:textId="77777777" w:rsidR="00573CD3" w:rsidRPr="00660A8E" w:rsidRDefault="00573CD3" w:rsidP="00573CD3">
      <w:pPr>
        <w:spacing w:before="120" w:after="0"/>
        <w:rPr>
          <w:rFonts w:asciiTheme="minorHAnsi" w:hAnsiTheme="minorHAnsi" w:cstheme="minorHAnsi"/>
          <w:sz w:val="22"/>
          <w:szCs w:val="22"/>
        </w:rPr>
      </w:pPr>
      <w:r w:rsidRPr="00660A8E">
        <w:rPr>
          <w:rFonts w:asciiTheme="minorHAnsi" w:hAnsiTheme="minorHAnsi" w:cstheme="minorHAnsi"/>
          <w:sz w:val="22"/>
          <w:szCs w:val="22"/>
        </w:rPr>
        <w:t xml:space="preserve"> </w:t>
      </w:r>
    </w:p>
    <w:tbl>
      <w:tblPr>
        <w:tblW w:w="0" w:type="auto"/>
        <w:tblLayout w:type="fixed"/>
        <w:tblLook w:val="0400" w:firstRow="0" w:lastRow="0" w:firstColumn="0" w:lastColumn="0" w:noHBand="0" w:noVBand="1"/>
      </w:tblPr>
      <w:tblGrid>
        <w:gridCol w:w="2400"/>
        <w:gridCol w:w="7230"/>
      </w:tblGrid>
      <w:tr w:rsidR="008004E7" w:rsidRPr="00660A8E" w14:paraId="06B0D983"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4B6E2F6"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Výzva</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72DE4D8" w14:textId="3F4B87BE"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b/>
                <w:bCs/>
                <w:sz w:val="22"/>
                <w:szCs w:val="22"/>
              </w:rPr>
              <w:t xml:space="preserve">Vymezení </w:t>
            </w:r>
            <w:r w:rsidR="00A739C1" w:rsidRPr="00660A8E">
              <w:rPr>
                <w:rFonts w:asciiTheme="minorHAnsi" w:hAnsiTheme="minorHAnsi" w:cstheme="minorHAnsi"/>
                <w:b/>
                <w:bCs/>
                <w:sz w:val="22"/>
                <w:szCs w:val="22"/>
              </w:rPr>
              <w:t>akceleračních</w:t>
            </w:r>
            <w:r w:rsidRPr="00660A8E">
              <w:rPr>
                <w:rFonts w:asciiTheme="minorHAnsi" w:hAnsiTheme="minorHAnsi" w:cstheme="minorHAnsi"/>
                <w:b/>
                <w:bCs/>
                <w:sz w:val="22"/>
                <w:szCs w:val="22"/>
              </w:rPr>
              <w:t xml:space="preserve"> zón v České republice</w:t>
            </w:r>
          </w:p>
        </w:tc>
      </w:tr>
      <w:tr w:rsidR="008004E7" w:rsidRPr="00660A8E" w14:paraId="69C05705"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9951C0E"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Cíl</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8621807"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zajistit kapacity pro mapování a vymezení vhodných oblastí pro obnovitelné zdroje energie, doplnění a zpracování mapových podkladů na základě dostupných prostorových dat, navržení zmírňujících opatření, projednání se zástupci územních samospráv, přípravu na metodické vedení stavebních úřadů a tím přispět k:</w:t>
            </w:r>
          </w:p>
          <w:p w14:paraId="6640C7AA"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(I) akceleraci rozvoje OZE v české krajině</w:t>
            </w:r>
          </w:p>
          <w:p w14:paraId="5E38C02A"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(II) funkčnímu propojení rozvoje OZE (repower) s obnovou přírody (restore)</w:t>
            </w:r>
          </w:p>
          <w:p w14:paraId="4230EB51"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(III) transparentnosti rozhodování o povolování (nejen) záměrů OZE na území ČR</w:t>
            </w:r>
          </w:p>
        </w:tc>
      </w:tr>
      <w:tr w:rsidR="008004E7" w:rsidRPr="00660A8E" w14:paraId="04323ABD"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2D7376E"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Implementace</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5763DEB"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Implementaci řídí MŽP, ve spolupráci s MMR a MPO. Zapojení AOPK ČR, spolupráce VÚKOZ a dalších odborných subjektů.</w:t>
            </w:r>
          </w:p>
        </w:tc>
      </w:tr>
      <w:tr w:rsidR="008004E7" w:rsidRPr="00660A8E" w14:paraId="423AC013" w14:textId="77777777" w:rsidTr="002E6C83">
        <w:trPr>
          <w:trHeight w:val="75"/>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6041A63"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Spolupráce a zapojení zúčastněných stran</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36750482" w14:textId="61AF4FC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Vedle externího odborného subjektu bude zajištěna spolupráce zejm. s</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Ministerstvem pro místní rozvoj a Ministerstvem průmyslu a obchodu a jejich resortními organizacemi.</w:t>
            </w:r>
          </w:p>
        </w:tc>
      </w:tr>
      <w:tr w:rsidR="008004E7" w:rsidRPr="00660A8E" w14:paraId="3EBD0A33"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2E7725D"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Překážky a rizika</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41B5557" w14:textId="1EB0197C"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Překážkou je dosavadní politická neshoda na přijatelnosti výstavby FVE a VTE jinde než na umělých strukturách a ve vyloučených lokalitách. Debaty o ní se často vedou na pozadí dojmů a mýtů, spíše než čísel a faktů. Uvažování v</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 xml:space="preserve">zajetých kolejích soustředící se na střet průmyslových aktivit s ochranou životního prostředí ztěžuje pochopení problematiky OZE v krajině v její specifičnosti. Falešné protiklady “OZE mimo přírodu” a “OZE místo přírody” brání v přijetí syntetizujícího přístupu “OZE v přírodě”. </w:t>
            </w:r>
          </w:p>
          <w:p w14:paraId="07A5D89B" w14:textId="3AAAB35B"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lastRenderedPageBreak/>
              <w:t xml:space="preserve">Riziko č. 1 - Politická neprůchodnost </w:t>
            </w:r>
            <w:r w:rsidR="00C24F5F" w:rsidRPr="00660A8E">
              <w:rPr>
                <w:rFonts w:asciiTheme="minorHAnsi" w:hAnsiTheme="minorHAnsi" w:cstheme="minorHAnsi"/>
                <w:sz w:val="22"/>
                <w:szCs w:val="22"/>
              </w:rPr>
              <w:t>akceleračních</w:t>
            </w:r>
            <w:r w:rsidRPr="00660A8E">
              <w:rPr>
                <w:rFonts w:asciiTheme="minorHAnsi" w:hAnsiTheme="minorHAnsi" w:cstheme="minorHAnsi"/>
                <w:sz w:val="22"/>
                <w:szCs w:val="22"/>
              </w:rPr>
              <w:t xml:space="preserve"> zón na krajské úrovni</w:t>
            </w:r>
          </w:p>
          <w:p w14:paraId="0073584D"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Toto riziko bude minimalizováno významnou podporou aktivit na úrovni krajů (výběr území, aktualizace ZÚR, SEA), dále komunikační strategií a zahájením včasné komunikace reformy směrem k decision-</w:t>
            </w:r>
            <w:proofErr w:type="spellStart"/>
            <w:r w:rsidRPr="00660A8E">
              <w:rPr>
                <w:rFonts w:asciiTheme="minorHAnsi" w:hAnsiTheme="minorHAnsi" w:cstheme="minorHAnsi"/>
                <w:sz w:val="22"/>
                <w:szCs w:val="22"/>
              </w:rPr>
              <w:t>makerům</w:t>
            </w:r>
            <w:proofErr w:type="spellEnd"/>
            <w:r w:rsidRPr="00660A8E">
              <w:rPr>
                <w:rFonts w:asciiTheme="minorHAnsi" w:hAnsiTheme="minorHAnsi" w:cstheme="minorHAnsi"/>
                <w:sz w:val="22"/>
                <w:szCs w:val="22"/>
              </w:rPr>
              <w:t>.</w:t>
            </w:r>
          </w:p>
          <w:p w14:paraId="640F38F8"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Riziko č. 2 - Zpoždění v přípravě změny PÚR, pro které pak územně samosprávné celky nestihnou vymezit vhodné oblasti ve lhůtě pro transpozici směrnice, anebo se OZE jednoduše “pustí” do krajiny bez dokončení reformy.</w:t>
            </w:r>
          </w:p>
          <w:p w14:paraId="3709685F"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Riziko bude minimalizováno včasným zahájením přípravy modelu GIS a přípravy PÚR a koncentrací právě na tyto úkoly jako úkoly klíčové.</w:t>
            </w:r>
          </w:p>
          <w:p w14:paraId="7EF5E77D" w14:textId="04BA4DB5"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 xml:space="preserve">Riziko č. 3 - </w:t>
            </w:r>
            <w:r w:rsidR="00C24F5F" w:rsidRPr="00660A8E">
              <w:rPr>
                <w:rFonts w:asciiTheme="minorHAnsi" w:hAnsiTheme="minorHAnsi" w:cstheme="minorHAnsi"/>
                <w:sz w:val="22"/>
                <w:szCs w:val="22"/>
              </w:rPr>
              <w:t>Akcelerační</w:t>
            </w:r>
            <w:r w:rsidRPr="00660A8E">
              <w:rPr>
                <w:rFonts w:asciiTheme="minorHAnsi" w:hAnsiTheme="minorHAnsi" w:cstheme="minorHAnsi"/>
                <w:sz w:val="22"/>
                <w:szCs w:val="22"/>
              </w:rPr>
              <w:t xml:space="preserve"> zóny zůstanou jen na papíře</w:t>
            </w:r>
          </w:p>
          <w:p w14:paraId="3ABEA497" w14:textId="59A33B2C"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 xml:space="preserve">O vhodných oblastech rozhodují podle Směrnice RED II “příslušné orgány”. Těmi jsou v ČR obce a kraje. Stát je v tomto přímo řídit nemůže, může jim však poskytnout maximální asistenci. Tato reforma se proto neuskutečňuje přípravou podkladů, ale teprve až efektivní komunikací úkolu, před kterými obce a kraje stojí, a jejich podporu odborným poradenstvím, zajištěním aktualizace ZÚR a SEA, tak aby </w:t>
            </w:r>
            <w:r w:rsidR="00C24F5F" w:rsidRPr="00660A8E">
              <w:rPr>
                <w:rFonts w:asciiTheme="minorHAnsi" w:hAnsiTheme="minorHAnsi" w:cstheme="minorHAnsi"/>
                <w:sz w:val="22"/>
                <w:szCs w:val="22"/>
              </w:rPr>
              <w:t>akcelerační</w:t>
            </w:r>
            <w:r w:rsidRPr="00660A8E">
              <w:rPr>
                <w:rFonts w:asciiTheme="minorHAnsi" w:hAnsiTheme="minorHAnsi" w:cstheme="minorHAnsi"/>
                <w:sz w:val="22"/>
                <w:szCs w:val="22"/>
              </w:rPr>
              <w:t xml:space="preserve"> zóny nezůstaly MŽP v šuplíku.</w:t>
            </w:r>
          </w:p>
        </w:tc>
      </w:tr>
      <w:tr w:rsidR="008004E7" w:rsidRPr="00660A8E" w14:paraId="722CC8FC"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753D1C18"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lastRenderedPageBreak/>
              <w:t>Cílové skupiny populace a ekonomické subjekty</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46BAF31" w14:textId="74DC4E6A"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Cílovou skupinou jsou občané České republiky, kteří budou šetrně umístěnými OZE v celkovém pohledu dotčeni méně, než kdyby se k umísťování přistupovalo nekoncepčně. Rychlejší nasazení OZE uspíší odsun fosilních paliv, které ničí veřejné zdraví a životní prostředí obyvatel, a vytvoří nová pracovní místa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investiční příležitosti firmám.</w:t>
            </w:r>
          </w:p>
        </w:tc>
      </w:tr>
      <w:tr w:rsidR="008004E7" w:rsidRPr="00660A8E" w14:paraId="0D235E91"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3B2751C0"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Souhrnné náklady realizace financované z RRF za celé období</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E78034C"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181 mil. Kč (náklady na DPH ve výši 35 mil. Kč by měly být dofinancovány ze státního rozpočtu)</w:t>
            </w:r>
          </w:p>
        </w:tc>
      </w:tr>
      <w:tr w:rsidR="008004E7" w:rsidRPr="00660A8E" w14:paraId="4A6BD900"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0EFA024"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Dodržování pravidel státní podpory</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3DF5926" w14:textId="77777777"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 xml:space="preserve">Vzhledem k zaměření komponenty není veřejná podpora relevantní. </w:t>
            </w:r>
          </w:p>
        </w:tc>
      </w:tr>
      <w:tr w:rsidR="008004E7" w:rsidRPr="00660A8E" w14:paraId="25609224" w14:textId="77777777" w:rsidTr="002E6C83">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670B8CE" w14:textId="77777777" w:rsidR="00573CD3" w:rsidRPr="00660A8E" w:rsidRDefault="00573CD3" w:rsidP="002E6C83">
            <w:pPr>
              <w:rPr>
                <w:rFonts w:asciiTheme="minorHAnsi" w:hAnsiTheme="minorHAnsi" w:cstheme="minorHAnsi"/>
                <w:sz w:val="22"/>
                <w:szCs w:val="22"/>
              </w:rPr>
            </w:pPr>
            <w:r w:rsidRPr="00660A8E">
              <w:rPr>
                <w:rFonts w:asciiTheme="minorHAnsi" w:hAnsiTheme="minorHAnsi" w:cstheme="minorHAnsi"/>
                <w:sz w:val="22"/>
                <w:szCs w:val="22"/>
              </w:rPr>
              <w:t>Uveďte dobu implementace</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D6E8E94" w14:textId="578873DB" w:rsidR="00573CD3" w:rsidRPr="00660A8E" w:rsidRDefault="00573CD3" w:rsidP="002E6C83">
            <w:pPr>
              <w:spacing w:before="60" w:after="60"/>
              <w:rPr>
                <w:rFonts w:asciiTheme="minorHAnsi" w:hAnsiTheme="minorHAnsi" w:cstheme="minorHAnsi"/>
                <w:sz w:val="22"/>
                <w:szCs w:val="22"/>
              </w:rPr>
            </w:pPr>
            <w:r w:rsidRPr="00660A8E">
              <w:rPr>
                <w:rFonts w:asciiTheme="minorHAnsi" w:hAnsiTheme="minorHAnsi" w:cstheme="minorHAnsi"/>
                <w:sz w:val="22"/>
                <w:szCs w:val="22"/>
              </w:rPr>
              <w:t>Q</w:t>
            </w:r>
            <w:r w:rsidR="006B55FA">
              <w:rPr>
                <w:rFonts w:asciiTheme="minorHAnsi" w:hAnsiTheme="minorHAnsi" w:cstheme="minorHAnsi"/>
                <w:sz w:val="22"/>
                <w:szCs w:val="22"/>
              </w:rPr>
              <w:t>3</w:t>
            </w:r>
            <w:r w:rsidRPr="00660A8E">
              <w:rPr>
                <w:rFonts w:asciiTheme="minorHAnsi" w:hAnsiTheme="minorHAnsi" w:cstheme="minorHAnsi"/>
                <w:sz w:val="22"/>
                <w:szCs w:val="22"/>
              </w:rPr>
              <w:t xml:space="preserve"> 2023 – Q</w:t>
            </w:r>
            <w:r w:rsidR="006B55FA">
              <w:rPr>
                <w:rFonts w:asciiTheme="minorHAnsi" w:hAnsiTheme="minorHAnsi" w:cstheme="minorHAnsi"/>
                <w:sz w:val="22"/>
                <w:szCs w:val="22"/>
              </w:rPr>
              <w:t>2</w:t>
            </w:r>
            <w:r w:rsidRPr="00660A8E">
              <w:rPr>
                <w:rFonts w:asciiTheme="minorHAnsi" w:hAnsiTheme="minorHAnsi" w:cstheme="minorHAnsi"/>
                <w:sz w:val="22"/>
                <w:szCs w:val="22"/>
              </w:rPr>
              <w:t xml:space="preserve"> 2026 </w:t>
            </w:r>
          </w:p>
        </w:tc>
      </w:tr>
    </w:tbl>
    <w:p w14:paraId="234F42A4" w14:textId="77777777" w:rsidR="00573CD3" w:rsidRPr="00660A8E" w:rsidRDefault="00573CD3" w:rsidP="008004E7">
      <w:pPr>
        <w:rPr>
          <w:rFonts w:asciiTheme="minorHAnsi" w:hAnsiTheme="minorHAnsi" w:cstheme="minorHAnsi"/>
          <w:sz w:val="22"/>
          <w:szCs w:val="22"/>
        </w:rPr>
      </w:pPr>
    </w:p>
    <w:p w14:paraId="3EC24071" w14:textId="77777777" w:rsidR="009442B6" w:rsidRPr="00660A8E" w:rsidRDefault="009442B6" w:rsidP="00DB6B91">
      <w:pPr>
        <w:keepNext/>
        <w:keepLines/>
        <w:numPr>
          <w:ilvl w:val="0"/>
          <w:numId w:val="16"/>
        </w:numPr>
        <w:pBdr>
          <w:top w:val="nil"/>
          <w:left w:val="nil"/>
          <w:bottom w:val="nil"/>
          <w:right w:val="nil"/>
          <w:between w:val="nil"/>
        </w:pBdr>
        <w:spacing w:before="120" w:after="0" w:line="293" w:lineRule="auto"/>
        <w:jc w:val="left"/>
        <w:rPr>
          <w:rFonts w:asciiTheme="minorHAnsi" w:hAnsiTheme="minorHAnsi" w:cstheme="minorHAnsi"/>
          <w:b/>
          <w:sz w:val="22"/>
          <w:szCs w:val="22"/>
        </w:rPr>
      </w:pPr>
      <w:bookmarkStart w:id="9" w:name="_heading=h.4d34og8" w:colFirst="0" w:colLast="0"/>
      <w:bookmarkEnd w:id="9"/>
      <w:r w:rsidRPr="00660A8E">
        <w:rPr>
          <w:rFonts w:asciiTheme="minorHAnsi" w:hAnsiTheme="minorHAnsi" w:cstheme="minorHAnsi"/>
          <w:b/>
          <w:sz w:val="22"/>
          <w:szCs w:val="22"/>
        </w:rPr>
        <w:t>Popis investic</w:t>
      </w:r>
    </w:p>
    <w:p w14:paraId="3D2EF63C" w14:textId="0D682EFF" w:rsidR="009442B6" w:rsidRPr="00660A8E" w:rsidRDefault="009442B6" w:rsidP="00DB6B91">
      <w:pPr>
        <w:pBdr>
          <w:top w:val="nil"/>
          <w:left w:val="nil"/>
          <w:bottom w:val="nil"/>
          <w:right w:val="nil"/>
          <w:between w:val="nil"/>
        </w:pBdr>
        <w:spacing w:before="120" w:after="0" w:line="240" w:lineRule="auto"/>
        <w:rPr>
          <w:rFonts w:asciiTheme="minorHAnsi" w:hAnsiTheme="minorHAnsi" w:cstheme="minorHAnsi"/>
          <w:i/>
          <w:sz w:val="22"/>
          <w:szCs w:val="22"/>
        </w:rPr>
      </w:pPr>
      <w:r w:rsidRPr="00660A8E">
        <w:rPr>
          <w:rFonts w:asciiTheme="minorHAnsi" w:hAnsiTheme="minorHAnsi" w:cstheme="minorHAnsi"/>
          <w:sz w:val="22"/>
          <w:szCs w:val="22"/>
        </w:rPr>
        <w:t>Není relevantní, podpora zahrnuje pouze podporu reforem</w:t>
      </w:r>
      <w:r w:rsidR="001B6570" w:rsidRPr="00660A8E">
        <w:rPr>
          <w:rFonts w:asciiTheme="minorHAnsi" w:hAnsiTheme="minorHAnsi" w:cstheme="minorHAnsi"/>
          <w:sz w:val="22"/>
          <w:szCs w:val="22"/>
        </w:rPr>
        <w:t xml:space="preserve"> a jejich zavedení do praxe</w:t>
      </w:r>
      <w:r w:rsidRPr="00660A8E">
        <w:rPr>
          <w:rFonts w:asciiTheme="minorHAnsi" w:hAnsiTheme="minorHAnsi" w:cstheme="minorHAnsi"/>
          <w:sz w:val="22"/>
          <w:szCs w:val="22"/>
        </w:rPr>
        <w:t>.</w:t>
      </w:r>
    </w:p>
    <w:p w14:paraId="4DA924B4" w14:textId="77777777" w:rsidR="009442B6" w:rsidRPr="00660A8E" w:rsidRDefault="009442B6" w:rsidP="00DB6B91">
      <w:pPr>
        <w:pBdr>
          <w:top w:val="nil"/>
          <w:left w:val="nil"/>
          <w:bottom w:val="nil"/>
          <w:right w:val="nil"/>
          <w:between w:val="nil"/>
        </w:pBdr>
        <w:spacing w:before="120" w:line="240" w:lineRule="auto"/>
        <w:rPr>
          <w:rFonts w:asciiTheme="minorHAnsi" w:hAnsiTheme="minorHAnsi" w:cstheme="minorHAnsi"/>
          <w:b/>
          <w:sz w:val="22"/>
          <w:szCs w:val="22"/>
        </w:rPr>
      </w:pPr>
    </w:p>
    <w:p w14:paraId="6CF1DD1D"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0" w:name="_heading=h.2s8eyo1" w:colFirst="0" w:colLast="0"/>
      <w:bookmarkEnd w:id="10"/>
      <w:r w:rsidRPr="00660A8E">
        <w:rPr>
          <w:rFonts w:asciiTheme="minorHAnsi" w:hAnsiTheme="minorHAnsi" w:cstheme="minorHAnsi"/>
          <w:b/>
          <w:sz w:val="22"/>
          <w:szCs w:val="22"/>
        </w:rPr>
        <w:t>4. Strategická autonomie a bezpečnostní problematika</w:t>
      </w:r>
    </w:p>
    <w:p w14:paraId="15BC8591" w14:textId="77777777" w:rsidR="009442B6" w:rsidRPr="00660A8E" w:rsidRDefault="009442B6"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Pro připravovanou podporu není relevantní.</w:t>
      </w:r>
    </w:p>
    <w:p w14:paraId="7C5CD208" w14:textId="77777777" w:rsidR="009442B6" w:rsidRPr="00660A8E" w:rsidRDefault="009442B6" w:rsidP="00DB6B91">
      <w:pPr>
        <w:spacing w:before="120"/>
        <w:rPr>
          <w:rFonts w:asciiTheme="minorHAnsi" w:hAnsiTheme="minorHAnsi" w:cstheme="minorHAnsi"/>
          <w:b/>
          <w:sz w:val="22"/>
          <w:szCs w:val="22"/>
        </w:rPr>
      </w:pPr>
    </w:p>
    <w:p w14:paraId="0FF26C41"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1" w:name="_heading=h.17dp8vu" w:colFirst="0" w:colLast="0"/>
      <w:bookmarkEnd w:id="11"/>
      <w:r w:rsidRPr="00660A8E">
        <w:rPr>
          <w:rFonts w:asciiTheme="minorHAnsi" w:hAnsiTheme="minorHAnsi" w:cstheme="minorHAnsi"/>
          <w:b/>
          <w:sz w:val="22"/>
          <w:szCs w:val="22"/>
        </w:rPr>
        <w:t xml:space="preserve">5. Přeshraniční a mezinárodní projekty </w:t>
      </w:r>
    </w:p>
    <w:p w14:paraId="622FAA17" w14:textId="586622B9" w:rsidR="009442B6" w:rsidRPr="00660A8E" w:rsidRDefault="009442B6"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Pro připravovanou podporu není relevantní</w:t>
      </w:r>
      <w:r w:rsidR="009B6F74" w:rsidRPr="00660A8E">
        <w:rPr>
          <w:rFonts w:asciiTheme="minorHAnsi" w:hAnsiTheme="minorHAnsi" w:cstheme="minorHAnsi"/>
          <w:sz w:val="22"/>
          <w:szCs w:val="22"/>
        </w:rPr>
        <w:t>.</w:t>
      </w:r>
    </w:p>
    <w:p w14:paraId="30218668" w14:textId="77777777" w:rsidR="009B6F74" w:rsidRPr="00660A8E" w:rsidRDefault="009B6F74"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2" w:name="_heading=h.3rdcrjn" w:colFirst="0" w:colLast="0"/>
      <w:bookmarkEnd w:id="12"/>
    </w:p>
    <w:p w14:paraId="7C35E34D" w14:textId="614F0938"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r w:rsidRPr="00660A8E">
        <w:rPr>
          <w:rFonts w:asciiTheme="minorHAnsi" w:hAnsiTheme="minorHAnsi" w:cstheme="minorHAnsi"/>
          <w:b/>
          <w:sz w:val="22"/>
          <w:szCs w:val="22"/>
        </w:rPr>
        <w:t xml:space="preserve">6. </w:t>
      </w:r>
      <w:proofErr w:type="gramStart"/>
      <w:r w:rsidRPr="00660A8E">
        <w:rPr>
          <w:rFonts w:asciiTheme="minorHAnsi" w:hAnsiTheme="minorHAnsi" w:cstheme="minorHAnsi"/>
          <w:b/>
          <w:sz w:val="22"/>
          <w:szCs w:val="22"/>
        </w:rPr>
        <w:t>Zelený</w:t>
      </w:r>
      <w:proofErr w:type="gramEnd"/>
      <w:r w:rsidRPr="00660A8E">
        <w:rPr>
          <w:rFonts w:asciiTheme="minorHAnsi" w:hAnsiTheme="minorHAnsi" w:cstheme="minorHAnsi"/>
          <w:b/>
          <w:sz w:val="22"/>
          <w:szCs w:val="22"/>
        </w:rPr>
        <w:t xml:space="preserve"> rozměr komponenty</w:t>
      </w:r>
    </w:p>
    <w:p w14:paraId="69D4793E" w14:textId="77777777" w:rsidR="00A739C1" w:rsidRPr="00660A8E" w:rsidRDefault="00A739C1" w:rsidP="00DB6B91">
      <w:pPr>
        <w:spacing w:before="120" w:after="240" w:line="240" w:lineRule="auto"/>
        <w:rPr>
          <w:rFonts w:asciiTheme="minorHAnsi" w:hAnsiTheme="minorHAnsi" w:cstheme="minorHAnsi"/>
          <w:b/>
          <w:sz w:val="22"/>
          <w:szCs w:val="22"/>
        </w:rPr>
      </w:pPr>
      <w:r w:rsidRPr="00660A8E">
        <w:rPr>
          <w:rFonts w:asciiTheme="minorHAnsi" w:hAnsiTheme="minorHAnsi" w:cstheme="minorHAnsi"/>
          <w:b/>
          <w:sz w:val="22"/>
          <w:szCs w:val="22"/>
        </w:rPr>
        <w:t>Jednotné environmentální stanovisko</w:t>
      </w:r>
    </w:p>
    <w:p w14:paraId="101D0480" w14:textId="563FB232" w:rsidR="00B62BD7" w:rsidRPr="00660A8E" w:rsidRDefault="00B62BD7" w:rsidP="00DB6B91">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Zavedením jednotného environmentálního stanovisk</w:t>
      </w:r>
      <w:r w:rsidR="0088529F" w:rsidRPr="00660A8E">
        <w:rPr>
          <w:rFonts w:asciiTheme="minorHAnsi" w:hAnsiTheme="minorHAnsi" w:cstheme="minorHAnsi"/>
          <w:sz w:val="22"/>
          <w:szCs w:val="22"/>
        </w:rPr>
        <w:t>a</w:t>
      </w:r>
      <w:r w:rsidRPr="00660A8E">
        <w:rPr>
          <w:rFonts w:asciiTheme="minorHAnsi" w:hAnsiTheme="minorHAnsi" w:cstheme="minorHAnsi"/>
          <w:sz w:val="22"/>
          <w:szCs w:val="22"/>
        </w:rPr>
        <w:t xml:space="preserve"> bude </w:t>
      </w:r>
      <w:r w:rsidR="00C212B9" w:rsidRPr="00660A8E">
        <w:rPr>
          <w:rFonts w:asciiTheme="minorHAnsi" w:hAnsiTheme="minorHAnsi" w:cstheme="minorHAnsi"/>
          <w:sz w:val="22"/>
          <w:szCs w:val="22"/>
        </w:rPr>
        <w:t>zajištěna vysoká úroveň</w:t>
      </w:r>
      <w:r w:rsidRPr="00660A8E">
        <w:rPr>
          <w:rFonts w:asciiTheme="minorHAnsi" w:hAnsiTheme="minorHAnsi" w:cstheme="minorHAnsi"/>
          <w:sz w:val="22"/>
          <w:szCs w:val="22"/>
        </w:rPr>
        <w:t xml:space="preserve"> ochrany zájmů životního prostředí při povolování staveb a dalších vybraných záměrů. Orgány ochrany </w:t>
      </w:r>
      <w:r w:rsidR="004F79D5" w:rsidRPr="00660A8E">
        <w:rPr>
          <w:rFonts w:asciiTheme="minorHAnsi" w:hAnsiTheme="minorHAnsi" w:cstheme="minorHAnsi"/>
          <w:sz w:val="22"/>
          <w:szCs w:val="22"/>
        </w:rPr>
        <w:t xml:space="preserve">životního prostředí </w:t>
      </w:r>
      <w:r w:rsidRPr="00660A8E">
        <w:rPr>
          <w:rFonts w:asciiTheme="minorHAnsi" w:hAnsiTheme="minorHAnsi" w:cstheme="minorHAnsi"/>
          <w:sz w:val="22"/>
          <w:szCs w:val="22"/>
        </w:rPr>
        <w:t>budou posuzovat komplexně všechny dotčené zájmy z oblasti životního prostředí, čímž mají možnost dospět za současného zrychlení povolovacího procesu k nastavení uceleného rámce podmínek stanovených pro fázi realizace záměru.</w:t>
      </w:r>
    </w:p>
    <w:p w14:paraId="5C8DF0D5" w14:textId="64A3F8EF" w:rsidR="00C212B9" w:rsidRPr="00660A8E" w:rsidRDefault="00C212B9" w:rsidP="00DB6B91">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 xml:space="preserve">Jednotné environmentální stanovisko </w:t>
      </w:r>
      <w:r w:rsidR="0088529F" w:rsidRPr="00660A8E">
        <w:rPr>
          <w:rFonts w:asciiTheme="minorHAnsi" w:hAnsiTheme="minorHAnsi" w:cstheme="minorHAnsi"/>
          <w:sz w:val="22"/>
          <w:szCs w:val="22"/>
        </w:rPr>
        <w:t>zahrnuje</w:t>
      </w:r>
      <w:r w:rsidRPr="00660A8E">
        <w:rPr>
          <w:rFonts w:asciiTheme="minorHAnsi" w:hAnsiTheme="minorHAnsi" w:cstheme="minorHAnsi"/>
          <w:sz w:val="22"/>
          <w:szCs w:val="22"/>
        </w:rPr>
        <w:t xml:space="preserve"> </w:t>
      </w:r>
      <w:r w:rsidR="0088529F" w:rsidRPr="00660A8E">
        <w:rPr>
          <w:rFonts w:asciiTheme="minorHAnsi" w:hAnsiTheme="minorHAnsi" w:cstheme="minorHAnsi"/>
          <w:sz w:val="22"/>
          <w:szCs w:val="22"/>
        </w:rPr>
        <w:t>většinu</w:t>
      </w:r>
      <w:r w:rsidRPr="00660A8E">
        <w:rPr>
          <w:rFonts w:asciiTheme="minorHAnsi" w:hAnsiTheme="minorHAnsi" w:cstheme="minorHAnsi"/>
          <w:sz w:val="22"/>
          <w:szCs w:val="22"/>
        </w:rPr>
        <w:t xml:space="preserve"> složek životního prostředí, </w:t>
      </w:r>
      <w:r w:rsidR="0088529F" w:rsidRPr="00660A8E">
        <w:rPr>
          <w:rFonts w:asciiTheme="minorHAnsi" w:hAnsiTheme="minorHAnsi" w:cstheme="minorHAnsi"/>
          <w:sz w:val="22"/>
          <w:szCs w:val="22"/>
        </w:rPr>
        <w:t>má tak pozitivní vliv na</w:t>
      </w:r>
      <w:r w:rsidRPr="00660A8E">
        <w:rPr>
          <w:rFonts w:asciiTheme="minorHAnsi" w:hAnsiTheme="minorHAnsi" w:cstheme="minorHAnsi"/>
          <w:sz w:val="22"/>
          <w:szCs w:val="22"/>
        </w:rPr>
        <w:t xml:space="preserve"> ochranu přírody a krajiny, </w:t>
      </w:r>
      <w:r w:rsidR="00DA2F5F" w:rsidRPr="00660A8E">
        <w:rPr>
          <w:rFonts w:asciiTheme="minorHAnsi" w:hAnsiTheme="minorHAnsi" w:cstheme="minorHAnsi"/>
          <w:sz w:val="22"/>
          <w:szCs w:val="22"/>
        </w:rPr>
        <w:t xml:space="preserve">ovzduší, </w:t>
      </w:r>
      <w:r w:rsidRPr="00660A8E">
        <w:rPr>
          <w:rFonts w:asciiTheme="minorHAnsi" w:hAnsiTheme="minorHAnsi" w:cstheme="minorHAnsi"/>
          <w:sz w:val="22"/>
          <w:szCs w:val="22"/>
        </w:rPr>
        <w:t>zemědělsk</w:t>
      </w:r>
      <w:r w:rsidR="0088529F" w:rsidRPr="00660A8E">
        <w:rPr>
          <w:rFonts w:asciiTheme="minorHAnsi" w:hAnsiTheme="minorHAnsi" w:cstheme="minorHAnsi"/>
          <w:sz w:val="22"/>
          <w:szCs w:val="22"/>
        </w:rPr>
        <w:t>ého</w:t>
      </w:r>
      <w:r w:rsidRPr="00660A8E">
        <w:rPr>
          <w:rFonts w:asciiTheme="minorHAnsi" w:hAnsiTheme="minorHAnsi" w:cstheme="minorHAnsi"/>
          <w:sz w:val="22"/>
          <w:szCs w:val="22"/>
        </w:rPr>
        <w:t xml:space="preserve"> půdní</w:t>
      </w:r>
      <w:r w:rsidR="0088529F" w:rsidRPr="00660A8E">
        <w:rPr>
          <w:rFonts w:asciiTheme="minorHAnsi" w:hAnsiTheme="minorHAnsi" w:cstheme="minorHAnsi"/>
          <w:sz w:val="22"/>
          <w:szCs w:val="22"/>
        </w:rPr>
        <w:t>ho</w:t>
      </w:r>
      <w:r w:rsidRPr="00660A8E">
        <w:rPr>
          <w:rFonts w:asciiTheme="minorHAnsi" w:hAnsiTheme="minorHAnsi" w:cstheme="minorHAnsi"/>
          <w:sz w:val="22"/>
          <w:szCs w:val="22"/>
        </w:rPr>
        <w:t xml:space="preserve"> fond</w:t>
      </w:r>
      <w:r w:rsidR="0088529F" w:rsidRPr="00660A8E">
        <w:rPr>
          <w:rFonts w:asciiTheme="minorHAnsi" w:hAnsiTheme="minorHAnsi" w:cstheme="minorHAnsi"/>
          <w:sz w:val="22"/>
          <w:szCs w:val="22"/>
        </w:rPr>
        <w:t>u</w:t>
      </w:r>
      <w:r w:rsidRPr="00660A8E">
        <w:rPr>
          <w:rFonts w:asciiTheme="minorHAnsi" w:hAnsiTheme="minorHAnsi" w:cstheme="minorHAnsi"/>
          <w:sz w:val="22"/>
          <w:szCs w:val="22"/>
        </w:rPr>
        <w:t>, pozemk</w:t>
      </w:r>
      <w:r w:rsidR="0088529F" w:rsidRPr="00660A8E">
        <w:rPr>
          <w:rFonts w:asciiTheme="minorHAnsi" w:hAnsiTheme="minorHAnsi" w:cstheme="minorHAnsi"/>
          <w:sz w:val="22"/>
          <w:szCs w:val="22"/>
        </w:rPr>
        <w:t>ů</w:t>
      </w:r>
      <w:r w:rsidRPr="00660A8E">
        <w:rPr>
          <w:rFonts w:asciiTheme="minorHAnsi" w:hAnsiTheme="minorHAnsi" w:cstheme="minorHAnsi"/>
          <w:sz w:val="22"/>
          <w:szCs w:val="22"/>
        </w:rPr>
        <w:t xml:space="preserve"> určen</w:t>
      </w:r>
      <w:r w:rsidR="0088529F" w:rsidRPr="00660A8E">
        <w:rPr>
          <w:rFonts w:asciiTheme="minorHAnsi" w:hAnsiTheme="minorHAnsi" w:cstheme="minorHAnsi"/>
          <w:sz w:val="22"/>
          <w:szCs w:val="22"/>
        </w:rPr>
        <w:t>ých</w:t>
      </w:r>
      <w:r w:rsidRPr="00660A8E">
        <w:rPr>
          <w:rFonts w:asciiTheme="minorHAnsi" w:hAnsiTheme="minorHAnsi" w:cstheme="minorHAnsi"/>
          <w:sz w:val="22"/>
          <w:szCs w:val="22"/>
        </w:rPr>
        <w:t xml:space="preserve"> k plnění funkcí lesa a</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 xml:space="preserve">dále </w:t>
      </w:r>
      <w:r w:rsidR="0088529F" w:rsidRPr="00660A8E">
        <w:rPr>
          <w:rFonts w:asciiTheme="minorHAnsi" w:hAnsiTheme="minorHAnsi" w:cstheme="minorHAnsi"/>
          <w:sz w:val="22"/>
          <w:szCs w:val="22"/>
        </w:rPr>
        <w:t xml:space="preserve">zahrnuje </w:t>
      </w:r>
      <w:r w:rsidR="00DA2F5F" w:rsidRPr="00660A8E">
        <w:rPr>
          <w:rFonts w:asciiTheme="minorHAnsi" w:hAnsiTheme="minorHAnsi" w:cstheme="minorHAnsi"/>
          <w:sz w:val="22"/>
          <w:szCs w:val="22"/>
        </w:rPr>
        <w:t xml:space="preserve">mj. </w:t>
      </w:r>
      <w:r w:rsidR="0088529F" w:rsidRPr="00660A8E">
        <w:rPr>
          <w:rFonts w:asciiTheme="minorHAnsi" w:hAnsiTheme="minorHAnsi" w:cstheme="minorHAnsi"/>
          <w:sz w:val="22"/>
          <w:szCs w:val="22"/>
        </w:rPr>
        <w:t xml:space="preserve">oblast </w:t>
      </w:r>
      <w:r w:rsidRPr="00660A8E">
        <w:rPr>
          <w:rFonts w:asciiTheme="minorHAnsi" w:hAnsiTheme="minorHAnsi" w:cstheme="minorHAnsi"/>
          <w:sz w:val="22"/>
          <w:szCs w:val="22"/>
        </w:rPr>
        <w:t>posouzení vlivů na životní prostředí, prevenc</w:t>
      </w:r>
      <w:r w:rsidR="0088529F" w:rsidRPr="00660A8E">
        <w:rPr>
          <w:rFonts w:asciiTheme="minorHAnsi" w:hAnsiTheme="minorHAnsi" w:cstheme="minorHAnsi"/>
          <w:sz w:val="22"/>
          <w:szCs w:val="22"/>
        </w:rPr>
        <w:t>e</w:t>
      </w:r>
      <w:r w:rsidRPr="00660A8E">
        <w:rPr>
          <w:rFonts w:asciiTheme="minorHAnsi" w:hAnsiTheme="minorHAnsi" w:cstheme="minorHAnsi"/>
          <w:sz w:val="22"/>
          <w:szCs w:val="22"/>
        </w:rPr>
        <w:t xml:space="preserve"> závažných havárií </w:t>
      </w:r>
      <w:r w:rsidR="0088529F" w:rsidRPr="00660A8E">
        <w:rPr>
          <w:rFonts w:asciiTheme="minorHAnsi" w:hAnsiTheme="minorHAnsi" w:cstheme="minorHAnsi"/>
          <w:sz w:val="22"/>
          <w:szCs w:val="22"/>
        </w:rPr>
        <w:t>a</w:t>
      </w:r>
      <w:r w:rsidRPr="00660A8E">
        <w:rPr>
          <w:rFonts w:asciiTheme="minorHAnsi" w:hAnsiTheme="minorHAnsi" w:cstheme="minorHAnsi"/>
          <w:sz w:val="22"/>
          <w:szCs w:val="22"/>
        </w:rPr>
        <w:t xml:space="preserve"> nakládání s odpady. </w:t>
      </w:r>
    </w:p>
    <w:p w14:paraId="4DF53007" w14:textId="4A089386" w:rsidR="00C212B9" w:rsidRPr="00660A8E" w:rsidRDefault="00C212B9" w:rsidP="00DB6B91">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 xml:space="preserve">Jednotným environmentálním stanoviskem tak budou </w:t>
      </w:r>
      <w:r w:rsidR="00DA2F5F" w:rsidRPr="00660A8E">
        <w:rPr>
          <w:rFonts w:asciiTheme="minorHAnsi" w:hAnsiTheme="minorHAnsi" w:cstheme="minorHAnsi"/>
          <w:sz w:val="22"/>
          <w:szCs w:val="22"/>
        </w:rPr>
        <w:t xml:space="preserve">efektivně </w:t>
      </w:r>
      <w:r w:rsidRPr="00660A8E">
        <w:rPr>
          <w:rFonts w:asciiTheme="minorHAnsi" w:hAnsiTheme="minorHAnsi" w:cstheme="minorHAnsi"/>
          <w:sz w:val="22"/>
          <w:szCs w:val="22"/>
        </w:rPr>
        <w:t>chráně</w:t>
      </w:r>
      <w:r w:rsidR="004D2E59" w:rsidRPr="00660A8E">
        <w:rPr>
          <w:rFonts w:asciiTheme="minorHAnsi" w:hAnsiTheme="minorHAnsi" w:cstheme="minorHAnsi"/>
          <w:sz w:val="22"/>
          <w:szCs w:val="22"/>
        </w:rPr>
        <w:t>na přírodní stanoviště, zvláště chráněné druhy rostlin a živočichů, ale rovněž zemědělská a lesní půda</w:t>
      </w:r>
      <w:r w:rsidR="0088529F" w:rsidRPr="00660A8E">
        <w:rPr>
          <w:rFonts w:asciiTheme="minorHAnsi" w:hAnsiTheme="minorHAnsi" w:cstheme="minorHAnsi"/>
          <w:sz w:val="22"/>
          <w:szCs w:val="22"/>
        </w:rPr>
        <w:t>, ovzduší a další dotčené zájmy životního prostředí.</w:t>
      </w:r>
      <w:r w:rsidR="004D2E59" w:rsidRPr="00660A8E">
        <w:rPr>
          <w:rFonts w:asciiTheme="minorHAnsi" w:hAnsiTheme="minorHAnsi" w:cstheme="minorHAnsi"/>
          <w:sz w:val="22"/>
          <w:szCs w:val="22"/>
        </w:rPr>
        <w:t xml:space="preserve"> </w:t>
      </w:r>
    </w:p>
    <w:p w14:paraId="5F8853C7" w14:textId="43F41319" w:rsidR="00C212B9" w:rsidRPr="00660A8E" w:rsidRDefault="00C212B9" w:rsidP="00DB6B91">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Jednotné environmentální stanovisko bude využíváno rovněž pro povolování výroben z obnovitelných zdrojů energie.</w:t>
      </w:r>
    </w:p>
    <w:p w14:paraId="058D75E2" w14:textId="173C3CCE" w:rsidR="00970BA1" w:rsidRPr="00660A8E" w:rsidRDefault="00970BA1" w:rsidP="00DB6B91">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Poskytované podpoře lze přidělit koeficienty bodu 143 přílohy č. VI k Nařízení Evropského parlamentu a Rady 2021/241 ze dne 12. 2. 2021, kterým se zřizuje Nástroj pro oživení a</w:t>
      </w:r>
      <w:r w:rsidR="000C0257" w:rsidRPr="00660A8E">
        <w:rPr>
          <w:rFonts w:asciiTheme="minorHAnsi" w:hAnsiTheme="minorHAnsi" w:cstheme="minorHAnsi"/>
          <w:sz w:val="22"/>
          <w:szCs w:val="22"/>
        </w:rPr>
        <w:t> </w:t>
      </w:r>
      <w:r w:rsidRPr="00660A8E">
        <w:rPr>
          <w:rFonts w:asciiTheme="minorHAnsi" w:hAnsiTheme="minorHAnsi" w:cstheme="minorHAnsi"/>
          <w:sz w:val="22"/>
          <w:szCs w:val="22"/>
        </w:rPr>
        <w:t>odolnost. Tento bod byl vybrán proto, že s ohledem na charakter komponenty je jeho znění k</w:t>
      </w:r>
      <w:r w:rsidR="00236386" w:rsidRPr="00660A8E">
        <w:rPr>
          <w:rFonts w:asciiTheme="minorHAnsi" w:hAnsiTheme="minorHAnsi" w:cstheme="minorHAnsi"/>
          <w:sz w:val="22"/>
          <w:szCs w:val="22"/>
        </w:rPr>
        <w:t>e</w:t>
      </w:r>
      <w:r w:rsidRPr="00660A8E">
        <w:rPr>
          <w:rFonts w:asciiTheme="minorHAnsi" w:hAnsiTheme="minorHAnsi" w:cstheme="minorHAnsi"/>
          <w:sz w:val="22"/>
          <w:szCs w:val="22"/>
        </w:rPr>
        <w:t> komponentě nejpřiléhavější.</w:t>
      </w:r>
    </w:p>
    <w:p w14:paraId="7CF57948" w14:textId="28D173AC" w:rsidR="00A739C1" w:rsidRPr="00660A8E" w:rsidRDefault="00350DBC" w:rsidP="00DB6B91">
      <w:pPr>
        <w:spacing w:before="120" w:after="240" w:line="240" w:lineRule="auto"/>
        <w:rPr>
          <w:rFonts w:asciiTheme="minorHAnsi" w:hAnsiTheme="minorHAnsi" w:cstheme="minorHAnsi"/>
          <w:b/>
          <w:sz w:val="22"/>
          <w:szCs w:val="22"/>
        </w:rPr>
      </w:pPr>
      <w:r>
        <w:rPr>
          <w:rFonts w:asciiTheme="minorHAnsi" w:hAnsiTheme="minorHAnsi" w:cstheme="minorHAnsi"/>
          <w:b/>
          <w:sz w:val="22"/>
          <w:szCs w:val="22"/>
        </w:rPr>
        <w:t xml:space="preserve">Oblasti pro urychlené zavádění obnovitelných zdrojů energie </w:t>
      </w:r>
    </w:p>
    <w:p w14:paraId="4A04A87A" w14:textId="77777777" w:rsidR="0070652F" w:rsidRPr="00660A8E" w:rsidRDefault="0070652F" w:rsidP="0070652F">
      <w:pPr>
        <w:spacing w:before="120" w:after="240"/>
        <w:rPr>
          <w:rFonts w:asciiTheme="minorHAnsi" w:hAnsiTheme="minorHAnsi" w:cstheme="minorHAnsi"/>
          <w:i/>
          <w:sz w:val="22"/>
          <w:szCs w:val="22"/>
        </w:rPr>
      </w:pPr>
      <w:r w:rsidRPr="00660A8E">
        <w:rPr>
          <w:rFonts w:asciiTheme="minorHAnsi" w:hAnsiTheme="minorHAnsi" w:cstheme="minorHAnsi"/>
          <w:b/>
          <w:bCs/>
          <w:i/>
          <w:sz w:val="22"/>
          <w:szCs w:val="22"/>
        </w:rPr>
        <w:t>Příspěvek k adaptaci na klimatickou změnu</w:t>
      </w:r>
    </w:p>
    <w:p w14:paraId="3E87106B" w14:textId="16322BB4" w:rsidR="0070652F" w:rsidRPr="00660A8E" w:rsidRDefault="0070652F" w:rsidP="0070652F">
      <w:pPr>
        <w:spacing w:before="120" w:after="240"/>
        <w:rPr>
          <w:rFonts w:asciiTheme="minorHAnsi" w:hAnsiTheme="minorHAnsi" w:cstheme="minorHAnsi"/>
          <w:sz w:val="22"/>
          <w:szCs w:val="22"/>
        </w:rPr>
      </w:pPr>
      <w:r w:rsidRPr="00660A8E">
        <w:rPr>
          <w:rFonts w:asciiTheme="minorHAnsi" w:hAnsiTheme="minorHAnsi" w:cstheme="minorHAnsi"/>
          <w:sz w:val="22"/>
          <w:szCs w:val="22"/>
        </w:rPr>
        <w:t xml:space="preserve">Cílem reformy v podobě vymezení akceleračních zón je otevřít prostor pro </w:t>
      </w:r>
      <w:proofErr w:type="spellStart"/>
      <w:r w:rsidRPr="00660A8E">
        <w:rPr>
          <w:rFonts w:asciiTheme="minorHAnsi" w:hAnsiTheme="minorHAnsi" w:cstheme="minorHAnsi"/>
          <w:sz w:val="22"/>
          <w:szCs w:val="22"/>
        </w:rPr>
        <w:t>win-win</w:t>
      </w:r>
      <w:proofErr w:type="spellEnd"/>
      <w:r w:rsidRPr="00660A8E">
        <w:rPr>
          <w:rFonts w:asciiTheme="minorHAnsi" w:hAnsiTheme="minorHAnsi" w:cstheme="minorHAnsi"/>
          <w:sz w:val="22"/>
          <w:szCs w:val="22"/>
        </w:rPr>
        <w:t xml:space="preserve"> řešení. Dobře nastavená zmírňující opatření – u solárních elektráren např. povinnost zajistit seč, zatravnění, regeneraci půdy, zadržení vody nebo povinnost využití pozemku pro chov hospodářských zvířat apod. - mohou udělat z </w:t>
      </w:r>
      <w:proofErr w:type="spellStart"/>
      <w:r w:rsidRPr="00660A8E">
        <w:rPr>
          <w:rFonts w:asciiTheme="minorHAnsi" w:hAnsiTheme="minorHAnsi" w:cstheme="minorHAnsi"/>
          <w:sz w:val="22"/>
          <w:szCs w:val="22"/>
        </w:rPr>
        <w:t>mitigačního</w:t>
      </w:r>
      <w:proofErr w:type="spellEnd"/>
      <w:r w:rsidRPr="00660A8E">
        <w:rPr>
          <w:rFonts w:asciiTheme="minorHAnsi" w:hAnsiTheme="minorHAnsi" w:cstheme="minorHAnsi"/>
          <w:sz w:val="22"/>
          <w:szCs w:val="22"/>
        </w:rPr>
        <w:t xml:space="preserve"> nástroje i nástroj adaptační, do kterého by vlastník či uživatel pozemku jinak neinvestoval. U zničených a ohrožených ekosystémů mohou příjmy z obnovitelného zdroje nahradit ztrátu, která vlastníkovi pozemku vznikne obnovou - např. smrčina po kůrovcové kalamitě v místech, které jsou zároveň ideální pro umístění VTE (jedna oplocenka pro mlází i elektrárnu). Multikriteriální analýza území tak poslouží pro identifikaci ploch pro ekologickou obnovu.</w:t>
      </w:r>
    </w:p>
    <w:p w14:paraId="5E8DAB97" w14:textId="77777777" w:rsidR="0070652F" w:rsidRPr="00660A8E" w:rsidRDefault="0070652F" w:rsidP="0070652F">
      <w:pPr>
        <w:spacing w:before="120" w:after="240"/>
        <w:rPr>
          <w:rFonts w:asciiTheme="minorHAnsi" w:hAnsiTheme="minorHAnsi" w:cstheme="minorHAnsi"/>
          <w:i/>
          <w:sz w:val="22"/>
          <w:szCs w:val="22"/>
        </w:rPr>
      </w:pPr>
      <w:r w:rsidRPr="00660A8E">
        <w:rPr>
          <w:rFonts w:asciiTheme="minorHAnsi" w:hAnsiTheme="minorHAnsi" w:cstheme="minorHAnsi"/>
          <w:b/>
          <w:bCs/>
          <w:i/>
          <w:sz w:val="22"/>
          <w:szCs w:val="22"/>
        </w:rPr>
        <w:t>Příspěvek k mitigaci klimatické změny</w:t>
      </w:r>
    </w:p>
    <w:p w14:paraId="7BFCAE12" w14:textId="15B05C19" w:rsidR="0070652F" w:rsidRPr="00660A8E" w:rsidRDefault="0070652F" w:rsidP="0070652F">
      <w:pPr>
        <w:spacing w:before="120" w:after="240"/>
        <w:rPr>
          <w:rFonts w:asciiTheme="minorHAnsi" w:hAnsiTheme="minorHAnsi" w:cstheme="minorHAnsi"/>
          <w:sz w:val="22"/>
          <w:szCs w:val="22"/>
        </w:rPr>
      </w:pPr>
      <w:r w:rsidRPr="00660A8E">
        <w:rPr>
          <w:rFonts w:asciiTheme="minorHAnsi" w:hAnsiTheme="minorHAnsi" w:cstheme="minorHAnsi"/>
          <w:sz w:val="22"/>
          <w:szCs w:val="22"/>
        </w:rPr>
        <w:t>Urychlení výstavby OZE je základním předpokladem mitigace klimatické změny. Reforma odpovídá na odpor spojený s prolomením dosavadních limitů výstavby OZE návrhem oblastí, kde bude výstavba nejšetrnější s</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ohledem na všechny veřejné zájmy. Součástí reformy je i návrh legislativních změn, které udělají zrychlení výstavby co nejúčinnější.</w:t>
      </w:r>
    </w:p>
    <w:p w14:paraId="7654610F" w14:textId="27AEF029" w:rsidR="0070652F" w:rsidRPr="00660A8E" w:rsidRDefault="0070652F" w:rsidP="0070652F">
      <w:pPr>
        <w:spacing w:before="120" w:after="240" w:line="240" w:lineRule="auto"/>
        <w:rPr>
          <w:rFonts w:asciiTheme="minorHAnsi" w:hAnsiTheme="minorHAnsi" w:cstheme="minorHAnsi"/>
          <w:sz w:val="22"/>
          <w:szCs w:val="22"/>
        </w:rPr>
      </w:pPr>
      <w:r w:rsidRPr="00660A8E">
        <w:rPr>
          <w:rFonts w:asciiTheme="minorHAnsi" w:hAnsiTheme="minorHAnsi" w:cstheme="minorHAnsi"/>
          <w:sz w:val="22"/>
          <w:szCs w:val="22"/>
        </w:rPr>
        <w:t>Veškeré aktivity budou směřovat ke zlepšení stavu životního prostředí ve smyslu efektivního dosažení klimatických cílů ČR, klimatických cílů EU a SDG 13, SDG 15, v širším smyslu naplnění Agendy 2030 v celé její šíři.</w:t>
      </w:r>
    </w:p>
    <w:p w14:paraId="3E007F7A" w14:textId="77777777" w:rsidR="00B62BD7" w:rsidRPr="00660A8E" w:rsidRDefault="00B62BD7" w:rsidP="00DB6B91">
      <w:pPr>
        <w:spacing w:before="120" w:after="240" w:line="240" w:lineRule="auto"/>
        <w:rPr>
          <w:rFonts w:asciiTheme="minorHAnsi" w:hAnsiTheme="minorHAnsi" w:cstheme="minorHAnsi"/>
          <w:b/>
          <w:sz w:val="22"/>
          <w:szCs w:val="22"/>
        </w:rPr>
      </w:pPr>
    </w:p>
    <w:p w14:paraId="7D6C8639" w14:textId="7FAA6FBA"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r w:rsidRPr="00660A8E">
        <w:rPr>
          <w:rFonts w:asciiTheme="minorHAnsi" w:hAnsiTheme="minorHAnsi" w:cstheme="minorHAnsi"/>
          <w:b/>
          <w:sz w:val="22"/>
          <w:szCs w:val="22"/>
        </w:rPr>
        <w:t xml:space="preserve">7. Digitální rozměr komponenty  </w:t>
      </w:r>
    </w:p>
    <w:p w14:paraId="38994945" w14:textId="09CDEC11" w:rsidR="009442B6" w:rsidRPr="00660A8E" w:rsidRDefault="00E4560F"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Součástí metodické podpory </w:t>
      </w:r>
      <w:r w:rsidR="0070652F" w:rsidRPr="00660A8E">
        <w:rPr>
          <w:rFonts w:asciiTheme="minorHAnsi" w:hAnsiTheme="minorHAnsi" w:cstheme="minorHAnsi"/>
          <w:sz w:val="22"/>
          <w:szCs w:val="22"/>
        </w:rPr>
        <w:t xml:space="preserve">k reformě spočívající v zavedení jednotného environmentálního stanoviska </w:t>
      </w:r>
      <w:r w:rsidRPr="00660A8E">
        <w:rPr>
          <w:rFonts w:asciiTheme="minorHAnsi" w:hAnsiTheme="minorHAnsi" w:cstheme="minorHAnsi"/>
          <w:sz w:val="22"/>
          <w:szCs w:val="22"/>
        </w:rPr>
        <w:t xml:space="preserve">bude vytváření vzorů dokumentů v digitální podobě, které budou žadatelům k dispozici na příslušných elektronických portálech. JES bude vydáváno </w:t>
      </w:r>
      <w:r w:rsidR="001B6570" w:rsidRPr="00660A8E">
        <w:rPr>
          <w:rFonts w:asciiTheme="minorHAnsi" w:hAnsiTheme="minorHAnsi" w:cstheme="minorHAnsi"/>
          <w:sz w:val="22"/>
          <w:szCs w:val="22"/>
        </w:rPr>
        <w:t xml:space="preserve">mj. </w:t>
      </w:r>
      <w:r w:rsidRPr="00660A8E">
        <w:rPr>
          <w:rFonts w:asciiTheme="minorHAnsi" w:hAnsiTheme="minorHAnsi" w:cstheme="minorHAnsi"/>
          <w:sz w:val="22"/>
          <w:szCs w:val="22"/>
        </w:rPr>
        <w:t>prostřednictvím digitálních systémů připravovaných v rámci digitalizace stavebního řízení.</w:t>
      </w:r>
    </w:p>
    <w:p w14:paraId="6B9CB348" w14:textId="58F72026" w:rsidR="009442B6" w:rsidRPr="00660A8E" w:rsidRDefault="0070652F"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Digitální rozměr vymezení akceleračních zón se týká GIS modelu, který představuje multikriteriální analýzu prostorových dat v systému </w:t>
      </w:r>
      <w:proofErr w:type="spellStart"/>
      <w:r w:rsidRPr="00660A8E">
        <w:rPr>
          <w:rFonts w:asciiTheme="minorHAnsi" w:hAnsiTheme="minorHAnsi" w:cstheme="minorHAnsi"/>
          <w:sz w:val="22"/>
          <w:szCs w:val="22"/>
        </w:rPr>
        <w:t>ArcGIS</w:t>
      </w:r>
      <w:proofErr w:type="spellEnd"/>
      <w:r w:rsidRPr="00660A8E">
        <w:rPr>
          <w:rFonts w:asciiTheme="minorHAnsi" w:hAnsiTheme="minorHAnsi" w:cstheme="minorHAnsi"/>
          <w:sz w:val="22"/>
          <w:szCs w:val="22"/>
        </w:rPr>
        <w:t xml:space="preserve">. Vektorová data zahrnují reprezentaci zájmových bodů v území (lokality kulturních památek, radarů apod.), liniových staveb (technická a dopravní infrastruktura) i dvourozměrných ploch (letiště). Rastrová data jsou výsledkem satelitního snímkování (např. Sentinel 2) a dalších druhů monitoringu. Návrh </w:t>
      </w:r>
      <w:r w:rsidR="00C24F5F" w:rsidRPr="00660A8E">
        <w:rPr>
          <w:rFonts w:asciiTheme="minorHAnsi" w:hAnsiTheme="minorHAnsi" w:cstheme="minorHAnsi"/>
          <w:sz w:val="22"/>
          <w:szCs w:val="22"/>
        </w:rPr>
        <w:t>akceleračních</w:t>
      </w:r>
      <w:r w:rsidRPr="00660A8E">
        <w:rPr>
          <w:rFonts w:asciiTheme="minorHAnsi" w:hAnsiTheme="minorHAnsi" w:cstheme="minorHAnsi"/>
          <w:sz w:val="22"/>
          <w:szCs w:val="22"/>
        </w:rPr>
        <w:t xml:space="preserve"> zón vyžaduje parametrizaci dat, např. skrz relativní váhu jednotlivých vrstev. Dále, realizace datové báze a datového portálu, představuje řešení koncentrace, automatická aktualizace a vizualizace prostorových dat (včetně územně analytických podkladů) na jednom virtuálním místě volně dostupném všem orgánům veřejné moci a soukromým osobám.</w:t>
      </w:r>
    </w:p>
    <w:p w14:paraId="7596BB7A"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3" w:name="_heading=h.lnxbz9" w:colFirst="0" w:colLast="0"/>
      <w:bookmarkEnd w:id="13"/>
      <w:r w:rsidRPr="00660A8E">
        <w:rPr>
          <w:rFonts w:asciiTheme="minorHAnsi" w:hAnsiTheme="minorHAnsi" w:cstheme="minorHAnsi"/>
          <w:b/>
          <w:sz w:val="22"/>
          <w:szCs w:val="22"/>
        </w:rPr>
        <w:t xml:space="preserve">8. Uplatnění zásady „významně nepoškozovat“  </w:t>
      </w:r>
    </w:p>
    <w:p w14:paraId="32A32DEF" w14:textId="0191E1B0" w:rsidR="009442B6" w:rsidRPr="00660A8E" w:rsidRDefault="009442B6"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Veškeré aktivity </w:t>
      </w:r>
      <w:r w:rsidR="00267C45" w:rsidRPr="00660A8E">
        <w:rPr>
          <w:rFonts w:asciiTheme="minorHAnsi" w:hAnsiTheme="minorHAnsi" w:cstheme="minorHAnsi"/>
          <w:sz w:val="22"/>
          <w:szCs w:val="22"/>
        </w:rPr>
        <w:t xml:space="preserve">v rámci reformy spočívající v zavedení jednotného environmentálního stanoviska </w:t>
      </w:r>
      <w:r w:rsidRPr="00660A8E">
        <w:rPr>
          <w:rFonts w:asciiTheme="minorHAnsi" w:hAnsiTheme="minorHAnsi" w:cstheme="minorHAnsi"/>
          <w:sz w:val="22"/>
          <w:szCs w:val="22"/>
        </w:rPr>
        <w:t>budou směřovat k</w:t>
      </w:r>
      <w:r w:rsidR="005918E0" w:rsidRPr="00660A8E">
        <w:rPr>
          <w:rFonts w:asciiTheme="minorHAnsi" w:hAnsiTheme="minorHAnsi" w:cstheme="minorHAnsi"/>
          <w:sz w:val="22"/>
          <w:szCs w:val="22"/>
        </w:rPr>
        <w:t>e</w:t>
      </w:r>
      <w:r w:rsidRPr="00660A8E">
        <w:rPr>
          <w:rFonts w:asciiTheme="minorHAnsi" w:hAnsiTheme="minorHAnsi" w:cstheme="minorHAnsi"/>
          <w:sz w:val="22"/>
          <w:szCs w:val="22"/>
        </w:rPr>
        <w:t> zlepšení stavu životního prostředí</w:t>
      </w:r>
      <w:r w:rsidR="006157BD" w:rsidRPr="00660A8E">
        <w:rPr>
          <w:rFonts w:asciiTheme="minorHAnsi" w:hAnsiTheme="minorHAnsi" w:cstheme="minorHAnsi"/>
          <w:sz w:val="22"/>
          <w:szCs w:val="22"/>
        </w:rPr>
        <w:t xml:space="preserve"> a odstranění administrativních překážek povolovacích řízení</w:t>
      </w:r>
      <w:r w:rsidR="00E4560F" w:rsidRPr="00660A8E">
        <w:rPr>
          <w:rFonts w:asciiTheme="minorHAnsi" w:hAnsiTheme="minorHAnsi" w:cstheme="minorHAnsi"/>
          <w:sz w:val="22"/>
          <w:szCs w:val="22"/>
        </w:rPr>
        <w:t>.</w:t>
      </w:r>
      <w:r w:rsidR="00970BA1" w:rsidRPr="00660A8E">
        <w:rPr>
          <w:rFonts w:asciiTheme="minorHAnsi" w:hAnsiTheme="minorHAnsi" w:cstheme="minorHAnsi"/>
          <w:sz w:val="22"/>
          <w:szCs w:val="22"/>
        </w:rPr>
        <w:t xml:space="preserve"> Reforma spočívá ve zjednodušení administrativních postupů, aniž by byl</w:t>
      </w:r>
      <w:r w:rsidR="00BF5DFD" w:rsidRPr="00660A8E">
        <w:rPr>
          <w:rFonts w:asciiTheme="minorHAnsi" w:hAnsiTheme="minorHAnsi" w:cstheme="minorHAnsi"/>
          <w:sz w:val="22"/>
          <w:szCs w:val="22"/>
        </w:rPr>
        <w:t>o</w:t>
      </w:r>
      <w:r w:rsidR="00970BA1" w:rsidRPr="00660A8E">
        <w:rPr>
          <w:rFonts w:asciiTheme="minorHAnsi" w:hAnsiTheme="minorHAnsi" w:cstheme="minorHAnsi"/>
          <w:sz w:val="22"/>
          <w:szCs w:val="22"/>
        </w:rPr>
        <w:t xml:space="preserve"> dotčeno věcné rozhodování o</w:t>
      </w:r>
      <w:r w:rsidR="00893B75" w:rsidRPr="00660A8E">
        <w:rPr>
          <w:rFonts w:asciiTheme="minorHAnsi" w:hAnsiTheme="minorHAnsi" w:cstheme="minorHAnsi"/>
          <w:sz w:val="22"/>
          <w:szCs w:val="22"/>
        </w:rPr>
        <w:t> </w:t>
      </w:r>
      <w:r w:rsidR="00BF5DFD" w:rsidRPr="00660A8E">
        <w:rPr>
          <w:rFonts w:asciiTheme="minorHAnsi" w:hAnsiTheme="minorHAnsi" w:cstheme="minorHAnsi"/>
          <w:sz w:val="22"/>
          <w:szCs w:val="22"/>
        </w:rPr>
        <w:t>vlivech záměrů dle složkové legislativy.</w:t>
      </w:r>
    </w:p>
    <w:p w14:paraId="3925F1FB" w14:textId="2E3E58D3" w:rsidR="009442B6" w:rsidRPr="00660A8E" w:rsidRDefault="00267C45"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Reforma zaměřená na vymezení akceleračních zón povede k naplňování cíle zmírňování změny klimatu, díky podpoře OZE budou efektivně snižovány emise uhlíku. Budou rozpracovány metodické principy pro zmírňující environmentální opatření, aby byly vyloučeny významně negativní vlivy na biodiverzitu, stav půd a vodní režim. Díky funkčnímu propojení rozvoje OZE s obnovou přírody bude podporována také adaptace krajiny na klimatickou změnu</w:t>
      </w:r>
    </w:p>
    <w:p w14:paraId="7FC100F2"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4" w:name="_heading=h.35nkun2" w:colFirst="0" w:colLast="0"/>
      <w:bookmarkEnd w:id="14"/>
      <w:r w:rsidRPr="00660A8E">
        <w:rPr>
          <w:rFonts w:asciiTheme="minorHAnsi" w:hAnsiTheme="minorHAnsi" w:cstheme="minorHAnsi"/>
          <w:b/>
          <w:sz w:val="22"/>
          <w:szCs w:val="22"/>
        </w:rPr>
        <w:t>9. Milníky, cíle a harmonogram</w:t>
      </w:r>
    </w:p>
    <w:p w14:paraId="2A4E5128" w14:textId="45306117" w:rsidR="009442B6" w:rsidRPr="00660A8E" w:rsidRDefault="009442B6"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Jako konečný </w:t>
      </w:r>
      <w:r w:rsidR="009016A1" w:rsidRPr="00660A8E">
        <w:rPr>
          <w:rFonts w:asciiTheme="minorHAnsi" w:hAnsiTheme="minorHAnsi" w:cstheme="minorHAnsi"/>
          <w:sz w:val="22"/>
          <w:szCs w:val="22"/>
        </w:rPr>
        <w:t xml:space="preserve">výstup reformy </w:t>
      </w:r>
      <w:r w:rsidRPr="00660A8E">
        <w:rPr>
          <w:rFonts w:asciiTheme="minorHAnsi" w:hAnsiTheme="minorHAnsi" w:cstheme="minorHAnsi"/>
          <w:sz w:val="22"/>
          <w:szCs w:val="22"/>
        </w:rPr>
        <w:t xml:space="preserve">bylo zvoleno </w:t>
      </w:r>
      <w:r w:rsidR="00881366" w:rsidRPr="00660A8E">
        <w:rPr>
          <w:rFonts w:asciiTheme="minorHAnsi" w:hAnsiTheme="minorHAnsi" w:cstheme="minorHAnsi"/>
          <w:sz w:val="22"/>
          <w:szCs w:val="22"/>
        </w:rPr>
        <w:t xml:space="preserve">zavedení funkční, jednotně a koordinovaně vystupující státní správy </w:t>
      </w:r>
      <w:r w:rsidR="008A4D62" w:rsidRPr="00660A8E">
        <w:rPr>
          <w:rFonts w:asciiTheme="minorHAnsi" w:hAnsiTheme="minorHAnsi" w:cstheme="minorHAnsi"/>
          <w:sz w:val="22"/>
          <w:szCs w:val="22"/>
        </w:rPr>
        <w:t xml:space="preserve">(tedy personálních kapacit) </w:t>
      </w:r>
      <w:r w:rsidR="00881366" w:rsidRPr="00660A8E">
        <w:rPr>
          <w:rFonts w:asciiTheme="minorHAnsi" w:hAnsiTheme="minorHAnsi" w:cstheme="minorHAnsi"/>
          <w:sz w:val="22"/>
          <w:szCs w:val="22"/>
        </w:rPr>
        <w:t>v oblasti vydávání JES na úrovni MŽP a</w:t>
      </w:r>
      <w:r w:rsidR="009016A1" w:rsidRPr="00660A8E">
        <w:rPr>
          <w:rFonts w:asciiTheme="minorHAnsi" w:hAnsiTheme="minorHAnsi" w:cstheme="minorHAnsi"/>
          <w:sz w:val="22"/>
          <w:szCs w:val="22"/>
        </w:rPr>
        <w:t> </w:t>
      </w:r>
      <w:r w:rsidR="00881366" w:rsidRPr="00660A8E">
        <w:rPr>
          <w:rFonts w:asciiTheme="minorHAnsi" w:hAnsiTheme="minorHAnsi" w:cstheme="minorHAnsi"/>
          <w:sz w:val="22"/>
          <w:szCs w:val="22"/>
        </w:rPr>
        <w:t xml:space="preserve">krajských úřadů, a prostřednictvím jejich metodického vedení pak i na úrovni obcí s rozšířenou působností. </w:t>
      </w:r>
    </w:p>
    <w:p w14:paraId="198C2E25" w14:textId="49C5B0E6" w:rsidR="009442B6" w:rsidRPr="00660A8E" w:rsidRDefault="009442B6" w:rsidP="00DB6B91">
      <w:pPr>
        <w:spacing w:before="120" w:after="0" w:line="240" w:lineRule="auto"/>
        <w:rPr>
          <w:rFonts w:asciiTheme="minorHAnsi" w:hAnsiTheme="minorHAnsi" w:cstheme="minorHAnsi"/>
          <w:sz w:val="22"/>
          <w:szCs w:val="22"/>
        </w:rPr>
      </w:pPr>
    </w:p>
    <w:p w14:paraId="3E6AB313" w14:textId="12B32517" w:rsidR="004311EC" w:rsidRPr="00660A8E" w:rsidRDefault="009442B6" w:rsidP="00DB6B91">
      <w:pPr>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Milník</w:t>
      </w:r>
      <w:r w:rsidR="00267C45" w:rsidRPr="00660A8E">
        <w:rPr>
          <w:rFonts w:asciiTheme="minorHAnsi" w:hAnsiTheme="minorHAnsi" w:cstheme="minorHAnsi"/>
          <w:b/>
          <w:sz w:val="22"/>
          <w:szCs w:val="22"/>
        </w:rPr>
        <w:t>y</w:t>
      </w:r>
    </w:p>
    <w:p w14:paraId="45DFE766" w14:textId="56BFA935" w:rsidR="004311EC" w:rsidRPr="00660A8E" w:rsidRDefault="004311EC" w:rsidP="00DB6B91">
      <w:pPr>
        <w:spacing w:before="120" w:after="0" w:line="240" w:lineRule="auto"/>
        <w:rPr>
          <w:rFonts w:asciiTheme="minorHAnsi" w:hAnsiTheme="minorHAnsi" w:cstheme="minorHAnsi"/>
          <w:b/>
          <w:i/>
          <w:sz w:val="22"/>
          <w:szCs w:val="22"/>
        </w:rPr>
      </w:pPr>
      <w:r w:rsidRPr="00660A8E">
        <w:rPr>
          <w:rFonts w:asciiTheme="minorHAnsi" w:hAnsiTheme="minorHAnsi" w:cstheme="minorHAnsi"/>
          <w:b/>
          <w:i/>
          <w:sz w:val="22"/>
          <w:szCs w:val="22"/>
        </w:rPr>
        <w:t>Jednotné environmentální stanovisko</w:t>
      </w:r>
    </w:p>
    <w:p w14:paraId="6D8998E1" w14:textId="064F6288" w:rsidR="009606D8" w:rsidRPr="00E14BB1" w:rsidRDefault="00267C45"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Milník A</w:t>
      </w:r>
      <w:r w:rsidR="004311EC" w:rsidRPr="00E14BB1">
        <w:rPr>
          <w:rFonts w:asciiTheme="minorHAnsi" w:hAnsiTheme="minorHAnsi" w:cstheme="minorBidi"/>
          <w:sz w:val="22"/>
          <w:szCs w:val="22"/>
        </w:rPr>
        <w:t>1</w:t>
      </w:r>
      <w:r w:rsidRPr="00E14BB1">
        <w:rPr>
          <w:rFonts w:asciiTheme="minorHAnsi" w:hAnsiTheme="minorHAnsi" w:cstheme="minorBidi"/>
          <w:sz w:val="22"/>
          <w:szCs w:val="22"/>
        </w:rPr>
        <w:t xml:space="preserve">: </w:t>
      </w:r>
      <w:r w:rsidR="6766B793" w:rsidRPr="00EA792D">
        <w:rPr>
          <w:rFonts w:asciiTheme="minorHAnsi" w:hAnsiTheme="minorHAnsi" w:cstheme="minorBidi"/>
          <w:sz w:val="22"/>
          <w:szCs w:val="22"/>
        </w:rPr>
        <w:t>Vstup jednotného environmentálního stanoviska v platnost</w:t>
      </w:r>
    </w:p>
    <w:p w14:paraId="4B5A8C9F" w14:textId="2E83B51A" w:rsidR="004177C6" w:rsidRPr="00E14BB1" w:rsidRDefault="009606D8"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 xml:space="preserve">Milník A2: </w:t>
      </w:r>
      <w:r w:rsidR="00E14BB1">
        <w:rPr>
          <w:rFonts w:asciiTheme="minorHAnsi" w:hAnsiTheme="minorHAnsi" w:cstheme="minorBidi"/>
          <w:sz w:val="22"/>
          <w:szCs w:val="22"/>
        </w:rPr>
        <w:t>Technická pomoc s cílem urychlit a zlepšit kvalitu environmentálních povolovacích řízení</w:t>
      </w:r>
    </w:p>
    <w:p w14:paraId="3A0780F8" w14:textId="0DC77B0B" w:rsidR="00B00FFC" w:rsidRPr="00E14BB1" w:rsidRDefault="00B00FFC"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 xml:space="preserve">Milník </w:t>
      </w:r>
      <w:r w:rsidR="009606D8" w:rsidRPr="00E14BB1">
        <w:rPr>
          <w:rFonts w:asciiTheme="minorHAnsi" w:hAnsiTheme="minorHAnsi" w:cstheme="minorBidi"/>
          <w:sz w:val="22"/>
          <w:szCs w:val="22"/>
        </w:rPr>
        <w:t>A3</w:t>
      </w:r>
      <w:r w:rsidRPr="00E14BB1">
        <w:rPr>
          <w:rFonts w:asciiTheme="minorHAnsi" w:hAnsiTheme="minorHAnsi" w:cstheme="minorBidi"/>
          <w:sz w:val="22"/>
          <w:szCs w:val="22"/>
        </w:rPr>
        <w:t xml:space="preserve">: </w:t>
      </w:r>
      <w:r w:rsidR="00E14BB1">
        <w:rPr>
          <w:rFonts w:asciiTheme="minorHAnsi" w:hAnsiTheme="minorHAnsi" w:cstheme="minorBidi"/>
          <w:sz w:val="22"/>
          <w:szCs w:val="22"/>
        </w:rPr>
        <w:t>Zveřejnění</w:t>
      </w:r>
      <w:r w:rsidR="00E14BB1" w:rsidRPr="00E14BB1">
        <w:rPr>
          <w:rFonts w:asciiTheme="minorHAnsi" w:hAnsiTheme="minorHAnsi" w:cstheme="minorBidi"/>
          <w:sz w:val="22"/>
          <w:szCs w:val="22"/>
        </w:rPr>
        <w:t xml:space="preserve"> </w:t>
      </w:r>
      <w:r w:rsidR="27FA7E56" w:rsidRPr="00E14BB1">
        <w:rPr>
          <w:rFonts w:asciiTheme="minorHAnsi" w:hAnsiTheme="minorHAnsi" w:cstheme="minorBidi"/>
          <w:sz w:val="22"/>
          <w:szCs w:val="22"/>
        </w:rPr>
        <w:t>metodik a šablon Ministerstvem životního prostředí</w:t>
      </w:r>
    </w:p>
    <w:p w14:paraId="692C08B2" w14:textId="0FF0C8E1" w:rsidR="00620287" w:rsidRPr="00E14BB1" w:rsidRDefault="00350DBC" w:rsidP="4F0B69F9">
      <w:pPr>
        <w:spacing w:before="120" w:after="0" w:line="240" w:lineRule="auto"/>
        <w:rPr>
          <w:rFonts w:asciiTheme="minorHAnsi" w:hAnsiTheme="minorHAnsi" w:cstheme="minorBidi"/>
          <w:sz w:val="22"/>
          <w:szCs w:val="22"/>
        </w:rPr>
      </w:pPr>
      <w:r w:rsidRPr="00E14BB1">
        <w:rPr>
          <w:rFonts w:asciiTheme="minorHAnsi" w:hAnsiTheme="minorHAnsi" w:cstheme="minorHAnsi"/>
          <w:b/>
          <w:sz w:val="22"/>
          <w:szCs w:val="22"/>
        </w:rPr>
        <w:t>Oblasti pro urychlené zavádění obnovitelných zdrojů energie</w:t>
      </w:r>
      <w:r w:rsidRPr="00E14BB1" w:rsidDel="00350DBC">
        <w:rPr>
          <w:rFonts w:asciiTheme="minorHAnsi" w:hAnsiTheme="minorHAnsi" w:cstheme="minorBidi"/>
          <w:b/>
          <w:bCs/>
          <w:i/>
          <w:iCs/>
          <w:sz w:val="22"/>
          <w:szCs w:val="22"/>
        </w:rPr>
        <w:t xml:space="preserve"> </w:t>
      </w:r>
      <w:r w:rsidR="004311EC" w:rsidRPr="00E14BB1">
        <w:rPr>
          <w:rFonts w:asciiTheme="minorHAnsi" w:hAnsiTheme="minorHAnsi" w:cstheme="minorBidi"/>
          <w:sz w:val="22"/>
          <w:szCs w:val="22"/>
        </w:rPr>
        <w:t>Milník B1:</w:t>
      </w:r>
      <w:r w:rsidR="00620287" w:rsidRPr="00E14BB1">
        <w:rPr>
          <w:rFonts w:asciiTheme="minorHAnsi" w:hAnsiTheme="minorHAnsi" w:cstheme="minorBidi"/>
          <w:sz w:val="22"/>
          <w:szCs w:val="22"/>
        </w:rPr>
        <w:t xml:space="preserve"> </w:t>
      </w:r>
      <w:r w:rsidR="00E14BB1">
        <w:rPr>
          <w:rFonts w:asciiTheme="minorHAnsi" w:hAnsiTheme="minorHAnsi" w:cstheme="minorBidi"/>
          <w:sz w:val="22"/>
          <w:szCs w:val="22"/>
        </w:rPr>
        <w:t>Metodika</w:t>
      </w:r>
      <w:r w:rsidR="003E0039" w:rsidRPr="00E14BB1">
        <w:rPr>
          <w:rFonts w:asciiTheme="minorHAnsi" w:hAnsiTheme="minorHAnsi" w:cstheme="minorBidi"/>
          <w:sz w:val="22"/>
          <w:szCs w:val="22"/>
        </w:rPr>
        <w:t xml:space="preserve"> pro vymezení </w:t>
      </w:r>
      <w:r w:rsidR="00E14BB1">
        <w:rPr>
          <w:rFonts w:asciiTheme="minorHAnsi" w:hAnsiTheme="minorHAnsi" w:cstheme="minorBidi"/>
          <w:sz w:val="22"/>
          <w:szCs w:val="22"/>
        </w:rPr>
        <w:t>oblastí pro urychlené zavádění obnovitelných zdrojů energie</w:t>
      </w:r>
    </w:p>
    <w:p w14:paraId="6264BB3D" w14:textId="40FBE33A" w:rsidR="004311EC" w:rsidRPr="00E14BB1" w:rsidRDefault="004311EC"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 xml:space="preserve">Milník B2: </w:t>
      </w:r>
      <w:proofErr w:type="gramStart"/>
      <w:r w:rsidR="00E14BB1">
        <w:rPr>
          <w:rFonts w:asciiTheme="minorHAnsi" w:hAnsiTheme="minorHAnsi" w:cstheme="minorBidi"/>
          <w:sz w:val="22"/>
          <w:szCs w:val="22"/>
        </w:rPr>
        <w:t>R</w:t>
      </w:r>
      <w:r w:rsidR="7A43D29A" w:rsidRPr="00E14BB1">
        <w:rPr>
          <w:rFonts w:asciiTheme="minorHAnsi" w:hAnsiTheme="minorHAnsi" w:cstheme="minorBidi"/>
          <w:sz w:val="22"/>
          <w:szCs w:val="22"/>
        </w:rPr>
        <w:t xml:space="preserve">ámec </w:t>
      </w:r>
      <w:r w:rsidR="00E14BB1">
        <w:rPr>
          <w:rFonts w:asciiTheme="minorHAnsi" w:hAnsiTheme="minorHAnsi" w:cstheme="minorBidi"/>
          <w:sz w:val="22"/>
          <w:szCs w:val="22"/>
        </w:rPr>
        <w:t xml:space="preserve"> podporující</w:t>
      </w:r>
      <w:proofErr w:type="gramEnd"/>
      <w:r w:rsidR="00E14BB1">
        <w:rPr>
          <w:rFonts w:asciiTheme="minorHAnsi" w:hAnsiTheme="minorHAnsi" w:cstheme="minorBidi"/>
          <w:sz w:val="22"/>
          <w:szCs w:val="22"/>
        </w:rPr>
        <w:t xml:space="preserve"> oblasti pro urychlené zavádění obnovitelných zdrojů energie</w:t>
      </w:r>
    </w:p>
    <w:p w14:paraId="7F180755" w14:textId="7AB35DA7" w:rsidR="004311EC" w:rsidRPr="00E14BB1" w:rsidRDefault="3E552306"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 xml:space="preserve">Milník B3: </w:t>
      </w:r>
      <w:r w:rsidR="00E14BB1">
        <w:rPr>
          <w:rFonts w:asciiTheme="minorHAnsi" w:hAnsiTheme="minorHAnsi" w:cstheme="minorBidi"/>
          <w:sz w:val="22"/>
          <w:szCs w:val="22"/>
        </w:rPr>
        <w:t xml:space="preserve">Určení oblastí pro urychlené zavádění obnovitelných zdrojů energie </w:t>
      </w:r>
      <w:r w:rsidR="00E14BB1" w:rsidRPr="00E14BB1">
        <w:rPr>
          <w:rFonts w:asciiTheme="minorHAnsi" w:hAnsiTheme="minorHAnsi" w:cstheme="minorBidi"/>
          <w:sz w:val="22"/>
          <w:szCs w:val="22"/>
        </w:rPr>
        <w:t>pro rozvoj zdrojů větrné a solární energie</w:t>
      </w:r>
    </w:p>
    <w:p w14:paraId="4FD131F9" w14:textId="4E1CD68A" w:rsidR="769371D3" w:rsidRDefault="769371D3" w:rsidP="4F0B69F9">
      <w:pPr>
        <w:spacing w:before="120" w:after="0" w:line="240" w:lineRule="auto"/>
        <w:rPr>
          <w:rFonts w:asciiTheme="minorHAnsi" w:hAnsiTheme="minorHAnsi" w:cstheme="minorBidi"/>
          <w:sz w:val="22"/>
          <w:szCs w:val="22"/>
        </w:rPr>
      </w:pPr>
      <w:r w:rsidRPr="00E14BB1">
        <w:rPr>
          <w:rFonts w:asciiTheme="minorHAnsi" w:hAnsiTheme="minorHAnsi" w:cstheme="minorBidi"/>
          <w:sz w:val="22"/>
          <w:szCs w:val="22"/>
        </w:rPr>
        <w:t xml:space="preserve">Milník B4: </w:t>
      </w:r>
      <w:r w:rsidR="00E14BB1">
        <w:rPr>
          <w:rFonts w:asciiTheme="minorHAnsi" w:hAnsiTheme="minorHAnsi" w:cstheme="minorBidi"/>
          <w:sz w:val="22"/>
          <w:szCs w:val="22"/>
        </w:rPr>
        <w:t>Určení oblastí pro urychlené zavádění obnovitelných zdrojů energie</w:t>
      </w:r>
      <w:r w:rsidR="3113E6BD" w:rsidRPr="00E14BB1">
        <w:rPr>
          <w:rFonts w:asciiTheme="minorHAnsi" w:hAnsiTheme="minorHAnsi" w:cstheme="minorBidi"/>
          <w:sz w:val="22"/>
          <w:szCs w:val="22"/>
        </w:rPr>
        <w:t xml:space="preserve"> pro rozvoj zdrojů větrné a solární energie</w:t>
      </w:r>
    </w:p>
    <w:p w14:paraId="06BE167C" w14:textId="77777777" w:rsidR="00DB70D5" w:rsidRPr="00660A8E" w:rsidRDefault="00DB70D5" w:rsidP="4F0B69F9">
      <w:pPr>
        <w:spacing w:before="120" w:after="0" w:line="240" w:lineRule="auto"/>
        <w:rPr>
          <w:rFonts w:asciiTheme="minorHAnsi" w:hAnsiTheme="minorHAnsi" w:cstheme="minorBidi"/>
          <w:b/>
          <w:bCs/>
          <w:sz w:val="22"/>
          <w:szCs w:val="22"/>
        </w:rPr>
      </w:pPr>
    </w:p>
    <w:p w14:paraId="181DCAC1" w14:textId="4ECA84DF" w:rsidR="009442B6" w:rsidRPr="00660A8E" w:rsidRDefault="009442B6" w:rsidP="4F0B69F9">
      <w:pPr>
        <w:spacing w:before="120" w:after="0" w:line="240" w:lineRule="auto"/>
        <w:rPr>
          <w:rFonts w:asciiTheme="minorHAnsi" w:hAnsiTheme="minorHAnsi" w:cstheme="minorBidi"/>
          <w:b/>
          <w:bCs/>
          <w:sz w:val="22"/>
          <w:szCs w:val="22"/>
        </w:rPr>
      </w:pPr>
      <w:r w:rsidRPr="4F0B69F9">
        <w:rPr>
          <w:rFonts w:asciiTheme="minorHAnsi" w:hAnsiTheme="minorHAnsi" w:cstheme="minorBidi"/>
          <w:b/>
          <w:bCs/>
          <w:sz w:val="22"/>
          <w:szCs w:val="22"/>
        </w:rPr>
        <w:lastRenderedPageBreak/>
        <w:t>Termín</w:t>
      </w:r>
      <w:r w:rsidR="00DB70D5" w:rsidRPr="4F0B69F9">
        <w:rPr>
          <w:rFonts w:asciiTheme="minorHAnsi" w:hAnsiTheme="minorHAnsi" w:cstheme="minorBidi"/>
          <w:b/>
          <w:bCs/>
          <w:sz w:val="22"/>
          <w:szCs w:val="22"/>
        </w:rPr>
        <w:t>y</w:t>
      </w:r>
      <w:r w:rsidRPr="4F0B69F9">
        <w:rPr>
          <w:rFonts w:asciiTheme="minorHAnsi" w:hAnsiTheme="minorHAnsi" w:cstheme="minorBidi"/>
          <w:b/>
          <w:bCs/>
          <w:sz w:val="22"/>
          <w:szCs w:val="22"/>
        </w:rPr>
        <w:t xml:space="preserve"> dosažení </w:t>
      </w:r>
      <w:r w:rsidR="00DB70D5" w:rsidRPr="4F0B69F9">
        <w:rPr>
          <w:rFonts w:asciiTheme="minorHAnsi" w:hAnsiTheme="minorHAnsi" w:cstheme="minorBidi"/>
          <w:b/>
          <w:bCs/>
          <w:sz w:val="22"/>
          <w:szCs w:val="22"/>
        </w:rPr>
        <w:t>milníků</w:t>
      </w:r>
    </w:p>
    <w:p w14:paraId="13183D1C" w14:textId="0F076632" w:rsidR="009606D8" w:rsidRPr="00660A8E" w:rsidRDefault="00B00FFC"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Milník A</w:t>
      </w:r>
      <w:r w:rsidR="004311EC" w:rsidRPr="4F0B69F9">
        <w:rPr>
          <w:rFonts w:asciiTheme="minorHAnsi" w:hAnsiTheme="minorHAnsi" w:cstheme="minorBidi"/>
          <w:sz w:val="22"/>
          <w:szCs w:val="22"/>
        </w:rPr>
        <w:t>1</w:t>
      </w:r>
      <w:r w:rsidRPr="4F0B69F9">
        <w:rPr>
          <w:rFonts w:asciiTheme="minorHAnsi" w:hAnsiTheme="minorHAnsi" w:cstheme="minorBidi"/>
          <w:sz w:val="22"/>
          <w:szCs w:val="22"/>
        </w:rPr>
        <w:t xml:space="preserve">: </w:t>
      </w:r>
      <w:r w:rsidR="7890E295" w:rsidRPr="4F0B69F9">
        <w:rPr>
          <w:rFonts w:asciiTheme="minorHAnsi" w:hAnsiTheme="minorHAnsi" w:cstheme="minorBidi"/>
          <w:sz w:val="22"/>
          <w:szCs w:val="22"/>
        </w:rPr>
        <w:t>Q3</w:t>
      </w:r>
      <w:r w:rsidR="009606D8" w:rsidRPr="4F0B69F9">
        <w:rPr>
          <w:rFonts w:asciiTheme="minorHAnsi" w:hAnsiTheme="minorHAnsi" w:cstheme="minorBidi"/>
          <w:sz w:val="22"/>
          <w:szCs w:val="22"/>
        </w:rPr>
        <w:t xml:space="preserve"> 2023</w:t>
      </w:r>
    </w:p>
    <w:p w14:paraId="49F81C7D" w14:textId="4CF85298" w:rsidR="009442B6" w:rsidRPr="00660A8E" w:rsidRDefault="009606D8"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 xml:space="preserve">Milník A2: </w:t>
      </w:r>
      <w:r w:rsidR="4409BC0C" w:rsidRPr="004C4A89">
        <w:rPr>
          <w:rFonts w:asciiTheme="minorHAnsi" w:hAnsiTheme="minorHAnsi" w:cstheme="minorBidi"/>
          <w:sz w:val="22"/>
          <w:szCs w:val="22"/>
        </w:rPr>
        <w:t>Q</w:t>
      </w:r>
      <w:r w:rsidR="0431C245" w:rsidRPr="4F0B69F9">
        <w:rPr>
          <w:rFonts w:asciiTheme="minorHAnsi" w:hAnsiTheme="minorHAnsi" w:cstheme="minorBidi"/>
          <w:sz w:val="22"/>
          <w:szCs w:val="22"/>
        </w:rPr>
        <w:t>4</w:t>
      </w:r>
      <w:r w:rsidR="00267C45" w:rsidRPr="4F0B69F9">
        <w:rPr>
          <w:rFonts w:asciiTheme="minorHAnsi" w:hAnsiTheme="minorHAnsi" w:cstheme="minorBidi"/>
          <w:sz w:val="22"/>
          <w:szCs w:val="22"/>
        </w:rPr>
        <w:t xml:space="preserve"> 2023</w:t>
      </w:r>
    </w:p>
    <w:p w14:paraId="1DFAC620" w14:textId="6D858162" w:rsidR="009442B6" w:rsidRPr="00660A8E" w:rsidRDefault="00B00FFC"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 xml:space="preserve">Milník </w:t>
      </w:r>
      <w:r w:rsidR="009606D8" w:rsidRPr="4F0B69F9">
        <w:rPr>
          <w:rFonts w:asciiTheme="minorHAnsi" w:hAnsiTheme="minorHAnsi" w:cstheme="minorBidi"/>
          <w:sz w:val="22"/>
          <w:szCs w:val="22"/>
        </w:rPr>
        <w:t>A3</w:t>
      </w:r>
      <w:r w:rsidRPr="4F0B69F9">
        <w:rPr>
          <w:rFonts w:asciiTheme="minorHAnsi" w:hAnsiTheme="minorHAnsi" w:cstheme="minorBidi"/>
          <w:sz w:val="22"/>
          <w:szCs w:val="22"/>
        </w:rPr>
        <w:t xml:space="preserve">: </w:t>
      </w:r>
      <w:r w:rsidR="7CFA0837" w:rsidRPr="4F0B69F9">
        <w:rPr>
          <w:rFonts w:asciiTheme="minorHAnsi" w:hAnsiTheme="minorHAnsi" w:cstheme="minorBidi"/>
          <w:sz w:val="22"/>
          <w:szCs w:val="22"/>
        </w:rPr>
        <w:t>Q4</w:t>
      </w:r>
      <w:r w:rsidR="004177C6" w:rsidRPr="4F0B69F9">
        <w:rPr>
          <w:rFonts w:asciiTheme="minorHAnsi" w:hAnsiTheme="minorHAnsi" w:cstheme="minorBidi"/>
          <w:sz w:val="22"/>
          <w:szCs w:val="22"/>
        </w:rPr>
        <w:t xml:space="preserve"> </w:t>
      </w:r>
      <w:r w:rsidRPr="4F0B69F9">
        <w:rPr>
          <w:rFonts w:asciiTheme="minorHAnsi" w:hAnsiTheme="minorHAnsi" w:cstheme="minorBidi"/>
          <w:sz w:val="22"/>
          <w:szCs w:val="22"/>
        </w:rPr>
        <w:t>2024</w:t>
      </w:r>
    </w:p>
    <w:p w14:paraId="7A031087" w14:textId="35C18995" w:rsidR="004311EC" w:rsidRPr="00660A8E" w:rsidRDefault="004311EC"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Milník B1:</w:t>
      </w:r>
      <w:r w:rsidR="00836E39" w:rsidRPr="4F0B69F9">
        <w:rPr>
          <w:rFonts w:asciiTheme="minorHAnsi" w:hAnsiTheme="minorHAnsi" w:cstheme="minorBidi"/>
          <w:sz w:val="22"/>
          <w:szCs w:val="22"/>
        </w:rPr>
        <w:t xml:space="preserve"> </w:t>
      </w:r>
      <w:r w:rsidR="648581E7" w:rsidRPr="4F0B69F9">
        <w:rPr>
          <w:rFonts w:asciiTheme="minorHAnsi" w:hAnsiTheme="minorHAnsi" w:cstheme="minorBidi"/>
          <w:sz w:val="22"/>
          <w:szCs w:val="22"/>
        </w:rPr>
        <w:t>Q4</w:t>
      </w:r>
      <w:r w:rsidR="00836E39" w:rsidRPr="4F0B69F9">
        <w:rPr>
          <w:rFonts w:asciiTheme="minorHAnsi" w:hAnsiTheme="minorHAnsi" w:cstheme="minorBidi"/>
          <w:sz w:val="22"/>
          <w:szCs w:val="22"/>
        </w:rPr>
        <w:t xml:space="preserve"> 202</w:t>
      </w:r>
      <w:r w:rsidR="00DB70D5" w:rsidRPr="4F0B69F9">
        <w:rPr>
          <w:rFonts w:asciiTheme="minorHAnsi" w:hAnsiTheme="minorHAnsi" w:cstheme="minorBidi"/>
          <w:sz w:val="22"/>
          <w:szCs w:val="22"/>
        </w:rPr>
        <w:t>3</w:t>
      </w:r>
    </w:p>
    <w:p w14:paraId="330CD2D1" w14:textId="08B5E0BA" w:rsidR="00DB70D5" w:rsidRPr="00660A8E" w:rsidRDefault="004311EC"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Milník B2</w:t>
      </w:r>
      <w:r w:rsidR="00DB70D5" w:rsidRPr="4F0B69F9">
        <w:rPr>
          <w:rFonts w:asciiTheme="minorHAnsi" w:hAnsiTheme="minorHAnsi" w:cstheme="minorBidi"/>
          <w:sz w:val="22"/>
          <w:szCs w:val="22"/>
        </w:rPr>
        <w:t>:</w:t>
      </w:r>
      <w:r w:rsidR="00836E39" w:rsidRPr="4F0B69F9">
        <w:rPr>
          <w:rFonts w:asciiTheme="minorHAnsi" w:hAnsiTheme="minorHAnsi" w:cstheme="minorBidi"/>
          <w:sz w:val="22"/>
          <w:szCs w:val="22"/>
        </w:rPr>
        <w:t xml:space="preserve"> </w:t>
      </w:r>
      <w:r w:rsidR="68957576" w:rsidRPr="4F0B69F9">
        <w:rPr>
          <w:rFonts w:asciiTheme="minorHAnsi" w:hAnsiTheme="minorHAnsi" w:cstheme="minorBidi"/>
          <w:sz w:val="22"/>
          <w:szCs w:val="22"/>
        </w:rPr>
        <w:t>Q4 2024</w:t>
      </w:r>
    </w:p>
    <w:p w14:paraId="719C5833" w14:textId="40EE72E8" w:rsidR="00DB70D5" w:rsidRPr="00660A8E" w:rsidRDefault="68957576"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 xml:space="preserve">Milník B3: </w:t>
      </w:r>
      <w:r w:rsidR="3B9EED69" w:rsidRPr="4F0B69F9">
        <w:rPr>
          <w:rFonts w:asciiTheme="minorHAnsi" w:hAnsiTheme="minorHAnsi" w:cstheme="minorBidi"/>
          <w:sz w:val="22"/>
          <w:szCs w:val="22"/>
        </w:rPr>
        <w:t>Q4 2024</w:t>
      </w:r>
    </w:p>
    <w:p w14:paraId="3F78B80A" w14:textId="33C52727" w:rsidR="7C9DFA95" w:rsidRDefault="7C9DFA95"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 xml:space="preserve">Milník B4: </w:t>
      </w:r>
      <w:r w:rsidR="698B43D6" w:rsidRPr="4F0B69F9">
        <w:rPr>
          <w:rFonts w:asciiTheme="minorHAnsi" w:hAnsiTheme="minorHAnsi" w:cstheme="minorBidi"/>
          <w:sz w:val="22"/>
          <w:szCs w:val="22"/>
        </w:rPr>
        <w:t>Q3</w:t>
      </w:r>
      <w:r w:rsidRPr="4F0B69F9">
        <w:rPr>
          <w:rFonts w:asciiTheme="minorHAnsi" w:hAnsiTheme="minorHAnsi" w:cstheme="minorBidi"/>
          <w:sz w:val="22"/>
          <w:szCs w:val="22"/>
        </w:rPr>
        <w:t xml:space="preserve"> 2025</w:t>
      </w:r>
    </w:p>
    <w:p w14:paraId="54B863A7" w14:textId="22BFBB39" w:rsidR="00E36559" w:rsidRPr="00660A8E" w:rsidRDefault="009442B6" w:rsidP="4F0B69F9">
      <w:pPr>
        <w:spacing w:before="120" w:after="0" w:line="240" w:lineRule="auto"/>
        <w:rPr>
          <w:rFonts w:asciiTheme="minorHAnsi" w:hAnsiTheme="minorHAnsi" w:cstheme="minorBidi"/>
          <w:b/>
          <w:bCs/>
          <w:i/>
          <w:iCs/>
          <w:sz w:val="22"/>
          <w:szCs w:val="22"/>
        </w:rPr>
      </w:pPr>
      <w:r w:rsidRPr="4F0B69F9">
        <w:rPr>
          <w:rFonts w:asciiTheme="minorHAnsi" w:hAnsiTheme="minorHAnsi" w:cstheme="minorBidi"/>
          <w:b/>
          <w:bCs/>
          <w:i/>
          <w:iCs/>
          <w:sz w:val="22"/>
          <w:szCs w:val="22"/>
        </w:rPr>
        <w:t xml:space="preserve">Ukončení prací </w:t>
      </w:r>
    </w:p>
    <w:p w14:paraId="388F774B" w14:textId="1DCC3A9D" w:rsidR="009442B6" w:rsidRPr="00660A8E" w:rsidRDefault="009442B6" w:rsidP="4F0B69F9">
      <w:pP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Q</w:t>
      </w:r>
      <w:r w:rsidR="627200FC" w:rsidRPr="4F0B69F9">
        <w:rPr>
          <w:rFonts w:asciiTheme="minorHAnsi" w:hAnsiTheme="minorHAnsi" w:cstheme="minorBidi"/>
          <w:sz w:val="22"/>
          <w:szCs w:val="22"/>
        </w:rPr>
        <w:t>2</w:t>
      </w:r>
      <w:r w:rsidRPr="4F0B69F9">
        <w:rPr>
          <w:rFonts w:asciiTheme="minorHAnsi" w:hAnsiTheme="minorHAnsi" w:cstheme="minorBidi"/>
          <w:sz w:val="22"/>
          <w:szCs w:val="22"/>
        </w:rPr>
        <w:t xml:space="preserve"> </w:t>
      </w:r>
      <w:r w:rsidR="008D5583" w:rsidRPr="4F0B69F9">
        <w:rPr>
          <w:rFonts w:asciiTheme="minorHAnsi" w:hAnsiTheme="minorHAnsi" w:cstheme="minorBidi"/>
          <w:sz w:val="22"/>
          <w:szCs w:val="22"/>
        </w:rPr>
        <w:t>202</w:t>
      </w:r>
      <w:r w:rsidR="303A932D" w:rsidRPr="4F0B69F9">
        <w:rPr>
          <w:rFonts w:asciiTheme="minorHAnsi" w:hAnsiTheme="minorHAnsi" w:cstheme="minorBidi"/>
          <w:sz w:val="22"/>
          <w:szCs w:val="22"/>
        </w:rPr>
        <w:t>6</w:t>
      </w:r>
    </w:p>
    <w:p w14:paraId="0D5D94DA" w14:textId="77777777" w:rsidR="009016A1" w:rsidRPr="00660A8E" w:rsidRDefault="009016A1" w:rsidP="00DB6B91">
      <w:pPr>
        <w:spacing w:before="120" w:after="0" w:line="240" w:lineRule="auto"/>
        <w:rPr>
          <w:rFonts w:asciiTheme="minorHAnsi" w:hAnsiTheme="minorHAnsi" w:cstheme="minorHAnsi"/>
          <w:b/>
          <w:sz w:val="22"/>
          <w:szCs w:val="22"/>
        </w:rPr>
      </w:pPr>
    </w:p>
    <w:p w14:paraId="72E03E87" w14:textId="2D721A09" w:rsidR="009442B6" w:rsidRPr="00660A8E" w:rsidRDefault="009442B6" w:rsidP="00DB6B91">
      <w:pPr>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Odpovědná instituce</w:t>
      </w:r>
    </w:p>
    <w:p w14:paraId="1FCBA96C" w14:textId="6AF62A12" w:rsidR="009442B6" w:rsidRPr="00660A8E" w:rsidRDefault="009442B6" w:rsidP="00DB6B91">
      <w:pPr>
        <w:tabs>
          <w:tab w:val="left" w:pos="2850"/>
        </w:tabs>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MŽP</w:t>
      </w:r>
    </w:p>
    <w:p w14:paraId="39751996" w14:textId="77777777" w:rsidR="009016A1" w:rsidRPr="00660A8E" w:rsidRDefault="009016A1" w:rsidP="00DB6B91">
      <w:pPr>
        <w:spacing w:before="120" w:after="0" w:line="240" w:lineRule="auto"/>
        <w:rPr>
          <w:rFonts w:asciiTheme="minorHAnsi" w:hAnsiTheme="minorHAnsi" w:cstheme="minorHAnsi"/>
          <w:b/>
          <w:sz w:val="22"/>
          <w:szCs w:val="22"/>
        </w:rPr>
      </w:pPr>
    </w:p>
    <w:p w14:paraId="632F48C2" w14:textId="5A2430E8" w:rsidR="009442B6" w:rsidRPr="00660A8E" w:rsidRDefault="009442B6" w:rsidP="00DB6B91">
      <w:pPr>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Harmonogram</w:t>
      </w:r>
    </w:p>
    <w:p w14:paraId="387177D7" w14:textId="122F3C5F" w:rsidR="00223346" w:rsidRPr="00660A8E" w:rsidRDefault="00223346" w:rsidP="00DB6B91">
      <w:pPr>
        <w:pBdr>
          <w:top w:val="nil"/>
          <w:left w:val="nil"/>
          <w:bottom w:val="nil"/>
          <w:right w:val="nil"/>
          <w:between w:val="nil"/>
        </w:pBdr>
        <w:spacing w:before="120" w:after="0" w:line="240" w:lineRule="auto"/>
        <w:rPr>
          <w:rFonts w:asciiTheme="minorHAnsi" w:hAnsiTheme="minorHAnsi" w:cstheme="minorHAnsi"/>
          <w:b/>
          <w:i/>
          <w:sz w:val="22"/>
          <w:szCs w:val="22"/>
        </w:rPr>
      </w:pPr>
      <w:r w:rsidRPr="00660A8E">
        <w:rPr>
          <w:rFonts w:asciiTheme="minorHAnsi" w:hAnsiTheme="minorHAnsi" w:cstheme="minorHAnsi"/>
          <w:b/>
          <w:i/>
          <w:sz w:val="22"/>
          <w:szCs w:val="22"/>
        </w:rPr>
        <w:t>Jednotné environmentální stanovisko</w:t>
      </w:r>
    </w:p>
    <w:p w14:paraId="280720FB" w14:textId="49EE90D0" w:rsidR="009442B6" w:rsidRPr="00660A8E" w:rsidRDefault="008D5583" w:rsidP="4F0B69F9">
      <w:pPr>
        <w:pBdr>
          <w:top w:val="nil"/>
          <w:left w:val="nil"/>
          <w:bottom w:val="nil"/>
          <w:right w:val="nil"/>
          <w:between w:val="nil"/>
        </w:pBdr>
        <w:spacing w:before="120" w:after="0" w:line="240" w:lineRule="auto"/>
        <w:rPr>
          <w:rFonts w:asciiTheme="minorHAnsi" w:hAnsiTheme="minorHAnsi" w:cstheme="minorBidi"/>
          <w:sz w:val="22"/>
          <w:szCs w:val="22"/>
        </w:rPr>
      </w:pPr>
      <w:r w:rsidRPr="4F0B69F9">
        <w:rPr>
          <w:rFonts w:asciiTheme="minorHAnsi" w:hAnsiTheme="minorHAnsi" w:cstheme="minorBidi"/>
          <w:sz w:val="22"/>
          <w:szCs w:val="22"/>
        </w:rPr>
        <w:t xml:space="preserve">Čerpání podpory pro zavedení výkonu státní správy v oblasti JES včetně metodického působení bude </w:t>
      </w:r>
      <w:r w:rsidR="009442B6" w:rsidRPr="4F0B69F9">
        <w:rPr>
          <w:rFonts w:asciiTheme="minorHAnsi" w:hAnsiTheme="minorHAnsi" w:cstheme="minorBidi"/>
          <w:sz w:val="22"/>
          <w:szCs w:val="22"/>
        </w:rPr>
        <w:t xml:space="preserve">probíhat v období 1. 7. 2023 – </w:t>
      </w:r>
      <w:r w:rsidR="420583CD" w:rsidRPr="4F0B69F9">
        <w:rPr>
          <w:rFonts w:asciiTheme="minorHAnsi" w:hAnsiTheme="minorHAnsi" w:cstheme="minorBidi"/>
          <w:sz w:val="22"/>
          <w:szCs w:val="22"/>
        </w:rPr>
        <w:t>30. 6. 2026</w:t>
      </w:r>
      <w:r w:rsidR="009442B6" w:rsidRPr="4F0B69F9">
        <w:rPr>
          <w:rFonts w:asciiTheme="minorHAnsi" w:hAnsiTheme="minorHAnsi" w:cstheme="minorBidi"/>
          <w:sz w:val="22"/>
          <w:szCs w:val="22"/>
        </w:rPr>
        <w:t>.</w:t>
      </w:r>
      <w:r w:rsidR="00336133" w:rsidRPr="4F0B69F9">
        <w:rPr>
          <w:rFonts w:asciiTheme="minorHAnsi" w:hAnsiTheme="minorHAnsi" w:cstheme="minorBidi"/>
          <w:sz w:val="22"/>
          <w:szCs w:val="22"/>
        </w:rPr>
        <w:t xml:space="preserve"> Po ukončení podpory bude třeba nalézt jiné zdroje financování vzniklých kapacit, bez nichž se výkon nové agendy JES neobejde. </w:t>
      </w:r>
    </w:p>
    <w:p w14:paraId="5FDD134D" w14:textId="435F442C" w:rsidR="00223346" w:rsidRPr="00660A8E" w:rsidRDefault="00350DBC" w:rsidP="00DB6B91">
      <w:pPr>
        <w:pBdr>
          <w:top w:val="nil"/>
          <w:left w:val="nil"/>
          <w:bottom w:val="nil"/>
          <w:right w:val="nil"/>
          <w:between w:val="nil"/>
        </w:pBdr>
        <w:spacing w:before="120" w:after="0" w:line="240" w:lineRule="auto"/>
        <w:rPr>
          <w:rFonts w:asciiTheme="minorHAnsi" w:hAnsiTheme="minorHAnsi" w:cstheme="minorHAnsi"/>
          <w:b/>
          <w:i/>
          <w:sz w:val="22"/>
          <w:szCs w:val="22"/>
        </w:rPr>
      </w:pPr>
      <w:r>
        <w:rPr>
          <w:rFonts w:asciiTheme="minorHAnsi" w:hAnsiTheme="minorHAnsi" w:cstheme="minorHAnsi"/>
          <w:b/>
          <w:sz w:val="22"/>
          <w:szCs w:val="22"/>
        </w:rPr>
        <w:t>Oblasti pro urychlené zavádění obnovitelných zdrojů energie</w:t>
      </w:r>
    </w:p>
    <w:p w14:paraId="64040D25" w14:textId="575A3715" w:rsidR="00223346" w:rsidRPr="00660A8E" w:rsidRDefault="00223346" w:rsidP="00223346">
      <w:pPr>
        <w:spacing w:before="120"/>
        <w:rPr>
          <w:rFonts w:asciiTheme="minorHAnsi" w:hAnsiTheme="minorHAnsi" w:cstheme="minorHAnsi"/>
          <w:sz w:val="22"/>
          <w:szCs w:val="22"/>
        </w:rPr>
      </w:pPr>
      <w:r w:rsidRPr="00660A8E">
        <w:rPr>
          <w:rFonts w:asciiTheme="minorHAnsi" w:hAnsiTheme="minorHAnsi" w:cstheme="minorHAnsi"/>
          <w:sz w:val="22"/>
          <w:szCs w:val="22"/>
        </w:rPr>
        <w:t xml:space="preserve">Zpracování mapových podkladů pro vymezení </w:t>
      </w:r>
      <w:r w:rsidR="00C24F5F" w:rsidRPr="00660A8E">
        <w:rPr>
          <w:rFonts w:asciiTheme="minorHAnsi" w:hAnsiTheme="minorHAnsi" w:cstheme="minorHAnsi"/>
          <w:sz w:val="22"/>
          <w:szCs w:val="22"/>
        </w:rPr>
        <w:t>akceleračních</w:t>
      </w:r>
      <w:r w:rsidRPr="00660A8E">
        <w:rPr>
          <w:rFonts w:asciiTheme="minorHAnsi" w:hAnsiTheme="minorHAnsi" w:cstheme="minorHAnsi"/>
          <w:sz w:val="22"/>
          <w:szCs w:val="22"/>
        </w:rPr>
        <w:t xml:space="preserve"> zón a příprava změny Politiky územního rozvoje – realizace v období 1.7.2023 – 31.12.2024.</w:t>
      </w:r>
    </w:p>
    <w:p w14:paraId="0A793549" w14:textId="77777777" w:rsidR="00223346" w:rsidRPr="00660A8E" w:rsidRDefault="00223346" w:rsidP="00223346">
      <w:pPr>
        <w:spacing w:before="120"/>
        <w:rPr>
          <w:rFonts w:asciiTheme="minorHAnsi" w:hAnsiTheme="minorHAnsi" w:cstheme="minorHAnsi"/>
          <w:sz w:val="22"/>
          <w:szCs w:val="22"/>
        </w:rPr>
      </w:pPr>
      <w:r w:rsidRPr="00660A8E">
        <w:rPr>
          <w:rFonts w:asciiTheme="minorHAnsi" w:hAnsiTheme="minorHAnsi" w:cstheme="minorHAnsi"/>
          <w:sz w:val="22"/>
          <w:szCs w:val="22"/>
        </w:rPr>
        <w:t>Zpracování aktualizace zásad územního rozvoje a SEA v souladu s krajskými cíli a s pomocí datového portálu – realizace v období 1.7.2023 – 31.3.2026.</w:t>
      </w:r>
    </w:p>
    <w:p w14:paraId="3489033E" w14:textId="77777777" w:rsidR="009442B6" w:rsidRPr="00660A8E" w:rsidRDefault="009442B6" w:rsidP="00DB6B91">
      <w:pPr>
        <w:spacing w:before="120" w:after="0" w:line="240" w:lineRule="auto"/>
        <w:rPr>
          <w:rFonts w:asciiTheme="minorHAnsi" w:hAnsiTheme="minorHAnsi" w:cstheme="minorHAnsi"/>
          <w:sz w:val="22"/>
          <w:szCs w:val="22"/>
        </w:rPr>
      </w:pPr>
    </w:p>
    <w:p w14:paraId="074E34FF" w14:textId="77777777" w:rsidR="009442B6" w:rsidRPr="00660A8E" w:rsidRDefault="009442B6" w:rsidP="00DB6B91">
      <w:pPr>
        <w:keepNext/>
        <w:keepLines/>
        <w:pBdr>
          <w:top w:val="nil"/>
          <w:left w:val="nil"/>
          <w:bottom w:val="nil"/>
          <w:right w:val="nil"/>
          <w:between w:val="nil"/>
        </w:pBdr>
        <w:spacing w:before="120" w:after="0"/>
        <w:rPr>
          <w:rFonts w:asciiTheme="minorHAnsi" w:hAnsiTheme="minorHAnsi" w:cstheme="minorHAnsi"/>
          <w:b/>
          <w:sz w:val="22"/>
          <w:szCs w:val="22"/>
        </w:rPr>
      </w:pPr>
      <w:bookmarkStart w:id="15" w:name="_heading=h.1ksv4uv" w:colFirst="0" w:colLast="0"/>
      <w:bookmarkEnd w:id="15"/>
      <w:r w:rsidRPr="00660A8E">
        <w:rPr>
          <w:rFonts w:asciiTheme="minorHAnsi" w:hAnsiTheme="minorHAnsi" w:cstheme="minorHAnsi"/>
          <w:b/>
          <w:sz w:val="22"/>
          <w:szCs w:val="22"/>
        </w:rPr>
        <w:t>10. Financování a costing</w:t>
      </w:r>
    </w:p>
    <w:p w14:paraId="5E53DB73" w14:textId="77777777" w:rsidR="009442B6" w:rsidRPr="00660A8E" w:rsidRDefault="009442B6" w:rsidP="00DB6B91">
      <w:pPr>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Srovnávací údaje o nákladech</w:t>
      </w:r>
    </w:p>
    <w:p w14:paraId="01632B3C" w14:textId="547E55D1" w:rsidR="0022135A" w:rsidRPr="00660A8E" w:rsidRDefault="0022135A" w:rsidP="003C3829">
      <w:pPr>
        <w:spacing w:before="120" w:after="0" w:line="240" w:lineRule="auto"/>
        <w:rPr>
          <w:rFonts w:asciiTheme="minorHAnsi" w:hAnsiTheme="minorHAnsi" w:cstheme="minorHAnsi"/>
          <w:b/>
          <w:i/>
          <w:sz w:val="22"/>
          <w:szCs w:val="22"/>
        </w:rPr>
      </w:pPr>
      <w:r w:rsidRPr="00660A8E">
        <w:rPr>
          <w:rFonts w:asciiTheme="minorHAnsi" w:hAnsiTheme="minorHAnsi" w:cstheme="minorHAnsi"/>
          <w:b/>
          <w:i/>
          <w:sz w:val="22"/>
          <w:szCs w:val="22"/>
        </w:rPr>
        <w:t>Jednotné environmentální stanovisko</w:t>
      </w:r>
    </w:p>
    <w:p w14:paraId="2FCDAE43" w14:textId="5105DCD9" w:rsidR="003C3829" w:rsidRPr="00660A8E" w:rsidRDefault="00343070" w:rsidP="003C3829">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Náklady budou spočívat ve financích pokrývajících systematizovaná místa na MŽP a pracovní místa na krajských úřadech a MHMP zřízená na základě podpory. Dále budou z podpory financovány některé externí služby, konkrétně odborná technická a právní asistence pro účely metodického působení, školení, semináře, konference a pronájmy.  </w:t>
      </w:r>
      <w:r w:rsidR="0044233D" w:rsidRPr="00660A8E">
        <w:rPr>
          <w:rFonts w:asciiTheme="minorHAnsi" w:hAnsiTheme="minorHAnsi" w:cstheme="minorHAnsi"/>
          <w:sz w:val="22"/>
          <w:szCs w:val="22"/>
        </w:rPr>
        <w:t>V návaznosti na schválení zákona o jednotném environmentálním stanovisku, který do českého právního řádu zavádí výrazné urychlení povolovacích procesů v oblasti ochrany životního prostředí, je realizována změna v útvarech zajištujících přímý výkon státní správy spočívající v celkové restrukturalizaci útvarů přímého výkonu státní správy. Pro Ministerstvo životního prostředí z tohoto zákona vyplývají nové povinnosti, které je nezbytné uchopit koncepčně a připravit stávající organizační strukturu a</w:t>
      </w:r>
      <w:r w:rsidR="00893B75" w:rsidRPr="00660A8E">
        <w:rPr>
          <w:rFonts w:asciiTheme="minorHAnsi" w:hAnsiTheme="minorHAnsi" w:cstheme="minorHAnsi"/>
          <w:sz w:val="22"/>
          <w:szCs w:val="22"/>
        </w:rPr>
        <w:t> </w:t>
      </w:r>
      <w:r w:rsidR="0044233D" w:rsidRPr="00660A8E">
        <w:rPr>
          <w:rFonts w:asciiTheme="minorHAnsi" w:hAnsiTheme="minorHAnsi" w:cstheme="minorHAnsi"/>
          <w:sz w:val="22"/>
          <w:szCs w:val="22"/>
        </w:rPr>
        <w:t>systém výkonu státní správy včas na vstoupení tohoto zákona v účinnost tak, aby již k 1.</w:t>
      </w:r>
      <w:r w:rsidR="0022135A" w:rsidRPr="00660A8E">
        <w:rPr>
          <w:rFonts w:asciiTheme="minorHAnsi" w:hAnsiTheme="minorHAnsi" w:cstheme="minorHAnsi"/>
          <w:sz w:val="22"/>
          <w:szCs w:val="22"/>
        </w:rPr>
        <w:t xml:space="preserve"> </w:t>
      </w:r>
      <w:r w:rsidR="0044233D" w:rsidRPr="00660A8E">
        <w:rPr>
          <w:rFonts w:asciiTheme="minorHAnsi" w:hAnsiTheme="minorHAnsi" w:cstheme="minorHAnsi"/>
          <w:sz w:val="22"/>
          <w:szCs w:val="22"/>
        </w:rPr>
        <w:t>1.</w:t>
      </w:r>
      <w:r w:rsidR="0022135A" w:rsidRPr="00660A8E">
        <w:rPr>
          <w:rFonts w:asciiTheme="minorHAnsi" w:hAnsiTheme="minorHAnsi" w:cstheme="minorHAnsi"/>
          <w:sz w:val="22"/>
          <w:szCs w:val="22"/>
        </w:rPr>
        <w:t xml:space="preserve"> </w:t>
      </w:r>
      <w:r w:rsidR="0044233D" w:rsidRPr="00660A8E">
        <w:rPr>
          <w:rFonts w:asciiTheme="minorHAnsi" w:hAnsiTheme="minorHAnsi" w:cstheme="minorHAnsi"/>
          <w:sz w:val="22"/>
          <w:szCs w:val="22"/>
        </w:rPr>
        <w:t>2024 byly všechny odbory státní správy stabilizovány, personálně a organizačně zajištěny. V neposlední řadě je nezbytné nastavit i procesní a metodické řízení. S ohledem na rozsah a povahu změn souvisejících s přijetím zákona o</w:t>
      </w:r>
      <w:r w:rsidR="00893B75" w:rsidRPr="00660A8E">
        <w:rPr>
          <w:rFonts w:asciiTheme="minorHAnsi" w:hAnsiTheme="minorHAnsi" w:cstheme="minorHAnsi"/>
          <w:sz w:val="22"/>
          <w:szCs w:val="22"/>
        </w:rPr>
        <w:t> </w:t>
      </w:r>
      <w:r w:rsidR="0044233D" w:rsidRPr="00660A8E">
        <w:rPr>
          <w:rFonts w:asciiTheme="minorHAnsi" w:hAnsiTheme="minorHAnsi" w:cstheme="minorHAnsi"/>
          <w:sz w:val="22"/>
          <w:szCs w:val="22"/>
        </w:rPr>
        <w:t xml:space="preserve">jednotném environmentálním stanovisku bude také nezbytné podpořit metodickou činnost směřující vůči </w:t>
      </w:r>
      <w:r w:rsidR="0044233D" w:rsidRPr="00660A8E">
        <w:rPr>
          <w:rFonts w:asciiTheme="minorHAnsi" w:hAnsiTheme="minorHAnsi" w:cstheme="minorHAnsi"/>
          <w:sz w:val="22"/>
          <w:szCs w:val="22"/>
        </w:rPr>
        <w:lastRenderedPageBreak/>
        <w:t>jednotlivým správním orgánům a jejich zaměstnancům, umožnit odborné zpracování vzorů dokumentů s</w:t>
      </w:r>
      <w:r w:rsidR="00893B75" w:rsidRPr="00660A8E">
        <w:rPr>
          <w:rFonts w:asciiTheme="minorHAnsi" w:hAnsiTheme="minorHAnsi" w:cstheme="minorHAnsi"/>
          <w:sz w:val="22"/>
          <w:szCs w:val="22"/>
        </w:rPr>
        <w:t> </w:t>
      </w:r>
      <w:r w:rsidR="0044233D" w:rsidRPr="00660A8E">
        <w:rPr>
          <w:rFonts w:asciiTheme="minorHAnsi" w:hAnsiTheme="minorHAnsi" w:cstheme="minorHAnsi"/>
          <w:sz w:val="22"/>
          <w:szCs w:val="22"/>
        </w:rPr>
        <w:t>procesem vydávání JES souvisejících, a zajistit koordinaci nových činností vyplývajících z implementace institutu JES do soustavy orgánů státní správy. Tyto činnosti je nezbytné zajistit ještě před vstupem zákona v</w:t>
      </w:r>
      <w:r w:rsidR="00893B75" w:rsidRPr="00660A8E">
        <w:rPr>
          <w:rFonts w:asciiTheme="minorHAnsi" w:hAnsiTheme="minorHAnsi" w:cstheme="minorHAnsi"/>
          <w:sz w:val="22"/>
          <w:szCs w:val="22"/>
        </w:rPr>
        <w:t> </w:t>
      </w:r>
      <w:r w:rsidR="0044233D" w:rsidRPr="00660A8E">
        <w:rPr>
          <w:rFonts w:asciiTheme="minorHAnsi" w:hAnsiTheme="minorHAnsi" w:cstheme="minorHAnsi"/>
          <w:sz w:val="22"/>
          <w:szCs w:val="22"/>
        </w:rPr>
        <w:t xml:space="preserve">účinnost. V sekci státní tajemnice se v souvislosti s výše uvedeným ruší 8 odborů výkonu státní správy (OVSS) a zřizují se 4 nové OVSS s rozšířenou územní působností.  </w:t>
      </w:r>
      <w:r w:rsidR="002B732F" w:rsidRPr="00660A8E">
        <w:rPr>
          <w:rFonts w:asciiTheme="minorHAnsi" w:hAnsiTheme="minorHAnsi" w:cstheme="minorHAnsi"/>
          <w:sz w:val="22"/>
          <w:szCs w:val="22"/>
        </w:rPr>
        <w:t xml:space="preserve"> </w:t>
      </w:r>
    </w:p>
    <w:p w14:paraId="560C3AC0" w14:textId="77777777" w:rsidR="0022135A" w:rsidRPr="00660A8E" w:rsidRDefault="0022135A" w:rsidP="0022135A">
      <w:pPr>
        <w:spacing w:after="0"/>
        <w:rPr>
          <w:rFonts w:asciiTheme="minorHAnsi" w:hAnsiTheme="minorHAnsi" w:cstheme="minorHAnsi"/>
          <w:b/>
          <w:sz w:val="22"/>
          <w:szCs w:val="22"/>
        </w:rPr>
      </w:pPr>
    </w:p>
    <w:p w14:paraId="38BF5E78" w14:textId="4D786500" w:rsidR="0022135A" w:rsidRPr="00660A8E" w:rsidRDefault="00350DBC" w:rsidP="0022135A">
      <w:pPr>
        <w:spacing w:after="0"/>
        <w:rPr>
          <w:rFonts w:asciiTheme="minorHAnsi" w:hAnsiTheme="minorHAnsi" w:cstheme="minorHAnsi"/>
          <w:sz w:val="22"/>
          <w:szCs w:val="22"/>
        </w:rPr>
      </w:pPr>
      <w:r>
        <w:rPr>
          <w:rFonts w:asciiTheme="minorHAnsi" w:hAnsiTheme="minorHAnsi" w:cstheme="minorHAnsi"/>
          <w:b/>
          <w:sz w:val="22"/>
          <w:szCs w:val="22"/>
        </w:rPr>
        <w:t>Oblasti pro urychlené zavádění obnovitelných zdrojů energie</w:t>
      </w:r>
      <w:r w:rsidRPr="00660A8E" w:rsidDel="00350DBC">
        <w:rPr>
          <w:rFonts w:asciiTheme="minorHAnsi" w:hAnsiTheme="minorHAnsi" w:cstheme="minorHAnsi"/>
          <w:b/>
          <w:i/>
          <w:sz w:val="22"/>
          <w:szCs w:val="22"/>
        </w:rPr>
        <w:t xml:space="preserve"> </w:t>
      </w:r>
      <w:r w:rsidR="0022135A" w:rsidRPr="00660A8E">
        <w:rPr>
          <w:rFonts w:asciiTheme="minorHAnsi" w:hAnsiTheme="minorHAnsi" w:cstheme="minorHAnsi"/>
          <w:sz w:val="22"/>
          <w:szCs w:val="22"/>
        </w:rPr>
        <w:t>Náklady na vymezení akceleračních zón budou celkově 216 mil. Kč (z toho 181 mil. Kč bude hrazeno z RRF a náklady na DPH ve výši 35 mil. Kč budou hrazeny ze státního rozpočtu).</w:t>
      </w:r>
    </w:p>
    <w:p w14:paraId="2097F54B" w14:textId="13E0020C" w:rsidR="0022135A" w:rsidRPr="00660A8E" w:rsidRDefault="0022135A" w:rsidP="0022135A">
      <w:pPr>
        <w:spacing w:before="160" w:after="0"/>
        <w:rPr>
          <w:rFonts w:asciiTheme="minorHAnsi" w:hAnsiTheme="minorHAnsi" w:cstheme="minorHAnsi"/>
          <w:sz w:val="22"/>
          <w:szCs w:val="22"/>
        </w:rPr>
      </w:pPr>
      <w:r w:rsidRPr="00660A8E">
        <w:rPr>
          <w:rFonts w:asciiTheme="minorHAnsi" w:hAnsiTheme="minorHAnsi" w:cstheme="minorHAnsi"/>
          <w:sz w:val="22"/>
          <w:szCs w:val="22"/>
        </w:rPr>
        <w:t>Náklady budou rozděleny na finance pokrývající (a) projektově vázaná systematizovaná místa na MŽP a AOPK, (b) externí služby spojené se zpracováním dat, zhotovením datové báze a datového portálu, zpracováním komunikační strategie, přípravou a projednáním právní reformy, asistencí krajským úřadům, (c) </w:t>
      </w:r>
      <w:proofErr w:type="spellStart"/>
      <w:r w:rsidRPr="00660A8E">
        <w:rPr>
          <w:rFonts w:asciiTheme="minorHAnsi" w:hAnsiTheme="minorHAnsi" w:cstheme="minorHAnsi"/>
          <w:sz w:val="22"/>
          <w:szCs w:val="22"/>
        </w:rPr>
        <w:t>projektantskou</w:t>
      </w:r>
      <w:proofErr w:type="spellEnd"/>
      <w:r w:rsidRPr="00660A8E">
        <w:rPr>
          <w:rFonts w:asciiTheme="minorHAnsi" w:hAnsiTheme="minorHAnsi" w:cstheme="minorHAnsi"/>
          <w:sz w:val="22"/>
          <w:szCs w:val="22"/>
        </w:rPr>
        <w:t xml:space="preserve"> práci na územně plánovacích nástrojích, a (d) semináře pro stakeholdery a média.</w:t>
      </w:r>
    </w:p>
    <w:p w14:paraId="00AA049C" w14:textId="77777777" w:rsidR="0022135A" w:rsidRPr="00660A8E" w:rsidRDefault="0022135A" w:rsidP="0022135A">
      <w:pPr>
        <w:spacing w:before="160" w:after="0"/>
        <w:rPr>
          <w:rFonts w:asciiTheme="minorHAnsi" w:hAnsiTheme="minorHAnsi" w:cstheme="minorHAnsi"/>
          <w:sz w:val="22"/>
          <w:szCs w:val="22"/>
        </w:rPr>
      </w:pPr>
      <w:r w:rsidRPr="00660A8E">
        <w:rPr>
          <w:rFonts w:asciiTheme="minorHAnsi" w:hAnsiTheme="minorHAnsi" w:cstheme="minorHAnsi"/>
          <w:sz w:val="22"/>
          <w:szCs w:val="22"/>
        </w:rPr>
        <w:t xml:space="preserve">Projektové řízení zevnitř MŽP a datová podpora AOPK si vyžaduje odborné kapacity s předpokladem vytvoření 2 systemizovaných míst na MŽP a 1 systemizovaného místa na AOPK ČR, s celkovou potřebou ve výši 11,9 mil. Kč (mzdové, režijní a související náklady) pro období 2023–2026. </w:t>
      </w:r>
    </w:p>
    <w:p w14:paraId="157F774B" w14:textId="10D9E936" w:rsidR="0022135A" w:rsidRPr="00660A8E" w:rsidRDefault="0022135A" w:rsidP="0022135A">
      <w:pPr>
        <w:spacing w:before="160" w:after="0"/>
        <w:rPr>
          <w:rFonts w:asciiTheme="minorHAnsi" w:hAnsiTheme="minorHAnsi" w:cstheme="minorHAnsi"/>
          <w:sz w:val="22"/>
          <w:szCs w:val="22"/>
        </w:rPr>
      </w:pPr>
      <w:r w:rsidRPr="00660A8E">
        <w:rPr>
          <w:rFonts w:asciiTheme="minorHAnsi" w:hAnsiTheme="minorHAnsi" w:cstheme="minorHAnsi"/>
          <w:sz w:val="22"/>
          <w:szCs w:val="22"/>
        </w:rPr>
        <w:t xml:space="preserve">Pracovní náplň systemizovaného místa v rámci MŽP: Projektové řízení. Spolupráce s příslušnou sekcí resortu na přípravě veřejných zakázek a vyhodnocení soutěžních návrhů. Distribuce prostředků na aktualizace ZÚR a zpracování SEA do krajů. Časová koordinace veškerých prací jak v rámci resortu, tak mimo něj. Řízení pravidelných koordinačních schůzek. Dohled nad zpracovateli zakázek. Průběžná reflexe a kontrola plnění projektu. Opěrný kontaktní bod pro všechny stakeholdery. </w:t>
      </w:r>
    </w:p>
    <w:p w14:paraId="56102893" w14:textId="4BC050EF" w:rsidR="0022135A" w:rsidRPr="00660A8E" w:rsidRDefault="0022135A" w:rsidP="0022135A">
      <w:pPr>
        <w:spacing w:before="160" w:after="0"/>
        <w:rPr>
          <w:rFonts w:asciiTheme="minorHAnsi" w:hAnsiTheme="minorHAnsi" w:cstheme="minorHAnsi"/>
          <w:sz w:val="22"/>
          <w:szCs w:val="22"/>
        </w:rPr>
      </w:pPr>
      <w:r w:rsidRPr="00660A8E">
        <w:rPr>
          <w:rFonts w:asciiTheme="minorHAnsi" w:hAnsiTheme="minorHAnsi" w:cstheme="minorHAnsi"/>
          <w:sz w:val="22"/>
          <w:szCs w:val="22"/>
        </w:rPr>
        <w:t xml:space="preserve">Práce spojené se zpracováním dat, zhotovením datové báze a datového portálu, zpracováním komunikační strategie a přípravou a projednáním právní reformy vyžadují krátkodobé dedikované úsilí a jsou neopakovatelné. Budou proto soutěženy jako 3 až 4 veřejné zakázky. Některé akční body na sebe navazují. Proto se očekává, že (a) subjekt, který zhotoví GIS model, jej bude i upravovat na základě dodatečných dat a řešit vzniklé problémy, (b) subjekt, který vytvoří datovou bázi a datový portál, je bude posléze také udržovat v chodu do doby předání nástroje pod dohled orgánu státní správy, (c) subjekt, který vytvoří komunikační strategii, bude pověřen i </w:t>
      </w:r>
      <w:proofErr w:type="spellStart"/>
      <w:r w:rsidRPr="00660A8E">
        <w:rPr>
          <w:rFonts w:asciiTheme="minorHAnsi" w:hAnsiTheme="minorHAnsi" w:cstheme="minorHAnsi"/>
          <w:sz w:val="22"/>
          <w:szCs w:val="22"/>
        </w:rPr>
        <w:t>coachováním</w:t>
      </w:r>
      <w:proofErr w:type="spellEnd"/>
      <w:r w:rsidRPr="00660A8E">
        <w:rPr>
          <w:rFonts w:asciiTheme="minorHAnsi" w:hAnsiTheme="minorHAnsi" w:cstheme="minorHAnsi"/>
          <w:sz w:val="22"/>
          <w:szCs w:val="22"/>
        </w:rPr>
        <w:t xml:space="preserve"> implementačního týmu, a (d) subjekt, který připraví právní reformu a bude koordinovat její předjednání s kraji a jinými relevantními stakeholdery, bude krajským úřadům a zastupitelstvům k dispozici při přípravě a schvalování ZÚR. Předpokládá se zaškolení asistenčního týmu v</w:t>
      </w:r>
      <w:r w:rsidR="00893B75" w:rsidRPr="00660A8E">
        <w:rPr>
          <w:rFonts w:asciiTheme="minorHAnsi" w:hAnsiTheme="minorHAnsi" w:cstheme="minorHAnsi"/>
          <w:sz w:val="22"/>
          <w:szCs w:val="22"/>
        </w:rPr>
        <w:t> </w:t>
      </w:r>
      <w:r w:rsidRPr="00660A8E">
        <w:rPr>
          <w:rFonts w:asciiTheme="minorHAnsi" w:hAnsiTheme="minorHAnsi" w:cstheme="minorHAnsi"/>
          <w:sz w:val="22"/>
          <w:szCs w:val="22"/>
        </w:rPr>
        <w:t>části agendy organizované Ministerstvem životního prostředí.</w:t>
      </w:r>
    </w:p>
    <w:p w14:paraId="140DE0CA" w14:textId="7A0A5798" w:rsidR="009442B6" w:rsidRPr="00660A8E" w:rsidRDefault="009442B6" w:rsidP="008004E7">
      <w:pPr>
        <w:pBdr>
          <w:top w:val="nil"/>
          <w:left w:val="nil"/>
          <w:bottom w:val="nil"/>
          <w:right w:val="nil"/>
          <w:between w:val="nil"/>
        </w:pBdr>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Další EU zdroje financování</w:t>
      </w:r>
    </w:p>
    <w:p w14:paraId="73756BBD" w14:textId="797E13E3" w:rsidR="009442B6" w:rsidRPr="00660A8E" w:rsidRDefault="003C3829" w:rsidP="00DB6B91">
      <w:pPr>
        <w:spacing w:before="120" w:after="0" w:line="240" w:lineRule="auto"/>
        <w:rPr>
          <w:rFonts w:asciiTheme="minorHAnsi" w:hAnsiTheme="minorHAnsi" w:cstheme="minorHAnsi"/>
          <w:sz w:val="22"/>
          <w:szCs w:val="22"/>
        </w:rPr>
      </w:pPr>
      <w:r w:rsidRPr="00660A8E">
        <w:rPr>
          <w:rFonts w:asciiTheme="minorHAnsi" w:hAnsiTheme="minorHAnsi" w:cstheme="minorHAnsi"/>
          <w:sz w:val="22"/>
          <w:szCs w:val="22"/>
        </w:rPr>
        <w:t xml:space="preserve">Na zajištění komponenty se nepředpokládají </w:t>
      </w:r>
      <w:r w:rsidR="009442B6" w:rsidRPr="00660A8E">
        <w:rPr>
          <w:rFonts w:asciiTheme="minorHAnsi" w:hAnsiTheme="minorHAnsi" w:cstheme="minorHAnsi"/>
          <w:sz w:val="22"/>
          <w:szCs w:val="22"/>
        </w:rPr>
        <w:t xml:space="preserve">další zdroje financování z EU, </w:t>
      </w:r>
      <w:r w:rsidR="00591514" w:rsidRPr="00660A8E">
        <w:rPr>
          <w:rFonts w:asciiTheme="minorHAnsi" w:hAnsiTheme="minorHAnsi" w:cstheme="minorHAnsi"/>
          <w:sz w:val="22"/>
          <w:szCs w:val="22"/>
        </w:rPr>
        <w:t xml:space="preserve">případné další náklady </w:t>
      </w:r>
      <w:r w:rsidR="009442B6" w:rsidRPr="00660A8E">
        <w:rPr>
          <w:rFonts w:asciiTheme="minorHAnsi" w:hAnsiTheme="minorHAnsi" w:cstheme="minorHAnsi"/>
          <w:sz w:val="22"/>
          <w:szCs w:val="22"/>
        </w:rPr>
        <w:t>budou pokryté ze státního rozpočtu.</w:t>
      </w:r>
    </w:p>
    <w:p w14:paraId="7AB32100" w14:textId="77777777" w:rsidR="009442B6" w:rsidRPr="00660A8E" w:rsidRDefault="009442B6" w:rsidP="008004E7">
      <w:pPr>
        <w:keepNext/>
        <w:spacing w:before="120" w:after="0" w:line="240" w:lineRule="auto"/>
        <w:rPr>
          <w:rFonts w:asciiTheme="minorHAnsi" w:hAnsiTheme="minorHAnsi" w:cstheme="minorHAnsi"/>
          <w:b/>
          <w:sz w:val="22"/>
          <w:szCs w:val="22"/>
        </w:rPr>
      </w:pPr>
      <w:r w:rsidRPr="00660A8E">
        <w:rPr>
          <w:rFonts w:asciiTheme="minorHAnsi" w:hAnsiTheme="minorHAnsi" w:cstheme="minorHAnsi"/>
          <w:b/>
          <w:sz w:val="22"/>
          <w:szCs w:val="22"/>
        </w:rPr>
        <w:t>Financování půjčkami:</w:t>
      </w:r>
    </w:p>
    <w:p w14:paraId="73C5CF68" w14:textId="7FA6F3C4" w:rsidR="005E70D4" w:rsidRPr="00660A8E" w:rsidRDefault="009442B6" w:rsidP="00DB6B91">
      <w:pPr>
        <w:spacing w:before="120" w:after="160" w:line="259" w:lineRule="auto"/>
        <w:rPr>
          <w:rFonts w:asciiTheme="minorHAnsi" w:hAnsiTheme="minorHAnsi" w:cstheme="minorHAnsi"/>
          <w:sz w:val="22"/>
          <w:szCs w:val="22"/>
        </w:rPr>
      </w:pPr>
      <w:r w:rsidRPr="00660A8E">
        <w:rPr>
          <w:rFonts w:asciiTheme="minorHAnsi" w:hAnsiTheme="minorHAnsi" w:cstheme="minorHAnsi"/>
          <w:sz w:val="22"/>
          <w:szCs w:val="22"/>
        </w:rPr>
        <w:t>Pokrytí dodatečného financování půjčkami se nepředpokládá.</w:t>
      </w:r>
    </w:p>
    <w:sectPr w:rsidR="005E70D4" w:rsidRPr="00660A8E" w:rsidSect="009F4267">
      <w:footerReference w:type="default" r:id="rId11"/>
      <w:footerReference w:type="first" r:id="rId12"/>
      <w:pgSz w:w="11906" w:h="16838" w:code="9"/>
      <w:pgMar w:top="1418" w:right="1134" w:bottom="1418" w:left="1134" w:header="851" w:footer="833"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246648" w14:textId="77777777" w:rsidR="00FE5063" w:rsidRDefault="00FE5063">
      <w:pPr>
        <w:spacing w:after="0" w:line="240" w:lineRule="auto"/>
      </w:pPr>
      <w:r>
        <w:separator/>
      </w:r>
    </w:p>
  </w:endnote>
  <w:endnote w:type="continuationSeparator" w:id="0">
    <w:p w14:paraId="252D23A6" w14:textId="77777777" w:rsidR="00FE5063" w:rsidRDefault="00FE50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ot;Times New Roman&quot;,serif">
    <w:altName w:val="Cambria"/>
    <w:panose1 w:val="00000000000000000000"/>
    <w:charset w:val="00"/>
    <w:family w:val="roman"/>
    <w:notTrueType/>
    <w:pitch w:val="default"/>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2201921"/>
      <w:docPartObj>
        <w:docPartGallery w:val="Page Numbers (Bottom of Page)"/>
        <w:docPartUnique/>
      </w:docPartObj>
    </w:sdtPr>
    <w:sdtEndPr/>
    <w:sdtContent>
      <w:p w14:paraId="569EB236" w14:textId="090A9797" w:rsidR="00E65BF0" w:rsidRDefault="00E65BF0">
        <w:pPr>
          <w:pStyle w:val="Zpat"/>
          <w:jc w:val="center"/>
        </w:pPr>
        <w:r>
          <w:fldChar w:fldCharType="begin"/>
        </w:r>
        <w:r>
          <w:instrText>PAGE   \* MERGEFORMAT</w:instrText>
        </w:r>
        <w:r>
          <w:fldChar w:fldCharType="separate"/>
        </w:r>
        <w:r>
          <w:t>2</w:t>
        </w:r>
        <w:r>
          <w:fldChar w:fldCharType="end"/>
        </w:r>
      </w:p>
    </w:sdtContent>
  </w:sdt>
  <w:p w14:paraId="0B711341" w14:textId="77777777" w:rsidR="00E65BF0" w:rsidRDefault="00E65BF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48EF2" w14:textId="798FFFD0" w:rsidR="00E65BF0" w:rsidRDefault="00E65BF0">
    <w:pPr>
      <w:pStyle w:val="Zpat"/>
      <w:jc w:val="center"/>
    </w:pPr>
    <w:r>
      <w:fldChar w:fldCharType="begin"/>
    </w:r>
    <w:r>
      <w:instrText>PAGE   \* MERGEFORMAT</w:instrText>
    </w:r>
    <w:r>
      <w:fldChar w:fldCharType="separate"/>
    </w:r>
    <w:r>
      <w:t>2</w:t>
    </w:r>
    <w:r>
      <w:fldChar w:fldCharType="end"/>
    </w:r>
  </w:p>
  <w:p w14:paraId="70BEF75F" w14:textId="5731847D" w:rsidR="0061500C" w:rsidRPr="00F231F3" w:rsidRDefault="0061500C" w:rsidP="00F016F3">
    <w:pPr>
      <w:spacing w:after="0"/>
      <w:jc w:val="right"/>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A9D840" w14:textId="77777777" w:rsidR="00FE5063" w:rsidRDefault="00FE5063">
      <w:pPr>
        <w:spacing w:after="0" w:line="240" w:lineRule="auto"/>
      </w:pPr>
      <w:r>
        <w:separator/>
      </w:r>
    </w:p>
  </w:footnote>
  <w:footnote w:type="continuationSeparator" w:id="0">
    <w:p w14:paraId="18547A1A" w14:textId="77777777" w:rsidR="00FE5063" w:rsidRDefault="00FE50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AF9"/>
    <w:multiLevelType w:val="hybridMultilevel"/>
    <w:tmpl w:val="DF66ECE4"/>
    <w:lvl w:ilvl="0" w:tplc="F2289302">
      <w:start w:val="1"/>
      <w:numFmt w:val="decimal"/>
      <w:pStyle w:val="Pipomnky"/>
      <w:lvlText w:val="%1."/>
      <w:lvlJc w:val="left"/>
      <w:pPr>
        <w:ind w:left="360" w:hanging="360"/>
      </w:pPr>
    </w:lvl>
    <w:lvl w:ilvl="1" w:tplc="48DC8026" w:tentative="1">
      <w:start w:val="1"/>
      <w:numFmt w:val="lowerLetter"/>
      <w:lvlText w:val="%2."/>
      <w:lvlJc w:val="left"/>
      <w:pPr>
        <w:ind w:left="1080" w:hanging="360"/>
      </w:pPr>
    </w:lvl>
    <w:lvl w:ilvl="2" w:tplc="9A649A36" w:tentative="1">
      <w:start w:val="1"/>
      <w:numFmt w:val="lowerRoman"/>
      <w:lvlText w:val="%3."/>
      <w:lvlJc w:val="right"/>
      <w:pPr>
        <w:ind w:left="1800" w:hanging="180"/>
      </w:pPr>
    </w:lvl>
    <w:lvl w:ilvl="3" w:tplc="A5DC9898" w:tentative="1">
      <w:start w:val="1"/>
      <w:numFmt w:val="decimal"/>
      <w:lvlText w:val="%4."/>
      <w:lvlJc w:val="left"/>
      <w:pPr>
        <w:ind w:left="2520" w:hanging="360"/>
      </w:pPr>
    </w:lvl>
    <w:lvl w:ilvl="4" w:tplc="6C300688" w:tentative="1">
      <w:start w:val="1"/>
      <w:numFmt w:val="lowerLetter"/>
      <w:lvlText w:val="%5."/>
      <w:lvlJc w:val="left"/>
      <w:pPr>
        <w:ind w:left="3240" w:hanging="360"/>
      </w:pPr>
    </w:lvl>
    <w:lvl w:ilvl="5" w:tplc="0FFCA452" w:tentative="1">
      <w:start w:val="1"/>
      <w:numFmt w:val="lowerRoman"/>
      <w:lvlText w:val="%6."/>
      <w:lvlJc w:val="right"/>
      <w:pPr>
        <w:ind w:left="3960" w:hanging="180"/>
      </w:pPr>
    </w:lvl>
    <w:lvl w:ilvl="6" w:tplc="82E65220" w:tentative="1">
      <w:start w:val="1"/>
      <w:numFmt w:val="decimal"/>
      <w:lvlText w:val="%7."/>
      <w:lvlJc w:val="left"/>
      <w:pPr>
        <w:ind w:left="4680" w:hanging="360"/>
      </w:pPr>
    </w:lvl>
    <w:lvl w:ilvl="7" w:tplc="F72044B2" w:tentative="1">
      <w:start w:val="1"/>
      <w:numFmt w:val="lowerLetter"/>
      <w:lvlText w:val="%8."/>
      <w:lvlJc w:val="left"/>
      <w:pPr>
        <w:ind w:left="5400" w:hanging="360"/>
      </w:pPr>
    </w:lvl>
    <w:lvl w:ilvl="8" w:tplc="ABDE198C" w:tentative="1">
      <w:start w:val="1"/>
      <w:numFmt w:val="lowerRoman"/>
      <w:lvlText w:val="%9."/>
      <w:lvlJc w:val="right"/>
      <w:pPr>
        <w:ind w:left="6120" w:hanging="180"/>
      </w:pPr>
    </w:lvl>
  </w:abstractNum>
  <w:abstractNum w:abstractNumId="1" w15:restartNumberingAfterBreak="0">
    <w:nsid w:val="004870C2"/>
    <w:multiLevelType w:val="multilevel"/>
    <w:tmpl w:val="05C6E5F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D33ED9"/>
    <w:multiLevelType w:val="hybridMultilevel"/>
    <w:tmpl w:val="7C46FB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D97B3A"/>
    <w:multiLevelType w:val="hybridMultilevel"/>
    <w:tmpl w:val="D55E1C46"/>
    <w:lvl w:ilvl="0" w:tplc="30BCFBF2">
      <w:start w:val="1"/>
      <w:numFmt w:val="bullet"/>
      <w:lvlText w:val="-"/>
      <w:lvlJc w:val="left"/>
      <w:pPr>
        <w:ind w:left="720" w:hanging="360"/>
      </w:pPr>
      <w:rPr>
        <w:rFonts w:ascii="&quot;Times New Roman&quot;,serif" w:hAnsi="&quot;Times New Roman&quot;,serif" w:hint="default"/>
      </w:rPr>
    </w:lvl>
    <w:lvl w:ilvl="1" w:tplc="2A1E1CA2">
      <w:start w:val="1"/>
      <w:numFmt w:val="bullet"/>
      <w:lvlText w:val="o"/>
      <w:lvlJc w:val="left"/>
      <w:pPr>
        <w:ind w:left="1440" w:hanging="360"/>
      </w:pPr>
      <w:rPr>
        <w:rFonts w:ascii="Courier New" w:hAnsi="Courier New" w:hint="default"/>
      </w:rPr>
    </w:lvl>
    <w:lvl w:ilvl="2" w:tplc="CB028CCC">
      <w:start w:val="1"/>
      <w:numFmt w:val="bullet"/>
      <w:lvlText w:val=""/>
      <w:lvlJc w:val="left"/>
      <w:pPr>
        <w:ind w:left="2160" w:hanging="360"/>
      </w:pPr>
      <w:rPr>
        <w:rFonts w:ascii="Wingdings" w:hAnsi="Wingdings" w:hint="default"/>
      </w:rPr>
    </w:lvl>
    <w:lvl w:ilvl="3" w:tplc="FF52B594">
      <w:start w:val="1"/>
      <w:numFmt w:val="bullet"/>
      <w:lvlText w:val=""/>
      <w:lvlJc w:val="left"/>
      <w:pPr>
        <w:ind w:left="2880" w:hanging="360"/>
      </w:pPr>
      <w:rPr>
        <w:rFonts w:ascii="Symbol" w:hAnsi="Symbol" w:hint="default"/>
      </w:rPr>
    </w:lvl>
    <w:lvl w:ilvl="4" w:tplc="8EC8F9E0">
      <w:start w:val="1"/>
      <w:numFmt w:val="bullet"/>
      <w:lvlText w:val="o"/>
      <w:lvlJc w:val="left"/>
      <w:pPr>
        <w:ind w:left="3600" w:hanging="360"/>
      </w:pPr>
      <w:rPr>
        <w:rFonts w:ascii="Courier New" w:hAnsi="Courier New" w:hint="default"/>
      </w:rPr>
    </w:lvl>
    <w:lvl w:ilvl="5" w:tplc="A3FED310">
      <w:start w:val="1"/>
      <w:numFmt w:val="bullet"/>
      <w:lvlText w:val=""/>
      <w:lvlJc w:val="left"/>
      <w:pPr>
        <w:ind w:left="4320" w:hanging="360"/>
      </w:pPr>
      <w:rPr>
        <w:rFonts w:ascii="Wingdings" w:hAnsi="Wingdings" w:hint="default"/>
      </w:rPr>
    </w:lvl>
    <w:lvl w:ilvl="6" w:tplc="A29E1CE2">
      <w:start w:val="1"/>
      <w:numFmt w:val="bullet"/>
      <w:lvlText w:val=""/>
      <w:lvlJc w:val="left"/>
      <w:pPr>
        <w:ind w:left="5040" w:hanging="360"/>
      </w:pPr>
      <w:rPr>
        <w:rFonts w:ascii="Symbol" w:hAnsi="Symbol" w:hint="default"/>
      </w:rPr>
    </w:lvl>
    <w:lvl w:ilvl="7" w:tplc="4BAC82C6">
      <w:start w:val="1"/>
      <w:numFmt w:val="bullet"/>
      <w:lvlText w:val="o"/>
      <w:lvlJc w:val="left"/>
      <w:pPr>
        <w:ind w:left="5760" w:hanging="360"/>
      </w:pPr>
      <w:rPr>
        <w:rFonts w:ascii="Courier New" w:hAnsi="Courier New" w:hint="default"/>
      </w:rPr>
    </w:lvl>
    <w:lvl w:ilvl="8" w:tplc="725A8852">
      <w:start w:val="1"/>
      <w:numFmt w:val="bullet"/>
      <w:lvlText w:val=""/>
      <w:lvlJc w:val="left"/>
      <w:pPr>
        <w:ind w:left="6480" w:hanging="360"/>
      </w:pPr>
      <w:rPr>
        <w:rFonts w:ascii="Wingdings" w:hAnsi="Wingdings" w:hint="default"/>
      </w:rPr>
    </w:lvl>
  </w:abstractNum>
  <w:abstractNum w:abstractNumId="4" w15:restartNumberingAfterBreak="0">
    <w:nsid w:val="14412568"/>
    <w:multiLevelType w:val="hybridMultilevel"/>
    <w:tmpl w:val="9D962CB4"/>
    <w:lvl w:ilvl="0" w:tplc="502C22D0">
      <w:start w:val="1"/>
      <w:numFmt w:val="upperRoman"/>
      <w:pStyle w:val="slosti"/>
      <w:suff w:val="nothing"/>
      <w:lvlText w:val="%1."/>
      <w:lvlJc w:val="righ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004CC8BE" w:tentative="1">
      <w:start w:val="1"/>
      <w:numFmt w:val="lowerLetter"/>
      <w:lvlText w:val="%2."/>
      <w:lvlJc w:val="left"/>
      <w:pPr>
        <w:ind w:left="1440" w:hanging="360"/>
      </w:pPr>
    </w:lvl>
    <w:lvl w:ilvl="2" w:tplc="9EEC63C4" w:tentative="1">
      <w:start w:val="1"/>
      <w:numFmt w:val="lowerRoman"/>
      <w:lvlText w:val="%3."/>
      <w:lvlJc w:val="right"/>
      <w:pPr>
        <w:ind w:left="2160" w:hanging="180"/>
      </w:pPr>
    </w:lvl>
    <w:lvl w:ilvl="3" w:tplc="F6DE2AD8" w:tentative="1">
      <w:start w:val="1"/>
      <w:numFmt w:val="decimal"/>
      <w:lvlText w:val="%4."/>
      <w:lvlJc w:val="left"/>
      <w:pPr>
        <w:ind w:left="2880" w:hanging="360"/>
      </w:pPr>
    </w:lvl>
    <w:lvl w:ilvl="4" w:tplc="1EAE5DDE" w:tentative="1">
      <w:start w:val="1"/>
      <w:numFmt w:val="lowerLetter"/>
      <w:lvlText w:val="%5."/>
      <w:lvlJc w:val="left"/>
      <w:pPr>
        <w:ind w:left="3600" w:hanging="360"/>
      </w:pPr>
    </w:lvl>
    <w:lvl w:ilvl="5" w:tplc="9A5684DA" w:tentative="1">
      <w:start w:val="1"/>
      <w:numFmt w:val="lowerRoman"/>
      <w:lvlText w:val="%6."/>
      <w:lvlJc w:val="right"/>
      <w:pPr>
        <w:ind w:left="4320" w:hanging="180"/>
      </w:pPr>
    </w:lvl>
    <w:lvl w:ilvl="6" w:tplc="1C229FFA" w:tentative="1">
      <w:start w:val="1"/>
      <w:numFmt w:val="decimal"/>
      <w:lvlText w:val="%7."/>
      <w:lvlJc w:val="left"/>
      <w:pPr>
        <w:ind w:left="5040" w:hanging="360"/>
      </w:pPr>
    </w:lvl>
    <w:lvl w:ilvl="7" w:tplc="C99CFCCA" w:tentative="1">
      <w:start w:val="1"/>
      <w:numFmt w:val="lowerLetter"/>
      <w:lvlText w:val="%8."/>
      <w:lvlJc w:val="left"/>
      <w:pPr>
        <w:ind w:left="5760" w:hanging="360"/>
      </w:pPr>
    </w:lvl>
    <w:lvl w:ilvl="8" w:tplc="8E0C0F70" w:tentative="1">
      <w:start w:val="1"/>
      <w:numFmt w:val="lowerRoman"/>
      <w:lvlText w:val="%9."/>
      <w:lvlJc w:val="right"/>
      <w:pPr>
        <w:ind w:left="6480" w:hanging="180"/>
      </w:pPr>
    </w:lvl>
  </w:abstractNum>
  <w:abstractNum w:abstractNumId="5" w15:restartNumberingAfterBreak="0">
    <w:nsid w:val="17AC492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AE7940"/>
    <w:multiLevelType w:val="hybridMultilevel"/>
    <w:tmpl w:val="E2A2E0B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84FF4"/>
    <w:multiLevelType w:val="hybridMultilevel"/>
    <w:tmpl w:val="3D5C4190"/>
    <w:lvl w:ilvl="0" w:tplc="FA566A40">
      <w:start w:val="1"/>
      <w:numFmt w:val="decimal"/>
      <w:pStyle w:val="lovn"/>
      <w:lvlText w:val="%1."/>
      <w:lvlJc w:val="left"/>
      <w:pPr>
        <w:ind w:left="720" w:hanging="360"/>
      </w:pPr>
    </w:lvl>
    <w:lvl w:ilvl="1" w:tplc="BB0414BA">
      <w:start w:val="1"/>
      <w:numFmt w:val="lowerLetter"/>
      <w:lvlText w:val="%2."/>
      <w:lvlJc w:val="left"/>
      <w:pPr>
        <w:ind w:left="1440" w:hanging="360"/>
      </w:pPr>
    </w:lvl>
    <w:lvl w:ilvl="2" w:tplc="6B8AF1D6" w:tentative="1">
      <w:start w:val="1"/>
      <w:numFmt w:val="lowerRoman"/>
      <w:lvlText w:val="%3."/>
      <w:lvlJc w:val="right"/>
      <w:pPr>
        <w:ind w:left="2160" w:hanging="180"/>
      </w:pPr>
    </w:lvl>
    <w:lvl w:ilvl="3" w:tplc="4518FE8C" w:tentative="1">
      <w:start w:val="1"/>
      <w:numFmt w:val="decimal"/>
      <w:lvlText w:val="%4."/>
      <w:lvlJc w:val="left"/>
      <w:pPr>
        <w:ind w:left="2880" w:hanging="360"/>
      </w:pPr>
    </w:lvl>
    <w:lvl w:ilvl="4" w:tplc="02ACE6F0" w:tentative="1">
      <w:start w:val="1"/>
      <w:numFmt w:val="lowerLetter"/>
      <w:lvlText w:val="%5."/>
      <w:lvlJc w:val="left"/>
      <w:pPr>
        <w:ind w:left="3600" w:hanging="360"/>
      </w:pPr>
    </w:lvl>
    <w:lvl w:ilvl="5" w:tplc="3BE645AC" w:tentative="1">
      <w:start w:val="1"/>
      <w:numFmt w:val="lowerRoman"/>
      <w:lvlText w:val="%6."/>
      <w:lvlJc w:val="right"/>
      <w:pPr>
        <w:ind w:left="4320" w:hanging="180"/>
      </w:pPr>
    </w:lvl>
    <w:lvl w:ilvl="6" w:tplc="5C3E2F36" w:tentative="1">
      <w:start w:val="1"/>
      <w:numFmt w:val="decimal"/>
      <w:lvlText w:val="%7."/>
      <w:lvlJc w:val="left"/>
      <w:pPr>
        <w:ind w:left="5040" w:hanging="360"/>
      </w:pPr>
    </w:lvl>
    <w:lvl w:ilvl="7" w:tplc="A738C1A0" w:tentative="1">
      <w:start w:val="1"/>
      <w:numFmt w:val="lowerLetter"/>
      <w:lvlText w:val="%8."/>
      <w:lvlJc w:val="left"/>
      <w:pPr>
        <w:ind w:left="5760" w:hanging="360"/>
      </w:pPr>
    </w:lvl>
    <w:lvl w:ilvl="8" w:tplc="B1EA12DC" w:tentative="1">
      <w:start w:val="1"/>
      <w:numFmt w:val="lowerRoman"/>
      <w:lvlText w:val="%9."/>
      <w:lvlJc w:val="right"/>
      <w:pPr>
        <w:ind w:left="6480" w:hanging="180"/>
      </w:pPr>
    </w:lvl>
  </w:abstractNum>
  <w:abstractNum w:abstractNumId="8" w15:restartNumberingAfterBreak="0">
    <w:nsid w:val="2B063B3B"/>
    <w:multiLevelType w:val="multilevel"/>
    <w:tmpl w:val="06008C66"/>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2C90E72"/>
    <w:multiLevelType w:val="hybridMultilevel"/>
    <w:tmpl w:val="DABCFF0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0" w15:restartNumberingAfterBreak="0">
    <w:nsid w:val="38572357"/>
    <w:multiLevelType w:val="hybridMultilevel"/>
    <w:tmpl w:val="E592C7E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5E13C9"/>
    <w:multiLevelType w:val="hybridMultilevel"/>
    <w:tmpl w:val="3AF88B86"/>
    <w:lvl w:ilvl="0" w:tplc="3FDA12AC">
      <w:start w:val="1"/>
      <w:numFmt w:val="bullet"/>
      <w:pStyle w:val="Odrky"/>
      <w:lvlText w:val=""/>
      <w:lvlJc w:val="left"/>
      <w:pPr>
        <w:ind w:left="720" w:hanging="360"/>
      </w:pPr>
      <w:rPr>
        <w:rFonts w:ascii="Symbol" w:hAnsi="Symbol" w:hint="default"/>
      </w:rPr>
    </w:lvl>
    <w:lvl w:ilvl="1" w:tplc="BFA47AE0" w:tentative="1">
      <w:start w:val="1"/>
      <w:numFmt w:val="bullet"/>
      <w:lvlText w:val="o"/>
      <w:lvlJc w:val="left"/>
      <w:pPr>
        <w:ind w:left="1440" w:hanging="360"/>
      </w:pPr>
      <w:rPr>
        <w:rFonts w:ascii="Courier New" w:hAnsi="Courier New" w:cs="Courier New" w:hint="default"/>
      </w:rPr>
    </w:lvl>
    <w:lvl w:ilvl="2" w:tplc="5F48DDCE" w:tentative="1">
      <w:start w:val="1"/>
      <w:numFmt w:val="bullet"/>
      <w:lvlText w:val=""/>
      <w:lvlJc w:val="left"/>
      <w:pPr>
        <w:ind w:left="2160" w:hanging="360"/>
      </w:pPr>
      <w:rPr>
        <w:rFonts w:ascii="Wingdings" w:hAnsi="Wingdings" w:hint="default"/>
      </w:rPr>
    </w:lvl>
    <w:lvl w:ilvl="3" w:tplc="D570AD90" w:tentative="1">
      <w:start w:val="1"/>
      <w:numFmt w:val="bullet"/>
      <w:lvlText w:val=""/>
      <w:lvlJc w:val="left"/>
      <w:pPr>
        <w:ind w:left="2880" w:hanging="360"/>
      </w:pPr>
      <w:rPr>
        <w:rFonts w:ascii="Symbol" w:hAnsi="Symbol" w:hint="default"/>
      </w:rPr>
    </w:lvl>
    <w:lvl w:ilvl="4" w:tplc="197E6086" w:tentative="1">
      <w:start w:val="1"/>
      <w:numFmt w:val="bullet"/>
      <w:lvlText w:val="o"/>
      <w:lvlJc w:val="left"/>
      <w:pPr>
        <w:ind w:left="3600" w:hanging="360"/>
      </w:pPr>
      <w:rPr>
        <w:rFonts w:ascii="Courier New" w:hAnsi="Courier New" w:cs="Courier New" w:hint="default"/>
      </w:rPr>
    </w:lvl>
    <w:lvl w:ilvl="5" w:tplc="48241B32" w:tentative="1">
      <w:start w:val="1"/>
      <w:numFmt w:val="bullet"/>
      <w:lvlText w:val=""/>
      <w:lvlJc w:val="left"/>
      <w:pPr>
        <w:ind w:left="4320" w:hanging="360"/>
      </w:pPr>
      <w:rPr>
        <w:rFonts w:ascii="Wingdings" w:hAnsi="Wingdings" w:hint="default"/>
      </w:rPr>
    </w:lvl>
    <w:lvl w:ilvl="6" w:tplc="BA4EB6AE" w:tentative="1">
      <w:start w:val="1"/>
      <w:numFmt w:val="bullet"/>
      <w:lvlText w:val=""/>
      <w:lvlJc w:val="left"/>
      <w:pPr>
        <w:ind w:left="5040" w:hanging="360"/>
      </w:pPr>
      <w:rPr>
        <w:rFonts w:ascii="Symbol" w:hAnsi="Symbol" w:hint="default"/>
      </w:rPr>
    </w:lvl>
    <w:lvl w:ilvl="7" w:tplc="E9C6CDDC" w:tentative="1">
      <w:start w:val="1"/>
      <w:numFmt w:val="bullet"/>
      <w:lvlText w:val="o"/>
      <w:lvlJc w:val="left"/>
      <w:pPr>
        <w:ind w:left="5760" w:hanging="360"/>
      </w:pPr>
      <w:rPr>
        <w:rFonts w:ascii="Courier New" w:hAnsi="Courier New" w:cs="Courier New" w:hint="default"/>
      </w:rPr>
    </w:lvl>
    <w:lvl w:ilvl="8" w:tplc="1A00B3D8" w:tentative="1">
      <w:start w:val="1"/>
      <w:numFmt w:val="bullet"/>
      <w:lvlText w:val=""/>
      <w:lvlJc w:val="left"/>
      <w:pPr>
        <w:ind w:left="6480" w:hanging="360"/>
      </w:pPr>
      <w:rPr>
        <w:rFonts w:ascii="Wingdings" w:hAnsi="Wingdings" w:hint="default"/>
      </w:rPr>
    </w:lvl>
  </w:abstractNum>
  <w:abstractNum w:abstractNumId="12" w15:restartNumberingAfterBreak="0">
    <w:nsid w:val="4AC4ECB8"/>
    <w:multiLevelType w:val="hybridMultilevel"/>
    <w:tmpl w:val="FD62513E"/>
    <w:lvl w:ilvl="0" w:tplc="1362E82A">
      <w:start w:val="1"/>
      <w:numFmt w:val="decimal"/>
      <w:lvlText w:val="%1."/>
      <w:lvlJc w:val="left"/>
      <w:pPr>
        <w:ind w:left="720" w:hanging="360"/>
      </w:pPr>
    </w:lvl>
    <w:lvl w:ilvl="1" w:tplc="16D2C8E8">
      <w:start w:val="1"/>
      <w:numFmt w:val="lowerLetter"/>
      <w:lvlText w:val="%2."/>
      <w:lvlJc w:val="left"/>
      <w:pPr>
        <w:ind w:left="1440" w:hanging="360"/>
      </w:pPr>
    </w:lvl>
    <w:lvl w:ilvl="2" w:tplc="00982C2A">
      <w:start w:val="1"/>
      <w:numFmt w:val="lowerRoman"/>
      <w:lvlText w:val="%3."/>
      <w:lvlJc w:val="right"/>
      <w:pPr>
        <w:ind w:left="2160" w:hanging="180"/>
      </w:pPr>
    </w:lvl>
    <w:lvl w:ilvl="3" w:tplc="9C8A0A7A">
      <w:start w:val="1"/>
      <w:numFmt w:val="decimal"/>
      <w:lvlText w:val="%4."/>
      <w:lvlJc w:val="left"/>
      <w:pPr>
        <w:ind w:left="2880" w:hanging="360"/>
      </w:pPr>
    </w:lvl>
    <w:lvl w:ilvl="4" w:tplc="61603880">
      <w:start w:val="1"/>
      <w:numFmt w:val="lowerLetter"/>
      <w:lvlText w:val="%5."/>
      <w:lvlJc w:val="left"/>
      <w:pPr>
        <w:ind w:left="3600" w:hanging="360"/>
      </w:pPr>
    </w:lvl>
    <w:lvl w:ilvl="5" w:tplc="E0C43A24">
      <w:start w:val="1"/>
      <w:numFmt w:val="lowerRoman"/>
      <w:lvlText w:val="%6."/>
      <w:lvlJc w:val="right"/>
      <w:pPr>
        <w:ind w:left="4320" w:hanging="180"/>
      </w:pPr>
    </w:lvl>
    <w:lvl w:ilvl="6" w:tplc="07DCC89C">
      <w:start w:val="1"/>
      <w:numFmt w:val="decimal"/>
      <w:lvlText w:val="%7."/>
      <w:lvlJc w:val="left"/>
      <w:pPr>
        <w:ind w:left="5040" w:hanging="360"/>
      </w:pPr>
    </w:lvl>
    <w:lvl w:ilvl="7" w:tplc="95CEA2D2">
      <w:start w:val="1"/>
      <w:numFmt w:val="lowerLetter"/>
      <w:lvlText w:val="%8."/>
      <w:lvlJc w:val="left"/>
      <w:pPr>
        <w:ind w:left="5760" w:hanging="360"/>
      </w:pPr>
    </w:lvl>
    <w:lvl w:ilvl="8" w:tplc="C7BAA320">
      <w:start w:val="1"/>
      <w:numFmt w:val="lowerRoman"/>
      <w:lvlText w:val="%9."/>
      <w:lvlJc w:val="right"/>
      <w:pPr>
        <w:ind w:left="6480" w:hanging="180"/>
      </w:pPr>
    </w:lvl>
  </w:abstractNum>
  <w:abstractNum w:abstractNumId="13" w15:restartNumberingAfterBreak="0">
    <w:nsid w:val="4BF0706C"/>
    <w:multiLevelType w:val="multilevel"/>
    <w:tmpl w:val="79FC1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17F341A"/>
    <w:multiLevelType w:val="hybridMultilevel"/>
    <w:tmpl w:val="2A52D4D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5" w15:restartNumberingAfterBreak="0">
    <w:nsid w:val="51E87679"/>
    <w:multiLevelType w:val="hybridMultilevel"/>
    <w:tmpl w:val="D11A5F7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353" w:hanging="360"/>
      </w:pPr>
      <w:rPr>
        <w:rFonts w:ascii="Symbol" w:hAnsi="Symbol" w:hint="default"/>
      </w:rPr>
    </w:lvl>
    <w:lvl w:ilvl="2" w:tplc="0405000F">
      <w:start w:val="1"/>
      <w:numFmt w:val="decimal"/>
      <w:lvlText w:val="%3."/>
      <w:lvlJc w:val="left"/>
      <w:pPr>
        <w:ind w:left="2160" w:hanging="360"/>
      </w:pPr>
      <w:rPr>
        <w:rFont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4063E79"/>
    <w:multiLevelType w:val="multilevel"/>
    <w:tmpl w:val="C4A46E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418425F"/>
    <w:multiLevelType w:val="hybridMultilevel"/>
    <w:tmpl w:val="C016C50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07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CD573D0"/>
    <w:multiLevelType w:val="hybridMultilevel"/>
    <w:tmpl w:val="7A92CDA6"/>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776C33B5"/>
    <w:multiLevelType w:val="hybridMultilevel"/>
    <w:tmpl w:val="BD0059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B9FBB69"/>
    <w:multiLevelType w:val="hybridMultilevel"/>
    <w:tmpl w:val="4B5EEB40"/>
    <w:lvl w:ilvl="0" w:tplc="B10EF05A">
      <w:start w:val="1"/>
      <w:numFmt w:val="bullet"/>
      <w:lvlText w:val="-"/>
      <w:lvlJc w:val="left"/>
      <w:pPr>
        <w:ind w:left="720" w:hanging="360"/>
      </w:pPr>
      <w:rPr>
        <w:rFonts w:ascii="&quot;Times New Roman&quot;,serif" w:hAnsi="&quot;Times New Roman&quot;,serif" w:hint="default"/>
      </w:rPr>
    </w:lvl>
    <w:lvl w:ilvl="1" w:tplc="3650FE28">
      <w:start w:val="1"/>
      <w:numFmt w:val="bullet"/>
      <w:lvlText w:val="o"/>
      <w:lvlJc w:val="left"/>
      <w:pPr>
        <w:ind w:left="1440" w:hanging="360"/>
      </w:pPr>
      <w:rPr>
        <w:rFonts w:ascii="Courier New" w:hAnsi="Courier New" w:hint="default"/>
      </w:rPr>
    </w:lvl>
    <w:lvl w:ilvl="2" w:tplc="E124E23E">
      <w:start w:val="1"/>
      <w:numFmt w:val="bullet"/>
      <w:lvlText w:val=""/>
      <w:lvlJc w:val="left"/>
      <w:pPr>
        <w:ind w:left="2160" w:hanging="360"/>
      </w:pPr>
      <w:rPr>
        <w:rFonts w:ascii="Wingdings" w:hAnsi="Wingdings" w:hint="default"/>
      </w:rPr>
    </w:lvl>
    <w:lvl w:ilvl="3" w:tplc="286637D8">
      <w:start w:val="1"/>
      <w:numFmt w:val="bullet"/>
      <w:lvlText w:val=""/>
      <w:lvlJc w:val="left"/>
      <w:pPr>
        <w:ind w:left="2880" w:hanging="360"/>
      </w:pPr>
      <w:rPr>
        <w:rFonts w:ascii="Symbol" w:hAnsi="Symbol" w:hint="default"/>
      </w:rPr>
    </w:lvl>
    <w:lvl w:ilvl="4" w:tplc="ACC821E2">
      <w:start w:val="1"/>
      <w:numFmt w:val="bullet"/>
      <w:lvlText w:val="o"/>
      <w:lvlJc w:val="left"/>
      <w:pPr>
        <w:ind w:left="3600" w:hanging="360"/>
      </w:pPr>
      <w:rPr>
        <w:rFonts w:ascii="Courier New" w:hAnsi="Courier New" w:hint="default"/>
      </w:rPr>
    </w:lvl>
    <w:lvl w:ilvl="5" w:tplc="62A48E32">
      <w:start w:val="1"/>
      <w:numFmt w:val="bullet"/>
      <w:lvlText w:val=""/>
      <w:lvlJc w:val="left"/>
      <w:pPr>
        <w:ind w:left="4320" w:hanging="360"/>
      </w:pPr>
      <w:rPr>
        <w:rFonts w:ascii="Wingdings" w:hAnsi="Wingdings" w:hint="default"/>
      </w:rPr>
    </w:lvl>
    <w:lvl w:ilvl="6" w:tplc="AAA291B0">
      <w:start w:val="1"/>
      <w:numFmt w:val="bullet"/>
      <w:lvlText w:val=""/>
      <w:lvlJc w:val="left"/>
      <w:pPr>
        <w:ind w:left="5040" w:hanging="360"/>
      </w:pPr>
      <w:rPr>
        <w:rFonts w:ascii="Symbol" w:hAnsi="Symbol" w:hint="default"/>
      </w:rPr>
    </w:lvl>
    <w:lvl w:ilvl="7" w:tplc="7A9C4E36">
      <w:start w:val="1"/>
      <w:numFmt w:val="bullet"/>
      <w:lvlText w:val="o"/>
      <w:lvlJc w:val="left"/>
      <w:pPr>
        <w:ind w:left="5760" w:hanging="360"/>
      </w:pPr>
      <w:rPr>
        <w:rFonts w:ascii="Courier New" w:hAnsi="Courier New" w:hint="default"/>
      </w:rPr>
    </w:lvl>
    <w:lvl w:ilvl="8" w:tplc="FFDE7B16">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4"/>
  </w:num>
  <w:num w:numId="4">
    <w:abstractNumId w:val="0"/>
  </w:num>
  <w:num w:numId="5">
    <w:abstractNumId w:val="5"/>
  </w:num>
  <w:num w:numId="6">
    <w:abstractNumId w:val="17"/>
  </w:num>
  <w:num w:numId="7">
    <w:abstractNumId w:val="15"/>
  </w:num>
  <w:num w:numId="8">
    <w:abstractNumId w:val="6"/>
  </w:num>
  <w:num w:numId="9">
    <w:abstractNumId w:val="9"/>
  </w:num>
  <w:num w:numId="10">
    <w:abstractNumId w:val="10"/>
  </w:num>
  <w:num w:numId="11">
    <w:abstractNumId w:val="14"/>
  </w:num>
  <w:num w:numId="12">
    <w:abstractNumId w:val="18"/>
  </w:num>
  <w:num w:numId="13">
    <w:abstractNumId w:val="1"/>
  </w:num>
  <w:num w:numId="14">
    <w:abstractNumId w:val="8"/>
  </w:num>
  <w:num w:numId="15">
    <w:abstractNumId w:val="13"/>
  </w:num>
  <w:num w:numId="16">
    <w:abstractNumId w:val="16"/>
  </w:num>
  <w:num w:numId="17">
    <w:abstractNumId w:val="12"/>
  </w:num>
  <w:num w:numId="18">
    <w:abstractNumId w:val="3"/>
  </w:num>
  <w:num w:numId="19">
    <w:abstractNumId w:val="20"/>
  </w:num>
  <w:num w:numId="20">
    <w:abstractNumId w:val="2"/>
  </w:num>
  <w:num w:numId="21">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DDB"/>
    <w:rsid w:val="00001AB7"/>
    <w:rsid w:val="00002EC4"/>
    <w:rsid w:val="00006842"/>
    <w:rsid w:val="00006B2C"/>
    <w:rsid w:val="00011C45"/>
    <w:rsid w:val="0001274B"/>
    <w:rsid w:val="00013CB2"/>
    <w:rsid w:val="00014C16"/>
    <w:rsid w:val="000166D1"/>
    <w:rsid w:val="0001750E"/>
    <w:rsid w:val="00023473"/>
    <w:rsid w:val="00025472"/>
    <w:rsid w:val="000324FF"/>
    <w:rsid w:val="0003475D"/>
    <w:rsid w:val="00034BB3"/>
    <w:rsid w:val="00036285"/>
    <w:rsid w:val="000409BC"/>
    <w:rsid w:val="00042FE0"/>
    <w:rsid w:val="0004324B"/>
    <w:rsid w:val="00045442"/>
    <w:rsid w:val="000454BD"/>
    <w:rsid w:val="00052677"/>
    <w:rsid w:val="00052BE0"/>
    <w:rsid w:val="00054307"/>
    <w:rsid w:val="000545C3"/>
    <w:rsid w:val="00054B1A"/>
    <w:rsid w:val="00056F82"/>
    <w:rsid w:val="000579FF"/>
    <w:rsid w:val="00062247"/>
    <w:rsid w:val="00062BE4"/>
    <w:rsid w:val="00066BAB"/>
    <w:rsid w:val="000674F2"/>
    <w:rsid w:val="000702FD"/>
    <w:rsid w:val="0007232B"/>
    <w:rsid w:val="0007317C"/>
    <w:rsid w:val="00077B05"/>
    <w:rsid w:val="00077CD8"/>
    <w:rsid w:val="0008380F"/>
    <w:rsid w:val="0008414D"/>
    <w:rsid w:val="00090D6C"/>
    <w:rsid w:val="00091175"/>
    <w:rsid w:val="000928E0"/>
    <w:rsid w:val="00093BB3"/>
    <w:rsid w:val="00096395"/>
    <w:rsid w:val="00096576"/>
    <w:rsid w:val="000A25E7"/>
    <w:rsid w:val="000A3871"/>
    <w:rsid w:val="000A4F9B"/>
    <w:rsid w:val="000B036F"/>
    <w:rsid w:val="000B187F"/>
    <w:rsid w:val="000B2246"/>
    <w:rsid w:val="000B47F6"/>
    <w:rsid w:val="000B5C3D"/>
    <w:rsid w:val="000B5E97"/>
    <w:rsid w:val="000B68F5"/>
    <w:rsid w:val="000C0257"/>
    <w:rsid w:val="000C277B"/>
    <w:rsid w:val="000C4660"/>
    <w:rsid w:val="000C6035"/>
    <w:rsid w:val="000D107C"/>
    <w:rsid w:val="000D1789"/>
    <w:rsid w:val="000D22A0"/>
    <w:rsid w:val="000E0606"/>
    <w:rsid w:val="000E094E"/>
    <w:rsid w:val="000E0B13"/>
    <w:rsid w:val="000E4ADB"/>
    <w:rsid w:val="000E7562"/>
    <w:rsid w:val="000F071F"/>
    <w:rsid w:val="000F3114"/>
    <w:rsid w:val="000F510C"/>
    <w:rsid w:val="000F6B70"/>
    <w:rsid w:val="00100D68"/>
    <w:rsid w:val="0010774D"/>
    <w:rsid w:val="00111499"/>
    <w:rsid w:val="001147D3"/>
    <w:rsid w:val="00115597"/>
    <w:rsid w:val="00116CD0"/>
    <w:rsid w:val="00117746"/>
    <w:rsid w:val="001213CC"/>
    <w:rsid w:val="0012331A"/>
    <w:rsid w:val="00123CA1"/>
    <w:rsid w:val="001253FF"/>
    <w:rsid w:val="00126A5F"/>
    <w:rsid w:val="001273CE"/>
    <w:rsid w:val="001278DD"/>
    <w:rsid w:val="0013140B"/>
    <w:rsid w:val="00131FE9"/>
    <w:rsid w:val="0013225A"/>
    <w:rsid w:val="00133FFB"/>
    <w:rsid w:val="00134376"/>
    <w:rsid w:val="001374A6"/>
    <w:rsid w:val="0014175A"/>
    <w:rsid w:val="00142ABF"/>
    <w:rsid w:val="00144611"/>
    <w:rsid w:val="00152593"/>
    <w:rsid w:val="001549BE"/>
    <w:rsid w:val="00155F3A"/>
    <w:rsid w:val="0016104A"/>
    <w:rsid w:val="00162BF9"/>
    <w:rsid w:val="00163022"/>
    <w:rsid w:val="00163A41"/>
    <w:rsid w:val="00166BAD"/>
    <w:rsid w:val="001711CE"/>
    <w:rsid w:val="001740D6"/>
    <w:rsid w:val="0017539E"/>
    <w:rsid w:val="001755EC"/>
    <w:rsid w:val="0017752C"/>
    <w:rsid w:val="001833E7"/>
    <w:rsid w:val="00183E9E"/>
    <w:rsid w:val="001862E9"/>
    <w:rsid w:val="00192D9D"/>
    <w:rsid w:val="00192EC7"/>
    <w:rsid w:val="00194EF2"/>
    <w:rsid w:val="0019551D"/>
    <w:rsid w:val="001962B1"/>
    <w:rsid w:val="001A2D49"/>
    <w:rsid w:val="001B093E"/>
    <w:rsid w:val="001B6570"/>
    <w:rsid w:val="001B680F"/>
    <w:rsid w:val="001B796B"/>
    <w:rsid w:val="001C42E4"/>
    <w:rsid w:val="001C7E3F"/>
    <w:rsid w:val="001D1754"/>
    <w:rsid w:val="001D73F7"/>
    <w:rsid w:val="001E0601"/>
    <w:rsid w:val="001E3007"/>
    <w:rsid w:val="001E38E8"/>
    <w:rsid w:val="001E516B"/>
    <w:rsid w:val="001F0904"/>
    <w:rsid w:val="001F11D4"/>
    <w:rsid w:val="001F2243"/>
    <w:rsid w:val="001F2445"/>
    <w:rsid w:val="001F2D7A"/>
    <w:rsid w:val="001F3B07"/>
    <w:rsid w:val="001F4AE2"/>
    <w:rsid w:val="001F5A02"/>
    <w:rsid w:val="001F6099"/>
    <w:rsid w:val="001F78B2"/>
    <w:rsid w:val="0020078A"/>
    <w:rsid w:val="00206E29"/>
    <w:rsid w:val="00207313"/>
    <w:rsid w:val="00207B47"/>
    <w:rsid w:val="0021171F"/>
    <w:rsid w:val="00215FB5"/>
    <w:rsid w:val="0021730E"/>
    <w:rsid w:val="00217C46"/>
    <w:rsid w:val="00217F0A"/>
    <w:rsid w:val="0022095E"/>
    <w:rsid w:val="00220F4B"/>
    <w:rsid w:val="00221193"/>
    <w:rsid w:val="0022135A"/>
    <w:rsid w:val="002214B2"/>
    <w:rsid w:val="00223346"/>
    <w:rsid w:val="00223E3A"/>
    <w:rsid w:val="00231F54"/>
    <w:rsid w:val="002362C8"/>
    <w:rsid w:val="00236386"/>
    <w:rsid w:val="00241B33"/>
    <w:rsid w:val="002443CC"/>
    <w:rsid w:val="00244797"/>
    <w:rsid w:val="002460EC"/>
    <w:rsid w:val="002562B8"/>
    <w:rsid w:val="00256400"/>
    <w:rsid w:val="00256D24"/>
    <w:rsid w:val="00260783"/>
    <w:rsid w:val="00265425"/>
    <w:rsid w:val="00266E3E"/>
    <w:rsid w:val="00267A79"/>
    <w:rsid w:val="00267C45"/>
    <w:rsid w:val="00270C90"/>
    <w:rsid w:val="002715DC"/>
    <w:rsid w:val="00273C31"/>
    <w:rsid w:val="0027457F"/>
    <w:rsid w:val="00274780"/>
    <w:rsid w:val="00275D39"/>
    <w:rsid w:val="00276D00"/>
    <w:rsid w:val="00284FD1"/>
    <w:rsid w:val="002860B9"/>
    <w:rsid w:val="00286F01"/>
    <w:rsid w:val="00287285"/>
    <w:rsid w:val="00287C7B"/>
    <w:rsid w:val="0029424E"/>
    <w:rsid w:val="002966B0"/>
    <w:rsid w:val="00297FBA"/>
    <w:rsid w:val="002A00B9"/>
    <w:rsid w:val="002A316E"/>
    <w:rsid w:val="002A4E32"/>
    <w:rsid w:val="002A50E7"/>
    <w:rsid w:val="002A70FD"/>
    <w:rsid w:val="002A787E"/>
    <w:rsid w:val="002B235F"/>
    <w:rsid w:val="002B732F"/>
    <w:rsid w:val="002D0DD2"/>
    <w:rsid w:val="002D25C2"/>
    <w:rsid w:val="002D3AA4"/>
    <w:rsid w:val="002D4C7D"/>
    <w:rsid w:val="002E18F9"/>
    <w:rsid w:val="002E2BC4"/>
    <w:rsid w:val="002F55DD"/>
    <w:rsid w:val="002F6063"/>
    <w:rsid w:val="002F76D0"/>
    <w:rsid w:val="002F7728"/>
    <w:rsid w:val="003001A5"/>
    <w:rsid w:val="00303C75"/>
    <w:rsid w:val="003153AE"/>
    <w:rsid w:val="00316732"/>
    <w:rsid w:val="00317002"/>
    <w:rsid w:val="00317E97"/>
    <w:rsid w:val="0032126F"/>
    <w:rsid w:val="003218BC"/>
    <w:rsid w:val="00325CF4"/>
    <w:rsid w:val="00330249"/>
    <w:rsid w:val="003320F1"/>
    <w:rsid w:val="0033330E"/>
    <w:rsid w:val="00333891"/>
    <w:rsid w:val="00334560"/>
    <w:rsid w:val="00335DC5"/>
    <w:rsid w:val="00336133"/>
    <w:rsid w:val="00337C85"/>
    <w:rsid w:val="00340108"/>
    <w:rsid w:val="0034019D"/>
    <w:rsid w:val="00341065"/>
    <w:rsid w:val="00343070"/>
    <w:rsid w:val="003436A5"/>
    <w:rsid w:val="00345AC8"/>
    <w:rsid w:val="003476ED"/>
    <w:rsid w:val="00350DBC"/>
    <w:rsid w:val="003515D4"/>
    <w:rsid w:val="003523B7"/>
    <w:rsid w:val="00353143"/>
    <w:rsid w:val="003541E8"/>
    <w:rsid w:val="00357870"/>
    <w:rsid w:val="00360881"/>
    <w:rsid w:val="00362B0B"/>
    <w:rsid w:val="0036354A"/>
    <w:rsid w:val="0036555B"/>
    <w:rsid w:val="003700E3"/>
    <w:rsid w:val="003703AE"/>
    <w:rsid w:val="003725ED"/>
    <w:rsid w:val="00372C19"/>
    <w:rsid w:val="0037400C"/>
    <w:rsid w:val="00374333"/>
    <w:rsid w:val="00380C00"/>
    <w:rsid w:val="00386C4E"/>
    <w:rsid w:val="00397732"/>
    <w:rsid w:val="003A3380"/>
    <w:rsid w:val="003A450D"/>
    <w:rsid w:val="003A501E"/>
    <w:rsid w:val="003A52D9"/>
    <w:rsid w:val="003A5F24"/>
    <w:rsid w:val="003B0DDB"/>
    <w:rsid w:val="003B121E"/>
    <w:rsid w:val="003B399E"/>
    <w:rsid w:val="003B63A8"/>
    <w:rsid w:val="003B679E"/>
    <w:rsid w:val="003B71A5"/>
    <w:rsid w:val="003B7FAB"/>
    <w:rsid w:val="003C0D45"/>
    <w:rsid w:val="003C10DD"/>
    <w:rsid w:val="003C1E97"/>
    <w:rsid w:val="003C3829"/>
    <w:rsid w:val="003D2EF6"/>
    <w:rsid w:val="003E0039"/>
    <w:rsid w:val="003E1005"/>
    <w:rsid w:val="003E49B2"/>
    <w:rsid w:val="003E7BEC"/>
    <w:rsid w:val="003F0389"/>
    <w:rsid w:val="003F09EF"/>
    <w:rsid w:val="003F3B7A"/>
    <w:rsid w:val="003F472B"/>
    <w:rsid w:val="003F48DE"/>
    <w:rsid w:val="003F6147"/>
    <w:rsid w:val="003F61F1"/>
    <w:rsid w:val="003F693B"/>
    <w:rsid w:val="0040004F"/>
    <w:rsid w:val="0040248F"/>
    <w:rsid w:val="0040268D"/>
    <w:rsid w:val="004146D3"/>
    <w:rsid w:val="0041499C"/>
    <w:rsid w:val="004167C4"/>
    <w:rsid w:val="00416C83"/>
    <w:rsid w:val="004177C6"/>
    <w:rsid w:val="0042338F"/>
    <w:rsid w:val="0042450A"/>
    <w:rsid w:val="00426103"/>
    <w:rsid w:val="00427C3A"/>
    <w:rsid w:val="004311EC"/>
    <w:rsid w:val="00431611"/>
    <w:rsid w:val="004345A1"/>
    <w:rsid w:val="0044200A"/>
    <w:rsid w:val="0044233D"/>
    <w:rsid w:val="004435D9"/>
    <w:rsid w:val="00445CAC"/>
    <w:rsid w:val="00451106"/>
    <w:rsid w:val="00465556"/>
    <w:rsid w:val="00467897"/>
    <w:rsid w:val="00471BBD"/>
    <w:rsid w:val="00473BDC"/>
    <w:rsid w:val="004765D1"/>
    <w:rsid w:val="0048041B"/>
    <w:rsid w:val="004820C5"/>
    <w:rsid w:val="0048283C"/>
    <w:rsid w:val="00485B6A"/>
    <w:rsid w:val="00492242"/>
    <w:rsid w:val="00492E34"/>
    <w:rsid w:val="00495EBB"/>
    <w:rsid w:val="00495EF0"/>
    <w:rsid w:val="00497601"/>
    <w:rsid w:val="004A1910"/>
    <w:rsid w:val="004A19AD"/>
    <w:rsid w:val="004A1B92"/>
    <w:rsid w:val="004A2CAB"/>
    <w:rsid w:val="004A45FA"/>
    <w:rsid w:val="004A5BC6"/>
    <w:rsid w:val="004B3BFD"/>
    <w:rsid w:val="004B3D38"/>
    <w:rsid w:val="004B56F0"/>
    <w:rsid w:val="004C4A89"/>
    <w:rsid w:val="004C62D7"/>
    <w:rsid w:val="004C67DD"/>
    <w:rsid w:val="004C6CFD"/>
    <w:rsid w:val="004C776A"/>
    <w:rsid w:val="004D0477"/>
    <w:rsid w:val="004D2011"/>
    <w:rsid w:val="004D2E59"/>
    <w:rsid w:val="004D302E"/>
    <w:rsid w:val="004D3656"/>
    <w:rsid w:val="004D3864"/>
    <w:rsid w:val="004D4D4F"/>
    <w:rsid w:val="004E1B67"/>
    <w:rsid w:val="004E23B0"/>
    <w:rsid w:val="004E5ADC"/>
    <w:rsid w:val="004E783B"/>
    <w:rsid w:val="004F03F8"/>
    <w:rsid w:val="004F1939"/>
    <w:rsid w:val="004F79D5"/>
    <w:rsid w:val="0050064C"/>
    <w:rsid w:val="0050187C"/>
    <w:rsid w:val="00502ECF"/>
    <w:rsid w:val="0050445D"/>
    <w:rsid w:val="00505E23"/>
    <w:rsid w:val="0051001D"/>
    <w:rsid w:val="00511992"/>
    <w:rsid w:val="00512696"/>
    <w:rsid w:val="00513A7A"/>
    <w:rsid w:val="00514E8D"/>
    <w:rsid w:val="00515E93"/>
    <w:rsid w:val="00517027"/>
    <w:rsid w:val="00522E70"/>
    <w:rsid w:val="00525414"/>
    <w:rsid w:val="00527020"/>
    <w:rsid w:val="005279EF"/>
    <w:rsid w:val="005301D7"/>
    <w:rsid w:val="0053192E"/>
    <w:rsid w:val="00532EAB"/>
    <w:rsid w:val="005334B3"/>
    <w:rsid w:val="005369F7"/>
    <w:rsid w:val="005469D6"/>
    <w:rsid w:val="00547AB1"/>
    <w:rsid w:val="0055073C"/>
    <w:rsid w:val="00552FEF"/>
    <w:rsid w:val="00555C8D"/>
    <w:rsid w:val="00561C81"/>
    <w:rsid w:val="00563340"/>
    <w:rsid w:val="00573A3F"/>
    <w:rsid w:val="00573CD3"/>
    <w:rsid w:val="00575C5B"/>
    <w:rsid w:val="00576021"/>
    <w:rsid w:val="00580113"/>
    <w:rsid w:val="0058034E"/>
    <w:rsid w:val="005805EA"/>
    <w:rsid w:val="00580D9B"/>
    <w:rsid w:val="005839C0"/>
    <w:rsid w:val="005901A2"/>
    <w:rsid w:val="00590E86"/>
    <w:rsid w:val="00591514"/>
    <w:rsid w:val="005918E0"/>
    <w:rsid w:val="00591EEF"/>
    <w:rsid w:val="00593E29"/>
    <w:rsid w:val="00593F80"/>
    <w:rsid w:val="00596863"/>
    <w:rsid w:val="005976CB"/>
    <w:rsid w:val="005A0F1B"/>
    <w:rsid w:val="005A30A2"/>
    <w:rsid w:val="005A3308"/>
    <w:rsid w:val="005B30E9"/>
    <w:rsid w:val="005B4C7F"/>
    <w:rsid w:val="005B539C"/>
    <w:rsid w:val="005B748F"/>
    <w:rsid w:val="005B7BD9"/>
    <w:rsid w:val="005C1745"/>
    <w:rsid w:val="005C3A4B"/>
    <w:rsid w:val="005C5CB4"/>
    <w:rsid w:val="005C6C0A"/>
    <w:rsid w:val="005C6C7C"/>
    <w:rsid w:val="005D0A95"/>
    <w:rsid w:val="005D4D57"/>
    <w:rsid w:val="005D5F6E"/>
    <w:rsid w:val="005E0745"/>
    <w:rsid w:val="005E0FC7"/>
    <w:rsid w:val="005E2DC4"/>
    <w:rsid w:val="005E309C"/>
    <w:rsid w:val="005E49DF"/>
    <w:rsid w:val="005E6A32"/>
    <w:rsid w:val="005E6AC2"/>
    <w:rsid w:val="005E70D4"/>
    <w:rsid w:val="005F36AE"/>
    <w:rsid w:val="005F5B49"/>
    <w:rsid w:val="005F5DEB"/>
    <w:rsid w:val="005F6298"/>
    <w:rsid w:val="005F7131"/>
    <w:rsid w:val="006014C4"/>
    <w:rsid w:val="006051AA"/>
    <w:rsid w:val="00607210"/>
    <w:rsid w:val="00607C69"/>
    <w:rsid w:val="00610152"/>
    <w:rsid w:val="006148A3"/>
    <w:rsid w:val="00614EF7"/>
    <w:rsid w:val="0061500C"/>
    <w:rsid w:val="006150E8"/>
    <w:rsid w:val="006157BD"/>
    <w:rsid w:val="00620287"/>
    <w:rsid w:val="0062082B"/>
    <w:rsid w:val="006211D4"/>
    <w:rsid w:val="00621C32"/>
    <w:rsid w:val="00621D99"/>
    <w:rsid w:val="0062568D"/>
    <w:rsid w:val="00625B47"/>
    <w:rsid w:val="00640F95"/>
    <w:rsid w:val="0064439D"/>
    <w:rsid w:val="00645437"/>
    <w:rsid w:val="00646783"/>
    <w:rsid w:val="006559E9"/>
    <w:rsid w:val="0065670E"/>
    <w:rsid w:val="00657838"/>
    <w:rsid w:val="00660A8E"/>
    <w:rsid w:val="00661640"/>
    <w:rsid w:val="006618D5"/>
    <w:rsid w:val="00664EB6"/>
    <w:rsid w:val="00670C29"/>
    <w:rsid w:val="00670F1B"/>
    <w:rsid w:val="006745B7"/>
    <w:rsid w:val="00675D06"/>
    <w:rsid w:val="00677EAB"/>
    <w:rsid w:val="00680ECB"/>
    <w:rsid w:val="00681C7E"/>
    <w:rsid w:val="00682768"/>
    <w:rsid w:val="006868E8"/>
    <w:rsid w:val="006911C8"/>
    <w:rsid w:val="0069177F"/>
    <w:rsid w:val="006919AF"/>
    <w:rsid w:val="0069299D"/>
    <w:rsid w:val="00693706"/>
    <w:rsid w:val="006943D8"/>
    <w:rsid w:val="0069457D"/>
    <w:rsid w:val="00696601"/>
    <w:rsid w:val="0069749F"/>
    <w:rsid w:val="006975B2"/>
    <w:rsid w:val="006A2FFA"/>
    <w:rsid w:val="006A3214"/>
    <w:rsid w:val="006A34C4"/>
    <w:rsid w:val="006A3CE0"/>
    <w:rsid w:val="006A4C1A"/>
    <w:rsid w:val="006A4D79"/>
    <w:rsid w:val="006A613A"/>
    <w:rsid w:val="006A6FC8"/>
    <w:rsid w:val="006A7371"/>
    <w:rsid w:val="006B326F"/>
    <w:rsid w:val="006B55FA"/>
    <w:rsid w:val="006B616D"/>
    <w:rsid w:val="006B7228"/>
    <w:rsid w:val="006B7233"/>
    <w:rsid w:val="006B7F23"/>
    <w:rsid w:val="006C01DD"/>
    <w:rsid w:val="006C07D4"/>
    <w:rsid w:val="006C0F31"/>
    <w:rsid w:val="006C3B38"/>
    <w:rsid w:val="006D3B02"/>
    <w:rsid w:val="006D6C3B"/>
    <w:rsid w:val="006D7AA9"/>
    <w:rsid w:val="006D7F9A"/>
    <w:rsid w:val="006E6207"/>
    <w:rsid w:val="006F0A19"/>
    <w:rsid w:val="006F2536"/>
    <w:rsid w:val="006F2763"/>
    <w:rsid w:val="006F3F20"/>
    <w:rsid w:val="006F446D"/>
    <w:rsid w:val="006F4B73"/>
    <w:rsid w:val="006F54A4"/>
    <w:rsid w:val="006F5885"/>
    <w:rsid w:val="006F6857"/>
    <w:rsid w:val="006F6FC6"/>
    <w:rsid w:val="006F7EAE"/>
    <w:rsid w:val="0070325F"/>
    <w:rsid w:val="007036A2"/>
    <w:rsid w:val="0070444B"/>
    <w:rsid w:val="007056E6"/>
    <w:rsid w:val="0070652F"/>
    <w:rsid w:val="00710281"/>
    <w:rsid w:val="00711EEF"/>
    <w:rsid w:val="00715581"/>
    <w:rsid w:val="00715DA7"/>
    <w:rsid w:val="0071695D"/>
    <w:rsid w:val="00720040"/>
    <w:rsid w:val="00720AD7"/>
    <w:rsid w:val="0072359A"/>
    <w:rsid w:val="00724854"/>
    <w:rsid w:val="007258FF"/>
    <w:rsid w:val="00732AE7"/>
    <w:rsid w:val="00733C7D"/>
    <w:rsid w:val="00734736"/>
    <w:rsid w:val="00736C73"/>
    <w:rsid w:val="00737A40"/>
    <w:rsid w:val="00737CD2"/>
    <w:rsid w:val="00740F2C"/>
    <w:rsid w:val="00742E30"/>
    <w:rsid w:val="00747C59"/>
    <w:rsid w:val="00750329"/>
    <w:rsid w:val="00752A0E"/>
    <w:rsid w:val="0075428E"/>
    <w:rsid w:val="00755B49"/>
    <w:rsid w:val="007573D1"/>
    <w:rsid w:val="00760B62"/>
    <w:rsid w:val="0076197C"/>
    <w:rsid w:val="00761F78"/>
    <w:rsid w:val="00767361"/>
    <w:rsid w:val="00770ECA"/>
    <w:rsid w:val="00772028"/>
    <w:rsid w:val="0077310B"/>
    <w:rsid w:val="00773EE6"/>
    <w:rsid w:val="00774176"/>
    <w:rsid w:val="00776F3A"/>
    <w:rsid w:val="00780E89"/>
    <w:rsid w:val="007810CA"/>
    <w:rsid w:val="007817EB"/>
    <w:rsid w:val="00781DBF"/>
    <w:rsid w:val="00784546"/>
    <w:rsid w:val="007848BF"/>
    <w:rsid w:val="00787FCE"/>
    <w:rsid w:val="00790486"/>
    <w:rsid w:val="007904AB"/>
    <w:rsid w:val="007915AA"/>
    <w:rsid w:val="00793C2E"/>
    <w:rsid w:val="00794EDA"/>
    <w:rsid w:val="00795BFE"/>
    <w:rsid w:val="00797C14"/>
    <w:rsid w:val="007A137F"/>
    <w:rsid w:val="007A4153"/>
    <w:rsid w:val="007A46D4"/>
    <w:rsid w:val="007A7419"/>
    <w:rsid w:val="007B001D"/>
    <w:rsid w:val="007B004D"/>
    <w:rsid w:val="007B00A6"/>
    <w:rsid w:val="007B6595"/>
    <w:rsid w:val="007C3E7D"/>
    <w:rsid w:val="007C3F74"/>
    <w:rsid w:val="007C40AE"/>
    <w:rsid w:val="007C466B"/>
    <w:rsid w:val="007C7272"/>
    <w:rsid w:val="007D3244"/>
    <w:rsid w:val="007D3E03"/>
    <w:rsid w:val="007D478D"/>
    <w:rsid w:val="007D4BC2"/>
    <w:rsid w:val="007D5773"/>
    <w:rsid w:val="007D58BA"/>
    <w:rsid w:val="007E25D1"/>
    <w:rsid w:val="007E4012"/>
    <w:rsid w:val="007E54CC"/>
    <w:rsid w:val="007E736D"/>
    <w:rsid w:val="007E7D1B"/>
    <w:rsid w:val="007F030F"/>
    <w:rsid w:val="007F10D6"/>
    <w:rsid w:val="007F19AB"/>
    <w:rsid w:val="007F26E4"/>
    <w:rsid w:val="007F2D2B"/>
    <w:rsid w:val="007F2D48"/>
    <w:rsid w:val="007F3ABF"/>
    <w:rsid w:val="007F5593"/>
    <w:rsid w:val="007F5D05"/>
    <w:rsid w:val="007F6088"/>
    <w:rsid w:val="0080028F"/>
    <w:rsid w:val="008004E7"/>
    <w:rsid w:val="008040BD"/>
    <w:rsid w:val="008044F3"/>
    <w:rsid w:val="00805AA3"/>
    <w:rsid w:val="008070D0"/>
    <w:rsid w:val="008173E9"/>
    <w:rsid w:val="0081789E"/>
    <w:rsid w:val="00822A0F"/>
    <w:rsid w:val="00827132"/>
    <w:rsid w:val="008304AD"/>
    <w:rsid w:val="008314F2"/>
    <w:rsid w:val="00832E44"/>
    <w:rsid w:val="008368F2"/>
    <w:rsid w:val="00836E39"/>
    <w:rsid w:val="00840E49"/>
    <w:rsid w:val="0084166B"/>
    <w:rsid w:val="008437A5"/>
    <w:rsid w:val="00843D4C"/>
    <w:rsid w:val="00845FDE"/>
    <w:rsid w:val="008475EF"/>
    <w:rsid w:val="008505FA"/>
    <w:rsid w:val="008518E0"/>
    <w:rsid w:val="008521B7"/>
    <w:rsid w:val="00854142"/>
    <w:rsid w:val="008558DA"/>
    <w:rsid w:val="00861D9F"/>
    <w:rsid w:val="00862674"/>
    <w:rsid w:val="00865672"/>
    <w:rsid w:val="008718BB"/>
    <w:rsid w:val="00874766"/>
    <w:rsid w:val="008751CA"/>
    <w:rsid w:val="00876383"/>
    <w:rsid w:val="00880652"/>
    <w:rsid w:val="00881366"/>
    <w:rsid w:val="0088529F"/>
    <w:rsid w:val="00891756"/>
    <w:rsid w:val="008918C1"/>
    <w:rsid w:val="00893B75"/>
    <w:rsid w:val="00893D01"/>
    <w:rsid w:val="008944F5"/>
    <w:rsid w:val="00895910"/>
    <w:rsid w:val="008A3DB6"/>
    <w:rsid w:val="008A4D62"/>
    <w:rsid w:val="008A56FC"/>
    <w:rsid w:val="008A62E5"/>
    <w:rsid w:val="008B0154"/>
    <w:rsid w:val="008B0A16"/>
    <w:rsid w:val="008B1C74"/>
    <w:rsid w:val="008B24FF"/>
    <w:rsid w:val="008B3401"/>
    <w:rsid w:val="008B4DBC"/>
    <w:rsid w:val="008B5B87"/>
    <w:rsid w:val="008B60A7"/>
    <w:rsid w:val="008B7925"/>
    <w:rsid w:val="008B7F43"/>
    <w:rsid w:val="008C1A47"/>
    <w:rsid w:val="008C2B78"/>
    <w:rsid w:val="008C59D0"/>
    <w:rsid w:val="008C5B6C"/>
    <w:rsid w:val="008C6FB1"/>
    <w:rsid w:val="008C76FC"/>
    <w:rsid w:val="008C777F"/>
    <w:rsid w:val="008D12FE"/>
    <w:rsid w:val="008D4174"/>
    <w:rsid w:val="008D5583"/>
    <w:rsid w:val="008D6C96"/>
    <w:rsid w:val="008E0192"/>
    <w:rsid w:val="008E5694"/>
    <w:rsid w:val="008E608F"/>
    <w:rsid w:val="008E6840"/>
    <w:rsid w:val="008F0735"/>
    <w:rsid w:val="008F268B"/>
    <w:rsid w:val="00901641"/>
    <w:rsid w:val="009016A1"/>
    <w:rsid w:val="00902995"/>
    <w:rsid w:val="00903671"/>
    <w:rsid w:val="009069E0"/>
    <w:rsid w:val="00907BAC"/>
    <w:rsid w:val="009136A7"/>
    <w:rsid w:val="009140E5"/>
    <w:rsid w:val="00914269"/>
    <w:rsid w:val="00922DA7"/>
    <w:rsid w:val="00922FE7"/>
    <w:rsid w:val="009235B8"/>
    <w:rsid w:val="00924609"/>
    <w:rsid w:val="00924AFF"/>
    <w:rsid w:val="009264BF"/>
    <w:rsid w:val="00926CAB"/>
    <w:rsid w:val="0092721F"/>
    <w:rsid w:val="00931608"/>
    <w:rsid w:val="00934A9A"/>
    <w:rsid w:val="00935076"/>
    <w:rsid w:val="009353D5"/>
    <w:rsid w:val="0093699E"/>
    <w:rsid w:val="0093745A"/>
    <w:rsid w:val="00937F05"/>
    <w:rsid w:val="009400B3"/>
    <w:rsid w:val="009442B6"/>
    <w:rsid w:val="009530D9"/>
    <w:rsid w:val="009536AC"/>
    <w:rsid w:val="00953C87"/>
    <w:rsid w:val="00957F06"/>
    <w:rsid w:val="009606D8"/>
    <w:rsid w:val="00960DA5"/>
    <w:rsid w:val="00964EBF"/>
    <w:rsid w:val="00970BA1"/>
    <w:rsid w:val="009737F2"/>
    <w:rsid w:val="0097652F"/>
    <w:rsid w:val="00981325"/>
    <w:rsid w:val="009835C1"/>
    <w:rsid w:val="00987EA0"/>
    <w:rsid w:val="009900F9"/>
    <w:rsid w:val="009A3B61"/>
    <w:rsid w:val="009A3DF3"/>
    <w:rsid w:val="009A4004"/>
    <w:rsid w:val="009A4378"/>
    <w:rsid w:val="009A462F"/>
    <w:rsid w:val="009A56D0"/>
    <w:rsid w:val="009A5D2A"/>
    <w:rsid w:val="009A654C"/>
    <w:rsid w:val="009B21EE"/>
    <w:rsid w:val="009B4AE8"/>
    <w:rsid w:val="009B5D26"/>
    <w:rsid w:val="009B6F74"/>
    <w:rsid w:val="009B7812"/>
    <w:rsid w:val="009B7AE2"/>
    <w:rsid w:val="009C1B35"/>
    <w:rsid w:val="009D0978"/>
    <w:rsid w:val="009D38C2"/>
    <w:rsid w:val="009D4CA2"/>
    <w:rsid w:val="009E153F"/>
    <w:rsid w:val="009E31BD"/>
    <w:rsid w:val="009E6BA5"/>
    <w:rsid w:val="009F4267"/>
    <w:rsid w:val="009F471F"/>
    <w:rsid w:val="009F543B"/>
    <w:rsid w:val="009F7515"/>
    <w:rsid w:val="00A04EB4"/>
    <w:rsid w:val="00A05219"/>
    <w:rsid w:val="00A06689"/>
    <w:rsid w:val="00A108B5"/>
    <w:rsid w:val="00A156D9"/>
    <w:rsid w:val="00A202E1"/>
    <w:rsid w:val="00A234CE"/>
    <w:rsid w:val="00A239BC"/>
    <w:rsid w:val="00A24148"/>
    <w:rsid w:val="00A3214D"/>
    <w:rsid w:val="00A35814"/>
    <w:rsid w:val="00A3667A"/>
    <w:rsid w:val="00A43FC9"/>
    <w:rsid w:val="00A44018"/>
    <w:rsid w:val="00A4454A"/>
    <w:rsid w:val="00A519DC"/>
    <w:rsid w:val="00A51BAB"/>
    <w:rsid w:val="00A524EB"/>
    <w:rsid w:val="00A57237"/>
    <w:rsid w:val="00A63332"/>
    <w:rsid w:val="00A64034"/>
    <w:rsid w:val="00A7064B"/>
    <w:rsid w:val="00A70EC3"/>
    <w:rsid w:val="00A71846"/>
    <w:rsid w:val="00A72F13"/>
    <w:rsid w:val="00A739C1"/>
    <w:rsid w:val="00A743EF"/>
    <w:rsid w:val="00A77214"/>
    <w:rsid w:val="00A77CE1"/>
    <w:rsid w:val="00A80AED"/>
    <w:rsid w:val="00A84409"/>
    <w:rsid w:val="00A84B76"/>
    <w:rsid w:val="00A90B97"/>
    <w:rsid w:val="00A90C09"/>
    <w:rsid w:val="00A9244C"/>
    <w:rsid w:val="00A93A44"/>
    <w:rsid w:val="00A93C67"/>
    <w:rsid w:val="00AA26FC"/>
    <w:rsid w:val="00AA6410"/>
    <w:rsid w:val="00AA6DC5"/>
    <w:rsid w:val="00AB08D4"/>
    <w:rsid w:val="00AB21E9"/>
    <w:rsid w:val="00AB2A1D"/>
    <w:rsid w:val="00AB34AA"/>
    <w:rsid w:val="00AB3F51"/>
    <w:rsid w:val="00AB4EC5"/>
    <w:rsid w:val="00AB6F05"/>
    <w:rsid w:val="00AC3303"/>
    <w:rsid w:val="00AC5CD3"/>
    <w:rsid w:val="00AD00D3"/>
    <w:rsid w:val="00AD0BE5"/>
    <w:rsid w:val="00AD469D"/>
    <w:rsid w:val="00AD46ED"/>
    <w:rsid w:val="00AD7343"/>
    <w:rsid w:val="00AE0920"/>
    <w:rsid w:val="00AE476C"/>
    <w:rsid w:val="00AE7A45"/>
    <w:rsid w:val="00AF3B18"/>
    <w:rsid w:val="00AF41FE"/>
    <w:rsid w:val="00AF6298"/>
    <w:rsid w:val="00AF68AD"/>
    <w:rsid w:val="00AF6FB0"/>
    <w:rsid w:val="00AF7DA0"/>
    <w:rsid w:val="00B00FFC"/>
    <w:rsid w:val="00B012E9"/>
    <w:rsid w:val="00B023AA"/>
    <w:rsid w:val="00B062EA"/>
    <w:rsid w:val="00B12F11"/>
    <w:rsid w:val="00B14941"/>
    <w:rsid w:val="00B149B7"/>
    <w:rsid w:val="00B14C9F"/>
    <w:rsid w:val="00B14EFF"/>
    <w:rsid w:val="00B14FA4"/>
    <w:rsid w:val="00B14FDE"/>
    <w:rsid w:val="00B2003B"/>
    <w:rsid w:val="00B21A9B"/>
    <w:rsid w:val="00B2671A"/>
    <w:rsid w:val="00B268F4"/>
    <w:rsid w:val="00B27B99"/>
    <w:rsid w:val="00B32F91"/>
    <w:rsid w:val="00B40174"/>
    <w:rsid w:val="00B40205"/>
    <w:rsid w:val="00B40E9D"/>
    <w:rsid w:val="00B416E8"/>
    <w:rsid w:val="00B43822"/>
    <w:rsid w:val="00B44ABC"/>
    <w:rsid w:val="00B455EE"/>
    <w:rsid w:val="00B54509"/>
    <w:rsid w:val="00B550D2"/>
    <w:rsid w:val="00B61985"/>
    <w:rsid w:val="00B6268F"/>
    <w:rsid w:val="00B62BD7"/>
    <w:rsid w:val="00B701EC"/>
    <w:rsid w:val="00B7199B"/>
    <w:rsid w:val="00B71C7C"/>
    <w:rsid w:val="00B73366"/>
    <w:rsid w:val="00B76688"/>
    <w:rsid w:val="00B76DCB"/>
    <w:rsid w:val="00B76FDD"/>
    <w:rsid w:val="00B779BD"/>
    <w:rsid w:val="00B802EF"/>
    <w:rsid w:val="00B8493F"/>
    <w:rsid w:val="00B84D47"/>
    <w:rsid w:val="00B850D8"/>
    <w:rsid w:val="00B90EDF"/>
    <w:rsid w:val="00B92244"/>
    <w:rsid w:val="00B93D8C"/>
    <w:rsid w:val="00B96166"/>
    <w:rsid w:val="00B97A65"/>
    <w:rsid w:val="00BA209D"/>
    <w:rsid w:val="00BA3024"/>
    <w:rsid w:val="00BB3EEF"/>
    <w:rsid w:val="00BC1E84"/>
    <w:rsid w:val="00BC27DE"/>
    <w:rsid w:val="00BC2CE3"/>
    <w:rsid w:val="00BC3CE5"/>
    <w:rsid w:val="00BC5983"/>
    <w:rsid w:val="00BC59A2"/>
    <w:rsid w:val="00BC5EFF"/>
    <w:rsid w:val="00BC5F37"/>
    <w:rsid w:val="00BD3F71"/>
    <w:rsid w:val="00BD5FE5"/>
    <w:rsid w:val="00BD7060"/>
    <w:rsid w:val="00BE31F7"/>
    <w:rsid w:val="00BE50EB"/>
    <w:rsid w:val="00BE6232"/>
    <w:rsid w:val="00BE6B17"/>
    <w:rsid w:val="00BF176A"/>
    <w:rsid w:val="00BF4955"/>
    <w:rsid w:val="00BF5DFD"/>
    <w:rsid w:val="00BF787B"/>
    <w:rsid w:val="00C00A6E"/>
    <w:rsid w:val="00C02B35"/>
    <w:rsid w:val="00C03454"/>
    <w:rsid w:val="00C0702F"/>
    <w:rsid w:val="00C10780"/>
    <w:rsid w:val="00C1082C"/>
    <w:rsid w:val="00C11FDA"/>
    <w:rsid w:val="00C12FF4"/>
    <w:rsid w:val="00C16748"/>
    <w:rsid w:val="00C17873"/>
    <w:rsid w:val="00C211CF"/>
    <w:rsid w:val="00C212B9"/>
    <w:rsid w:val="00C221E3"/>
    <w:rsid w:val="00C222E9"/>
    <w:rsid w:val="00C24113"/>
    <w:rsid w:val="00C24F5F"/>
    <w:rsid w:val="00C2780F"/>
    <w:rsid w:val="00C32731"/>
    <w:rsid w:val="00C339AE"/>
    <w:rsid w:val="00C344EE"/>
    <w:rsid w:val="00C34CE8"/>
    <w:rsid w:val="00C35602"/>
    <w:rsid w:val="00C36034"/>
    <w:rsid w:val="00C36139"/>
    <w:rsid w:val="00C4096E"/>
    <w:rsid w:val="00C4161A"/>
    <w:rsid w:val="00C421AC"/>
    <w:rsid w:val="00C42249"/>
    <w:rsid w:val="00C43818"/>
    <w:rsid w:val="00C44B5D"/>
    <w:rsid w:val="00C45E9F"/>
    <w:rsid w:val="00C45F82"/>
    <w:rsid w:val="00C4702B"/>
    <w:rsid w:val="00C50A4A"/>
    <w:rsid w:val="00C50D98"/>
    <w:rsid w:val="00C50DCF"/>
    <w:rsid w:val="00C511B5"/>
    <w:rsid w:val="00C53543"/>
    <w:rsid w:val="00C549D5"/>
    <w:rsid w:val="00C55170"/>
    <w:rsid w:val="00C55D46"/>
    <w:rsid w:val="00C57B56"/>
    <w:rsid w:val="00C610D4"/>
    <w:rsid w:val="00C661B0"/>
    <w:rsid w:val="00C77DDE"/>
    <w:rsid w:val="00C82667"/>
    <w:rsid w:val="00C82C2E"/>
    <w:rsid w:val="00C83F6A"/>
    <w:rsid w:val="00C87EFF"/>
    <w:rsid w:val="00C905B3"/>
    <w:rsid w:val="00C93923"/>
    <w:rsid w:val="00C94052"/>
    <w:rsid w:val="00C95AFB"/>
    <w:rsid w:val="00C97168"/>
    <w:rsid w:val="00C97329"/>
    <w:rsid w:val="00CA020F"/>
    <w:rsid w:val="00CA068F"/>
    <w:rsid w:val="00CA1C00"/>
    <w:rsid w:val="00CA308C"/>
    <w:rsid w:val="00CA3411"/>
    <w:rsid w:val="00CA4AE9"/>
    <w:rsid w:val="00CA59B4"/>
    <w:rsid w:val="00CB500D"/>
    <w:rsid w:val="00CB6556"/>
    <w:rsid w:val="00CB78A8"/>
    <w:rsid w:val="00CC21DB"/>
    <w:rsid w:val="00CC276A"/>
    <w:rsid w:val="00CC6850"/>
    <w:rsid w:val="00CC7D76"/>
    <w:rsid w:val="00CD282C"/>
    <w:rsid w:val="00CD2D31"/>
    <w:rsid w:val="00CD661A"/>
    <w:rsid w:val="00CD762D"/>
    <w:rsid w:val="00CE3AD8"/>
    <w:rsid w:val="00CE6B1A"/>
    <w:rsid w:val="00CE7565"/>
    <w:rsid w:val="00CE7B78"/>
    <w:rsid w:val="00CF098A"/>
    <w:rsid w:val="00CF2A3E"/>
    <w:rsid w:val="00CF3D16"/>
    <w:rsid w:val="00CF4EEE"/>
    <w:rsid w:val="00CF52DC"/>
    <w:rsid w:val="00CF5A80"/>
    <w:rsid w:val="00CF5C9F"/>
    <w:rsid w:val="00CF61B8"/>
    <w:rsid w:val="00D00077"/>
    <w:rsid w:val="00D01C30"/>
    <w:rsid w:val="00D034D2"/>
    <w:rsid w:val="00D035BD"/>
    <w:rsid w:val="00D03EA8"/>
    <w:rsid w:val="00D03FFB"/>
    <w:rsid w:val="00D06BD0"/>
    <w:rsid w:val="00D073E7"/>
    <w:rsid w:val="00D10540"/>
    <w:rsid w:val="00D12F6A"/>
    <w:rsid w:val="00D1354A"/>
    <w:rsid w:val="00D1384C"/>
    <w:rsid w:val="00D13D87"/>
    <w:rsid w:val="00D16F0F"/>
    <w:rsid w:val="00D200A0"/>
    <w:rsid w:val="00D20A38"/>
    <w:rsid w:val="00D22349"/>
    <w:rsid w:val="00D2329F"/>
    <w:rsid w:val="00D23F44"/>
    <w:rsid w:val="00D24E7D"/>
    <w:rsid w:val="00D24F8D"/>
    <w:rsid w:val="00D24F8E"/>
    <w:rsid w:val="00D25BC4"/>
    <w:rsid w:val="00D26167"/>
    <w:rsid w:val="00D30EBC"/>
    <w:rsid w:val="00D3221C"/>
    <w:rsid w:val="00D352B4"/>
    <w:rsid w:val="00D37097"/>
    <w:rsid w:val="00D463B7"/>
    <w:rsid w:val="00D46A20"/>
    <w:rsid w:val="00D5014D"/>
    <w:rsid w:val="00D50AA4"/>
    <w:rsid w:val="00D536E3"/>
    <w:rsid w:val="00D53BA1"/>
    <w:rsid w:val="00D55427"/>
    <w:rsid w:val="00D56A0D"/>
    <w:rsid w:val="00D62B5C"/>
    <w:rsid w:val="00D63F96"/>
    <w:rsid w:val="00D71234"/>
    <w:rsid w:val="00D72A0D"/>
    <w:rsid w:val="00D74266"/>
    <w:rsid w:val="00D75C1F"/>
    <w:rsid w:val="00D76C1C"/>
    <w:rsid w:val="00D8174D"/>
    <w:rsid w:val="00D842BB"/>
    <w:rsid w:val="00D877B6"/>
    <w:rsid w:val="00D9061A"/>
    <w:rsid w:val="00D934EA"/>
    <w:rsid w:val="00D946EF"/>
    <w:rsid w:val="00D95804"/>
    <w:rsid w:val="00D95A26"/>
    <w:rsid w:val="00D95B5E"/>
    <w:rsid w:val="00DA0504"/>
    <w:rsid w:val="00DA0F51"/>
    <w:rsid w:val="00DA13BD"/>
    <w:rsid w:val="00DA29BF"/>
    <w:rsid w:val="00DA2F5F"/>
    <w:rsid w:val="00DA751C"/>
    <w:rsid w:val="00DB4879"/>
    <w:rsid w:val="00DB6ABA"/>
    <w:rsid w:val="00DB6B91"/>
    <w:rsid w:val="00DB6DCB"/>
    <w:rsid w:val="00DB70D5"/>
    <w:rsid w:val="00DC40AE"/>
    <w:rsid w:val="00DC5452"/>
    <w:rsid w:val="00DC6684"/>
    <w:rsid w:val="00DD005C"/>
    <w:rsid w:val="00DD0F9A"/>
    <w:rsid w:val="00DD6A81"/>
    <w:rsid w:val="00DE1C58"/>
    <w:rsid w:val="00DE1D4B"/>
    <w:rsid w:val="00DE27C8"/>
    <w:rsid w:val="00DE2BDE"/>
    <w:rsid w:val="00DE341B"/>
    <w:rsid w:val="00DE39DA"/>
    <w:rsid w:val="00DE3A90"/>
    <w:rsid w:val="00DE4AE4"/>
    <w:rsid w:val="00DE4E75"/>
    <w:rsid w:val="00DE5DD1"/>
    <w:rsid w:val="00DF1E50"/>
    <w:rsid w:val="00DF32D7"/>
    <w:rsid w:val="00E017A1"/>
    <w:rsid w:val="00E02BEC"/>
    <w:rsid w:val="00E03FB3"/>
    <w:rsid w:val="00E057F4"/>
    <w:rsid w:val="00E07ECE"/>
    <w:rsid w:val="00E102E1"/>
    <w:rsid w:val="00E126BB"/>
    <w:rsid w:val="00E14BB1"/>
    <w:rsid w:val="00E155AD"/>
    <w:rsid w:val="00E16FFA"/>
    <w:rsid w:val="00E227D9"/>
    <w:rsid w:val="00E22F19"/>
    <w:rsid w:val="00E24F90"/>
    <w:rsid w:val="00E25779"/>
    <w:rsid w:val="00E32F40"/>
    <w:rsid w:val="00E3392F"/>
    <w:rsid w:val="00E33E66"/>
    <w:rsid w:val="00E34BBA"/>
    <w:rsid w:val="00E364DE"/>
    <w:rsid w:val="00E36559"/>
    <w:rsid w:val="00E4117D"/>
    <w:rsid w:val="00E42771"/>
    <w:rsid w:val="00E44B3B"/>
    <w:rsid w:val="00E44E4C"/>
    <w:rsid w:val="00E4560F"/>
    <w:rsid w:val="00E468FE"/>
    <w:rsid w:val="00E510EE"/>
    <w:rsid w:val="00E5258F"/>
    <w:rsid w:val="00E54D4F"/>
    <w:rsid w:val="00E5584F"/>
    <w:rsid w:val="00E56E39"/>
    <w:rsid w:val="00E60664"/>
    <w:rsid w:val="00E62395"/>
    <w:rsid w:val="00E6280D"/>
    <w:rsid w:val="00E62893"/>
    <w:rsid w:val="00E64BA9"/>
    <w:rsid w:val="00E65BF0"/>
    <w:rsid w:val="00E72A42"/>
    <w:rsid w:val="00E7664B"/>
    <w:rsid w:val="00E76BEB"/>
    <w:rsid w:val="00E8101A"/>
    <w:rsid w:val="00E8110C"/>
    <w:rsid w:val="00E817F0"/>
    <w:rsid w:val="00E8222C"/>
    <w:rsid w:val="00E85666"/>
    <w:rsid w:val="00E85805"/>
    <w:rsid w:val="00E85820"/>
    <w:rsid w:val="00E85A5C"/>
    <w:rsid w:val="00E910ED"/>
    <w:rsid w:val="00E92001"/>
    <w:rsid w:val="00E9353E"/>
    <w:rsid w:val="00E960A4"/>
    <w:rsid w:val="00E96DF2"/>
    <w:rsid w:val="00EA0D7B"/>
    <w:rsid w:val="00EA1EE0"/>
    <w:rsid w:val="00EA1FC7"/>
    <w:rsid w:val="00EA452A"/>
    <w:rsid w:val="00EA4EE0"/>
    <w:rsid w:val="00EA6D3C"/>
    <w:rsid w:val="00EA77BC"/>
    <w:rsid w:val="00EA792D"/>
    <w:rsid w:val="00EB1432"/>
    <w:rsid w:val="00EB17F7"/>
    <w:rsid w:val="00EB40AB"/>
    <w:rsid w:val="00EB44C6"/>
    <w:rsid w:val="00EB72D8"/>
    <w:rsid w:val="00EB7EE6"/>
    <w:rsid w:val="00EC16A2"/>
    <w:rsid w:val="00EC32CF"/>
    <w:rsid w:val="00EC699B"/>
    <w:rsid w:val="00ED3010"/>
    <w:rsid w:val="00ED6B81"/>
    <w:rsid w:val="00EE0F5E"/>
    <w:rsid w:val="00EE2F23"/>
    <w:rsid w:val="00EE4343"/>
    <w:rsid w:val="00EE4CB2"/>
    <w:rsid w:val="00EE538A"/>
    <w:rsid w:val="00EE75DF"/>
    <w:rsid w:val="00EF182B"/>
    <w:rsid w:val="00EF2E39"/>
    <w:rsid w:val="00EF3626"/>
    <w:rsid w:val="00EF64E2"/>
    <w:rsid w:val="00F00F8F"/>
    <w:rsid w:val="00F016F3"/>
    <w:rsid w:val="00F04597"/>
    <w:rsid w:val="00F0795A"/>
    <w:rsid w:val="00F1108E"/>
    <w:rsid w:val="00F12C09"/>
    <w:rsid w:val="00F13D96"/>
    <w:rsid w:val="00F14034"/>
    <w:rsid w:val="00F140EE"/>
    <w:rsid w:val="00F14F85"/>
    <w:rsid w:val="00F1633D"/>
    <w:rsid w:val="00F17CD7"/>
    <w:rsid w:val="00F17D47"/>
    <w:rsid w:val="00F21A93"/>
    <w:rsid w:val="00F231F3"/>
    <w:rsid w:val="00F23256"/>
    <w:rsid w:val="00F242FC"/>
    <w:rsid w:val="00F265E2"/>
    <w:rsid w:val="00F318CB"/>
    <w:rsid w:val="00F376A4"/>
    <w:rsid w:val="00F37D64"/>
    <w:rsid w:val="00F41C66"/>
    <w:rsid w:val="00F45103"/>
    <w:rsid w:val="00F455CD"/>
    <w:rsid w:val="00F45D1C"/>
    <w:rsid w:val="00F461C4"/>
    <w:rsid w:val="00F47EE3"/>
    <w:rsid w:val="00F608BE"/>
    <w:rsid w:val="00F6508C"/>
    <w:rsid w:val="00F66364"/>
    <w:rsid w:val="00F66C09"/>
    <w:rsid w:val="00F740C5"/>
    <w:rsid w:val="00F74CB5"/>
    <w:rsid w:val="00F75B03"/>
    <w:rsid w:val="00F772BD"/>
    <w:rsid w:val="00F82FF6"/>
    <w:rsid w:val="00F83B32"/>
    <w:rsid w:val="00F90995"/>
    <w:rsid w:val="00F941E4"/>
    <w:rsid w:val="00F94C1A"/>
    <w:rsid w:val="00F96585"/>
    <w:rsid w:val="00F979FF"/>
    <w:rsid w:val="00FA190B"/>
    <w:rsid w:val="00FA1F8F"/>
    <w:rsid w:val="00FA3659"/>
    <w:rsid w:val="00FA45AD"/>
    <w:rsid w:val="00FA5927"/>
    <w:rsid w:val="00FA7680"/>
    <w:rsid w:val="00FB41B8"/>
    <w:rsid w:val="00FB47FE"/>
    <w:rsid w:val="00FB6288"/>
    <w:rsid w:val="00FB76B1"/>
    <w:rsid w:val="00FB7F61"/>
    <w:rsid w:val="00FC021C"/>
    <w:rsid w:val="00FC6725"/>
    <w:rsid w:val="00FD0F5C"/>
    <w:rsid w:val="00FD25B8"/>
    <w:rsid w:val="00FD2D3D"/>
    <w:rsid w:val="00FE25DE"/>
    <w:rsid w:val="00FE3672"/>
    <w:rsid w:val="00FE45DF"/>
    <w:rsid w:val="00FE5063"/>
    <w:rsid w:val="00FE57F8"/>
    <w:rsid w:val="00FE7546"/>
    <w:rsid w:val="00FF5736"/>
    <w:rsid w:val="00FF7C57"/>
    <w:rsid w:val="0260D881"/>
    <w:rsid w:val="027D0747"/>
    <w:rsid w:val="02F3E1DA"/>
    <w:rsid w:val="03284002"/>
    <w:rsid w:val="0431C245"/>
    <w:rsid w:val="05B76DB4"/>
    <w:rsid w:val="09A31E94"/>
    <w:rsid w:val="09ABEE23"/>
    <w:rsid w:val="0A6A2E96"/>
    <w:rsid w:val="0C4B82C6"/>
    <w:rsid w:val="0CAE2928"/>
    <w:rsid w:val="12973803"/>
    <w:rsid w:val="133BB0E6"/>
    <w:rsid w:val="134C802A"/>
    <w:rsid w:val="16A0A31E"/>
    <w:rsid w:val="19C0D865"/>
    <w:rsid w:val="1A53E1BE"/>
    <w:rsid w:val="1CBDC67B"/>
    <w:rsid w:val="1E93EC55"/>
    <w:rsid w:val="1FA89483"/>
    <w:rsid w:val="2048E513"/>
    <w:rsid w:val="20A9FAE5"/>
    <w:rsid w:val="21CB8D17"/>
    <w:rsid w:val="2245CB46"/>
    <w:rsid w:val="22ECB1C9"/>
    <w:rsid w:val="25032DD9"/>
    <w:rsid w:val="25B1CA30"/>
    <w:rsid w:val="27FA7E56"/>
    <w:rsid w:val="283ACE9B"/>
    <w:rsid w:val="2938B7C4"/>
    <w:rsid w:val="29D69EFC"/>
    <w:rsid w:val="29DDAF2D"/>
    <w:rsid w:val="2E2F5169"/>
    <w:rsid w:val="303A932D"/>
    <w:rsid w:val="30B27B40"/>
    <w:rsid w:val="3113E6BD"/>
    <w:rsid w:val="3120D849"/>
    <w:rsid w:val="318B28C3"/>
    <w:rsid w:val="3354B4C9"/>
    <w:rsid w:val="35EA118E"/>
    <w:rsid w:val="389CA7EA"/>
    <w:rsid w:val="392566D8"/>
    <w:rsid w:val="393DB6B8"/>
    <w:rsid w:val="39FAD993"/>
    <w:rsid w:val="3B9EED69"/>
    <w:rsid w:val="3C632DBD"/>
    <w:rsid w:val="3C72043B"/>
    <w:rsid w:val="3CB39303"/>
    <w:rsid w:val="3E552306"/>
    <w:rsid w:val="41FCFFAA"/>
    <w:rsid w:val="420583CD"/>
    <w:rsid w:val="4388F211"/>
    <w:rsid w:val="43DCC8D9"/>
    <w:rsid w:val="4409BC0C"/>
    <w:rsid w:val="4570AA17"/>
    <w:rsid w:val="462914B1"/>
    <w:rsid w:val="499841C8"/>
    <w:rsid w:val="4ACBB445"/>
    <w:rsid w:val="4BF32FBA"/>
    <w:rsid w:val="4C9368CA"/>
    <w:rsid w:val="4CC4706D"/>
    <w:rsid w:val="4CF456DB"/>
    <w:rsid w:val="4E1D0F6E"/>
    <w:rsid w:val="4F0B69F9"/>
    <w:rsid w:val="4F63240D"/>
    <w:rsid w:val="50D4353B"/>
    <w:rsid w:val="50E10032"/>
    <w:rsid w:val="5223FCC8"/>
    <w:rsid w:val="52420098"/>
    <w:rsid w:val="52EF21F4"/>
    <w:rsid w:val="54E00888"/>
    <w:rsid w:val="54ECE1F6"/>
    <w:rsid w:val="5697AD27"/>
    <w:rsid w:val="584DF166"/>
    <w:rsid w:val="58690B4C"/>
    <w:rsid w:val="59964533"/>
    <w:rsid w:val="59D214E6"/>
    <w:rsid w:val="5B01BBBD"/>
    <w:rsid w:val="5D5A6BCB"/>
    <w:rsid w:val="5EBEF6D4"/>
    <w:rsid w:val="6050C588"/>
    <w:rsid w:val="60C21872"/>
    <w:rsid w:val="627200FC"/>
    <w:rsid w:val="6283A5CA"/>
    <w:rsid w:val="63B4F4AE"/>
    <w:rsid w:val="641CC208"/>
    <w:rsid w:val="648581E7"/>
    <w:rsid w:val="648689D8"/>
    <w:rsid w:val="658AD0D0"/>
    <w:rsid w:val="6741D261"/>
    <w:rsid w:val="6766B793"/>
    <w:rsid w:val="682D87E1"/>
    <w:rsid w:val="68957576"/>
    <w:rsid w:val="697FE22D"/>
    <w:rsid w:val="6983FCAC"/>
    <w:rsid w:val="698B43D6"/>
    <w:rsid w:val="69AA1B10"/>
    <w:rsid w:val="6A1156E0"/>
    <w:rsid w:val="6BFFE03D"/>
    <w:rsid w:val="6C38C64D"/>
    <w:rsid w:val="6E451F49"/>
    <w:rsid w:val="6F0B266E"/>
    <w:rsid w:val="6FD28DEF"/>
    <w:rsid w:val="6FE0561A"/>
    <w:rsid w:val="72C82D1A"/>
    <w:rsid w:val="73C9937C"/>
    <w:rsid w:val="73D60BD8"/>
    <w:rsid w:val="769371D3"/>
    <w:rsid w:val="77096ADB"/>
    <w:rsid w:val="7890E295"/>
    <w:rsid w:val="78B1AB81"/>
    <w:rsid w:val="7A43D29A"/>
    <w:rsid w:val="7AE25E5D"/>
    <w:rsid w:val="7C9DFA95"/>
    <w:rsid w:val="7CFA0837"/>
    <w:rsid w:val="7F295C74"/>
    <w:rsid w:val="7F557F65"/>
    <w:rsid w:val="7FBC411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2320D"/>
  <w15:chartTrackingRefBased/>
  <w15:docId w15:val="{A12C6DAB-95B4-49A8-8D5D-FA67C92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4EE0"/>
    <w:pPr>
      <w:spacing w:after="120" w:line="276" w:lineRule="auto"/>
      <w:jc w:val="both"/>
    </w:pPr>
    <w:rPr>
      <w:rFonts w:ascii="Verdana" w:eastAsia="Calibri" w:hAnsi="Verdana" w:cs="Arial"/>
      <w:sz w:val="20"/>
      <w:szCs w:val="18"/>
    </w:rPr>
  </w:style>
  <w:style w:type="paragraph" w:styleId="Nadpis1">
    <w:name w:val="heading 1"/>
    <w:basedOn w:val="Nadpis2"/>
    <w:next w:val="Normln"/>
    <w:link w:val="Nadpis1Char"/>
    <w:uiPriority w:val="2"/>
    <w:qFormat/>
    <w:rsid w:val="008518E0"/>
    <w:pPr>
      <w:outlineLvl w:val="0"/>
    </w:pPr>
    <w:rPr>
      <w:sz w:val="22"/>
    </w:rPr>
  </w:style>
  <w:style w:type="paragraph" w:styleId="Nadpis2">
    <w:name w:val="heading 2"/>
    <w:basedOn w:val="Normln"/>
    <w:next w:val="Normln"/>
    <w:link w:val="Nadpis2Char"/>
    <w:uiPriority w:val="2"/>
    <w:qFormat/>
    <w:rsid w:val="005805EA"/>
    <w:pPr>
      <w:spacing w:before="240"/>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2"/>
    <w:rsid w:val="002E2BC4"/>
    <w:rPr>
      <w:rFonts w:ascii="Verdana" w:eastAsia="Calibri" w:hAnsi="Verdana" w:cs="Arial"/>
      <w:b/>
      <w:sz w:val="20"/>
      <w:szCs w:val="18"/>
    </w:rPr>
  </w:style>
  <w:style w:type="paragraph" w:styleId="Zhlav">
    <w:name w:val="header"/>
    <w:basedOn w:val="Normln"/>
    <w:link w:val="ZhlavChar"/>
    <w:uiPriority w:val="99"/>
    <w:unhideWhenUsed/>
    <w:rsid w:val="005F5B49"/>
    <w:pPr>
      <w:tabs>
        <w:tab w:val="center" w:pos="4536"/>
        <w:tab w:val="right" w:pos="9072"/>
      </w:tabs>
      <w:spacing w:line="240" w:lineRule="auto"/>
    </w:pPr>
  </w:style>
  <w:style w:type="character" w:customStyle="1" w:styleId="ZhlavChar">
    <w:name w:val="Záhlaví Char"/>
    <w:basedOn w:val="Standardnpsmoodstavce"/>
    <w:link w:val="Zhlav"/>
    <w:uiPriority w:val="99"/>
    <w:rsid w:val="005F5B49"/>
    <w:rPr>
      <w:rFonts w:ascii="Verdana" w:eastAsia="Calibri" w:hAnsi="Verdana" w:cs="Arial"/>
      <w:sz w:val="18"/>
      <w:szCs w:val="18"/>
    </w:rPr>
  </w:style>
  <w:style w:type="paragraph" w:styleId="Zpat">
    <w:name w:val="footer"/>
    <w:basedOn w:val="Normln"/>
    <w:link w:val="ZpatChar"/>
    <w:uiPriority w:val="99"/>
    <w:unhideWhenUsed/>
    <w:rsid w:val="005F5B49"/>
    <w:pPr>
      <w:tabs>
        <w:tab w:val="center" w:pos="4536"/>
        <w:tab w:val="right" w:pos="9072"/>
      </w:tabs>
      <w:spacing w:line="240" w:lineRule="auto"/>
    </w:pPr>
  </w:style>
  <w:style w:type="character" w:customStyle="1" w:styleId="ZpatChar">
    <w:name w:val="Zápatí Char"/>
    <w:basedOn w:val="Standardnpsmoodstavce"/>
    <w:link w:val="Zpat"/>
    <w:uiPriority w:val="99"/>
    <w:rsid w:val="005F5B49"/>
    <w:rPr>
      <w:rFonts w:ascii="Verdana" w:eastAsia="Calibri" w:hAnsi="Verdana" w:cs="Arial"/>
      <w:sz w:val="18"/>
      <w:szCs w:val="18"/>
    </w:rPr>
  </w:style>
  <w:style w:type="paragraph" w:customStyle="1" w:styleId="Zpatdopisu">
    <w:name w:val="Zápatí dopisu"/>
    <w:basedOn w:val="Normln"/>
    <w:link w:val="ZpatdopisuChar"/>
    <w:uiPriority w:val="3"/>
    <w:qFormat/>
    <w:rsid w:val="005F5B49"/>
    <w:pPr>
      <w:spacing w:after="0"/>
    </w:pPr>
    <w:rPr>
      <w:sz w:val="12"/>
      <w:szCs w:val="12"/>
    </w:rPr>
  </w:style>
  <w:style w:type="paragraph" w:styleId="Bezmezer">
    <w:name w:val="No Spacing"/>
    <w:basedOn w:val="Normln"/>
    <w:link w:val="BezmezerChar"/>
    <w:uiPriority w:val="1"/>
    <w:qFormat/>
    <w:rsid w:val="005F5B49"/>
    <w:pPr>
      <w:spacing w:after="0"/>
    </w:pPr>
    <w:rPr>
      <w:noProof/>
      <w:szCs w:val="16"/>
      <w:lang w:eastAsia="cs-CZ"/>
    </w:rPr>
  </w:style>
  <w:style w:type="character" w:styleId="Hypertextovodkaz">
    <w:name w:val="Hyperlink"/>
    <w:basedOn w:val="Standardnpsmoodstavce"/>
    <w:uiPriority w:val="99"/>
    <w:unhideWhenUsed/>
    <w:rsid w:val="005F5B49"/>
    <w:rPr>
      <w:color w:val="0563C1" w:themeColor="hyperlink"/>
      <w:u w:val="single"/>
    </w:rPr>
  </w:style>
  <w:style w:type="paragraph" w:customStyle="1" w:styleId="Vc">
    <w:name w:val="Věc"/>
    <w:basedOn w:val="Normln"/>
    <w:link w:val="VcChar"/>
    <w:uiPriority w:val="1"/>
    <w:qFormat/>
    <w:rsid w:val="008518E0"/>
    <w:pPr>
      <w:spacing w:before="480" w:after="360"/>
    </w:pPr>
    <w:rPr>
      <w:b/>
      <w:sz w:val="24"/>
    </w:rPr>
  </w:style>
  <w:style w:type="paragraph" w:customStyle="1" w:styleId="Odvolacaadresndaje">
    <w:name w:val="Odvolací a adresní údaje"/>
    <w:link w:val="OdvolacaadresndajeChar"/>
    <w:uiPriority w:val="3"/>
    <w:rsid w:val="00D74266"/>
    <w:pPr>
      <w:spacing w:after="0" w:line="276" w:lineRule="auto"/>
    </w:pPr>
    <w:rPr>
      <w:rFonts w:ascii="Verdana" w:eastAsia="Calibri" w:hAnsi="Verdana" w:cs="Arial"/>
      <w:noProof/>
      <w:sz w:val="18"/>
      <w:szCs w:val="16"/>
      <w:lang w:eastAsia="cs-CZ"/>
    </w:rPr>
  </w:style>
  <w:style w:type="character" w:customStyle="1" w:styleId="VcChar">
    <w:name w:val="Věc Char"/>
    <w:basedOn w:val="Standardnpsmoodstavce"/>
    <w:link w:val="Vc"/>
    <w:uiPriority w:val="1"/>
    <w:rsid w:val="006A2FFA"/>
    <w:rPr>
      <w:rFonts w:ascii="Verdana" w:eastAsia="Calibri" w:hAnsi="Verdana" w:cs="Arial"/>
      <w:b/>
      <w:sz w:val="24"/>
      <w:szCs w:val="18"/>
    </w:rPr>
  </w:style>
  <w:style w:type="character" w:customStyle="1" w:styleId="BezmezerChar">
    <w:name w:val="Bez mezer Char"/>
    <w:basedOn w:val="ZhlavChar"/>
    <w:link w:val="Bezmezer"/>
    <w:uiPriority w:val="1"/>
    <w:rsid w:val="006A2FFA"/>
    <w:rPr>
      <w:rFonts w:ascii="Verdana" w:eastAsia="Calibri" w:hAnsi="Verdana" w:cs="Arial"/>
      <w:noProof/>
      <w:sz w:val="20"/>
      <w:szCs w:val="16"/>
      <w:lang w:eastAsia="cs-CZ"/>
    </w:rPr>
  </w:style>
  <w:style w:type="character" w:customStyle="1" w:styleId="OdvolacaadresndajeChar">
    <w:name w:val="Odvolací a adresní údaje Char"/>
    <w:basedOn w:val="BezmezerChar"/>
    <w:link w:val="Odvolacaadresndaje"/>
    <w:uiPriority w:val="3"/>
    <w:rsid w:val="006A2FFA"/>
    <w:rPr>
      <w:rFonts w:ascii="Verdana" w:eastAsia="Calibri" w:hAnsi="Verdana" w:cs="Arial"/>
      <w:noProof/>
      <w:sz w:val="18"/>
      <w:szCs w:val="16"/>
      <w:lang w:eastAsia="cs-CZ"/>
    </w:rPr>
  </w:style>
  <w:style w:type="paragraph" w:customStyle="1" w:styleId="Odrky">
    <w:name w:val="Odrážky"/>
    <w:basedOn w:val="Odstavecseseznamem"/>
    <w:link w:val="OdrkyChar"/>
    <w:uiPriority w:val="3"/>
    <w:qFormat/>
    <w:rsid w:val="00742E30"/>
    <w:pPr>
      <w:numPr>
        <w:numId w:val="1"/>
      </w:numPr>
      <w:ind w:left="714" w:hanging="357"/>
      <w:contextualSpacing w:val="0"/>
    </w:pPr>
  </w:style>
  <w:style w:type="paragraph" w:customStyle="1" w:styleId="lovn">
    <w:name w:val="Číšlování"/>
    <w:basedOn w:val="Odstavecseseznamem"/>
    <w:link w:val="lovnChar"/>
    <w:uiPriority w:val="3"/>
    <w:qFormat/>
    <w:rsid w:val="00042FE0"/>
    <w:pPr>
      <w:numPr>
        <w:numId w:val="2"/>
      </w:numPr>
      <w:ind w:left="714" w:hanging="357"/>
      <w:contextualSpacing w:val="0"/>
    </w:pPr>
  </w:style>
  <w:style w:type="character" w:customStyle="1" w:styleId="OdrkyChar">
    <w:name w:val="Odrážky Char"/>
    <w:basedOn w:val="Standardnpsmoodstavce"/>
    <w:link w:val="Odrky"/>
    <w:uiPriority w:val="3"/>
    <w:rsid w:val="006A2FFA"/>
    <w:rPr>
      <w:rFonts w:ascii="Verdana" w:eastAsia="Calibri" w:hAnsi="Verdana" w:cs="Arial"/>
      <w:sz w:val="20"/>
      <w:szCs w:val="18"/>
    </w:rPr>
  </w:style>
  <w:style w:type="character" w:customStyle="1" w:styleId="lovnChar">
    <w:name w:val="Číšlování Char"/>
    <w:basedOn w:val="Standardnpsmoodstavce"/>
    <w:link w:val="lovn"/>
    <w:uiPriority w:val="3"/>
    <w:rsid w:val="006A2FFA"/>
    <w:rPr>
      <w:rFonts w:ascii="Verdana" w:eastAsia="Calibri" w:hAnsi="Verdana" w:cs="Arial"/>
      <w:sz w:val="20"/>
      <w:szCs w:val="18"/>
    </w:rPr>
  </w:style>
  <w:style w:type="character" w:customStyle="1" w:styleId="ZpatdopisuChar">
    <w:name w:val="Zápatí dopisu Char"/>
    <w:basedOn w:val="Standardnpsmoodstavce"/>
    <w:link w:val="Zpatdopisu"/>
    <w:uiPriority w:val="3"/>
    <w:rsid w:val="006A2FFA"/>
    <w:rPr>
      <w:rFonts w:ascii="Verdana" w:eastAsia="Calibri" w:hAnsi="Verdana" w:cs="Arial"/>
      <w:sz w:val="12"/>
      <w:szCs w:val="12"/>
    </w:rPr>
  </w:style>
  <w:style w:type="paragraph" w:styleId="Odstavecseseznamem">
    <w:name w:val="List Paragraph"/>
    <w:basedOn w:val="Normln"/>
    <w:uiPriority w:val="34"/>
    <w:qFormat/>
    <w:rsid w:val="005F5B49"/>
    <w:pPr>
      <w:ind w:left="720"/>
      <w:contextualSpacing/>
    </w:pPr>
  </w:style>
  <w:style w:type="paragraph" w:customStyle="1" w:styleId="Polepodpisu">
    <w:name w:val="Pole podpisu"/>
    <w:basedOn w:val="Bezmezer"/>
    <w:uiPriority w:val="4"/>
    <w:qFormat/>
    <w:rsid w:val="004435D9"/>
    <w:pPr>
      <w:ind w:firstLine="5245"/>
    </w:pPr>
  </w:style>
  <w:style w:type="paragraph" w:customStyle="1" w:styleId="Datumpodepsn">
    <w:name w:val="Datum podepsání"/>
    <w:basedOn w:val="Odvolacaadresndaje"/>
    <w:link w:val="DatumpodepsnChar"/>
    <w:uiPriority w:val="6"/>
    <w:qFormat/>
    <w:rsid w:val="00907BAC"/>
    <w:pPr>
      <w:ind w:firstLine="5670"/>
    </w:pPr>
  </w:style>
  <w:style w:type="character" w:customStyle="1" w:styleId="DatumpodepsnChar">
    <w:name w:val="Datum podepsání Char"/>
    <w:basedOn w:val="OdvolacaadresndajeChar"/>
    <w:link w:val="Datumpodepsn"/>
    <w:uiPriority w:val="6"/>
    <w:rsid w:val="006A2FFA"/>
    <w:rPr>
      <w:rFonts w:ascii="Verdana" w:eastAsia="Calibri" w:hAnsi="Verdana" w:cs="Arial"/>
      <w:noProof/>
      <w:sz w:val="18"/>
      <w:szCs w:val="16"/>
      <w:lang w:eastAsia="cs-CZ"/>
    </w:rPr>
  </w:style>
  <w:style w:type="paragraph" w:customStyle="1" w:styleId="Pedkladatel">
    <w:name w:val="Předkladatel"/>
    <w:basedOn w:val="Bezmezer"/>
    <w:link w:val="PedkladatelChar"/>
    <w:uiPriority w:val="4"/>
    <w:qFormat/>
    <w:rsid w:val="00845FDE"/>
    <w:pPr>
      <w:jc w:val="left"/>
    </w:pPr>
    <w:rPr>
      <w:b/>
    </w:rPr>
  </w:style>
  <w:style w:type="character" w:customStyle="1" w:styleId="PedkladatelChar">
    <w:name w:val="Předkladatel Char"/>
    <w:basedOn w:val="OdvolacaadresndajeChar"/>
    <w:link w:val="Pedkladatel"/>
    <w:uiPriority w:val="4"/>
    <w:rsid w:val="006A2FFA"/>
    <w:rPr>
      <w:rFonts w:ascii="Verdana" w:eastAsia="Calibri" w:hAnsi="Verdana" w:cs="Arial"/>
      <w:b/>
      <w:noProof/>
      <w:sz w:val="20"/>
      <w:szCs w:val="16"/>
      <w:lang w:eastAsia="cs-CZ"/>
    </w:rPr>
  </w:style>
  <w:style w:type="paragraph" w:customStyle="1" w:styleId="j">
    <w:name w:val="Č. j."/>
    <w:uiPriority w:val="6"/>
    <w:qFormat/>
    <w:rsid w:val="008518E0"/>
    <w:pPr>
      <w:spacing w:after="480"/>
      <w:ind w:firstLine="5670"/>
    </w:pPr>
    <w:rPr>
      <w:rFonts w:ascii="Verdana" w:eastAsia="Calibri" w:hAnsi="Verdana" w:cs="Arial"/>
      <w:noProof/>
      <w:sz w:val="18"/>
      <w:szCs w:val="16"/>
      <w:lang w:eastAsia="cs-CZ"/>
    </w:rPr>
  </w:style>
  <w:style w:type="character" w:customStyle="1" w:styleId="Nadpis1Char">
    <w:name w:val="Nadpis 1 Char"/>
    <w:basedOn w:val="Standardnpsmoodstavce"/>
    <w:link w:val="Nadpis1"/>
    <w:uiPriority w:val="2"/>
    <w:rsid w:val="006A2FFA"/>
    <w:rPr>
      <w:rFonts w:ascii="Verdana" w:eastAsia="Calibri" w:hAnsi="Verdana" w:cs="Arial"/>
      <w:b/>
      <w:szCs w:val="18"/>
    </w:rPr>
  </w:style>
  <w:style w:type="character" w:styleId="Zstupntext">
    <w:name w:val="Placeholder Text"/>
    <w:basedOn w:val="Standardnpsmoodstavce"/>
    <w:uiPriority w:val="99"/>
    <w:semiHidden/>
    <w:rsid w:val="00845FDE"/>
    <w:rPr>
      <w:color w:val="808080"/>
    </w:rPr>
  </w:style>
  <w:style w:type="paragraph" w:styleId="Textpoznpodarou">
    <w:name w:val="footnote text"/>
    <w:basedOn w:val="Normln"/>
    <w:link w:val="TextpoznpodarouChar"/>
    <w:uiPriority w:val="99"/>
    <w:unhideWhenUsed/>
    <w:rsid w:val="00E057F4"/>
    <w:pPr>
      <w:spacing w:after="0" w:line="240" w:lineRule="auto"/>
    </w:pPr>
    <w:rPr>
      <w:sz w:val="16"/>
      <w:szCs w:val="20"/>
    </w:rPr>
  </w:style>
  <w:style w:type="character" w:customStyle="1" w:styleId="TextpoznpodarouChar">
    <w:name w:val="Text pozn. pod čarou Char"/>
    <w:basedOn w:val="Standardnpsmoodstavce"/>
    <w:link w:val="Textpoznpodarou"/>
    <w:uiPriority w:val="99"/>
    <w:rsid w:val="00E057F4"/>
    <w:rPr>
      <w:rFonts w:ascii="Verdana" w:eastAsia="Calibri" w:hAnsi="Verdana" w:cs="Arial"/>
      <w:sz w:val="16"/>
      <w:szCs w:val="20"/>
    </w:rPr>
  </w:style>
  <w:style w:type="character" w:styleId="Znakapoznpodarou">
    <w:name w:val="footnote reference"/>
    <w:aliases w:val="EN Footnote Reference"/>
    <w:basedOn w:val="Standardnpsmoodstavce"/>
    <w:uiPriority w:val="99"/>
    <w:unhideWhenUsed/>
    <w:rsid w:val="00E057F4"/>
    <w:rPr>
      <w:vertAlign w:val="superscript"/>
    </w:rPr>
  </w:style>
  <w:style w:type="paragraph" w:customStyle="1" w:styleId="Nzevmaterilu">
    <w:name w:val="Název materiálu"/>
    <w:basedOn w:val="Vc"/>
    <w:link w:val="NzevmateriluChar"/>
    <w:uiPriority w:val="4"/>
    <w:qFormat/>
    <w:rsid w:val="00E910ED"/>
    <w:pPr>
      <w:spacing w:before="960" w:after="600"/>
    </w:pPr>
  </w:style>
  <w:style w:type="paragraph" w:customStyle="1" w:styleId="Nzevsti">
    <w:name w:val="Název části"/>
    <w:basedOn w:val="Nadpis1"/>
    <w:link w:val="NzevstiChar"/>
    <w:qFormat/>
    <w:rsid w:val="00C87EFF"/>
    <w:pPr>
      <w:pBdr>
        <w:bottom w:val="single" w:sz="24" w:space="1" w:color="auto"/>
      </w:pBdr>
      <w:spacing w:after="360"/>
      <w:jc w:val="center"/>
    </w:pPr>
    <w:rPr>
      <w:sz w:val="24"/>
    </w:rPr>
  </w:style>
  <w:style w:type="character" w:customStyle="1" w:styleId="NzevmateriluChar">
    <w:name w:val="Název materiálu Char"/>
    <w:basedOn w:val="VcChar"/>
    <w:link w:val="Nzevmaterilu"/>
    <w:uiPriority w:val="4"/>
    <w:rsid w:val="002E2BC4"/>
    <w:rPr>
      <w:rFonts w:ascii="Verdana" w:eastAsia="Calibri" w:hAnsi="Verdana" w:cs="Arial"/>
      <w:b/>
      <w:sz w:val="24"/>
      <w:szCs w:val="18"/>
    </w:rPr>
  </w:style>
  <w:style w:type="paragraph" w:customStyle="1" w:styleId="slosti">
    <w:name w:val="Číslo části"/>
    <w:basedOn w:val="Normln"/>
    <w:link w:val="slostiChar"/>
    <w:qFormat/>
    <w:rsid w:val="002F76D0"/>
    <w:pPr>
      <w:numPr>
        <w:numId w:val="3"/>
      </w:numPr>
      <w:jc w:val="right"/>
    </w:pPr>
    <w:rPr>
      <w:b/>
      <w:sz w:val="22"/>
    </w:rPr>
  </w:style>
  <w:style w:type="character" w:customStyle="1" w:styleId="NzevstiChar">
    <w:name w:val="Název části Char"/>
    <w:basedOn w:val="Nadpis1Char"/>
    <w:link w:val="Nzevsti"/>
    <w:uiPriority w:val="4"/>
    <w:rsid w:val="002E2BC4"/>
    <w:rPr>
      <w:rFonts w:ascii="Verdana" w:eastAsia="Calibri" w:hAnsi="Verdana" w:cs="Arial"/>
      <w:b/>
      <w:sz w:val="24"/>
      <w:szCs w:val="18"/>
    </w:rPr>
  </w:style>
  <w:style w:type="character" w:customStyle="1" w:styleId="slostiChar">
    <w:name w:val="Číslo části Char"/>
    <w:basedOn w:val="Standardnpsmoodstavce"/>
    <w:link w:val="slosti"/>
    <w:rsid w:val="002F76D0"/>
    <w:rPr>
      <w:rFonts w:ascii="Verdana" w:eastAsia="Calibri" w:hAnsi="Verdana" w:cs="Arial"/>
      <w:b/>
      <w:szCs w:val="18"/>
    </w:rPr>
  </w:style>
  <w:style w:type="table" w:styleId="Mkatabulky">
    <w:name w:val="Table Grid"/>
    <w:basedOn w:val="Normlntabulka"/>
    <w:rsid w:val="00CA1C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pomnky">
    <w:name w:val="Připomínky"/>
    <w:basedOn w:val="Bezmezer"/>
    <w:link w:val="PipomnkyChar"/>
    <w:qFormat/>
    <w:rsid w:val="00DE1C58"/>
    <w:pPr>
      <w:numPr>
        <w:numId w:val="4"/>
      </w:numPr>
    </w:pPr>
  </w:style>
  <w:style w:type="character" w:customStyle="1" w:styleId="PipomnkyChar">
    <w:name w:val="Připomínky Char"/>
    <w:basedOn w:val="BezmezerChar"/>
    <w:link w:val="Pipomnky"/>
    <w:rsid w:val="00DE1C58"/>
    <w:rPr>
      <w:rFonts w:ascii="Verdana" w:eastAsia="Calibri" w:hAnsi="Verdana" w:cs="Arial"/>
      <w:noProof/>
      <w:sz w:val="20"/>
      <w:szCs w:val="16"/>
      <w:lang w:eastAsia="cs-CZ"/>
    </w:rPr>
  </w:style>
  <w:style w:type="character" w:styleId="Odkaznakoment">
    <w:name w:val="annotation reference"/>
    <w:basedOn w:val="Standardnpsmoodstavce"/>
    <w:uiPriority w:val="99"/>
    <w:semiHidden/>
    <w:unhideWhenUsed/>
    <w:rsid w:val="00A84409"/>
    <w:rPr>
      <w:sz w:val="16"/>
      <w:szCs w:val="16"/>
    </w:rPr>
  </w:style>
  <w:style w:type="paragraph" w:styleId="Textkomente">
    <w:name w:val="annotation text"/>
    <w:basedOn w:val="Normln"/>
    <w:link w:val="TextkomenteChar"/>
    <w:uiPriority w:val="99"/>
    <w:unhideWhenUsed/>
    <w:rsid w:val="00A84409"/>
    <w:pPr>
      <w:spacing w:line="240" w:lineRule="auto"/>
    </w:pPr>
    <w:rPr>
      <w:szCs w:val="20"/>
    </w:rPr>
  </w:style>
  <w:style w:type="character" w:customStyle="1" w:styleId="TextkomenteChar">
    <w:name w:val="Text komentáře Char"/>
    <w:basedOn w:val="Standardnpsmoodstavce"/>
    <w:link w:val="Textkomente"/>
    <w:uiPriority w:val="99"/>
    <w:rsid w:val="00A84409"/>
    <w:rPr>
      <w:rFonts w:ascii="Verdana" w:eastAsia="Calibri" w:hAnsi="Verdana" w:cs="Arial"/>
      <w:sz w:val="20"/>
      <w:szCs w:val="20"/>
    </w:rPr>
  </w:style>
  <w:style w:type="paragraph" w:styleId="Pedmtkomente">
    <w:name w:val="annotation subject"/>
    <w:basedOn w:val="Textkomente"/>
    <w:next w:val="Textkomente"/>
    <w:link w:val="PedmtkomenteChar"/>
    <w:uiPriority w:val="99"/>
    <w:semiHidden/>
    <w:unhideWhenUsed/>
    <w:rsid w:val="00A84409"/>
    <w:rPr>
      <w:b/>
      <w:bCs/>
    </w:rPr>
  </w:style>
  <w:style w:type="character" w:customStyle="1" w:styleId="PedmtkomenteChar">
    <w:name w:val="Předmět komentáře Char"/>
    <w:basedOn w:val="TextkomenteChar"/>
    <w:link w:val="Pedmtkomente"/>
    <w:uiPriority w:val="99"/>
    <w:semiHidden/>
    <w:rsid w:val="00A84409"/>
    <w:rPr>
      <w:rFonts w:ascii="Verdana" w:eastAsia="Calibri" w:hAnsi="Verdana" w:cs="Arial"/>
      <w:b/>
      <w:bCs/>
      <w:sz w:val="20"/>
      <w:szCs w:val="20"/>
    </w:rPr>
  </w:style>
  <w:style w:type="paragraph" w:styleId="Textbubliny">
    <w:name w:val="Balloon Text"/>
    <w:basedOn w:val="Normln"/>
    <w:link w:val="TextbublinyChar"/>
    <w:uiPriority w:val="99"/>
    <w:semiHidden/>
    <w:unhideWhenUsed/>
    <w:rsid w:val="00A84409"/>
    <w:pPr>
      <w:spacing w:after="0" w:line="240" w:lineRule="auto"/>
    </w:pPr>
    <w:rPr>
      <w:rFonts w:ascii="Segoe UI" w:hAnsi="Segoe UI" w:cs="Segoe UI"/>
      <w:sz w:val="18"/>
    </w:rPr>
  </w:style>
  <w:style w:type="character" w:customStyle="1" w:styleId="TextbublinyChar">
    <w:name w:val="Text bubliny Char"/>
    <w:basedOn w:val="Standardnpsmoodstavce"/>
    <w:link w:val="Textbubliny"/>
    <w:uiPriority w:val="99"/>
    <w:semiHidden/>
    <w:rsid w:val="00A84409"/>
    <w:rPr>
      <w:rFonts w:ascii="Segoe UI" w:eastAsia="Calibri" w:hAnsi="Segoe UI" w:cs="Segoe UI"/>
      <w:sz w:val="18"/>
      <w:szCs w:val="18"/>
    </w:rPr>
  </w:style>
  <w:style w:type="character" w:customStyle="1" w:styleId="Nevyeenzmnka1">
    <w:name w:val="Nevyřešená zmínka1"/>
    <w:basedOn w:val="Standardnpsmoodstavce"/>
    <w:uiPriority w:val="99"/>
    <w:semiHidden/>
    <w:unhideWhenUsed/>
    <w:rsid w:val="00B268F4"/>
    <w:rPr>
      <w:color w:val="605E5C"/>
      <w:shd w:val="clear" w:color="auto" w:fill="E1DFDD"/>
    </w:rPr>
  </w:style>
  <w:style w:type="character" w:styleId="Sledovanodkaz">
    <w:name w:val="FollowedHyperlink"/>
    <w:basedOn w:val="Standardnpsmoodstavce"/>
    <w:uiPriority w:val="99"/>
    <w:semiHidden/>
    <w:unhideWhenUsed/>
    <w:rsid w:val="005F36AE"/>
    <w:rPr>
      <w:color w:val="954F72" w:themeColor="followedHyperlink"/>
      <w:u w:val="single"/>
    </w:rPr>
  </w:style>
  <w:style w:type="character" w:customStyle="1" w:styleId="TextpoznpodarouChar1">
    <w:name w:val="Text pozn. pod čarou Char1"/>
    <w:basedOn w:val="Standardnpsmoodstavce"/>
    <w:uiPriority w:val="99"/>
    <w:rsid w:val="004167C4"/>
    <w:rPr>
      <w:rFonts w:ascii="Verdana" w:hAnsi="Verdana" w:cs="Arial"/>
      <w:sz w:val="16"/>
      <w:szCs w:val="20"/>
    </w:rPr>
  </w:style>
  <w:style w:type="character" w:customStyle="1" w:styleId="docdata">
    <w:name w:val="docdata"/>
    <w:aliases w:val="docy,v5,4225,bqiaagaaeyqcaaagiaiaaapodwaabfypaaaaaaaaaaaaaaaaaaaaaaaaaaaaaaaaaaaaaaaaaaaaaaaaaaaaaaaaaaaaaaaaaaaaaaaaaaaaaaaaaaaaaaaaaaaaaaaaaaaaaaaaaaaaaaaaaaaaaaaaaaaaaaaaaaaaaaaaaaaaaaaaaaaaaaaaaaaaaaaaaaaaaaaaaaaaaaaaaaaaaaaaaaaaaaaaaaaaaaaa"/>
    <w:basedOn w:val="Standardnpsmoodstavce"/>
    <w:rsid w:val="008040BD"/>
  </w:style>
  <w:style w:type="table" w:customStyle="1" w:styleId="2">
    <w:name w:val="2"/>
    <w:basedOn w:val="Normlntabulka"/>
    <w:rsid w:val="009442B6"/>
    <w:pPr>
      <w:spacing w:after="0" w:line="240" w:lineRule="auto"/>
    </w:pPr>
    <w:rPr>
      <w:rFonts w:ascii="Calibri" w:eastAsia="Calibri" w:hAnsi="Calibri" w:cs="Calibri"/>
      <w:lang w:eastAsia="cs-CZ"/>
    </w:rPr>
    <w:tblPr>
      <w:tblStyleRowBandSize w:val="1"/>
      <w:tblStyleColBandSize w:val="1"/>
      <w:tblInd w:w="0" w:type="nil"/>
    </w:tblPr>
  </w:style>
  <w:style w:type="table" w:customStyle="1" w:styleId="1">
    <w:name w:val="1"/>
    <w:basedOn w:val="Normlntabulka"/>
    <w:rsid w:val="009442B6"/>
    <w:pPr>
      <w:spacing w:after="0" w:line="240" w:lineRule="auto"/>
    </w:pPr>
    <w:rPr>
      <w:rFonts w:ascii="Calibri" w:eastAsia="Calibri" w:hAnsi="Calibri" w:cs="Calibri"/>
      <w:lang w:eastAsia="cs-CZ"/>
    </w:rPr>
    <w:tblPr>
      <w:tblStyleRowBandSize w:val="1"/>
      <w:tblStyleColBandSize w:val="1"/>
      <w:tblInd w:w="0" w:type="nil"/>
    </w:tblPr>
  </w:style>
  <w:style w:type="character" w:styleId="Nevyeenzmnka">
    <w:name w:val="Unresolved Mention"/>
    <w:basedOn w:val="Standardnpsmoodstavce"/>
    <w:uiPriority w:val="99"/>
    <w:rsid w:val="00267C45"/>
    <w:rPr>
      <w:color w:val="605E5C"/>
      <w:shd w:val="clear" w:color="auto" w:fill="E1DFDD"/>
    </w:rPr>
  </w:style>
  <w:style w:type="paragraph" w:styleId="Revize">
    <w:name w:val="Revision"/>
    <w:hidden/>
    <w:uiPriority w:val="99"/>
    <w:semiHidden/>
    <w:rsid w:val="00505E23"/>
    <w:pPr>
      <w:spacing w:after="0" w:line="240" w:lineRule="auto"/>
    </w:pPr>
    <w:rPr>
      <w:rFonts w:ascii="Verdana" w:eastAsia="Calibri" w:hAnsi="Verdana" w:cs="Ari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094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AAAD7-7BAB-4F0C-BE93-33A126DA9695}">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b4346392-9490-4ec2-979c-afa8507021a9"/>
    <ds:schemaRef ds:uri="11544cef-d40f-40e0-9fb2-ea3e47b346f0"/>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7F74B22-D53A-44EA-A370-9E98175173CD}">
  <ds:schemaRefs>
    <ds:schemaRef ds:uri="http://schemas.microsoft.com/sharepoint/v3/contenttype/forms"/>
  </ds:schemaRefs>
</ds:datastoreItem>
</file>

<file path=customXml/itemProps3.xml><?xml version="1.0" encoding="utf-8"?>
<ds:datastoreItem xmlns:ds="http://schemas.openxmlformats.org/officeDocument/2006/customXml" ds:itemID="{B7CDC84B-6980-44B5-82F1-DAF5B9467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F58BD6-705C-47D4-8C5A-C61824328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52AD29C0.dotm</Template>
  <TotalTime>1</TotalTime>
  <Pages>16</Pages>
  <Words>7140</Words>
  <Characters>42127</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MŽP User</dc:creator>
  <cp:lastModifiedBy>Bubenková Monika</cp:lastModifiedBy>
  <cp:revision>7</cp:revision>
  <cp:lastPrinted>2023-04-12T13:54:00Z</cp:lastPrinted>
  <dcterms:created xsi:type="dcterms:W3CDTF">2023-11-28T12:23:00Z</dcterms:created>
  <dcterms:modified xsi:type="dcterms:W3CDTF">2023-11-28T12:24:00Z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Athena:ID_SlozkaSablona_DokumentSablona">
    <vt:lpwstr>63297052</vt:lpwstr>
  </property>
  <property fmtid="{D5CDD505-2E9C-101B-9397-08002B2CF9AE}" pid="4" name="Cislo_PostaOdesPisemnostDokumentVerze_PostaOdesPisemnost">
    <vt:lpwstr>VÝTISK Č. ...</vt:lpwstr>
  </property>
  <property fmtid="{D5CDD505-2E9C-101B-9397-08002B2CF9AE}" pid="5" name="CJ">
    <vt:lpwstr>MZP/2022/630/1242</vt:lpwstr>
  </property>
  <property fmtid="{D5CDD505-2E9C-101B-9397-08002B2CF9AE}" pid="6" name="CJ_PostaDoruc_PisemnostOdpovedNa_Pisemnost">
    <vt:lpwstr>XXX-XXX-XXX</vt:lpwstr>
  </property>
  <property fmtid="{D5CDD505-2E9C-101B-9397-08002B2CF9AE}" pid="7" name="CJ_Spis_Pisemnost">
    <vt:lpwstr>MZP/2022/630/1242</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23.5.2022</vt:lpwstr>
  </property>
  <property fmtid="{D5CDD505-2E9C-101B-9397-08002B2CF9AE}" pid="13" name="DisplayName_CisloObalky_PostaOdes">
    <vt:lpwstr>ČÍSLO OBÁLKY</vt:lpwstr>
  </property>
  <property fmtid="{D5CDD505-2E9C-101B-9397-08002B2CF9AE}" pid="14" name="DisplayName_CJCol">
    <vt:lpwstr>&lt;TABLE&gt;&lt;TR&gt;&lt;TD&gt;Č.j.:&lt;/TD&gt;&lt;TD&gt;MZP/2022/630/1242&lt;/TD&gt;&lt;/TR&gt;&lt;TR&gt;&lt;TD&gt;&lt;/TD&gt;&lt;TD&gt;&lt;/TD&gt;&lt;/TR&gt;&lt;/TABLE&gt;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Odbor druhové ochrany a implementace mezinárodních závazků</vt:lpwstr>
  </property>
  <property fmtid="{D5CDD505-2E9C-101B-9397-08002B2CF9AE}" pid="17" name="DisplayName_UserPoriz_Pisemnost">
    <vt:lpwstr>Mgr. Pavla Klabanová</vt:lpwstr>
  </property>
  <property fmtid="{D5CDD505-2E9C-101B-9397-08002B2CF9AE}" pid="18" name="DuvodZmeny_SlozkaStupenUtajeniCollection_Slozka_Pisemnost">
    <vt:lpwstr/>
  </property>
  <property fmtid="{D5CDD505-2E9C-101B-9397-08002B2CF9AE}" pid="19" name="EC_Pisemnost">
    <vt:lpwstr>ENV/2022/229857</vt:lpwstr>
  </property>
  <property fmtid="{D5CDD505-2E9C-101B-9397-08002B2CF9AE}" pid="20" name="Key_BarCode_Pisemnost">
    <vt:lpwstr>*B001290351*</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vt:lpwstr>
  </property>
  <property fmtid="{D5CDD505-2E9C-101B-9397-08002B2CF9AE}" pid="29" name="PocetPriloh_Pisemnost">
    <vt:lpwstr>POČET PŘÍLOH</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ENV/2022/229857</vt:lpwstr>
  </property>
  <property fmtid="{D5CDD505-2E9C-101B-9397-08002B2CF9AE}" pid="34" name="RC">
    <vt:lpwstr/>
  </property>
  <property fmtid="{D5CDD505-2E9C-101B-9397-08002B2CF9AE}" pid="35" name="SkartacniZnakLhuta_PisemnostZnak">
    <vt:lpwstr>S/5</vt:lpwstr>
  </property>
  <property fmtid="{D5CDD505-2E9C-101B-9397-08002B2CF9AE}" pid="36" name="SmlouvaCislo">
    <vt:lpwstr>ČÍSLO SMLOUVY</vt:lpwstr>
  </property>
  <property fmtid="{D5CDD505-2E9C-101B-9397-08002B2CF9AE}" pid="37" name="SZ_Spis_Pisemnost">
    <vt:lpwstr>ZN/MZP/2022/630/573</vt:lpwstr>
  </property>
  <property fmtid="{D5CDD505-2E9C-101B-9397-08002B2CF9AE}" pid="38" name="TEST">
    <vt:lpwstr>testovací pole</vt:lpwstr>
  </property>
  <property fmtid="{D5CDD505-2E9C-101B-9397-08002B2CF9AE}" pid="39" name="TypPrilohy_Pisemnost">
    <vt:lpwstr>TYP PŘÍLOHY</vt:lpwstr>
  </property>
  <property fmtid="{D5CDD505-2E9C-101B-9397-08002B2CF9AE}" pid="40" name="UserName_PisemnostTypZpristupneniInformaciZOSZ_Pisemnost">
    <vt:lpwstr>ZOSZ_UserName</vt:lpwstr>
  </property>
  <property fmtid="{D5CDD505-2E9C-101B-9397-08002B2CF9AE}" pid="41" name="Vec_Pisemnost">
    <vt:lpwstr>VPŘ - Naplňování cílů Strategie EU v oblasti ochrany biologické rozmanitosti, obnova ekosystémů a odpovídající zajištění agendy ochrany biodiverzity EU v rámci Ministerstva životního prostředí</vt:lpwstr>
  </property>
  <property fmtid="{D5CDD505-2E9C-101B-9397-08002B2CF9AE}" pid="42" name="Zkratka_SpisovyUzel_PoziceZodpo_Pisemnost">
    <vt:lpwstr>630</vt:lpwstr>
  </property>
  <property fmtid="{D5CDD505-2E9C-101B-9397-08002B2CF9AE}" pid="43" name="ContentTypeId">
    <vt:lpwstr>0x010100787AC3D038E8784E9C16E0921B8D5155</vt:lpwstr>
  </property>
  <property fmtid="{D5CDD505-2E9C-101B-9397-08002B2CF9AE}" pid="44" name="MediaServiceImageTags">
    <vt:lpwstr/>
  </property>
</Properties>
</file>