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69068B" w14:textId="77777777" w:rsidR="00D254EB" w:rsidRPr="009A6B0C" w:rsidRDefault="00D254EB" w:rsidP="00D254EB">
      <w:pPr>
        <w:pStyle w:val="Nzev"/>
        <w:spacing w:line="276" w:lineRule="auto"/>
        <w:rPr>
          <w:rFonts w:asciiTheme="minorHAnsi" w:hAnsiTheme="minorHAnsi" w:cstheme="minorBidi"/>
        </w:rPr>
      </w:pPr>
      <w:bookmarkStart w:id="0" w:name="_Hlk141340993"/>
      <w:bookmarkStart w:id="1" w:name="_GoBack"/>
      <w:bookmarkEnd w:id="1"/>
      <w:r>
        <w:rPr>
          <w:rFonts w:asciiTheme="minorHAnsi" w:hAnsiTheme="minorHAnsi" w:cstheme="minorHAnsi"/>
          <w:noProof/>
        </w:rPr>
        <w:drawing>
          <wp:anchor distT="0" distB="0" distL="114300" distR="114300" simplePos="0" relativeHeight="251659264" behindDoc="1" locked="0" layoutInCell="1" allowOverlap="1" wp14:anchorId="2F04F328" wp14:editId="784FCDC5">
            <wp:simplePos x="0" y="0"/>
            <wp:positionH relativeFrom="column">
              <wp:posOffset>-1024890</wp:posOffset>
            </wp:positionH>
            <wp:positionV relativeFrom="paragraph">
              <wp:posOffset>-901065</wp:posOffset>
            </wp:positionV>
            <wp:extent cx="7600950" cy="10743697"/>
            <wp:effectExtent l="0" t="0" r="0" b="635"/>
            <wp:wrapNone/>
            <wp:docPr id="398040698" name="Obrázok 3" descr="Obrázok, na ktorom je text, písmo, snímka obrazovky, dizajn&#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040698" name="Obrázok 3" descr="Obrázok, na ktorom je text, písmo, snímka obrazovky, dizajn&#10;&#10;Automaticky generovaný popi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600950" cy="10743697"/>
                    </a:xfrm>
                    <a:prstGeom prst="rect">
                      <a:avLst/>
                    </a:prstGeom>
                  </pic:spPr>
                </pic:pic>
              </a:graphicData>
            </a:graphic>
            <wp14:sizeRelH relativeFrom="page">
              <wp14:pctWidth>0</wp14:pctWidth>
            </wp14:sizeRelH>
            <wp14:sizeRelV relativeFrom="page">
              <wp14:pctHeight>0</wp14:pctHeight>
            </wp14:sizeRelV>
          </wp:anchor>
        </w:drawing>
      </w:r>
    </w:p>
    <w:p w14:paraId="402CC3E9" w14:textId="77777777" w:rsidR="00D254EB" w:rsidRPr="009A6B0C" w:rsidRDefault="00D254EB" w:rsidP="00D254EB">
      <w:pPr>
        <w:pStyle w:val="Nzev"/>
        <w:spacing w:line="276" w:lineRule="auto"/>
        <w:rPr>
          <w:rFonts w:asciiTheme="minorHAnsi" w:hAnsiTheme="minorHAnsi" w:cstheme="minorHAnsi"/>
        </w:rPr>
      </w:pPr>
    </w:p>
    <w:p w14:paraId="10648B14" w14:textId="77777777" w:rsidR="00D254EB" w:rsidRPr="009A6B0C" w:rsidRDefault="00D254EB" w:rsidP="00D254EB">
      <w:pPr>
        <w:pStyle w:val="Nzev"/>
        <w:spacing w:line="276" w:lineRule="auto"/>
        <w:rPr>
          <w:rFonts w:asciiTheme="minorHAnsi" w:hAnsiTheme="minorHAnsi" w:cstheme="minorHAnsi"/>
        </w:rPr>
      </w:pPr>
    </w:p>
    <w:p w14:paraId="7C38320A" w14:textId="77777777" w:rsidR="00D254EB" w:rsidRPr="009A6B0C" w:rsidRDefault="00D254EB" w:rsidP="00D254EB">
      <w:pPr>
        <w:pStyle w:val="Nzev"/>
        <w:spacing w:line="276" w:lineRule="auto"/>
        <w:rPr>
          <w:rFonts w:asciiTheme="minorHAnsi" w:hAnsiTheme="minorHAnsi" w:cstheme="minorHAnsi"/>
        </w:rPr>
      </w:pPr>
    </w:p>
    <w:p w14:paraId="12E4972E" w14:textId="77777777" w:rsidR="00D254EB" w:rsidRPr="009A6B0C" w:rsidRDefault="00D254EB" w:rsidP="00D254EB">
      <w:pPr>
        <w:pStyle w:val="Nzev"/>
        <w:spacing w:line="276" w:lineRule="auto"/>
        <w:rPr>
          <w:rFonts w:asciiTheme="minorHAnsi" w:hAnsiTheme="minorHAnsi" w:cstheme="minorHAnsi"/>
        </w:rPr>
      </w:pPr>
    </w:p>
    <w:p w14:paraId="668888C4" w14:textId="27AF99E1" w:rsidR="00D254EB" w:rsidRPr="009A6B0C" w:rsidRDefault="00D254EB" w:rsidP="00D254EB">
      <w:pPr>
        <w:pStyle w:val="Nzev"/>
        <w:tabs>
          <w:tab w:val="left" w:pos="2790"/>
        </w:tabs>
        <w:spacing w:line="276" w:lineRule="auto"/>
        <w:rPr>
          <w:rFonts w:asciiTheme="minorHAnsi" w:hAnsiTheme="minorHAnsi" w:cstheme="minorHAnsi"/>
        </w:rPr>
      </w:pPr>
      <w:r>
        <w:rPr>
          <w:rFonts w:asciiTheme="minorHAnsi" w:hAnsiTheme="minorHAnsi" w:cstheme="minorHAnsi"/>
        </w:rPr>
        <w:tab/>
      </w:r>
    </w:p>
    <w:p w14:paraId="1EF3A4DE" w14:textId="77777777" w:rsidR="00D254EB" w:rsidRPr="009A6B0C" w:rsidRDefault="00D254EB" w:rsidP="00D254EB">
      <w:pPr>
        <w:pStyle w:val="Nzev"/>
        <w:spacing w:line="276" w:lineRule="auto"/>
        <w:rPr>
          <w:rFonts w:asciiTheme="minorHAnsi" w:hAnsiTheme="minorHAnsi" w:cstheme="minorHAnsi"/>
        </w:rPr>
      </w:pPr>
    </w:p>
    <w:p w14:paraId="04088E14" w14:textId="77777777" w:rsidR="00D254EB" w:rsidRPr="009A6B0C" w:rsidRDefault="00D254EB" w:rsidP="00D254EB">
      <w:pPr>
        <w:pStyle w:val="Nzev"/>
        <w:spacing w:line="276" w:lineRule="auto"/>
        <w:rPr>
          <w:rFonts w:asciiTheme="minorHAnsi" w:hAnsiTheme="minorHAnsi" w:cstheme="minorHAnsi"/>
        </w:rPr>
      </w:pPr>
    </w:p>
    <w:p w14:paraId="573F35EF" w14:textId="77777777" w:rsidR="00D254EB" w:rsidRPr="009A6B0C" w:rsidRDefault="00D254EB" w:rsidP="00D254EB">
      <w:pPr>
        <w:spacing w:line="276" w:lineRule="auto"/>
        <w:jc w:val="both"/>
      </w:pPr>
    </w:p>
    <w:p w14:paraId="4A845351" w14:textId="319B7D59" w:rsidR="009A6B0C" w:rsidRPr="00393D5E" w:rsidRDefault="009A6B0C" w:rsidP="00316A1B">
      <w:pPr>
        <w:pStyle w:val="Nzev"/>
        <w:spacing w:line="276" w:lineRule="auto"/>
        <w:rPr>
          <w:rFonts w:asciiTheme="minorHAnsi" w:hAnsiTheme="minorHAnsi" w:cstheme="minorBidi"/>
        </w:rPr>
      </w:pPr>
    </w:p>
    <w:p w14:paraId="517D247D" w14:textId="77777777" w:rsidR="009A6B0C" w:rsidRPr="00393D5E" w:rsidRDefault="009A6B0C" w:rsidP="00316A1B">
      <w:pPr>
        <w:pStyle w:val="Nzev"/>
        <w:spacing w:line="276" w:lineRule="auto"/>
        <w:rPr>
          <w:rFonts w:asciiTheme="minorHAnsi" w:hAnsiTheme="minorHAnsi" w:cstheme="minorHAnsi"/>
        </w:rPr>
      </w:pPr>
    </w:p>
    <w:p w14:paraId="48EDB5FD" w14:textId="77777777" w:rsidR="009A6B0C" w:rsidRPr="00393D5E" w:rsidRDefault="009A6B0C" w:rsidP="00316A1B">
      <w:pPr>
        <w:pStyle w:val="Nzev"/>
        <w:spacing w:line="276" w:lineRule="auto"/>
        <w:rPr>
          <w:rFonts w:asciiTheme="minorHAnsi" w:hAnsiTheme="minorHAnsi" w:cstheme="minorHAnsi"/>
        </w:rPr>
      </w:pPr>
    </w:p>
    <w:p w14:paraId="626B77EF" w14:textId="77777777" w:rsidR="009A6B0C" w:rsidRPr="00393D5E" w:rsidRDefault="009A6B0C" w:rsidP="00316A1B">
      <w:pPr>
        <w:pStyle w:val="Nzev"/>
        <w:spacing w:line="276" w:lineRule="auto"/>
        <w:rPr>
          <w:rFonts w:asciiTheme="minorHAnsi" w:hAnsiTheme="minorHAnsi" w:cstheme="minorHAnsi"/>
        </w:rPr>
      </w:pPr>
    </w:p>
    <w:p w14:paraId="4FE50189" w14:textId="77777777" w:rsidR="009A6B0C" w:rsidRPr="00393D5E" w:rsidRDefault="009A6B0C" w:rsidP="00316A1B">
      <w:pPr>
        <w:pStyle w:val="Nzev"/>
        <w:spacing w:line="276" w:lineRule="auto"/>
        <w:rPr>
          <w:rFonts w:asciiTheme="minorHAnsi" w:hAnsiTheme="minorHAnsi" w:cstheme="minorHAnsi"/>
        </w:rPr>
      </w:pPr>
    </w:p>
    <w:p w14:paraId="1F78CC53" w14:textId="77777777" w:rsidR="009A6B0C" w:rsidRPr="00393D5E" w:rsidRDefault="009A6B0C" w:rsidP="00316A1B">
      <w:pPr>
        <w:pStyle w:val="Nzev"/>
        <w:spacing w:line="276" w:lineRule="auto"/>
        <w:rPr>
          <w:rFonts w:asciiTheme="minorHAnsi" w:hAnsiTheme="minorHAnsi" w:cstheme="minorHAnsi"/>
        </w:rPr>
      </w:pPr>
    </w:p>
    <w:p w14:paraId="784340AD" w14:textId="77777777" w:rsidR="009A6B0C" w:rsidRPr="00393D5E" w:rsidRDefault="009A6B0C" w:rsidP="00316A1B">
      <w:pPr>
        <w:pStyle w:val="Nzev"/>
        <w:spacing w:line="276" w:lineRule="auto"/>
        <w:rPr>
          <w:rFonts w:asciiTheme="minorHAnsi" w:hAnsiTheme="minorHAnsi" w:cstheme="minorHAnsi"/>
        </w:rPr>
      </w:pPr>
    </w:p>
    <w:p w14:paraId="47151359" w14:textId="77777777" w:rsidR="009A6B0C" w:rsidRPr="00393D5E" w:rsidRDefault="009A6B0C" w:rsidP="00316A1B">
      <w:pPr>
        <w:pStyle w:val="Nzev"/>
        <w:spacing w:line="276" w:lineRule="auto"/>
        <w:rPr>
          <w:rFonts w:asciiTheme="minorHAnsi" w:hAnsiTheme="minorHAnsi" w:cstheme="minorHAnsi"/>
        </w:rPr>
      </w:pPr>
    </w:p>
    <w:p w14:paraId="0E9429C2" w14:textId="77777777" w:rsidR="009A6B0C" w:rsidRPr="00393D5E" w:rsidRDefault="009A6B0C" w:rsidP="00316A1B">
      <w:pPr>
        <w:pStyle w:val="Nzev"/>
        <w:spacing w:line="276" w:lineRule="auto"/>
        <w:rPr>
          <w:rFonts w:asciiTheme="minorHAnsi" w:hAnsiTheme="minorHAnsi" w:cstheme="minorHAnsi"/>
        </w:rPr>
      </w:pPr>
    </w:p>
    <w:p w14:paraId="6512A495" w14:textId="77777777" w:rsidR="009A6B0C" w:rsidRPr="00393D5E" w:rsidRDefault="009A6B0C" w:rsidP="00316A1B">
      <w:pPr>
        <w:pStyle w:val="Nzev"/>
        <w:spacing w:line="276" w:lineRule="auto"/>
        <w:rPr>
          <w:rFonts w:asciiTheme="minorHAnsi" w:hAnsiTheme="minorHAnsi" w:cstheme="minorHAnsi"/>
        </w:rPr>
      </w:pPr>
    </w:p>
    <w:p w14:paraId="1740CF4F" w14:textId="77777777" w:rsidR="00AE3A8A" w:rsidRPr="00393D5E" w:rsidRDefault="00AE3A8A" w:rsidP="00316A1B">
      <w:pPr>
        <w:spacing w:line="276" w:lineRule="auto"/>
        <w:jc w:val="both"/>
      </w:pPr>
    </w:p>
    <w:p w14:paraId="090514F6" w14:textId="3224DA0F" w:rsidR="009A6B0C" w:rsidRPr="00D254EB" w:rsidRDefault="009A6B0C" w:rsidP="00D254EB">
      <w:pPr>
        <w:tabs>
          <w:tab w:val="left" w:pos="1785"/>
        </w:tabs>
        <w:spacing w:line="276" w:lineRule="auto"/>
        <w:jc w:val="both"/>
      </w:pPr>
      <w:r w:rsidRPr="00393D5E">
        <w:rPr>
          <w:rFonts w:cstheme="minorHAnsi"/>
          <w:color w:val="FFFFFF" w:themeColor="background1"/>
          <w:sz w:val="40"/>
        </w:rPr>
        <w:t>České republiky</w:t>
      </w:r>
    </w:p>
    <w:p w14:paraId="72647764" w14:textId="6C3D9EDF" w:rsidR="009A6B0C" w:rsidRPr="00D254EB" w:rsidRDefault="009A6B0C" w:rsidP="00D254EB">
      <w:pPr>
        <w:spacing w:line="276" w:lineRule="auto"/>
        <w:rPr>
          <w:color w:val="FFFFFF" w:themeColor="background1"/>
          <w:sz w:val="32"/>
          <w:szCs w:val="32"/>
        </w:rPr>
      </w:pPr>
      <w:r w:rsidRPr="00393D5E">
        <w:rPr>
          <w:rFonts w:cstheme="minorHAnsi"/>
          <w:b/>
          <w:sz w:val="20"/>
          <w:szCs w:val="20"/>
        </w:rPr>
        <w:lastRenderedPageBreak/>
        <w:t>Dodatek k</w:t>
      </w:r>
      <w:r w:rsidR="0003053E">
        <w:rPr>
          <w:rFonts w:cstheme="minorHAnsi"/>
          <w:b/>
          <w:sz w:val="20"/>
          <w:szCs w:val="20"/>
        </w:rPr>
        <w:t> </w:t>
      </w:r>
      <w:r w:rsidRPr="00393D5E">
        <w:rPr>
          <w:rFonts w:cstheme="minorHAnsi"/>
          <w:b/>
          <w:sz w:val="20"/>
          <w:szCs w:val="20"/>
        </w:rPr>
        <w:t>Národnímu plánu obnovy</w:t>
      </w:r>
    </w:p>
    <w:p w14:paraId="134524A7" w14:textId="001FE6B8" w:rsidR="009A6B0C" w:rsidRPr="00393D5E" w:rsidRDefault="0078453F" w:rsidP="00316A1B">
      <w:pPr>
        <w:spacing w:after="120" w:line="276" w:lineRule="auto"/>
        <w:jc w:val="both"/>
        <w:rPr>
          <w:rFonts w:cstheme="minorHAnsi"/>
          <w:sz w:val="20"/>
          <w:szCs w:val="20"/>
        </w:rPr>
      </w:pPr>
      <w:r>
        <w:rPr>
          <w:rFonts w:cstheme="minorHAnsi"/>
          <w:sz w:val="20"/>
          <w:szCs w:val="20"/>
        </w:rPr>
        <w:t>Konsolidované znění a</w:t>
      </w:r>
      <w:r w:rsidR="009A6B0C" w:rsidRPr="00393D5E">
        <w:rPr>
          <w:rFonts w:cstheme="minorHAnsi"/>
          <w:sz w:val="20"/>
          <w:szCs w:val="20"/>
        </w:rPr>
        <w:t xml:space="preserve">ktualizace </w:t>
      </w:r>
      <w:r>
        <w:rPr>
          <w:rFonts w:cstheme="minorHAnsi"/>
          <w:sz w:val="20"/>
          <w:szCs w:val="20"/>
        </w:rPr>
        <w:t>Národního plánu obnovy</w:t>
      </w:r>
    </w:p>
    <w:p w14:paraId="5E9BCEBE" w14:textId="0A415CEF" w:rsidR="009A6B0C" w:rsidRPr="00393D5E" w:rsidRDefault="46D0AF42" w:rsidP="00316A1B">
      <w:pPr>
        <w:spacing w:after="120" w:line="276" w:lineRule="auto"/>
        <w:jc w:val="both"/>
        <w:rPr>
          <w:sz w:val="20"/>
          <w:szCs w:val="20"/>
        </w:rPr>
      </w:pPr>
      <w:r w:rsidRPr="1E39CB1F">
        <w:rPr>
          <w:sz w:val="20"/>
          <w:szCs w:val="20"/>
        </w:rPr>
        <w:t xml:space="preserve">Praha, </w:t>
      </w:r>
      <w:r w:rsidR="0078453F">
        <w:rPr>
          <w:sz w:val="20"/>
          <w:szCs w:val="20"/>
        </w:rPr>
        <w:t>ří</w:t>
      </w:r>
      <w:r w:rsidR="009738BC">
        <w:rPr>
          <w:sz w:val="20"/>
          <w:szCs w:val="20"/>
        </w:rPr>
        <w:t>jen</w:t>
      </w:r>
      <w:r w:rsidR="46C30FAE" w:rsidRPr="1E39CB1F">
        <w:rPr>
          <w:sz w:val="20"/>
          <w:szCs w:val="20"/>
        </w:rPr>
        <w:t xml:space="preserve"> </w:t>
      </w:r>
      <w:r w:rsidRPr="1E39CB1F">
        <w:rPr>
          <w:sz w:val="20"/>
          <w:szCs w:val="20"/>
        </w:rPr>
        <w:t>2023</w:t>
      </w:r>
    </w:p>
    <w:p w14:paraId="1A573215" w14:textId="77777777" w:rsidR="009A6B0C" w:rsidRPr="00393D5E" w:rsidRDefault="009A6B0C" w:rsidP="00316A1B">
      <w:pPr>
        <w:spacing w:after="200" w:line="276" w:lineRule="auto"/>
        <w:jc w:val="both"/>
        <w:rPr>
          <w:rFonts w:cstheme="minorHAnsi"/>
          <w:sz w:val="20"/>
          <w:szCs w:val="20"/>
        </w:rPr>
      </w:pPr>
    </w:p>
    <w:p w14:paraId="1E29080D" w14:textId="3B289950" w:rsidR="009A6B0C" w:rsidRPr="00393D5E" w:rsidRDefault="009A6B0C" w:rsidP="00316A1B">
      <w:pPr>
        <w:spacing w:after="120" w:line="276" w:lineRule="auto"/>
        <w:jc w:val="both"/>
        <w:rPr>
          <w:rFonts w:cstheme="minorHAnsi"/>
          <w:sz w:val="20"/>
          <w:szCs w:val="20"/>
        </w:rPr>
      </w:pPr>
      <w:r w:rsidRPr="00393D5E">
        <w:rPr>
          <w:rFonts w:cstheme="minorHAnsi"/>
          <w:sz w:val="20"/>
          <w:szCs w:val="20"/>
        </w:rPr>
        <w:t>Ministerstvo průmyslu a</w:t>
      </w:r>
      <w:r w:rsidR="0003053E">
        <w:rPr>
          <w:rFonts w:cstheme="minorHAnsi"/>
          <w:sz w:val="20"/>
          <w:szCs w:val="20"/>
        </w:rPr>
        <w:t> </w:t>
      </w:r>
      <w:r w:rsidRPr="00393D5E">
        <w:rPr>
          <w:rFonts w:cstheme="minorHAnsi"/>
          <w:sz w:val="20"/>
          <w:szCs w:val="20"/>
        </w:rPr>
        <w:t>obchodu</w:t>
      </w:r>
    </w:p>
    <w:p w14:paraId="2726ABF2" w14:textId="77777777" w:rsidR="009A6B0C" w:rsidRPr="00393D5E" w:rsidRDefault="009A6B0C" w:rsidP="00316A1B">
      <w:pPr>
        <w:spacing w:after="120" w:line="276" w:lineRule="auto"/>
        <w:jc w:val="both"/>
        <w:rPr>
          <w:rFonts w:cstheme="minorHAnsi"/>
          <w:sz w:val="20"/>
          <w:szCs w:val="20"/>
        </w:rPr>
      </w:pPr>
      <w:r w:rsidRPr="00393D5E">
        <w:rPr>
          <w:rFonts w:cstheme="minorHAnsi"/>
          <w:sz w:val="20"/>
          <w:szCs w:val="20"/>
        </w:rPr>
        <w:t>Na Františku 32</w:t>
      </w:r>
    </w:p>
    <w:p w14:paraId="119F38DC" w14:textId="77777777" w:rsidR="009A6B0C" w:rsidRPr="00393D5E" w:rsidRDefault="009A6B0C" w:rsidP="00316A1B">
      <w:pPr>
        <w:spacing w:after="120" w:line="276" w:lineRule="auto"/>
        <w:jc w:val="both"/>
        <w:rPr>
          <w:rFonts w:cstheme="minorHAnsi"/>
          <w:sz w:val="20"/>
          <w:szCs w:val="20"/>
        </w:rPr>
      </w:pPr>
      <w:r w:rsidRPr="00393D5E">
        <w:rPr>
          <w:rFonts w:cstheme="minorHAnsi"/>
          <w:sz w:val="20"/>
          <w:szCs w:val="20"/>
        </w:rPr>
        <w:t>110 15 Praha 1</w:t>
      </w:r>
    </w:p>
    <w:p w14:paraId="24551083" w14:textId="77777777" w:rsidR="009A6B0C" w:rsidRPr="00393D5E" w:rsidRDefault="00BA143B" w:rsidP="00316A1B">
      <w:pPr>
        <w:spacing w:after="120" w:line="276" w:lineRule="auto"/>
        <w:jc w:val="both"/>
        <w:rPr>
          <w:rFonts w:cstheme="minorHAnsi"/>
          <w:sz w:val="20"/>
          <w:szCs w:val="20"/>
        </w:rPr>
      </w:pPr>
      <w:hyperlink r:id="rId12" w:history="1">
        <w:r w:rsidR="009A6B0C" w:rsidRPr="00393D5E">
          <w:rPr>
            <w:rFonts w:cstheme="minorHAnsi"/>
            <w:sz w:val="20"/>
            <w:szCs w:val="20"/>
          </w:rPr>
          <w:t>www.mpo.cz</w:t>
        </w:r>
      </w:hyperlink>
    </w:p>
    <w:p w14:paraId="6E673B18" w14:textId="77777777" w:rsidR="009A6B0C" w:rsidRPr="00393D5E" w:rsidRDefault="00BA143B" w:rsidP="00316A1B">
      <w:pPr>
        <w:spacing w:after="200" w:line="276" w:lineRule="auto"/>
        <w:jc w:val="both"/>
        <w:rPr>
          <w:rFonts w:cstheme="minorHAnsi"/>
          <w:sz w:val="20"/>
          <w:szCs w:val="20"/>
        </w:rPr>
      </w:pPr>
      <w:hyperlink r:id="rId13" w:history="1">
        <w:r w:rsidR="009A6B0C" w:rsidRPr="00393D5E">
          <w:rPr>
            <w:rFonts w:cstheme="minorHAnsi"/>
            <w:sz w:val="20"/>
            <w:szCs w:val="20"/>
          </w:rPr>
          <w:t>www.planobnovycr.cz</w:t>
        </w:r>
      </w:hyperlink>
    </w:p>
    <w:p w14:paraId="0952E8D4" w14:textId="77777777" w:rsidR="009A6B0C" w:rsidRPr="00393D5E" w:rsidRDefault="009A6B0C" w:rsidP="00316A1B">
      <w:pPr>
        <w:spacing w:after="200" w:line="276" w:lineRule="auto"/>
        <w:jc w:val="both"/>
        <w:rPr>
          <w:rFonts w:cstheme="minorHAnsi"/>
          <w:sz w:val="20"/>
          <w:szCs w:val="20"/>
        </w:rPr>
      </w:pPr>
    </w:p>
    <w:p w14:paraId="4CBAD013" w14:textId="77777777" w:rsidR="009A6B0C" w:rsidRPr="00393D5E" w:rsidRDefault="009A6B0C" w:rsidP="00316A1B">
      <w:pPr>
        <w:spacing w:after="120" w:line="276" w:lineRule="auto"/>
        <w:jc w:val="both"/>
        <w:rPr>
          <w:rFonts w:cstheme="minorHAnsi"/>
          <w:sz w:val="20"/>
          <w:szCs w:val="20"/>
        </w:rPr>
      </w:pPr>
    </w:p>
    <w:p w14:paraId="35CD588C" w14:textId="77777777" w:rsidR="009A6B0C" w:rsidRPr="00393D5E" w:rsidRDefault="009A6B0C" w:rsidP="00316A1B">
      <w:pPr>
        <w:spacing w:after="120" w:line="276" w:lineRule="auto"/>
        <w:jc w:val="both"/>
        <w:rPr>
          <w:rFonts w:cstheme="minorHAnsi"/>
          <w:sz w:val="20"/>
          <w:szCs w:val="20"/>
        </w:rPr>
      </w:pPr>
    </w:p>
    <w:p w14:paraId="21CABF10" w14:textId="77777777" w:rsidR="009A6B0C" w:rsidRPr="00393D5E" w:rsidRDefault="009A6B0C" w:rsidP="00316A1B">
      <w:pPr>
        <w:spacing w:after="120" w:line="276" w:lineRule="auto"/>
        <w:jc w:val="both"/>
        <w:rPr>
          <w:rFonts w:cstheme="minorHAnsi"/>
          <w:sz w:val="20"/>
          <w:szCs w:val="20"/>
        </w:rPr>
      </w:pPr>
    </w:p>
    <w:p w14:paraId="7A10983C" w14:textId="77777777" w:rsidR="009A6B0C" w:rsidRPr="00393D5E" w:rsidRDefault="009A6B0C" w:rsidP="00316A1B">
      <w:pPr>
        <w:spacing w:after="120" w:line="276" w:lineRule="auto"/>
        <w:jc w:val="both"/>
        <w:rPr>
          <w:rFonts w:cstheme="minorHAnsi"/>
          <w:sz w:val="20"/>
          <w:szCs w:val="20"/>
        </w:rPr>
      </w:pPr>
    </w:p>
    <w:p w14:paraId="69AD2450" w14:textId="77777777" w:rsidR="009A6B0C" w:rsidRPr="00393D5E" w:rsidRDefault="009A6B0C" w:rsidP="00316A1B">
      <w:pPr>
        <w:spacing w:after="120" w:line="276" w:lineRule="auto"/>
        <w:jc w:val="both"/>
        <w:rPr>
          <w:rFonts w:cstheme="minorHAnsi"/>
          <w:sz w:val="20"/>
          <w:szCs w:val="20"/>
        </w:rPr>
      </w:pPr>
    </w:p>
    <w:p w14:paraId="32570E45" w14:textId="77777777" w:rsidR="009A6B0C" w:rsidRPr="00393D5E" w:rsidRDefault="009A6B0C" w:rsidP="00316A1B">
      <w:pPr>
        <w:spacing w:after="120" w:line="276" w:lineRule="auto"/>
        <w:jc w:val="both"/>
        <w:rPr>
          <w:rFonts w:cstheme="minorHAnsi"/>
          <w:sz w:val="20"/>
          <w:szCs w:val="20"/>
        </w:rPr>
      </w:pPr>
    </w:p>
    <w:p w14:paraId="50CB348C" w14:textId="4214FC10" w:rsidR="009A6B0C" w:rsidRDefault="009A6B0C" w:rsidP="00316A1B">
      <w:pPr>
        <w:spacing w:after="120" w:line="276" w:lineRule="auto"/>
        <w:jc w:val="both"/>
        <w:rPr>
          <w:rFonts w:cstheme="minorHAnsi"/>
          <w:sz w:val="20"/>
          <w:szCs w:val="20"/>
        </w:rPr>
      </w:pPr>
    </w:p>
    <w:p w14:paraId="3A16D88A" w14:textId="197E0119" w:rsidR="00D254EB" w:rsidRDefault="00D254EB" w:rsidP="00316A1B">
      <w:pPr>
        <w:spacing w:after="120" w:line="276" w:lineRule="auto"/>
        <w:jc w:val="both"/>
        <w:rPr>
          <w:rFonts w:cstheme="minorHAnsi"/>
          <w:sz w:val="20"/>
          <w:szCs w:val="20"/>
        </w:rPr>
      </w:pPr>
    </w:p>
    <w:p w14:paraId="11FCE331" w14:textId="2DA490BD" w:rsidR="00D254EB" w:rsidRDefault="00D254EB" w:rsidP="00316A1B">
      <w:pPr>
        <w:spacing w:after="120" w:line="276" w:lineRule="auto"/>
        <w:jc w:val="both"/>
        <w:rPr>
          <w:rFonts w:cstheme="minorHAnsi"/>
          <w:sz w:val="20"/>
          <w:szCs w:val="20"/>
        </w:rPr>
      </w:pPr>
    </w:p>
    <w:p w14:paraId="7138B61E" w14:textId="77777777" w:rsidR="00D254EB" w:rsidRPr="00393D5E" w:rsidRDefault="00D254EB" w:rsidP="00316A1B">
      <w:pPr>
        <w:spacing w:after="120" w:line="276" w:lineRule="auto"/>
        <w:jc w:val="both"/>
        <w:rPr>
          <w:rFonts w:cstheme="minorHAnsi"/>
          <w:sz w:val="20"/>
          <w:szCs w:val="20"/>
        </w:rPr>
      </w:pPr>
    </w:p>
    <w:p w14:paraId="3E7D29D1" w14:textId="77777777" w:rsidR="009A6B0C" w:rsidRPr="00393D5E" w:rsidRDefault="009A6B0C" w:rsidP="00316A1B">
      <w:pPr>
        <w:spacing w:after="120" w:line="276" w:lineRule="auto"/>
        <w:jc w:val="both"/>
        <w:rPr>
          <w:rFonts w:cstheme="minorHAnsi"/>
          <w:sz w:val="20"/>
          <w:szCs w:val="20"/>
        </w:rPr>
      </w:pPr>
      <w:r w:rsidRPr="00393D5E">
        <w:rPr>
          <w:rFonts w:cstheme="minorHAnsi"/>
          <w:sz w:val="20"/>
          <w:szCs w:val="20"/>
        </w:rPr>
        <w:t>Na přípravě spolupracovali:</w:t>
      </w:r>
    </w:p>
    <w:p w14:paraId="62BA1C74" w14:textId="77777777" w:rsidR="009A6B0C" w:rsidRPr="00393D5E" w:rsidRDefault="009A6B0C" w:rsidP="00316A1B">
      <w:pPr>
        <w:spacing w:after="120" w:line="276" w:lineRule="auto"/>
        <w:jc w:val="both"/>
        <w:rPr>
          <w:rFonts w:cstheme="minorHAnsi"/>
          <w:i/>
          <w:sz w:val="20"/>
          <w:szCs w:val="20"/>
        </w:rPr>
      </w:pPr>
      <w:r w:rsidRPr="00393D5E">
        <w:rPr>
          <w:rFonts w:cstheme="minorHAnsi"/>
          <w:i/>
          <w:sz w:val="20"/>
          <w:szCs w:val="20"/>
        </w:rPr>
        <w:t>Úřad vlády</w:t>
      </w:r>
    </w:p>
    <w:p w14:paraId="18E26CB4" w14:textId="32A692EE" w:rsidR="009A6B0C" w:rsidRPr="00393D5E" w:rsidRDefault="009A6B0C" w:rsidP="00316A1B">
      <w:pPr>
        <w:spacing w:after="120" w:line="276" w:lineRule="auto"/>
        <w:jc w:val="both"/>
        <w:rPr>
          <w:rFonts w:cstheme="minorHAnsi"/>
          <w:i/>
          <w:sz w:val="20"/>
          <w:szCs w:val="20"/>
        </w:rPr>
      </w:pPr>
      <w:r w:rsidRPr="00393D5E">
        <w:rPr>
          <w:rFonts w:cstheme="minorHAnsi"/>
          <w:i/>
          <w:sz w:val="20"/>
          <w:szCs w:val="20"/>
        </w:rPr>
        <w:t>Ministerstvo průmyslu a</w:t>
      </w:r>
      <w:r w:rsidR="0003053E">
        <w:rPr>
          <w:rFonts w:cstheme="minorHAnsi"/>
          <w:i/>
          <w:sz w:val="20"/>
          <w:szCs w:val="20"/>
        </w:rPr>
        <w:t> </w:t>
      </w:r>
      <w:r w:rsidRPr="00393D5E">
        <w:rPr>
          <w:rFonts w:cstheme="minorHAnsi"/>
          <w:i/>
          <w:sz w:val="20"/>
          <w:szCs w:val="20"/>
        </w:rPr>
        <w:t>obchodu</w:t>
      </w:r>
    </w:p>
    <w:p w14:paraId="4170F1B5" w14:textId="77777777" w:rsidR="009A6B0C" w:rsidRPr="00393D5E" w:rsidRDefault="009A6B0C" w:rsidP="00316A1B">
      <w:pPr>
        <w:spacing w:after="120" w:line="276" w:lineRule="auto"/>
        <w:jc w:val="both"/>
        <w:rPr>
          <w:rFonts w:cstheme="minorHAnsi"/>
          <w:i/>
          <w:sz w:val="20"/>
          <w:szCs w:val="20"/>
        </w:rPr>
      </w:pPr>
      <w:r w:rsidRPr="00393D5E">
        <w:rPr>
          <w:rFonts w:cstheme="minorHAnsi"/>
          <w:i/>
          <w:sz w:val="20"/>
          <w:szCs w:val="20"/>
        </w:rPr>
        <w:t>Ministerstvo financí</w:t>
      </w:r>
    </w:p>
    <w:p w14:paraId="24F58F10" w14:textId="77777777" w:rsidR="009A6B0C" w:rsidRPr="00393D5E" w:rsidRDefault="009A6B0C" w:rsidP="00316A1B">
      <w:pPr>
        <w:spacing w:after="120" w:line="276" w:lineRule="auto"/>
        <w:jc w:val="both"/>
        <w:rPr>
          <w:rFonts w:cstheme="minorHAnsi"/>
          <w:i/>
          <w:sz w:val="20"/>
          <w:szCs w:val="20"/>
        </w:rPr>
      </w:pPr>
      <w:r w:rsidRPr="00393D5E">
        <w:rPr>
          <w:rFonts w:cstheme="minorHAnsi"/>
          <w:i/>
          <w:sz w:val="20"/>
          <w:szCs w:val="20"/>
        </w:rPr>
        <w:t>Ministerstvo pro místní rozvoj</w:t>
      </w:r>
    </w:p>
    <w:p w14:paraId="7B7E1846" w14:textId="77777777" w:rsidR="009A6B0C" w:rsidRPr="00393D5E" w:rsidRDefault="009A6B0C" w:rsidP="00316A1B">
      <w:pPr>
        <w:spacing w:after="120" w:line="276" w:lineRule="auto"/>
        <w:jc w:val="both"/>
        <w:rPr>
          <w:rFonts w:cstheme="minorHAnsi"/>
          <w:i/>
          <w:sz w:val="20"/>
          <w:szCs w:val="20"/>
        </w:rPr>
      </w:pPr>
      <w:r w:rsidRPr="00393D5E">
        <w:rPr>
          <w:rFonts w:cstheme="minorHAnsi"/>
          <w:i/>
          <w:sz w:val="20"/>
          <w:szCs w:val="20"/>
        </w:rPr>
        <w:t>Ministerstvo životního prostředí</w:t>
      </w:r>
    </w:p>
    <w:p w14:paraId="2F762FDD" w14:textId="5CE2C622" w:rsidR="009A6B0C" w:rsidRPr="00393D5E" w:rsidRDefault="009A6B0C" w:rsidP="00316A1B">
      <w:pPr>
        <w:spacing w:after="120" w:line="276" w:lineRule="auto"/>
        <w:jc w:val="both"/>
        <w:rPr>
          <w:rFonts w:cstheme="minorHAnsi"/>
          <w:i/>
          <w:sz w:val="20"/>
          <w:szCs w:val="20"/>
        </w:rPr>
      </w:pPr>
      <w:r w:rsidRPr="2CF858ED">
        <w:rPr>
          <w:i/>
          <w:iCs/>
          <w:sz w:val="20"/>
          <w:szCs w:val="20"/>
        </w:rPr>
        <w:t>Ministerstvo práce a</w:t>
      </w:r>
      <w:r w:rsidR="0003053E">
        <w:rPr>
          <w:i/>
          <w:iCs/>
          <w:sz w:val="20"/>
          <w:szCs w:val="20"/>
        </w:rPr>
        <w:t> </w:t>
      </w:r>
      <w:r w:rsidRPr="2CF858ED">
        <w:rPr>
          <w:i/>
          <w:iCs/>
          <w:sz w:val="20"/>
          <w:szCs w:val="20"/>
        </w:rPr>
        <w:t>sociálních věcí</w:t>
      </w:r>
    </w:p>
    <w:p w14:paraId="02CA6D0A" w14:textId="5FED48D1" w:rsidR="3226349E" w:rsidRDefault="3226349E" w:rsidP="2CF858ED">
      <w:pPr>
        <w:spacing w:after="120" w:line="276" w:lineRule="auto"/>
        <w:jc w:val="both"/>
        <w:rPr>
          <w:i/>
          <w:iCs/>
          <w:sz w:val="20"/>
          <w:szCs w:val="20"/>
        </w:rPr>
      </w:pPr>
      <w:r w:rsidRPr="2CF858ED">
        <w:rPr>
          <w:i/>
          <w:iCs/>
          <w:sz w:val="20"/>
          <w:szCs w:val="20"/>
        </w:rPr>
        <w:t>Ministerstvo spravedlnosti</w:t>
      </w:r>
    </w:p>
    <w:p w14:paraId="641703A1" w14:textId="77777777" w:rsidR="009A6B0C" w:rsidRPr="00393D5E" w:rsidRDefault="009A6B0C" w:rsidP="00316A1B">
      <w:pPr>
        <w:spacing w:after="120" w:line="276" w:lineRule="auto"/>
        <w:jc w:val="both"/>
        <w:rPr>
          <w:rFonts w:cstheme="minorHAnsi"/>
          <w:i/>
          <w:sz w:val="20"/>
          <w:szCs w:val="20"/>
        </w:rPr>
      </w:pPr>
      <w:r w:rsidRPr="00393D5E">
        <w:rPr>
          <w:rFonts w:cstheme="minorHAnsi"/>
          <w:i/>
          <w:sz w:val="20"/>
          <w:szCs w:val="20"/>
        </w:rPr>
        <w:t>Ministerstvo vnitra</w:t>
      </w:r>
    </w:p>
    <w:p w14:paraId="61F3293A" w14:textId="77777777" w:rsidR="009A6B0C" w:rsidRPr="00393D5E" w:rsidRDefault="009A6B0C" w:rsidP="00316A1B">
      <w:pPr>
        <w:spacing w:after="120" w:line="276" w:lineRule="auto"/>
        <w:jc w:val="both"/>
        <w:rPr>
          <w:rFonts w:cstheme="minorHAnsi"/>
          <w:i/>
          <w:sz w:val="20"/>
          <w:szCs w:val="20"/>
        </w:rPr>
      </w:pPr>
      <w:r w:rsidRPr="00393D5E">
        <w:rPr>
          <w:rFonts w:cstheme="minorHAnsi"/>
          <w:i/>
          <w:sz w:val="20"/>
          <w:szCs w:val="20"/>
        </w:rPr>
        <w:t>Ministerstvo zdravotnictví</w:t>
      </w:r>
    </w:p>
    <w:p w14:paraId="48818BEF" w14:textId="77777777" w:rsidR="009A6B0C" w:rsidRPr="00393D5E" w:rsidRDefault="009A6B0C" w:rsidP="00316A1B">
      <w:pPr>
        <w:spacing w:after="120" w:line="276" w:lineRule="auto"/>
        <w:jc w:val="both"/>
        <w:rPr>
          <w:rFonts w:cstheme="minorHAnsi"/>
          <w:i/>
          <w:sz w:val="20"/>
          <w:szCs w:val="20"/>
        </w:rPr>
      </w:pPr>
      <w:r w:rsidRPr="00393D5E">
        <w:rPr>
          <w:rFonts w:cstheme="minorHAnsi"/>
          <w:i/>
          <w:sz w:val="20"/>
          <w:szCs w:val="20"/>
        </w:rPr>
        <w:t>Ministerstvo zemědělství</w:t>
      </w:r>
    </w:p>
    <w:p w14:paraId="79CA22EC" w14:textId="31360D27" w:rsidR="009A6B0C" w:rsidRPr="00393D5E" w:rsidRDefault="009A6B0C" w:rsidP="00316A1B">
      <w:pPr>
        <w:spacing w:after="120" w:line="276" w:lineRule="auto"/>
        <w:jc w:val="both"/>
        <w:rPr>
          <w:rFonts w:cstheme="minorHAnsi"/>
          <w:i/>
          <w:sz w:val="20"/>
          <w:szCs w:val="20"/>
        </w:rPr>
      </w:pPr>
      <w:r w:rsidRPr="00393D5E">
        <w:rPr>
          <w:rFonts w:cstheme="minorHAnsi"/>
          <w:i/>
          <w:sz w:val="20"/>
          <w:szCs w:val="20"/>
        </w:rPr>
        <w:t>Ministerstvo školství, mládeže a</w:t>
      </w:r>
      <w:r w:rsidR="0003053E">
        <w:rPr>
          <w:rFonts w:cstheme="minorHAnsi"/>
          <w:i/>
          <w:sz w:val="20"/>
          <w:szCs w:val="20"/>
        </w:rPr>
        <w:t> </w:t>
      </w:r>
      <w:r w:rsidRPr="00393D5E">
        <w:rPr>
          <w:rFonts w:cstheme="minorHAnsi"/>
          <w:i/>
          <w:sz w:val="20"/>
          <w:szCs w:val="20"/>
        </w:rPr>
        <w:t>tělovýchovy</w:t>
      </w:r>
    </w:p>
    <w:p w14:paraId="5AAA9EFC" w14:textId="77777777" w:rsidR="009A6B0C" w:rsidRPr="00393D5E" w:rsidRDefault="009A6B0C" w:rsidP="00316A1B">
      <w:pPr>
        <w:spacing w:after="120" w:line="276" w:lineRule="auto"/>
        <w:jc w:val="both"/>
        <w:rPr>
          <w:rFonts w:cstheme="minorHAnsi"/>
          <w:i/>
          <w:sz w:val="20"/>
          <w:szCs w:val="20"/>
        </w:rPr>
      </w:pPr>
      <w:r w:rsidRPr="00393D5E">
        <w:rPr>
          <w:rFonts w:cstheme="minorHAnsi"/>
          <w:i/>
          <w:sz w:val="20"/>
          <w:szCs w:val="20"/>
        </w:rPr>
        <w:t>Ministerstvo dopravy</w:t>
      </w:r>
    </w:p>
    <w:p w14:paraId="0A292A77" w14:textId="77777777" w:rsidR="009A6B0C" w:rsidRPr="00393D5E" w:rsidRDefault="009A6B0C" w:rsidP="00316A1B">
      <w:pPr>
        <w:spacing w:line="276" w:lineRule="auto"/>
        <w:jc w:val="both"/>
      </w:pPr>
      <w:r w:rsidRPr="00393D5E">
        <w:br w:type="page"/>
      </w:r>
    </w:p>
    <w:sdt>
      <w:sdtPr>
        <w:rPr>
          <w:rFonts w:asciiTheme="minorHAnsi" w:eastAsiaTheme="minorHAnsi" w:hAnsiTheme="minorHAnsi" w:cstheme="minorBidi"/>
          <w:color w:val="auto"/>
          <w:sz w:val="22"/>
          <w:szCs w:val="22"/>
          <w:lang w:eastAsia="en-US"/>
        </w:rPr>
        <w:id w:val="2092568540"/>
        <w:docPartObj>
          <w:docPartGallery w:val="Table of Contents"/>
          <w:docPartUnique/>
        </w:docPartObj>
      </w:sdtPr>
      <w:sdtEndPr/>
      <w:sdtContent>
        <w:p w14:paraId="684ED38C" w14:textId="77777777" w:rsidR="002560B3" w:rsidRPr="00393D5E" w:rsidRDefault="178BD9C4" w:rsidP="3E0D70EE">
          <w:pPr>
            <w:pStyle w:val="Nadpisobsahu"/>
            <w:spacing w:line="276" w:lineRule="auto"/>
            <w:jc w:val="both"/>
            <w:rPr>
              <w:color w:val="000000" w:themeColor="text1"/>
            </w:rPr>
          </w:pPr>
          <w:r w:rsidRPr="3E0D70EE">
            <w:rPr>
              <w:color w:val="000000" w:themeColor="text1"/>
            </w:rPr>
            <w:t>Obsah</w:t>
          </w:r>
        </w:p>
        <w:p w14:paraId="342E88D4" w14:textId="723697F7" w:rsidR="00E25A73" w:rsidRDefault="00D254EB">
          <w:pPr>
            <w:pStyle w:val="Obsah1"/>
            <w:tabs>
              <w:tab w:val="right" w:leader="dot" w:pos="9488"/>
            </w:tabs>
            <w:rPr>
              <w:rFonts w:eastAsiaTheme="minorEastAsia"/>
              <w:noProof/>
              <w:lang w:eastAsia="cs-CZ"/>
            </w:rPr>
          </w:pPr>
          <w:r>
            <w:fldChar w:fldCharType="begin"/>
          </w:r>
          <w:r w:rsidR="00A87E90">
            <w:instrText>TOC \o "1-4" \h \z \u</w:instrText>
          </w:r>
          <w:r>
            <w:fldChar w:fldCharType="separate"/>
          </w:r>
          <w:hyperlink w:anchor="_Toc151444335" w:history="1">
            <w:r w:rsidR="00E25A73" w:rsidRPr="002F1712">
              <w:rPr>
                <w:rStyle w:val="Hypertextovodkaz"/>
                <w:noProof/>
              </w:rPr>
              <w:t>Část I. Úvod k</w:t>
            </w:r>
            <w:r w:rsidR="0003053E">
              <w:rPr>
                <w:rStyle w:val="Hypertextovodkaz"/>
                <w:noProof/>
              </w:rPr>
              <w:t> </w:t>
            </w:r>
            <w:r w:rsidR="00E25A73" w:rsidRPr="002F1712">
              <w:rPr>
                <w:rStyle w:val="Hypertextovodkaz"/>
                <w:noProof/>
              </w:rPr>
              <w:t>dodatku</w:t>
            </w:r>
            <w:r w:rsidR="00E25A73">
              <w:rPr>
                <w:noProof/>
                <w:webHidden/>
              </w:rPr>
              <w:tab/>
            </w:r>
            <w:r w:rsidR="00E25A73">
              <w:rPr>
                <w:noProof/>
                <w:webHidden/>
              </w:rPr>
              <w:fldChar w:fldCharType="begin"/>
            </w:r>
            <w:r w:rsidR="00E25A73">
              <w:rPr>
                <w:noProof/>
                <w:webHidden/>
              </w:rPr>
              <w:instrText xml:space="preserve"> PAGEREF _Toc151444335 \h </w:instrText>
            </w:r>
            <w:r w:rsidR="00E25A73">
              <w:rPr>
                <w:noProof/>
                <w:webHidden/>
              </w:rPr>
            </w:r>
            <w:r w:rsidR="00E25A73">
              <w:rPr>
                <w:noProof/>
                <w:webHidden/>
              </w:rPr>
              <w:fldChar w:fldCharType="separate"/>
            </w:r>
            <w:r w:rsidR="00E25A73">
              <w:rPr>
                <w:noProof/>
                <w:webHidden/>
              </w:rPr>
              <w:t>8</w:t>
            </w:r>
            <w:r w:rsidR="00E25A73">
              <w:rPr>
                <w:noProof/>
                <w:webHidden/>
              </w:rPr>
              <w:fldChar w:fldCharType="end"/>
            </w:r>
          </w:hyperlink>
        </w:p>
        <w:p w14:paraId="7843FC5D" w14:textId="4C38A1B4" w:rsidR="00E25A73" w:rsidRDefault="00BA143B">
          <w:pPr>
            <w:pStyle w:val="Obsah2"/>
            <w:tabs>
              <w:tab w:val="left" w:pos="660"/>
              <w:tab w:val="right" w:leader="dot" w:pos="9488"/>
            </w:tabs>
            <w:rPr>
              <w:rFonts w:eastAsiaTheme="minorEastAsia"/>
              <w:noProof/>
              <w:lang w:eastAsia="cs-CZ"/>
            </w:rPr>
          </w:pPr>
          <w:hyperlink w:anchor="_Toc151444336" w:history="1">
            <w:r w:rsidR="00E25A73" w:rsidRPr="002F1712">
              <w:rPr>
                <w:rStyle w:val="Hypertextovodkaz"/>
                <w:noProof/>
              </w:rPr>
              <w:t>1</w:t>
            </w:r>
            <w:r w:rsidR="00E25A73">
              <w:rPr>
                <w:rFonts w:eastAsiaTheme="minorEastAsia"/>
                <w:noProof/>
                <w:lang w:eastAsia="cs-CZ"/>
              </w:rPr>
              <w:tab/>
            </w:r>
            <w:r w:rsidR="00E25A73" w:rsidRPr="002F1712">
              <w:rPr>
                <w:rStyle w:val="Hypertextovodkaz"/>
                <w:noProof/>
              </w:rPr>
              <w:t>Obecný cíl</w:t>
            </w:r>
            <w:r w:rsidR="00E25A73">
              <w:rPr>
                <w:noProof/>
                <w:webHidden/>
              </w:rPr>
              <w:tab/>
            </w:r>
            <w:r w:rsidR="00E25A73">
              <w:rPr>
                <w:noProof/>
                <w:webHidden/>
              </w:rPr>
              <w:fldChar w:fldCharType="begin"/>
            </w:r>
            <w:r w:rsidR="00E25A73">
              <w:rPr>
                <w:noProof/>
                <w:webHidden/>
              </w:rPr>
              <w:instrText xml:space="preserve"> PAGEREF _Toc151444336 \h </w:instrText>
            </w:r>
            <w:r w:rsidR="00E25A73">
              <w:rPr>
                <w:noProof/>
                <w:webHidden/>
              </w:rPr>
            </w:r>
            <w:r w:rsidR="00E25A73">
              <w:rPr>
                <w:noProof/>
                <w:webHidden/>
              </w:rPr>
              <w:fldChar w:fldCharType="separate"/>
            </w:r>
            <w:r w:rsidR="00E25A73">
              <w:rPr>
                <w:noProof/>
                <w:webHidden/>
              </w:rPr>
              <w:t>9</w:t>
            </w:r>
            <w:r w:rsidR="00E25A73">
              <w:rPr>
                <w:noProof/>
                <w:webHidden/>
              </w:rPr>
              <w:fldChar w:fldCharType="end"/>
            </w:r>
          </w:hyperlink>
        </w:p>
        <w:p w14:paraId="63356356" w14:textId="663FD238" w:rsidR="00E25A73" w:rsidRDefault="00BA143B">
          <w:pPr>
            <w:pStyle w:val="Obsah2"/>
            <w:tabs>
              <w:tab w:val="left" w:pos="660"/>
              <w:tab w:val="right" w:leader="dot" w:pos="9488"/>
            </w:tabs>
            <w:rPr>
              <w:rFonts w:eastAsiaTheme="minorEastAsia"/>
              <w:noProof/>
              <w:lang w:eastAsia="cs-CZ"/>
            </w:rPr>
          </w:pPr>
          <w:hyperlink w:anchor="_Toc151444337" w:history="1">
            <w:r w:rsidR="00E25A73" w:rsidRPr="002F1712">
              <w:rPr>
                <w:rStyle w:val="Hypertextovodkaz"/>
                <w:noProof/>
              </w:rPr>
              <w:t>2</w:t>
            </w:r>
            <w:r w:rsidR="00E25A73">
              <w:rPr>
                <w:rFonts w:eastAsiaTheme="minorEastAsia"/>
                <w:noProof/>
                <w:lang w:eastAsia="cs-CZ"/>
              </w:rPr>
              <w:tab/>
            </w:r>
            <w:r w:rsidR="00E25A73" w:rsidRPr="002F1712">
              <w:rPr>
                <w:rStyle w:val="Hypertextovodkaz"/>
                <w:noProof/>
              </w:rPr>
              <w:t>Odůvodnění dodatku</w:t>
            </w:r>
            <w:r w:rsidR="00E25A73">
              <w:rPr>
                <w:noProof/>
                <w:webHidden/>
              </w:rPr>
              <w:tab/>
            </w:r>
            <w:r w:rsidR="00E25A73">
              <w:rPr>
                <w:noProof/>
                <w:webHidden/>
              </w:rPr>
              <w:fldChar w:fldCharType="begin"/>
            </w:r>
            <w:r w:rsidR="00E25A73">
              <w:rPr>
                <w:noProof/>
                <w:webHidden/>
              </w:rPr>
              <w:instrText xml:space="preserve"> PAGEREF _Toc151444337 \h </w:instrText>
            </w:r>
            <w:r w:rsidR="00E25A73">
              <w:rPr>
                <w:noProof/>
                <w:webHidden/>
              </w:rPr>
            </w:r>
            <w:r w:rsidR="00E25A73">
              <w:rPr>
                <w:noProof/>
                <w:webHidden/>
              </w:rPr>
              <w:fldChar w:fldCharType="separate"/>
            </w:r>
            <w:r w:rsidR="00E25A73">
              <w:rPr>
                <w:noProof/>
                <w:webHidden/>
              </w:rPr>
              <w:t>12</w:t>
            </w:r>
            <w:r w:rsidR="00E25A73">
              <w:rPr>
                <w:noProof/>
                <w:webHidden/>
              </w:rPr>
              <w:fldChar w:fldCharType="end"/>
            </w:r>
          </w:hyperlink>
        </w:p>
        <w:p w14:paraId="1230B548" w14:textId="134201EC" w:rsidR="00E25A73" w:rsidRDefault="00BA143B">
          <w:pPr>
            <w:pStyle w:val="Obsah1"/>
            <w:tabs>
              <w:tab w:val="right" w:leader="dot" w:pos="9488"/>
            </w:tabs>
            <w:rPr>
              <w:rFonts w:eastAsiaTheme="minorEastAsia"/>
              <w:noProof/>
              <w:lang w:eastAsia="cs-CZ"/>
            </w:rPr>
          </w:pPr>
          <w:hyperlink w:anchor="_Toc151444338" w:history="1">
            <w:r w:rsidR="00E25A73" w:rsidRPr="002F1712">
              <w:rPr>
                <w:rStyle w:val="Hypertextovodkaz"/>
                <w:noProof/>
              </w:rPr>
              <w:t>Část II. Popis dodatečných a</w:t>
            </w:r>
            <w:r w:rsidR="0003053E">
              <w:rPr>
                <w:rStyle w:val="Hypertextovodkaz"/>
                <w:noProof/>
              </w:rPr>
              <w:t> </w:t>
            </w:r>
            <w:r w:rsidR="00E25A73" w:rsidRPr="002F1712">
              <w:rPr>
                <w:rStyle w:val="Hypertextovodkaz"/>
                <w:noProof/>
              </w:rPr>
              <w:t>pozměněných reforem a</w:t>
            </w:r>
            <w:r w:rsidR="0003053E">
              <w:rPr>
                <w:rStyle w:val="Hypertextovodkaz"/>
                <w:noProof/>
              </w:rPr>
              <w:t> </w:t>
            </w:r>
            <w:r w:rsidR="00E25A73" w:rsidRPr="002F1712">
              <w:rPr>
                <w:rStyle w:val="Hypertextovodkaz"/>
                <w:noProof/>
              </w:rPr>
              <w:t>investic</w:t>
            </w:r>
            <w:r w:rsidR="00E25A73">
              <w:rPr>
                <w:noProof/>
                <w:webHidden/>
              </w:rPr>
              <w:tab/>
            </w:r>
            <w:r w:rsidR="00E25A73">
              <w:rPr>
                <w:noProof/>
                <w:webHidden/>
              </w:rPr>
              <w:fldChar w:fldCharType="begin"/>
            </w:r>
            <w:r w:rsidR="00E25A73">
              <w:rPr>
                <w:noProof/>
                <w:webHidden/>
              </w:rPr>
              <w:instrText xml:space="preserve"> PAGEREF _Toc151444338 \h </w:instrText>
            </w:r>
            <w:r w:rsidR="00E25A73">
              <w:rPr>
                <w:noProof/>
                <w:webHidden/>
              </w:rPr>
            </w:r>
            <w:r w:rsidR="00E25A73">
              <w:rPr>
                <w:noProof/>
                <w:webHidden/>
              </w:rPr>
              <w:fldChar w:fldCharType="separate"/>
            </w:r>
            <w:r w:rsidR="00E25A73">
              <w:rPr>
                <w:noProof/>
                <w:webHidden/>
              </w:rPr>
              <w:t>14</w:t>
            </w:r>
            <w:r w:rsidR="00E25A73">
              <w:rPr>
                <w:noProof/>
                <w:webHidden/>
              </w:rPr>
              <w:fldChar w:fldCharType="end"/>
            </w:r>
          </w:hyperlink>
        </w:p>
        <w:p w14:paraId="71A7593B" w14:textId="38CBA654" w:rsidR="00E25A73" w:rsidRDefault="00BA143B">
          <w:pPr>
            <w:pStyle w:val="Obsah2"/>
            <w:tabs>
              <w:tab w:val="left" w:pos="660"/>
              <w:tab w:val="right" w:leader="dot" w:pos="9488"/>
            </w:tabs>
            <w:rPr>
              <w:rFonts w:eastAsiaTheme="minorEastAsia"/>
              <w:noProof/>
              <w:lang w:eastAsia="cs-CZ"/>
            </w:rPr>
          </w:pPr>
          <w:hyperlink w:anchor="_Toc151444339" w:history="1">
            <w:r w:rsidR="00E25A73" w:rsidRPr="002F1712">
              <w:rPr>
                <w:rStyle w:val="Hypertextovodkaz"/>
                <w:noProof/>
              </w:rPr>
              <w:t>3</w:t>
            </w:r>
            <w:r w:rsidR="00E25A73">
              <w:rPr>
                <w:rFonts w:eastAsiaTheme="minorEastAsia"/>
                <w:noProof/>
                <w:lang w:eastAsia="cs-CZ"/>
              </w:rPr>
              <w:tab/>
            </w:r>
            <w:r w:rsidR="00E25A73" w:rsidRPr="002F1712">
              <w:rPr>
                <w:rStyle w:val="Hypertextovodkaz"/>
                <w:noProof/>
              </w:rPr>
              <w:t>Nové investice a</w:t>
            </w:r>
            <w:r w:rsidR="0003053E">
              <w:rPr>
                <w:rStyle w:val="Hypertextovodkaz"/>
                <w:noProof/>
              </w:rPr>
              <w:t> </w:t>
            </w:r>
            <w:r w:rsidR="00E25A73" w:rsidRPr="002F1712">
              <w:rPr>
                <w:rStyle w:val="Hypertextovodkaz"/>
                <w:noProof/>
              </w:rPr>
              <w:t>reformy</w:t>
            </w:r>
            <w:r w:rsidR="00E25A73">
              <w:rPr>
                <w:noProof/>
                <w:webHidden/>
              </w:rPr>
              <w:tab/>
            </w:r>
            <w:r w:rsidR="00E25A73">
              <w:rPr>
                <w:noProof/>
                <w:webHidden/>
              </w:rPr>
              <w:fldChar w:fldCharType="begin"/>
            </w:r>
            <w:r w:rsidR="00E25A73">
              <w:rPr>
                <w:noProof/>
                <w:webHidden/>
              </w:rPr>
              <w:instrText xml:space="preserve"> PAGEREF _Toc151444339 \h </w:instrText>
            </w:r>
            <w:r w:rsidR="00E25A73">
              <w:rPr>
                <w:noProof/>
                <w:webHidden/>
              </w:rPr>
            </w:r>
            <w:r w:rsidR="00E25A73">
              <w:rPr>
                <w:noProof/>
                <w:webHidden/>
              </w:rPr>
              <w:fldChar w:fldCharType="separate"/>
            </w:r>
            <w:r w:rsidR="00E25A73">
              <w:rPr>
                <w:noProof/>
                <w:webHidden/>
              </w:rPr>
              <w:t>15</w:t>
            </w:r>
            <w:r w:rsidR="00E25A73">
              <w:rPr>
                <w:noProof/>
                <w:webHidden/>
              </w:rPr>
              <w:fldChar w:fldCharType="end"/>
            </w:r>
          </w:hyperlink>
        </w:p>
        <w:p w14:paraId="3C17109D" w14:textId="7B1AD299" w:rsidR="00E25A73" w:rsidRDefault="00BA143B">
          <w:pPr>
            <w:pStyle w:val="Obsah2"/>
            <w:tabs>
              <w:tab w:val="left" w:pos="660"/>
              <w:tab w:val="right" w:leader="dot" w:pos="9488"/>
            </w:tabs>
            <w:rPr>
              <w:rFonts w:eastAsiaTheme="minorEastAsia"/>
              <w:noProof/>
              <w:lang w:eastAsia="cs-CZ"/>
            </w:rPr>
          </w:pPr>
          <w:hyperlink w:anchor="_Toc151444340" w:history="1">
            <w:r w:rsidR="00E25A73" w:rsidRPr="002F1712">
              <w:rPr>
                <w:rStyle w:val="Hypertextovodkaz"/>
                <w:noProof/>
              </w:rPr>
              <w:t>4</w:t>
            </w:r>
            <w:r w:rsidR="00E25A73">
              <w:rPr>
                <w:rFonts w:eastAsiaTheme="minorEastAsia"/>
                <w:noProof/>
                <w:lang w:eastAsia="cs-CZ"/>
              </w:rPr>
              <w:tab/>
            </w:r>
            <w:r w:rsidR="00E25A73" w:rsidRPr="002F1712">
              <w:rPr>
                <w:rStyle w:val="Hypertextovodkaz"/>
                <w:noProof/>
              </w:rPr>
              <w:t>Pilíř č. 7 - REPowerEU</w:t>
            </w:r>
            <w:r w:rsidR="00E25A73">
              <w:rPr>
                <w:noProof/>
                <w:webHidden/>
              </w:rPr>
              <w:tab/>
            </w:r>
            <w:r w:rsidR="00E25A73">
              <w:rPr>
                <w:noProof/>
                <w:webHidden/>
              </w:rPr>
              <w:fldChar w:fldCharType="begin"/>
            </w:r>
            <w:r w:rsidR="00E25A73">
              <w:rPr>
                <w:noProof/>
                <w:webHidden/>
              </w:rPr>
              <w:instrText xml:space="preserve"> PAGEREF _Toc151444340 \h </w:instrText>
            </w:r>
            <w:r w:rsidR="00E25A73">
              <w:rPr>
                <w:noProof/>
                <w:webHidden/>
              </w:rPr>
            </w:r>
            <w:r w:rsidR="00E25A73">
              <w:rPr>
                <w:noProof/>
                <w:webHidden/>
              </w:rPr>
              <w:fldChar w:fldCharType="separate"/>
            </w:r>
            <w:r w:rsidR="00E25A73">
              <w:rPr>
                <w:noProof/>
                <w:webHidden/>
              </w:rPr>
              <w:t>19</w:t>
            </w:r>
            <w:r w:rsidR="00E25A73">
              <w:rPr>
                <w:noProof/>
                <w:webHidden/>
              </w:rPr>
              <w:fldChar w:fldCharType="end"/>
            </w:r>
          </w:hyperlink>
        </w:p>
        <w:p w14:paraId="5BE52B54" w14:textId="0D492CA8" w:rsidR="00E25A73" w:rsidRDefault="00BA143B">
          <w:pPr>
            <w:pStyle w:val="Obsah3"/>
            <w:tabs>
              <w:tab w:val="left" w:pos="1100"/>
              <w:tab w:val="right" w:leader="dot" w:pos="9488"/>
            </w:tabs>
            <w:rPr>
              <w:rFonts w:eastAsiaTheme="minorEastAsia"/>
              <w:noProof/>
              <w:lang w:eastAsia="cs-CZ"/>
            </w:rPr>
          </w:pPr>
          <w:hyperlink w:anchor="_Toc151444341" w:history="1">
            <w:r w:rsidR="00E25A73" w:rsidRPr="002F1712">
              <w:rPr>
                <w:rStyle w:val="Hypertextovodkaz"/>
                <w:noProof/>
              </w:rPr>
              <w:t>4.1</w:t>
            </w:r>
            <w:r w:rsidR="00E25A73">
              <w:rPr>
                <w:rFonts w:eastAsiaTheme="minorEastAsia"/>
                <w:noProof/>
                <w:lang w:eastAsia="cs-CZ"/>
              </w:rPr>
              <w:tab/>
            </w:r>
            <w:r w:rsidR="00E25A73" w:rsidRPr="002F1712">
              <w:rPr>
                <w:rStyle w:val="Hypertextovodkaz"/>
                <w:noProof/>
              </w:rPr>
              <w:t>Obecný cíl kapitoly REPowerEU</w:t>
            </w:r>
            <w:r w:rsidR="00E25A73">
              <w:rPr>
                <w:noProof/>
                <w:webHidden/>
              </w:rPr>
              <w:tab/>
            </w:r>
            <w:r w:rsidR="00E25A73">
              <w:rPr>
                <w:noProof/>
                <w:webHidden/>
              </w:rPr>
              <w:fldChar w:fldCharType="begin"/>
            </w:r>
            <w:r w:rsidR="00E25A73">
              <w:rPr>
                <w:noProof/>
                <w:webHidden/>
              </w:rPr>
              <w:instrText xml:space="preserve"> PAGEREF _Toc151444341 \h </w:instrText>
            </w:r>
            <w:r w:rsidR="00E25A73">
              <w:rPr>
                <w:noProof/>
                <w:webHidden/>
              </w:rPr>
            </w:r>
            <w:r w:rsidR="00E25A73">
              <w:rPr>
                <w:noProof/>
                <w:webHidden/>
              </w:rPr>
              <w:fldChar w:fldCharType="separate"/>
            </w:r>
            <w:r w:rsidR="00E25A73">
              <w:rPr>
                <w:noProof/>
                <w:webHidden/>
              </w:rPr>
              <w:t>19</w:t>
            </w:r>
            <w:r w:rsidR="00E25A73">
              <w:rPr>
                <w:noProof/>
                <w:webHidden/>
              </w:rPr>
              <w:fldChar w:fldCharType="end"/>
            </w:r>
          </w:hyperlink>
        </w:p>
        <w:p w14:paraId="01BC1C9F" w14:textId="06E409CB" w:rsidR="00E25A73" w:rsidRDefault="00BA143B">
          <w:pPr>
            <w:pStyle w:val="Obsah3"/>
            <w:tabs>
              <w:tab w:val="left" w:pos="1100"/>
              <w:tab w:val="right" w:leader="dot" w:pos="9488"/>
            </w:tabs>
            <w:rPr>
              <w:rFonts w:eastAsiaTheme="minorEastAsia"/>
              <w:noProof/>
              <w:lang w:eastAsia="cs-CZ"/>
            </w:rPr>
          </w:pPr>
          <w:hyperlink w:anchor="_Toc151444342" w:history="1">
            <w:r w:rsidR="00E25A73" w:rsidRPr="002F1712">
              <w:rPr>
                <w:rStyle w:val="Hypertextovodkaz"/>
                <w:noProof/>
              </w:rPr>
              <w:t>4.2</w:t>
            </w:r>
            <w:r w:rsidR="00E25A73">
              <w:rPr>
                <w:rFonts w:eastAsiaTheme="minorEastAsia"/>
                <w:noProof/>
                <w:lang w:eastAsia="cs-CZ"/>
              </w:rPr>
              <w:tab/>
            </w:r>
            <w:r w:rsidR="00E25A73" w:rsidRPr="002F1712">
              <w:rPr>
                <w:rStyle w:val="Hypertextovodkaz"/>
                <w:noProof/>
              </w:rPr>
              <w:t>Popis příslušných reforem a</w:t>
            </w:r>
            <w:r w:rsidR="0003053E">
              <w:rPr>
                <w:rStyle w:val="Hypertextovodkaz"/>
                <w:noProof/>
              </w:rPr>
              <w:t> </w:t>
            </w:r>
            <w:r w:rsidR="00E25A73" w:rsidRPr="002F1712">
              <w:rPr>
                <w:rStyle w:val="Hypertextovodkaz"/>
                <w:noProof/>
              </w:rPr>
              <w:t>investic</w:t>
            </w:r>
            <w:r w:rsidR="00E25A73">
              <w:rPr>
                <w:noProof/>
                <w:webHidden/>
              </w:rPr>
              <w:tab/>
            </w:r>
            <w:r w:rsidR="00E25A73">
              <w:rPr>
                <w:noProof/>
                <w:webHidden/>
              </w:rPr>
              <w:fldChar w:fldCharType="begin"/>
            </w:r>
            <w:r w:rsidR="00E25A73">
              <w:rPr>
                <w:noProof/>
                <w:webHidden/>
              </w:rPr>
              <w:instrText xml:space="preserve"> PAGEREF _Toc151444342 \h </w:instrText>
            </w:r>
            <w:r w:rsidR="00E25A73">
              <w:rPr>
                <w:noProof/>
                <w:webHidden/>
              </w:rPr>
            </w:r>
            <w:r w:rsidR="00E25A73">
              <w:rPr>
                <w:noProof/>
                <w:webHidden/>
              </w:rPr>
              <w:fldChar w:fldCharType="separate"/>
            </w:r>
            <w:r w:rsidR="00E25A73">
              <w:rPr>
                <w:noProof/>
                <w:webHidden/>
              </w:rPr>
              <w:t>20</w:t>
            </w:r>
            <w:r w:rsidR="00E25A73">
              <w:rPr>
                <w:noProof/>
                <w:webHidden/>
              </w:rPr>
              <w:fldChar w:fldCharType="end"/>
            </w:r>
          </w:hyperlink>
        </w:p>
        <w:p w14:paraId="28A2B0D7" w14:textId="7517703F" w:rsidR="00E25A73" w:rsidRDefault="00BA143B">
          <w:pPr>
            <w:pStyle w:val="Obsah4"/>
            <w:tabs>
              <w:tab w:val="left" w:pos="1540"/>
              <w:tab w:val="right" w:leader="dot" w:pos="9488"/>
            </w:tabs>
            <w:rPr>
              <w:rFonts w:eastAsiaTheme="minorEastAsia"/>
              <w:noProof/>
              <w:lang w:eastAsia="cs-CZ"/>
            </w:rPr>
          </w:pPr>
          <w:hyperlink w:anchor="_Toc151444343" w:history="1">
            <w:r w:rsidR="00E25A73" w:rsidRPr="002F1712">
              <w:rPr>
                <w:rStyle w:val="Hypertextovodkaz"/>
                <w:noProof/>
              </w:rPr>
              <w:t>4.2.1</w:t>
            </w:r>
            <w:r w:rsidR="00E25A73">
              <w:rPr>
                <w:rFonts w:eastAsiaTheme="minorEastAsia"/>
                <w:noProof/>
                <w:lang w:eastAsia="cs-CZ"/>
              </w:rPr>
              <w:tab/>
            </w:r>
            <w:r w:rsidR="00E25A73" w:rsidRPr="002F1712">
              <w:rPr>
                <w:rStyle w:val="Hypertextovodkaz"/>
                <w:noProof/>
              </w:rPr>
              <w:t>Shrnutí</w:t>
            </w:r>
            <w:r w:rsidR="00E25A73">
              <w:rPr>
                <w:noProof/>
                <w:webHidden/>
              </w:rPr>
              <w:tab/>
            </w:r>
            <w:r w:rsidR="00E25A73">
              <w:rPr>
                <w:noProof/>
                <w:webHidden/>
              </w:rPr>
              <w:fldChar w:fldCharType="begin"/>
            </w:r>
            <w:r w:rsidR="00E25A73">
              <w:rPr>
                <w:noProof/>
                <w:webHidden/>
              </w:rPr>
              <w:instrText xml:space="preserve"> PAGEREF _Toc151444343 \h </w:instrText>
            </w:r>
            <w:r w:rsidR="00E25A73">
              <w:rPr>
                <w:noProof/>
                <w:webHidden/>
              </w:rPr>
            </w:r>
            <w:r w:rsidR="00E25A73">
              <w:rPr>
                <w:noProof/>
                <w:webHidden/>
              </w:rPr>
              <w:fldChar w:fldCharType="separate"/>
            </w:r>
            <w:r w:rsidR="00E25A73">
              <w:rPr>
                <w:noProof/>
                <w:webHidden/>
              </w:rPr>
              <w:t>20</w:t>
            </w:r>
            <w:r w:rsidR="00E25A73">
              <w:rPr>
                <w:noProof/>
                <w:webHidden/>
              </w:rPr>
              <w:fldChar w:fldCharType="end"/>
            </w:r>
          </w:hyperlink>
        </w:p>
        <w:p w14:paraId="046700FA" w14:textId="0D1D620F" w:rsidR="00E25A73" w:rsidRDefault="00BA143B">
          <w:pPr>
            <w:pStyle w:val="Obsah4"/>
            <w:tabs>
              <w:tab w:val="left" w:pos="1540"/>
              <w:tab w:val="right" w:leader="dot" w:pos="9488"/>
            </w:tabs>
            <w:rPr>
              <w:rFonts w:eastAsiaTheme="minorEastAsia"/>
              <w:noProof/>
              <w:lang w:eastAsia="cs-CZ"/>
            </w:rPr>
          </w:pPr>
          <w:hyperlink w:anchor="_Toc151444344" w:history="1">
            <w:r w:rsidR="00E25A73" w:rsidRPr="002F1712">
              <w:rPr>
                <w:rStyle w:val="Hypertextovodkaz"/>
                <w:noProof/>
              </w:rPr>
              <w:t>4.2.2</w:t>
            </w:r>
            <w:r w:rsidR="00E25A73">
              <w:rPr>
                <w:rFonts w:eastAsiaTheme="minorEastAsia"/>
                <w:noProof/>
                <w:lang w:eastAsia="cs-CZ"/>
              </w:rPr>
              <w:tab/>
            </w:r>
            <w:r w:rsidR="00E25A73" w:rsidRPr="002F1712">
              <w:rPr>
                <w:rStyle w:val="Hypertextovodkaz"/>
                <w:noProof/>
              </w:rPr>
              <w:t>Cíle plánu REPowerEU</w:t>
            </w:r>
            <w:r w:rsidR="00E25A73">
              <w:rPr>
                <w:noProof/>
                <w:webHidden/>
              </w:rPr>
              <w:tab/>
            </w:r>
            <w:r w:rsidR="00E25A73">
              <w:rPr>
                <w:noProof/>
                <w:webHidden/>
              </w:rPr>
              <w:fldChar w:fldCharType="begin"/>
            </w:r>
            <w:r w:rsidR="00E25A73">
              <w:rPr>
                <w:noProof/>
                <w:webHidden/>
              </w:rPr>
              <w:instrText xml:space="preserve"> PAGEREF _Toc151444344 \h </w:instrText>
            </w:r>
            <w:r w:rsidR="00E25A73">
              <w:rPr>
                <w:noProof/>
                <w:webHidden/>
              </w:rPr>
            </w:r>
            <w:r w:rsidR="00E25A73">
              <w:rPr>
                <w:noProof/>
                <w:webHidden/>
              </w:rPr>
              <w:fldChar w:fldCharType="separate"/>
            </w:r>
            <w:r w:rsidR="00E25A73">
              <w:rPr>
                <w:noProof/>
                <w:webHidden/>
              </w:rPr>
              <w:t>22</w:t>
            </w:r>
            <w:r w:rsidR="00E25A73">
              <w:rPr>
                <w:noProof/>
                <w:webHidden/>
              </w:rPr>
              <w:fldChar w:fldCharType="end"/>
            </w:r>
          </w:hyperlink>
        </w:p>
        <w:p w14:paraId="7E9D2B44" w14:textId="5A90F5CF" w:rsidR="00E25A73" w:rsidRDefault="00BA143B">
          <w:pPr>
            <w:pStyle w:val="Obsah4"/>
            <w:tabs>
              <w:tab w:val="left" w:pos="1540"/>
              <w:tab w:val="right" w:leader="dot" w:pos="9488"/>
            </w:tabs>
            <w:rPr>
              <w:rFonts w:eastAsiaTheme="minorEastAsia"/>
              <w:noProof/>
              <w:lang w:eastAsia="cs-CZ"/>
            </w:rPr>
          </w:pPr>
          <w:hyperlink w:anchor="_Toc151444345" w:history="1">
            <w:r w:rsidR="00E25A73" w:rsidRPr="002F1712">
              <w:rPr>
                <w:rStyle w:val="Hypertextovodkaz"/>
                <w:noProof/>
              </w:rPr>
              <w:t>4.2.3</w:t>
            </w:r>
            <w:r w:rsidR="00E25A73">
              <w:rPr>
                <w:rFonts w:eastAsiaTheme="minorEastAsia"/>
                <w:noProof/>
                <w:lang w:eastAsia="cs-CZ"/>
              </w:rPr>
              <w:tab/>
            </w:r>
            <w:r w:rsidR="00E25A73" w:rsidRPr="002F1712">
              <w:rPr>
                <w:rStyle w:val="Hypertextovodkaz"/>
                <w:noProof/>
              </w:rPr>
              <w:t>Popis reforem a</w:t>
            </w:r>
            <w:r w:rsidR="0003053E">
              <w:rPr>
                <w:rStyle w:val="Hypertextovodkaz"/>
                <w:noProof/>
              </w:rPr>
              <w:t> </w:t>
            </w:r>
            <w:r w:rsidR="00E25A73" w:rsidRPr="002F1712">
              <w:rPr>
                <w:rStyle w:val="Hypertextovodkaz"/>
                <w:noProof/>
              </w:rPr>
              <w:t>investic</w:t>
            </w:r>
            <w:r w:rsidR="00E25A73">
              <w:rPr>
                <w:noProof/>
                <w:webHidden/>
              </w:rPr>
              <w:tab/>
            </w:r>
            <w:r w:rsidR="00E25A73">
              <w:rPr>
                <w:noProof/>
                <w:webHidden/>
              </w:rPr>
              <w:fldChar w:fldCharType="begin"/>
            </w:r>
            <w:r w:rsidR="00E25A73">
              <w:rPr>
                <w:noProof/>
                <w:webHidden/>
              </w:rPr>
              <w:instrText xml:space="preserve"> PAGEREF _Toc151444345 \h </w:instrText>
            </w:r>
            <w:r w:rsidR="00E25A73">
              <w:rPr>
                <w:noProof/>
                <w:webHidden/>
              </w:rPr>
            </w:r>
            <w:r w:rsidR="00E25A73">
              <w:rPr>
                <w:noProof/>
                <w:webHidden/>
              </w:rPr>
              <w:fldChar w:fldCharType="separate"/>
            </w:r>
            <w:r w:rsidR="00E25A73">
              <w:rPr>
                <w:noProof/>
                <w:webHidden/>
              </w:rPr>
              <w:t>23</w:t>
            </w:r>
            <w:r w:rsidR="00E25A73">
              <w:rPr>
                <w:noProof/>
                <w:webHidden/>
              </w:rPr>
              <w:fldChar w:fldCharType="end"/>
            </w:r>
          </w:hyperlink>
        </w:p>
        <w:p w14:paraId="6E91D599" w14:textId="20C19FC8" w:rsidR="00E25A73" w:rsidRDefault="00BA143B">
          <w:pPr>
            <w:pStyle w:val="Obsah4"/>
            <w:tabs>
              <w:tab w:val="left" w:pos="1540"/>
              <w:tab w:val="right" w:leader="dot" w:pos="9488"/>
            </w:tabs>
            <w:rPr>
              <w:rFonts w:eastAsiaTheme="minorEastAsia"/>
              <w:noProof/>
              <w:lang w:eastAsia="cs-CZ"/>
            </w:rPr>
          </w:pPr>
          <w:hyperlink w:anchor="_Toc151444346" w:history="1">
            <w:r w:rsidR="00E25A73" w:rsidRPr="002F1712">
              <w:rPr>
                <w:rStyle w:val="Hypertextovodkaz"/>
                <w:noProof/>
              </w:rPr>
              <w:t>4.2.4</w:t>
            </w:r>
            <w:r w:rsidR="00E25A73">
              <w:rPr>
                <w:rFonts w:eastAsiaTheme="minorEastAsia"/>
                <w:noProof/>
                <w:lang w:eastAsia="cs-CZ"/>
              </w:rPr>
              <w:tab/>
            </w:r>
            <w:r w:rsidR="00E25A73" w:rsidRPr="002F1712">
              <w:rPr>
                <w:rStyle w:val="Hypertextovodkaz"/>
                <w:noProof/>
              </w:rPr>
              <w:t>Projekty s</w:t>
            </w:r>
            <w:r w:rsidR="0003053E">
              <w:rPr>
                <w:rStyle w:val="Hypertextovodkaz"/>
                <w:noProof/>
              </w:rPr>
              <w:t> </w:t>
            </w:r>
            <w:r w:rsidR="00E25A73" w:rsidRPr="002F1712">
              <w:rPr>
                <w:rStyle w:val="Hypertextovodkaz"/>
                <w:noProof/>
              </w:rPr>
              <w:t>přeshraničním rozměrem či dopadem nebo s</w:t>
            </w:r>
            <w:r w:rsidR="0003053E">
              <w:rPr>
                <w:rStyle w:val="Hypertextovodkaz"/>
                <w:noProof/>
              </w:rPr>
              <w:t> </w:t>
            </w:r>
            <w:r w:rsidR="00E25A73" w:rsidRPr="002F1712">
              <w:rPr>
                <w:rStyle w:val="Hypertextovodkaz"/>
                <w:noProof/>
              </w:rPr>
              <w:t>rozměrem či dopadem zahrnujícím více zemí</w:t>
            </w:r>
            <w:r w:rsidR="00E25A73">
              <w:rPr>
                <w:noProof/>
                <w:webHidden/>
              </w:rPr>
              <w:tab/>
            </w:r>
            <w:r w:rsidR="00E25A73">
              <w:rPr>
                <w:noProof/>
                <w:webHidden/>
              </w:rPr>
              <w:fldChar w:fldCharType="begin"/>
            </w:r>
            <w:r w:rsidR="00E25A73">
              <w:rPr>
                <w:noProof/>
                <w:webHidden/>
              </w:rPr>
              <w:instrText xml:space="preserve"> PAGEREF _Toc151444346 \h </w:instrText>
            </w:r>
            <w:r w:rsidR="00E25A73">
              <w:rPr>
                <w:noProof/>
                <w:webHidden/>
              </w:rPr>
            </w:r>
            <w:r w:rsidR="00E25A73">
              <w:rPr>
                <w:noProof/>
                <w:webHidden/>
              </w:rPr>
              <w:fldChar w:fldCharType="separate"/>
            </w:r>
            <w:r w:rsidR="00E25A73">
              <w:rPr>
                <w:noProof/>
                <w:webHidden/>
              </w:rPr>
              <w:t>23</w:t>
            </w:r>
            <w:r w:rsidR="00E25A73">
              <w:rPr>
                <w:noProof/>
                <w:webHidden/>
              </w:rPr>
              <w:fldChar w:fldCharType="end"/>
            </w:r>
          </w:hyperlink>
        </w:p>
        <w:p w14:paraId="6BBC3F32" w14:textId="22CAE36C" w:rsidR="00E25A73" w:rsidRDefault="00BA143B">
          <w:pPr>
            <w:pStyle w:val="Obsah4"/>
            <w:tabs>
              <w:tab w:val="left" w:pos="1540"/>
              <w:tab w:val="right" w:leader="dot" w:pos="9488"/>
            </w:tabs>
            <w:rPr>
              <w:rFonts w:eastAsiaTheme="minorEastAsia"/>
              <w:noProof/>
              <w:lang w:eastAsia="cs-CZ"/>
            </w:rPr>
          </w:pPr>
          <w:hyperlink w:anchor="_Toc151444347" w:history="1">
            <w:r w:rsidR="00E25A73" w:rsidRPr="002F1712">
              <w:rPr>
                <w:rStyle w:val="Hypertextovodkaz"/>
                <w:noProof/>
              </w:rPr>
              <w:t>4.2.5</w:t>
            </w:r>
            <w:r w:rsidR="00E25A73">
              <w:rPr>
                <w:rFonts w:eastAsiaTheme="minorEastAsia"/>
                <w:noProof/>
                <w:lang w:eastAsia="cs-CZ"/>
              </w:rPr>
              <w:tab/>
            </w:r>
            <w:r w:rsidR="00E25A73" w:rsidRPr="002F1712">
              <w:rPr>
                <w:rStyle w:val="Hypertextovodkaz"/>
                <w:noProof/>
              </w:rPr>
              <w:t>Konzultace s</w:t>
            </w:r>
            <w:r w:rsidR="0003053E">
              <w:rPr>
                <w:rStyle w:val="Hypertextovodkaz"/>
                <w:noProof/>
              </w:rPr>
              <w:t> </w:t>
            </w:r>
            <w:r w:rsidR="00E25A73" w:rsidRPr="002F1712">
              <w:rPr>
                <w:rStyle w:val="Hypertextovodkaz"/>
                <w:noProof/>
              </w:rPr>
              <w:t>místními a</w:t>
            </w:r>
            <w:r w:rsidR="0003053E">
              <w:rPr>
                <w:rStyle w:val="Hypertextovodkaz"/>
                <w:noProof/>
              </w:rPr>
              <w:t> </w:t>
            </w:r>
            <w:r w:rsidR="00E25A73" w:rsidRPr="002F1712">
              <w:rPr>
                <w:rStyle w:val="Hypertextovodkaz"/>
                <w:noProof/>
              </w:rPr>
              <w:t>regionálními orgány a</w:t>
            </w:r>
            <w:r w:rsidR="0003053E">
              <w:rPr>
                <w:rStyle w:val="Hypertextovodkaz"/>
                <w:noProof/>
              </w:rPr>
              <w:t> </w:t>
            </w:r>
            <w:r w:rsidR="00E25A73" w:rsidRPr="002F1712">
              <w:rPr>
                <w:rStyle w:val="Hypertextovodkaz"/>
                <w:noProof/>
              </w:rPr>
              <w:t>s dalšími relevantními zúčastněnými stranami</w:t>
            </w:r>
            <w:r w:rsidR="00E25A73">
              <w:rPr>
                <w:noProof/>
                <w:webHidden/>
              </w:rPr>
              <w:tab/>
            </w:r>
            <w:r w:rsidR="00E25A73">
              <w:rPr>
                <w:noProof/>
                <w:webHidden/>
              </w:rPr>
              <w:fldChar w:fldCharType="begin"/>
            </w:r>
            <w:r w:rsidR="00E25A73">
              <w:rPr>
                <w:noProof/>
                <w:webHidden/>
              </w:rPr>
              <w:instrText xml:space="preserve"> PAGEREF _Toc151444347 \h </w:instrText>
            </w:r>
            <w:r w:rsidR="00E25A73">
              <w:rPr>
                <w:noProof/>
                <w:webHidden/>
              </w:rPr>
            </w:r>
            <w:r w:rsidR="00E25A73">
              <w:rPr>
                <w:noProof/>
                <w:webHidden/>
              </w:rPr>
              <w:fldChar w:fldCharType="separate"/>
            </w:r>
            <w:r w:rsidR="00E25A73">
              <w:rPr>
                <w:noProof/>
                <w:webHidden/>
              </w:rPr>
              <w:t>25</w:t>
            </w:r>
            <w:r w:rsidR="00E25A73">
              <w:rPr>
                <w:noProof/>
                <w:webHidden/>
              </w:rPr>
              <w:fldChar w:fldCharType="end"/>
            </w:r>
          </w:hyperlink>
        </w:p>
        <w:p w14:paraId="2FD161AB" w14:textId="07EAC7D8" w:rsidR="00E25A73" w:rsidRDefault="00BA143B">
          <w:pPr>
            <w:pStyle w:val="Obsah4"/>
            <w:tabs>
              <w:tab w:val="left" w:pos="1540"/>
              <w:tab w:val="right" w:leader="dot" w:pos="9488"/>
            </w:tabs>
            <w:rPr>
              <w:rFonts w:eastAsiaTheme="minorEastAsia"/>
              <w:noProof/>
              <w:lang w:eastAsia="cs-CZ"/>
            </w:rPr>
          </w:pPr>
          <w:hyperlink w:anchor="_Toc151444348" w:history="1">
            <w:r w:rsidR="00E25A73" w:rsidRPr="002F1712">
              <w:rPr>
                <w:rStyle w:val="Hypertextovodkaz"/>
                <w:noProof/>
              </w:rPr>
              <w:t>4.2.6</w:t>
            </w:r>
            <w:r w:rsidR="00E25A73">
              <w:rPr>
                <w:rFonts w:eastAsiaTheme="minorEastAsia"/>
                <w:noProof/>
                <w:lang w:eastAsia="cs-CZ"/>
              </w:rPr>
              <w:tab/>
            </w:r>
            <w:r w:rsidR="00E25A73" w:rsidRPr="002F1712">
              <w:rPr>
                <w:rStyle w:val="Hypertextovodkaz"/>
                <w:noProof/>
              </w:rPr>
              <w:t>Digitální aspekt</w:t>
            </w:r>
            <w:r w:rsidR="00E25A73">
              <w:rPr>
                <w:noProof/>
                <w:webHidden/>
              </w:rPr>
              <w:tab/>
            </w:r>
            <w:r w:rsidR="00E25A73">
              <w:rPr>
                <w:noProof/>
                <w:webHidden/>
              </w:rPr>
              <w:fldChar w:fldCharType="begin"/>
            </w:r>
            <w:r w:rsidR="00E25A73">
              <w:rPr>
                <w:noProof/>
                <w:webHidden/>
              </w:rPr>
              <w:instrText xml:space="preserve"> PAGEREF _Toc151444348 \h </w:instrText>
            </w:r>
            <w:r w:rsidR="00E25A73">
              <w:rPr>
                <w:noProof/>
                <w:webHidden/>
              </w:rPr>
            </w:r>
            <w:r w:rsidR="00E25A73">
              <w:rPr>
                <w:noProof/>
                <w:webHidden/>
              </w:rPr>
              <w:fldChar w:fldCharType="separate"/>
            </w:r>
            <w:r w:rsidR="00E25A73">
              <w:rPr>
                <w:noProof/>
                <w:webHidden/>
              </w:rPr>
              <w:t>27</w:t>
            </w:r>
            <w:r w:rsidR="00E25A73">
              <w:rPr>
                <w:noProof/>
                <w:webHidden/>
              </w:rPr>
              <w:fldChar w:fldCharType="end"/>
            </w:r>
          </w:hyperlink>
        </w:p>
        <w:p w14:paraId="0E9CA462" w14:textId="0AFDB106" w:rsidR="00E25A73" w:rsidRDefault="00BA143B">
          <w:pPr>
            <w:pStyle w:val="Obsah4"/>
            <w:tabs>
              <w:tab w:val="left" w:pos="1540"/>
              <w:tab w:val="right" w:leader="dot" w:pos="9488"/>
            </w:tabs>
            <w:rPr>
              <w:rFonts w:eastAsiaTheme="minorEastAsia"/>
              <w:noProof/>
              <w:lang w:eastAsia="cs-CZ"/>
            </w:rPr>
          </w:pPr>
          <w:hyperlink w:anchor="_Toc151444349" w:history="1">
            <w:r w:rsidR="00E25A73" w:rsidRPr="002F1712">
              <w:rPr>
                <w:rStyle w:val="Hypertextovodkaz"/>
                <w:noProof/>
              </w:rPr>
              <w:t>4.2.7</w:t>
            </w:r>
            <w:r w:rsidR="00E25A73">
              <w:rPr>
                <w:rFonts w:eastAsiaTheme="minorEastAsia"/>
                <w:noProof/>
                <w:lang w:eastAsia="cs-CZ"/>
              </w:rPr>
              <w:tab/>
            </w:r>
            <w:r w:rsidR="00E25A73" w:rsidRPr="002F1712">
              <w:rPr>
                <w:rStyle w:val="Hypertextovodkaz"/>
                <w:noProof/>
              </w:rPr>
              <w:t>Označování v</w:t>
            </w:r>
            <w:r w:rsidR="0003053E">
              <w:rPr>
                <w:rStyle w:val="Hypertextovodkaz"/>
                <w:noProof/>
              </w:rPr>
              <w:t> </w:t>
            </w:r>
            <w:r w:rsidR="00E25A73" w:rsidRPr="002F1712">
              <w:rPr>
                <w:rStyle w:val="Hypertextovodkaz"/>
                <w:noProof/>
              </w:rPr>
              <w:t>oblasti klimatu a</w:t>
            </w:r>
            <w:r w:rsidR="0003053E">
              <w:rPr>
                <w:rStyle w:val="Hypertextovodkaz"/>
                <w:noProof/>
              </w:rPr>
              <w:t> </w:t>
            </w:r>
            <w:r w:rsidR="00E25A73" w:rsidRPr="002F1712">
              <w:rPr>
                <w:rStyle w:val="Hypertextovodkaz"/>
                <w:noProof/>
              </w:rPr>
              <w:t>životního prostředí</w:t>
            </w:r>
            <w:r w:rsidR="00E25A73">
              <w:rPr>
                <w:noProof/>
                <w:webHidden/>
              </w:rPr>
              <w:tab/>
            </w:r>
            <w:r w:rsidR="00E25A73">
              <w:rPr>
                <w:noProof/>
                <w:webHidden/>
              </w:rPr>
              <w:fldChar w:fldCharType="begin"/>
            </w:r>
            <w:r w:rsidR="00E25A73">
              <w:rPr>
                <w:noProof/>
                <w:webHidden/>
              </w:rPr>
              <w:instrText xml:space="preserve"> PAGEREF _Toc151444349 \h </w:instrText>
            </w:r>
            <w:r w:rsidR="00E25A73">
              <w:rPr>
                <w:noProof/>
                <w:webHidden/>
              </w:rPr>
            </w:r>
            <w:r w:rsidR="00E25A73">
              <w:rPr>
                <w:noProof/>
                <w:webHidden/>
              </w:rPr>
              <w:fldChar w:fldCharType="separate"/>
            </w:r>
            <w:r w:rsidR="00E25A73">
              <w:rPr>
                <w:noProof/>
                <w:webHidden/>
              </w:rPr>
              <w:t>27</w:t>
            </w:r>
            <w:r w:rsidR="00E25A73">
              <w:rPr>
                <w:noProof/>
                <w:webHidden/>
              </w:rPr>
              <w:fldChar w:fldCharType="end"/>
            </w:r>
          </w:hyperlink>
        </w:p>
        <w:p w14:paraId="2A5AED1D" w14:textId="41501D01" w:rsidR="00E25A73" w:rsidRDefault="00BA143B">
          <w:pPr>
            <w:pStyle w:val="Obsah4"/>
            <w:tabs>
              <w:tab w:val="left" w:pos="1540"/>
              <w:tab w:val="right" w:leader="dot" w:pos="9488"/>
            </w:tabs>
            <w:rPr>
              <w:rFonts w:eastAsiaTheme="minorEastAsia"/>
              <w:noProof/>
              <w:lang w:eastAsia="cs-CZ"/>
            </w:rPr>
          </w:pPr>
          <w:hyperlink w:anchor="_Toc151444350" w:history="1">
            <w:r w:rsidR="00E25A73" w:rsidRPr="002F1712">
              <w:rPr>
                <w:rStyle w:val="Hypertextovodkaz"/>
                <w:noProof/>
              </w:rPr>
              <w:t>4.2.8</w:t>
            </w:r>
            <w:r w:rsidR="00E25A73">
              <w:rPr>
                <w:rFonts w:eastAsiaTheme="minorEastAsia"/>
                <w:noProof/>
                <w:lang w:eastAsia="cs-CZ"/>
              </w:rPr>
              <w:tab/>
            </w:r>
            <w:r w:rsidR="00E25A73" w:rsidRPr="002F1712">
              <w:rPr>
                <w:rStyle w:val="Hypertextovodkaz"/>
                <w:noProof/>
              </w:rPr>
              <w:t>Zásada „významně nepoškozovat“</w:t>
            </w:r>
            <w:r w:rsidR="00E25A73">
              <w:rPr>
                <w:noProof/>
                <w:webHidden/>
              </w:rPr>
              <w:tab/>
            </w:r>
            <w:r w:rsidR="00E25A73">
              <w:rPr>
                <w:noProof/>
                <w:webHidden/>
              </w:rPr>
              <w:fldChar w:fldCharType="begin"/>
            </w:r>
            <w:r w:rsidR="00E25A73">
              <w:rPr>
                <w:noProof/>
                <w:webHidden/>
              </w:rPr>
              <w:instrText xml:space="preserve"> PAGEREF _Toc151444350 \h </w:instrText>
            </w:r>
            <w:r w:rsidR="00E25A73">
              <w:rPr>
                <w:noProof/>
                <w:webHidden/>
              </w:rPr>
            </w:r>
            <w:r w:rsidR="00E25A73">
              <w:rPr>
                <w:noProof/>
                <w:webHidden/>
              </w:rPr>
              <w:fldChar w:fldCharType="separate"/>
            </w:r>
            <w:r w:rsidR="00E25A73">
              <w:rPr>
                <w:noProof/>
                <w:webHidden/>
              </w:rPr>
              <w:t>27</w:t>
            </w:r>
            <w:r w:rsidR="00E25A73">
              <w:rPr>
                <w:noProof/>
                <w:webHidden/>
              </w:rPr>
              <w:fldChar w:fldCharType="end"/>
            </w:r>
          </w:hyperlink>
        </w:p>
        <w:p w14:paraId="7D473D22" w14:textId="7221F040" w:rsidR="00E25A73" w:rsidRDefault="00BA143B">
          <w:pPr>
            <w:pStyle w:val="Obsah4"/>
            <w:tabs>
              <w:tab w:val="left" w:pos="1540"/>
              <w:tab w:val="right" w:leader="dot" w:pos="9488"/>
            </w:tabs>
            <w:rPr>
              <w:rFonts w:eastAsiaTheme="minorEastAsia"/>
              <w:noProof/>
              <w:lang w:eastAsia="cs-CZ"/>
            </w:rPr>
          </w:pPr>
          <w:hyperlink w:anchor="_Toc151444351" w:history="1">
            <w:r w:rsidR="00E25A73" w:rsidRPr="002F1712">
              <w:rPr>
                <w:rStyle w:val="Hypertextovodkaz"/>
                <w:noProof/>
              </w:rPr>
              <w:t>4.2.9</w:t>
            </w:r>
            <w:r w:rsidR="00E25A73">
              <w:rPr>
                <w:rFonts w:eastAsiaTheme="minorEastAsia"/>
                <w:noProof/>
                <w:lang w:eastAsia="cs-CZ"/>
              </w:rPr>
              <w:tab/>
            </w:r>
            <w:r w:rsidR="00E25A73" w:rsidRPr="002F1712">
              <w:rPr>
                <w:rStyle w:val="Hypertextovodkaz"/>
                <w:noProof/>
              </w:rPr>
              <w:t>Financování a</w:t>
            </w:r>
            <w:r w:rsidR="0003053E">
              <w:rPr>
                <w:rStyle w:val="Hypertextovodkaz"/>
                <w:noProof/>
              </w:rPr>
              <w:t> </w:t>
            </w:r>
            <w:r w:rsidR="00E25A73" w:rsidRPr="002F1712">
              <w:rPr>
                <w:rStyle w:val="Hypertextovodkaz"/>
                <w:noProof/>
              </w:rPr>
              <w:t>náklady</w:t>
            </w:r>
            <w:r w:rsidR="00E25A73">
              <w:rPr>
                <w:noProof/>
                <w:webHidden/>
              </w:rPr>
              <w:tab/>
            </w:r>
            <w:r w:rsidR="00E25A73">
              <w:rPr>
                <w:noProof/>
                <w:webHidden/>
              </w:rPr>
              <w:fldChar w:fldCharType="begin"/>
            </w:r>
            <w:r w:rsidR="00E25A73">
              <w:rPr>
                <w:noProof/>
                <w:webHidden/>
              </w:rPr>
              <w:instrText xml:space="preserve"> PAGEREF _Toc151444351 \h </w:instrText>
            </w:r>
            <w:r w:rsidR="00E25A73">
              <w:rPr>
                <w:noProof/>
                <w:webHidden/>
              </w:rPr>
            </w:r>
            <w:r w:rsidR="00E25A73">
              <w:rPr>
                <w:noProof/>
                <w:webHidden/>
              </w:rPr>
              <w:fldChar w:fldCharType="separate"/>
            </w:r>
            <w:r w:rsidR="00E25A73">
              <w:rPr>
                <w:noProof/>
                <w:webHidden/>
              </w:rPr>
              <w:t>27</w:t>
            </w:r>
            <w:r w:rsidR="00E25A73">
              <w:rPr>
                <w:noProof/>
                <w:webHidden/>
              </w:rPr>
              <w:fldChar w:fldCharType="end"/>
            </w:r>
          </w:hyperlink>
        </w:p>
        <w:p w14:paraId="31014C1F" w14:textId="03DDE992" w:rsidR="00E25A73" w:rsidRDefault="00BA143B">
          <w:pPr>
            <w:pStyle w:val="Obsah4"/>
            <w:tabs>
              <w:tab w:val="left" w:pos="1540"/>
              <w:tab w:val="right" w:leader="dot" w:pos="9488"/>
            </w:tabs>
            <w:rPr>
              <w:rFonts w:eastAsiaTheme="minorEastAsia"/>
              <w:noProof/>
              <w:lang w:eastAsia="cs-CZ"/>
            </w:rPr>
          </w:pPr>
          <w:hyperlink w:anchor="_Toc151444352" w:history="1">
            <w:r w:rsidR="00E25A73" w:rsidRPr="002F1712">
              <w:rPr>
                <w:rStyle w:val="Hypertextovodkaz"/>
                <w:rFonts w:eastAsia="Calibri"/>
                <w:noProof/>
              </w:rPr>
              <w:t>.4.2.10</w:t>
            </w:r>
            <w:r w:rsidR="00E25A73">
              <w:rPr>
                <w:rFonts w:eastAsiaTheme="minorEastAsia"/>
                <w:noProof/>
                <w:lang w:eastAsia="cs-CZ"/>
              </w:rPr>
              <w:tab/>
            </w:r>
            <w:r w:rsidR="00E25A73" w:rsidRPr="002F1712">
              <w:rPr>
                <w:rStyle w:val="Hypertextovodkaz"/>
                <w:rFonts w:eastAsia="Calibri"/>
                <w:noProof/>
              </w:rPr>
              <w:t>Žádost o</w:t>
            </w:r>
            <w:r w:rsidR="0003053E">
              <w:rPr>
                <w:rStyle w:val="Hypertextovodkaz"/>
                <w:rFonts w:eastAsia="Calibri"/>
                <w:noProof/>
              </w:rPr>
              <w:t> </w:t>
            </w:r>
            <w:r w:rsidR="00E25A73" w:rsidRPr="002F1712">
              <w:rPr>
                <w:rStyle w:val="Hypertextovodkaz"/>
                <w:rFonts w:eastAsia="Calibri"/>
                <w:noProof/>
              </w:rPr>
              <w:t>předfinancování</w:t>
            </w:r>
            <w:r w:rsidR="00E25A73">
              <w:rPr>
                <w:noProof/>
                <w:webHidden/>
              </w:rPr>
              <w:tab/>
            </w:r>
            <w:r w:rsidR="00E25A73">
              <w:rPr>
                <w:noProof/>
                <w:webHidden/>
              </w:rPr>
              <w:fldChar w:fldCharType="begin"/>
            </w:r>
            <w:r w:rsidR="00E25A73">
              <w:rPr>
                <w:noProof/>
                <w:webHidden/>
              </w:rPr>
              <w:instrText xml:space="preserve"> PAGEREF _Toc151444352 \h </w:instrText>
            </w:r>
            <w:r w:rsidR="00E25A73">
              <w:rPr>
                <w:noProof/>
                <w:webHidden/>
              </w:rPr>
            </w:r>
            <w:r w:rsidR="00E25A73">
              <w:rPr>
                <w:noProof/>
                <w:webHidden/>
              </w:rPr>
              <w:fldChar w:fldCharType="separate"/>
            </w:r>
            <w:r w:rsidR="00E25A73">
              <w:rPr>
                <w:noProof/>
                <w:webHidden/>
              </w:rPr>
              <w:t>27</w:t>
            </w:r>
            <w:r w:rsidR="00E25A73">
              <w:rPr>
                <w:noProof/>
                <w:webHidden/>
              </w:rPr>
              <w:fldChar w:fldCharType="end"/>
            </w:r>
          </w:hyperlink>
        </w:p>
        <w:p w14:paraId="19D20407" w14:textId="4BB8C7D8" w:rsidR="00E25A73" w:rsidRDefault="00BA143B">
          <w:pPr>
            <w:pStyle w:val="Obsah2"/>
            <w:tabs>
              <w:tab w:val="left" w:pos="660"/>
              <w:tab w:val="right" w:leader="dot" w:pos="9488"/>
            </w:tabs>
            <w:rPr>
              <w:rFonts w:eastAsiaTheme="minorEastAsia"/>
              <w:noProof/>
              <w:lang w:eastAsia="cs-CZ"/>
            </w:rPr>
          </w:pPr>
          <w:hyperlink w:anchor="_Toc151444353" w:history="1">
            <w:r w:rsidR="00E25A73" w:rsidRPr="002F1712">
              <w:rPr>
                <w:rStyle w:val="Hypertextovodkaz"/>
                <w:noProof/>
              </w:rPr>
              <w:t>5</w:t>
            </w:r>
            <w:r w:rsidR="00E25A73">
              <w:rPr>
                <w:rFonts w:eastAsiaTheme="minorEastAsia"/>
                <w:noProof/>
                <w:lang w:eastAsia="cs-CZ"/>
              </w:rPr>
              <w:tab/>
            </w:r>
            <w:r w:rsidR="00E25A73" w:rsidRPr="002F1712">
              <w:rPr>
                <w:rStyle w:val="Hypertextovodkaz"/>
                <w:noProof/>
              </w:rPr>
              <w:t>Pozměněné milníky a</w:t>
            </w:r>
            <w:r w:rsidR="0003053E">
              <w:rPr>
                <w:rStyle w:val="Hypertextovodkaz"/>
                <w:noProof/>
              </w:rPr>
              <w:t> </w:t>
            </w:r>
            <w:r w:rsidR="00E25A73" w:rsidRPr="002F1712">
              <w:rPr>
                <w:rStyle w:val="Hypertextovodkaz"/>
                <w:noProof/>
              </w:rPr>
              <w:t>cíle</w:t>
            </w:r>
            <w:r w:rsidR="00E25A73">
              <w:rPr>
                <w:noProof/>
                <w:webHidden/>
              </w:rPr>
              <w:tab/>
            </w:r>
            <w:r w:rsidR="00E25A73">
              <w:rPr>
                <w:noProof/>
                <w:webHidden/>
              </w:rPr>
              <w:fldChar w:fldCharType="begin"/>
            </w:r>
            <w:r w:rsidR="00E25A73">
              <w:rPr>
                <w:noProof/>
                <w:webHidden/>
              </w:rPr>
              <w:instrText xml:space="preserve"> PAGEREF _Toc151444353 \h </w:instrText>
            </w:r>
            <w:r w:rsidR="00E25A73">
              <w:rPr>
                <w:noProof/>
                <w:webHidden/>
              </w:rPr>
            </w:r>
            <w:r w:rsidR="00E25A73">
              <w:rPr>
                <w:noProof/>
                <w:webHidden/>
              </w:rPr>
              <w:fldChar w:fldCharType="separate"/>
            </w:r>
            <w:r w:rsidR="00E25A73">
              <w:rPr>
                <w:noProof/>
                <w:webHidden/>
              </w:rPr>
              <w:t>27</w:t>
            </w:r>
            <w:r w:rsidR="00E25A73">
              <w:rPr>
                <w:noProof/>
                <w:webHidden/>
              </w:rPr>
              <w:fldChar w:fldCharType="end"/>
            </w:r>
          </w:hyperlink>
        </w:p>
        <w:p w14:paraId="28F12DF4" w14:textId="08794383" w:rsidR="00E25A73" w:rsidRDefault="00BA143B">
          <w:pPr>
            <w:pStyle w:val="Obsah1"/>
            <w:tabs>
              <w:tab w:val="right" w:leader="dot" w:pos="9488"/>
            </w:tabs>
            <w:rPr>
              <w:rFonts w:eastAsiaTheme="minorEastAsia"/>
              <w:noProof/>
              <w:lang w:eastAsia="cs-CZ"/>
            </w:rPr>
          </w:pPr>
          <w:hyperlink w:anchor="_Toc151444354" w:history="1">
            <w:r w:rsidR="00E25A73" w:rsidRPr="002F1712">
              <w:rPr>
                <w:rStyle w:val="Hypertextovodkaz"/>
                <w:noProof/>
              </w:rPr>
              <w:t>Část III. Doplňkovost a</w:t>
            </w:r>
            <w:r w:rsidR="0003053E">
              <w:rPr>
                <w:rStyle w:val="Hypertextovodkaz"/>
                <w:noProof/>
              </w:rPr>
              <w:t> </w:t>
            </w:r>
            <w:r w:rsidR="00E25A73" w:rsidRPr="002F1712">
              <w:rPr>
                <w:rStyle w:val="Hypertextovodkaz"/>
                <w:noProof/>
              </w:rPr>
              <w:t>provádění plánu</w:t>
            </w:r>
            <w:r w:rsidR="00E25A73">
              <w:rPr>
                <w:noProof/>
                <w:webHidden/>
              </w:rPr>
              <w:tab/>
            </w:r>
            <w:r w:rsidR="00E25A73">
              <w:rPr>
                <w:noProof/>
                <w:webHidden/>
              </w:rPr>
              <w:fldChar w:fldCharType="begin"/>
            </w:r>
            <w:r w:rsidR="00E25A73">
              <w:rPr>
                <w:noProof/>
                <w:webHidden/>
              </w:rPr>
              <w:instrText xml:space="preserve"> PAGEREF _Toc151444354 \h </w:instrText>
            </w:r>
            <w:r w:rsidR="00E25A73">
              <w:rPr>
                <w:noProof/>
                <w:webHidden/>
              </w:rPr>
            </w:r>
            <w:r w:rsidR="00E25A73">
              <w:rPr>
                <w:noProof/>
                <w:webHidden/>
              </w:rPr>
              <w:fldChar w:fldCharType="separate"/>
            </w:r>
            <w:r w:rsidR="00E25A73">
              <w:rPr>
                <w:noProof/>
                <w:webHidden/>
              </w:rPr>
              <w:t>37</w:t>
            </w:r>
            <w:r w:rsidR="00E25A73">
              <w:rPr>
                <w:noProof/>
                <w:webHidden/>
              </w:rPr>
              <w:fldChar w:fldCharType="end"/>
            </w:r>
          </w:hyperlink>
        </w:p>
        <w:p w14:paraId="477C9FF7" w14:textId="6F8B7DA7" w:rsidR="00E25A73" w:rsidRDefault="00BA143B">
          <w:pPr>
            <w:pStyle w:val="Obsah2"/>
            <w:tabs>
              <w:tab w:val="left" w:pos="660"/>
              <w:tab w:val="right" w:leader="dot" w:pos="9488"/>
            </w:tabs>
            <w:rPr>
              <w:rFonts w:eastAsiaTheme="minorEastAsia"/>
              <w:noProof/>
              <w:lang w:eastAsia="cs-CZ"/>
            </w:rPr>
          </w:pPr>
          <w:hyperlink w:anchor="_Toc151444355" w:history="1">
            <w:r w:rsidR="00E25A73" w:rsidRPr="002F1712">
              <w:rPr>
                <w:rStyle w:val="Hypertextovodkaz"/>
                <w:noProof/>
              </w:rPr>
              <w:t>6</w:t>
            </w:r>
            <w:r w:rsidR="00E25A73">
              <w:rPr>
                <w:rFonts w:eastAsiaTheme="minorEastAsia"/>
                <w:noProof/>
                <w:lang w:eastAsia="cs-CZ"/>
              </w:rPr>
              <w:tab/>
            </w:r>
            <w:r w:rsidR="00E25A73" w:rsidRPr="002F1712">
              <w:rPr>
                <w:rStyle w:val="Hypertextovodkaz"/>
                <w:noProof/>
              </w:rPr>
              <w:t>Soulad s</w:t>
            </w:r>
            <w:r w:rsidR="0003053E">
              <w:rPr>
                <w:rStyle w:val="Hypertextovodkaz"/>
                <w:noProof/>
              </w:rPr>
              <w:t> </w:t>
            </w:r>
            <w:r w:rsidR="00E25A73" w:rsidRPr="002F1712">
              <w:rPr>
                <w:rStyle w:val="Hypertextovodkaz"/>
                <w:noProof/>
              </w:rPr>
              <w:t>ostatními iniciativami</w:t>
            </w:r>
            <w:r w:rsidR="00E25A73">
              <w:rPr>
                <w:noProof/>
                <w:webHidden/>
              </w:rPr>
              <w:tab/>
            </w:r>
            <w:r w:rsidR="00E25A73">
              <w:rPr>
                <w:noProof/>
                <w:webHidden/>
              </w:rPr>
              <w:fldChar w:fldCharType="begin"/>
            </w:r>
            <w:r w:rsidR="00E25A73">
              <w:rPr>
                <w:noProof/>
                <w:webHidden/>
              </w:rPr>
              <w:instrText xml:space="preserve"> PAGEREF _Toc151444355 \h </w:instrText>
            </w:r>
            <w:r w:rsidR="00E25A73">
              <w:rPr>
                <w:noProof/>
                <w:webHidden/>
              </w:rPr>
            </w:r>
            <w:r w:rsidR="00E25A73">
              <w:rPr>
                <w:noProof/>
                <w:webHidden/>
              </w:rPr>
              <w:fldChar w:fldCharType="separate"/>
            </w:r>
            <w:r w:rsidR="00E25A73">
              <w:rPr>
                <w:noProof/>
                <w:webHidden/>
              </w:rPr>
              <w:t>38</w:t>
            </w:r>
            <w:r w:rsidR="00E25A73">
              <w:rPr>
                <w:noProof/>
                <w:webHidden/>
              </w:rPr>
              <w:fldChar w:fldCharType="end"/>
            </w:r>
          </w:hyperlink>
        </w:p>
        <w:p w14:paraId="131194A9" w14:textId="006DF1C7" w:rsidR="00E25A73" w:rsidRDefault="00BA143B">
          <w:pPr>
            <w:pStyle w:val="Obsah2"/>
            <w:tabs>
              <w:tab w:val="left" w:pos="660"/>
              <w:tab w:val="right" w:leader="dot" w:pos="9488"/>
            </w:tabs>
            <w:rPr>
              <w:rFonts w:eastAsiaTheme="minorEastAsia"/>
              <w:noProof/>
              <w:lang w:eastAsia="cs-CZ"/>
            </w:rPr>
          </w:pPr>
          <w:hyperlink w:anchor="_Toc151444356" w:history="1">
            <w:r w:rsidR="00E25A73" w:rsidRPr="002F1712">
              <w:rPr>
                <w:rStyle w:val="Hypertextovodkaz"/>
                <w:noProof/>
              </w:rPr>
              <w:t>7</w:t>
            </w:r>
            <w:r w:rsidR="00E25A73">
              <w:rPr>
                <w:rFonts w:eastAsiaTheme="minorEastAsia"/>
                <w:noProof/>
                <w:lang w:eastAsia="cs-CZ"/>
              </w:rPr>
              <w:tab/>
            </w:r>
            <w:r w:rsidR="00E25A73" w:rsidRPr="002F1712">
              <w:rPr>
                <w:rStyle w:val="Hypertextovodkaz"/>
                <w:noProof/>
              </w:rPr>
              <w:t>Doplňkovost financování</w:t>
            </w:r>
            <w:r w:rsidR="00E25A73">
              <w:rPr>
                <w:noProof/>
                <w:webHidden/>
              </w:rPr>
              <w:tab/>
            </w:r>
            <w:r w:rsidR="00E25A73">
              <w:rPr>
                <w:noProof/>
                <w:webHidden/>
              </w:rPr>
              <w:fldChar w:fldCharType="begin"/>
            </w:r>
            <w:r w:rsidR="00E25A73">
              <w:rPr>
                <w:noProof/>
                <w:webHidden/>
              </w:rPr>
              <w:instrText xml:space="preserve"> PAGEREF _Toc151444356 \h </w:instrText>
            </w:r>
            <w:r w:rsidR="00E25A73">
              <w:rPr>
                <w:noProof/>
                <w:webHidden/>
              </w:rPr>
            </w:r>
            <w:r w:rsidR="00E25A73">
              <w:rPr>
                <w:noProof/>
                <w:webHidden/>
              </w:rPr>
              <w:fldChar w:fldCharType="separate"/>
            </w:r>
            <w:r w:rsidR="00E25A73">
              <w:rPr>
                <w:noProof/>
                <w:webHidden/>
              </w:rPr>
              <w:t>38</w:t>
            </w:r>
            <w:r w:rsidR="00E25A73">
              <w:rPr>
                <w:noProof/>
                <w:webHidden/>
              </w:rPr>
              <w:fldChar w:fldCharType="end"/>
            </w:r>
          </w:hyperlink>
        </w:p>
        <w:p w14:paraId="2480C747" w14:textId="39504261" w:rsidR="00E25A73" w:rsidRDefault="00BA143B">
          <w:pPr>
            <w:pStyle w:val="Obsah2"/>
            <w:tabs>
              <w:tab w:val="left" w:pos="660"/>
              <w:tab w:val="right" w:leader="dot" w:pos="9488"/>
            </w:tabs>
            <w:rPr>
              <w:rFonts w:eastAsiaTheme="minorEastAsia"/>
              <w:noProof/>
              <w:lang w:eastAsia="cs-CZ"/>
            </w:rPr>
          </w:pPr>
          <w:hyperlink w:anchor="_Toc151444357" w:history="1">
            <w:r w:rsidR="00E25A73" w:rsidRPr="002F1712">
              <w:rPr>
                <w:rStyle w:val="Hypertextovodkaz"/>
                <w:noProof/>
              </w:rPr>
              <w:t>8</w:t>
            </w:r>
            <w:r w:rsidR="00E25A73">
              <w:rPr>
                <w:rFonts w:eastAsiaTheme="minorEastAsia"/>
                <w:noProof/>
                <w:lang w:eastAsia="cs-CZ"/>
              </w:rPr>
              <w:tab/>
            </w:r>
            <w:r w:rsidR="00E25A73" w:rsidRPr="002F1712">
              <w:rPr>
                <w:rStyle w:val="Hypertextovodkaz"/>
                <w:noProof/>
              </w:rPr>
              <w:t>Účinná implementace</w:t>
            </w:r>
            <w:r w:rsidR="00E25A73">
              <w:rPr>
                <w:noProof/>
                <w:webHidden/>
              </w:rPr>
              <w:tab/>
            </w:r>
            <w:r w:rsidR="00E25A73">
              <w:rPr>
                <w:noProof/>
                <w:webHidden/>
              </w:rPr>
              <w:fldChar w:fldCharType="begin"/>
            </w:r>
            <w:r w:rsidR="00E25A73">
              <w:rPr>
                <w:noProof/>
                <w:webHidden/>
              </w:rPr>
              <w:instrText xml:space="preserve"> PAGEREF _Toc151444357 \h </w:instrText>
            </w:r>
            <w:r w:rsidR="00E25A73">
              <w:rPr>
                <w:noProof/>
                <w:webHidden/>
              </w:rPr>
            </w:r>
            <w:r w:rsidR="00E25A73">
              <w:rPr>
                <w:noProof/>
                <w:webHidden/>
              </w:rPr>
              <w:fldChar w:fldCharType="separate"/>
            </w:r>
            <w:r w:rsidR="00E25A73">
              <w:rPr>
                <w:noProof/>
                <w:webHidden/>
              </w:rPr>
              <w:t>41</w:t>
            </w:r>
            <w:r w:rsidR="00E25A73">
              <w:rPr>
                <w:noProof/>
                <w:webHidden/>
              </w:rPr>
              <w:fldChar w:fldCharType="end"/>
            </w:r>
          </w:hyperlink>
        </w:p>
        <w:p w14:paraId="7B69A4E3" w14:textId="4CCCA361" w:rsidR="00E25A73" w:rsidRDefault="00BA143B">
          <w:pPr>
            <w:pStyle w:val="Obsah2"/>
            <w:tabs>
              <w:tab w:val="left" w:pos="660"/>
              <w:tab w:val="right" w:leader="dot" w:pos="9488"/>
            </w:tabs>
            <w:rPr>
              <w:rFonts w:eastAsiaTheme="minorEastAsia"/>
              <w:noProof/>
              <w:lang w:eastAsia="cs-CZ"/>
            </w:rPr>
          </w:pPr>
          <w:hyperlink w:anchor="_Toc151444358" w:history="1">
            <w:r w:rsidR="00E25A73" w:rsidRPr="002F1712">
              <w:rPr>
                <w:rStyle w:val="Hypertextovodkaz"/>
                <w:noProof/>
              </w:rPr>
              <w:t>9</w:t>
            </w:r>
            <w:r w:rsidR="00E25A73">
              <w:rPr>
                <w:rFonts w:eastAsiaTheme="minorEastAsia"/>
                <w:noProof/>
                <w:lang w:eastAsia="cs-CZ"/>
              </w:rPr>
              <w:tab/>
            </w:r>
            <w:r w:rsidR="00E25A73" w:rsidRPr="002F1712">
              <w:rPr>
                <w:rStyle w:val="Hypertextovodkaz"/>
                <w:noProof/>
              </w:rPr>
              <w:t>Konzultace se zúčastněnými stranami</w:t>
            </w:r>
            <w:r w:rsidR="00E25A73">
              <w:rPr>
                <w:noProof/>
                <w:webHidden/>
              </w:rPr>
              <w:tab/>
            </w:r>
            <w:r w:rsidR="00E25A73">
              <w:rPr>
                <w:noProof/>
                <w:webHidden/>
              </w:rPr>
              <w:fldChar w:fldCharType="begin"/>
            </w:r>
            <w:r w:rsidR="00E25A73">
              <w:rPr>
                <w:noProof/>
                <w:webHidden/>
              </w:rPr>
              <w:instrText xml:space="preserve"> PAGEREF _Toc151444358 \h </w:instrText>
            </w:r>
            <w:r w:rsidR="00E25A73">
              <w:rPr>
                <w:noProof/>
                <w:webHidden/>
              </w:rPr>
            </w:r>
            <w:r w:rsidR="00E25A73">
              <w:rPr>
                <w:noProof/>
                <w:webHidden/>
              </w:rPr>
              <w:fldChar w:fldCharType="separate"/>
            </w:r>
            <w:r w:rsidR="00E25A73">
              <w:rPr>
                <w:noProof/>
                <w:webHidden/>
              </w:rPr>
              <w:t>42</w:t>
            </w:r>
            <w:r w:rsidR="00E25A73">
              <w:rPr>
                <w:noProof/>
                <w:webHidden/>
              </w:rPr>
              <w:fldChar w:fldCharType="end"/>
            </w:r>
          </w:hyperlink>
        </w:p>
        <w:p w14:paraId="1EE79E37" w14:textId="6D382C35" w:rsidR="00E25A73" w:rsidRDefault="00BA143B">
          <w:pPr>
            <w:pStyle w:val="Obsah2"/>
            <w:tabs>
              <w:tab w:val="left" w:pos="880"/>
              <w:tab w:val="right" w:leader="dot" w:pos="9488"/>
            </w:tabs>
            <w:rPr>
              <w:rFonts w:eastAsiaTheme="minorEastAsia"/>
              <w:noProof/>
              <w:lang w:eastAsia="cs-CZ"/>
            </w:rPr>
          </w:pPr>
          <w:hyperlink w:anchor="_Toc151444359" w:history="1">
            <w:r w:rsidR="00E25A73" w:rsidRPr="002F1712">
              <w:rPr>
                <w:rStyle w:val="Hypertextovodkaz"/>
                <w:noProof/>
              </w:rPr>
              <w:t>10</w:t>
            </w:r>
            <w:r w:rsidR="00E25A73">
              <w:rPr>
                <w:rFonts w:eastAsiaTheme="minorEastAsia"/>
                <w:noProof/>
                <w:lang w:eastAsia="cs-CZ"/>
              </w:rPr>
              <w:tab/>
            </w:r>
            <w:r w:rsidR="00E25A73" w:rsidRPr="002F1712">
              <w:rPr>
                <w:rStyle w:val="Hypertextovodkaz"/>
                <w:noProof/>
              </w:rPr>
              <w:t>Kontrola a</w:t>
            </w:r>
            <w:r w:rsidR="0003053E">
              <w:rPr>
                <w:rStyle w:val="Hypertextovodkaz"/>
                <w:noProof/>
              </w:rPr>
              <w:t> </w:t>
            </w:r>
            <w:r w:rsidR="00E25A73" w:rsidRPr="002F1712">
              <w:rPr>
                <w:rStyle w:val="Hypertextovodkaz"/>
                <w:noProof/>
              </w:rPr>
              <w:t>audit</w:t>
            </w:r>
            <w:r w:rsidR="00E25A73">
              <w:rPr>
                <w:noProof/>
                <w:webHidden/>
              </w:rPr>
              <w:tab/>
            </w:r>
            <w:r w:rsidR="00E25A73">
              <w:rPr>
                <w:noProof/>
                <w:webHidden/>
              </w:rPr>
              <w:fldChar w:fldCharType="begin"/>
            </w:r>
            <w:r w:rsidR="00E25A73">
              <w:rPr>
                <w:noProof/>
                <w:webHidden/>
              </w:rPr>
              <w:instrText xml:space="preserve"> PAGEREF _Toc151444359 \h </w:instrText>
            </w:r>
            <w:r w:rsidR="00E25A73">
              <w:rPr>
                <w:noProof/>
                <w:webHidden/>
              </w:rPr>
            </w:r>
            <w:r w:rsidR="00E25A73">
              <w:rPr>
                <w:noProof/>
                <w:webHidden/>
              </w:rPr>
              <w:fldChar w:fldCharType="separate"/>
            </w:r>
            <w:r w:rsidR="00E25A73">
              <w:rPr>
                <w:noProof/>
                <w:webHidden/>
              </w:rPr>
              <w:t>43</w:t>
            </w:r>
            <w:r w:rsidR="00E25A73">
              <w:rPr>
                <w:noProof/>
                <w:webHidden/>
              </w:rPr>
              <w:fldChar w:fldCharType="end"/>
            </w:r>
          </w:hyperlink>
        </w:p>
        <w:p w14:paraId="36AD604C" w14:textId="19F42064" w:rsidR="00E25A73" w:rsidRDefault="00BA143B">
          <w:pPr>
            <w:pStyle w:val="Obsah2"/>
            <w:tabs>
              <w:tab w:val="left" w:pos="880"/>
              <w:tab w:val="right" w:leader="dot" w:pos="9488"/>
            </w:tabs>
            <w:rPr>
              <w:rFonts w:eastAsiaTheme="minorEastAsia"/>
              <w:noProof/>
              <w:lang w:eastAsia="cs-CZ"/>
            </w:rPr>
          </w:pPr>
          <w:hyperlink w:anchor="_Toc151444360" w:history="1">
            <w:r w:rsidR="00E25A73" w:rsidRPr="002F1712">
              <w:rPr>
                <w:rStyle w:val="Hypertextovodkaz"/>
                <w:noProof/>
              </w:rPr>
              <w:t>11</w:t>
            </w:r>
            <w:r w:rsidR="00E25A73">
              <w:rPr>
                <w:rFonts w:eastAsiaTheme="minorEastAsia"/>
                <w:noProof/>
                <w:lang w:eastAsia="cs-CZ"/>
              </w:rPr>
              <w:tab/>
            </w:r>
            <w:r w:rsidR="00E25A73" w:rsidRPr="002F1712">
              <w:rPr>
                <w:rStyle w:val="Hypertextovodkaz"/>
                <w:noProof/>
              </w:rPr>
              <w:t>Monitorování a</w:t>
            </w:r>
            <w:r w:rsidR="0003053E">
              <w:rPr>
                <w:rStyle w:val="Hypertextovodkaz"/>
                <w:noProof/>
              </w:rPr>
              <w:t> </w:t>
            </w:r>
            <w:r w:rsidR="00E25A73" w:rsidRPr="002F1712">
              <w:rPr>
                <w:rStyle w:val="Hypertextovodkaz"/>
                <w:noProof/>
              </w:rPr>
              <w:t>implementace</w:t>
            </w:r>
            <w:r w:rsidR="00E25A73">
              <w:rPr>
                <w:noProof/>
                <w:webHidden/>
              </w:rPr>
              <w:tab/>
            </w:r>
            <w:r w:rsidR="00E25A73">
              <w:rPr>
                <w:noProof/>
                <w:webHidden/>
              </w:rPr>
              <w:fldChar w:fldCharType="begin"/>
            </w:r>
            <w:r w:rsidR="00E25A73">
              <w:rPr>
                <w:noProof/>
                <w:webHidden/>
              </w:rPr>
              <w:instrText xml:space="preserve"> PAGEREF _Toc151444360 \h </w:instrText>
            </w:r>
            <w:r w:rsidR="00E25A73">
              <w:rPr>
                <w:noProof/>
                <w:webHidden/>
              </w:rPr>
            </w:r>
            <w:r w:rsidR="00E25A73">
              <w:rPr>
                <w:noProof/>
                <w:webHidden/>
              </w:rPr>
              <w:fldChar w:fldCharType="separate"/>
            </w:r>
            <w:r w:rsidR="00E25A73">
              <w:rPr>
                <w:noProof/>
                <w:webHidden/>
              </w:rPr>
              <w:t>43</w:t>
            </w:r>
            <w:r w:rsidR="00E25A73">
              <w:rPr>
                <w:noProof/>
                <w:webHidden/>
              </w:rPr>
              <w:fldChar w:fldCharType="end"/>
            </w:r>
          </w:hyperlink>
        </w:p>
        <w:p w14:paraId="345425EB" w14:textId="4B693F2D" w:rsidR="00E25A73" w:rsidRDefault="00BA143B">
          <w:pPr>
            <w:pStyle w:val="Obsah2"/>
            <w:tabs>
              <w:tab w:val="left" w:pos="880"/>
              <w:tab w:val="right" w:leader="dot" w:pos="9488"/>
            </w:tabs>
            <w:rPr>
              <w:rFonts w:eastAsiaTheme="minorEastAsia"/>
              <w:noProof/>
              <w:lang w:eastAsia="cs-CZ"/>
            </w:rPr>
          </w:pPr>
          <w:hyperlink w:anchor="_Toc151444361" w:history="1">
            <w:r w:rsidR="00E25A73" w:rsidRPr="002F1712">
              <w:rPr>
                <w:rStyle w:val="Hypertextovodkaz"/>
                <w:noProof/>
              </w:rPr>
              <w:t>12</w:t>
            </w:r>
            <w:r w:rsidR="00E25A73">
              <w:rPr>
                <w:rFonts w:eastAsiaTheme="minorEastAsia"/>
                <w:noProof/>
                <w:lang w:eastAsia="cs-CZ"/>
              </w:rPr>
              <w:tab/>
            </w:r>
            <w:r w:rsidR="00E25A73" w:rsidRPr="002F1712">
              <w:rPr>
                <w:rStyle w:val="Hypertextovodkaz"/>
                <w:noProof/>
              </w:rPr>
              <w:t>Komunikace</w:t>
            </w:r>
            <w:r w:rsidR="00E25A73">
              <w:rPr>
                <w:noProof/>
                <w:webHidden/>
              </w:rPr>
              <w:tab/>
            </w:r>
            <w:r w:rsidR="00E25A73">
              <w:rPr>
                <w:noProof/>
                <w:webHidden/>
              </w:rPr>
              <w:fldChar w:fldCharType="begin"/>
            </w:r>
            <w:r w:rsidR="00E25A73">
              <w:rPr>
                <w:noProof/>
                <w:webHidden/>
              </w:rPr>
              <w:instrText xml:space="preserve"> PAGEREF _Toc151444361 \h </w:instrText>
            </w:r>
            <w:r w:rsidR="00E25A73">
              <w:rPr>
                <w:noProof/>
                <w:webHidden/>
              </w:rPr>
            </w:r>
            <w:r w:rsidR="00E25A73">
              <w:rPr>
                <w:noProof/>
                <w:webHidden/>
              </w:rPr>
              <w:fldChar w:fldCharType="separate"/>
            </w:r>
            <w:r w:rsidR="00E25A73">
              <w:rPr>
                <w:noProof/>
                <w:webHidden/>
              </w:rPr>
              <w:t>43</w:t>
            </w:r>
            <w:r w:rsidR="00E25A73">
              <w:rPr>
                <w:noProof/>
                <w:webHidden/>
              </w:rPr>
              <w:fldChar w:fldCharType="end"/>
            </w:r>
          </w:hyperlink>
        </w:p>
        <w:p w14:paraId="1B3F67D7" w14:textId="6798FFC8" w:rsidR="00E25A73" w:rsidRDefault="00BA143B">
          <w:pPr>
            <w:pStyle w:val="Obsah1"/>
            <w:tabs>
              <w:tab w:val="right" w:leader="dot" w:pos="9488"/>
            </w:tabs>
            <w:rPr>
              <w:rFonts w:eastAsiaTheme="minorEastAsia"/>
              <w:noProof/>
              <w:lang w:eastAsia="cs-CZ"/>
            </w:rPr>
          </w:pPr>
          <w:hyperlink w:anchor="_Toc151444362" w:history="1">
            <w:r w:rsidR="00E25A73" w:rsidRPr="002F1712">
              <w:rPr>
                <w:rStyle w:val="Hypertextovodkaz"/>
                <w:noProof/>
              </w:rPr>
              <w:t>Část IV. Celková soudržnost plánu</w:t>
            </w:r>
            <w:r w:rsidR="00E25A73">
              <w:rPr>
                <w:noProof/>
                <w:webHidden/>
              </w:rPr>
              <w:tab/>
            </w:r>
            <w:r w:rsidR="00E25A73">
              <w:rPr>
                <w:noProof/>
                <w:webHidden/>
              </w:rPr>
              <w:fldChar w:fldCharType="begin"/>
            </w:r>
            <w:r w:rsidR="00E25A73">
              <w:rPr>
                <w:noProof/>
                <w:webHidden/>
              </w:rPr>
              <w:instrText xml:space="preserve"> PAGEREF _Toc151444362 \h </w:instrText>
            </w:r>
            <w:r w:rsidR="00E25A73">
              <w:rPr>
                <w:noProof/>
                <w:webHidden/>
              </w:rPr>
            </w:r>
            <w:r w:rsidR="00E25A73">
              <w:rPr>
                <w:noProof/>
                <w:webHidden/>
              </w:rPr>
              <w:fldChar w:fldCharType="separate"/>
            </w:r>
            <w:r w:rsidR="00E25A73">
              <w:rPr>
                <w:noProof/>
                <w:webHidden/>
              </w:rPr>
              <w:t>45</w:t>
            </w:r>
            <w:r w:rsidR="00E25A73">
              <w:rPr>
                <w:noProof/>
                <w:webHidden/>
              </w:rPr>
              <w:fldChar w:fldCharType="end"/>
            </w:r>
          </w:hyperlink>
        </w:p>
        <w:p w14:paraId="6A7F50CF" w14:textId="50EE5189" w:rsidR="00E25A73" w:rsidRDefault="00BA143B">
          <w:pPr>
            <w:pStyle w:val="Obsah2"/>
            <w:tabs>
              <w:tab w:val="left" w:pos="880"/>
              <w:tab w:val="right" w:leader="dot" w:pos="9488"/>
            </w:tabs>
            <w:rPr>
              <w:rFonts w:eastAsiaTheme="minorEastAsia"/>
              <w:noProof/>
              <w:lang w:eastAsia="cs-CZ"/>
            </w:rPr>
          </w:pPr>
          <w:hyperlink w:anchor="_Toc151444363" w:history="1">
            <w:r w:rsidR="00E25A73" w:rsidRPr="002F1712">
              <w:rPr>
                <w:rStyle w:val="Hypertextovodkaz"/>
                <w:noProof/>
              </w:rPr>
              <w:t>13</w:t>
            </w:r>
            <w:r w:rsidR="00E25A73">
              <w:rPr>
                <w:rFonts w:eastAsiaTheme="minorEastAsia"/>
                <w:noProof/>
                <w:lang w:eastAsia="cs-CZ"/>
              </w:rPr>
              <w:tab/>
            </w:r>
            <w:r w:rsidR="00E25A73" w:rsidRPr="002F1712">
              <w:rPr>
                <w:rStyle w:val="Hypertextovodkaz"/>
                <w:noProof/>
              </w:rPr>
              <w:t>Soudržnost</w:t>
            </w:r>
            <w:r w:rsidR="00E25A73">
              <w:rPr>
                <w:noProof/>
                <w:webHidden/>
              </w:rPr>
              <w:tab/>
            </w:r>
            <w:r w:rsidR="00E25A73">
              <w:rPr>
                <w:noProof/>
                <w:webHidden/>
              </w:rPr>
              <w:fldChar w:fldCharType="begin"/>
            </w:r>
            <w:r w:rsidR="00E25A73">
              <w:rPr>
                <w:noProof/>
                <w:webHidden/>
              </w:rPr>
              <w:instrText xml:space="preserve"> PAGEREF _Toc151444363 \h </w:instrText>
            </w:r>
            <w:r w:rsidR="00E25A73">
              <w:rPr>
                <w:noProof/>
                <w:webHidden/>
              </w:rPr>
            </w:r>
            <w:r w:rsidR="00E25A73">
              <w:rPr>
                <w:noProof/>
                <w:webHidden/>
              </w:rPr>
              <w:fldChar w:fldCharType="separate"/>
            </w:r>
            <w:r w:rsidR="00E25A73">
              <w:rPr>
                <w:noProof/>
                <w:webHidden/>
              </w:rPr>
              <w:t>46</w:t>
            </w:r>
            <w:r w:rsidR="00E25A73">
              <w:rPr>
                <w:noProof/>
                <w:webHidden/>
              </w:rPr>
              <w:fldChar w:fldCharType="end"/>
            </w:r>
          </w:hyperlink>
        </w:p>
        <w:p w14:paraId="314C0DC3" w14:textId="4ABCFF82" w:rsidR="00E25A73" w:rsidRDefault="00BA143B">
          <w:pPr>
            <w:pStyle w:val="Obsah2"/>
            <w:tabs>
              <w:tab w:val="left" w:pos="880"/>
              <w:tab w:val="right" w:leader="dot" w:pos="9488"/>
            </w:tabs>
            <w:rPr>
              <w:rFonts w:eastAsiaTheme="minorEastAsia"/>
              <w:noProof/>
              <w:lang w:eastAsia="cs-CZ"/>
            </w:rPr>
          </w:pPr>
          <w:hyperlink w:anchor="_Toc151444364" w:history="1">
            <w:r w:rsidR="00E25A73" w:rsidRPr="002F1712">
              <w:rPr>
                <w:rStyle w:val="Hypertextovodkaz"/>
                <w:noProof/>
              </w:rPr>
              <w:t>14</w:t>
            </w:r>
            <w:r w:rsidR="00E25A73">
              <w:rPr>
                <w:rFonts w:eastAsiaTheme="minorEastAsia"/>
                <w:noProof/>
                <w:lang w:eastAsia="cs-CZ"/>
              </w:rPr>
              <w:tab/>
            </w:r>
            <w:r w:rsidR="00E25A73" w:rsidRPr="002F1712">
              <w:rPr>
                <w:rStyle w:val="Hypertextovodkaz"/>
                <w:noProof/>
              </w:rPr>
              <w:t>Rovnost žen a</w:t>
            </w:r>
            <w:r w:rsidR="0003053E">
              <w:rPr>
                <w:rStyle w:val="Hypertextovodkaz"/>
                <w:noProof/>
              </w:rPr>
              <w:t> </w:t>
            </w:r>
            <w:r w:rsidR="00E25A73" w:rsidRPr="002F1712">
              <w:rPr>
                <w:rStyle w:val="Hypertextovodkaz"/>
                <w:noProof/>
              </w:rPr>
              <w:t>mužů a</w:t>
            </w:r>
            <w:r w:rsidR="0003053E">
              <w:rPr>
                <w:rStyle w:val="Hypertextovodkaz"/>
                <w:noProof/>
              </w:rPr>
              <w:t> </w:t>
            </w:r>
            <w:r w:rsidR="00E25A73" w:rsidRPr="002F1712">
              <w:rPr>
                <w:rStyle w:val="Hypertextovodkaz"/>
                <w:noProof/>
              </w:rPr>
              <w:t>rovné příležitosti pro všechny</w:t>
            </w:r>
            <w:r w:rsidR="00E25A73">
              <w:rPr>
                <w:noProof/>
                <w:webHidden/>
              </w:rPr>
              <w:tab/>
            </w:r>
            <w:r w:rsidR="00E25A73">
              <w:rPr>
                <w:noProof/>
                <w:webHidden/>
              </w:rPr>
              <w:fldChar w:fldCharType="begin"/>
            </w:r>
            <w:r w:rsidR="00E25A73">
              <w:rPr>
                <w:noProof/>
                <w:webHidden/>
              </w:rPr>
              <w:instrText xml:space="preserve"> PAGEREF _Toc151444364 \h </w:instrText>
            </w:r>
            <w:r w:rsidR="00E25A73">
              <w:rPr>
                <w:noProof/>
                <w:webHidden/>
              </w:rPr>
            </w:r>
            <w:r w:rsidR="00E25A73">
              <w:rPr>
                <w:noProof/>
                <w:webHidden/>
              </w:rPr>
              <w:fldChar w:fldCharType="separate"/>
            </w:r>
            <w:r w:rsidR="00E25A73">
              <w:rPr>
                <w:noProof/>
                <w:webHidden/>
              </w:rPr>
              <w:t>46</w:t>
            </w:r>
            <w:r w:rsidR="00E25A73">
              <w:rPr>
                <w:noProof/>
                <w:webHidden/>
              </w:rPr>
              <w:fldChar w:fldCharType="end"/>
            </w:r>
          </w:hyperlink>
        </w:p>
        <w:p w14:paraId="4DB8AF48" w14:textId="3B190A14" w:rsidR="00E25A73" w:rsidRDefault="00BA143B">
          <w:pPr>
            <w:pStyle w:val="Obsah2"/>
            <w:tabs>
              <w:tab w:val="left" w:pos="880"/>
              <w:tab w:val="right" w:leader="dot" w:pos="9488"/>
            </w:tabs>
            <w:rPr>
              <w:rFonts w:eastAsiaTheme="minorEastAsia"/>
              <w:noProof/>
              <w:lang w:eastAsia="cs-CZ"/>
            </w:rPr>
          </w:pPr>
          <w:hyperlink w:anchor="_Toc151444365" w:history="1">
            <w:r w:rsidR="00E25A73" w:rsidRPr="002F1712">
              <w:rPr>
                <w:rStyle w:val="Hypertextovodkaz"/>
                <w:noProof/>
              </w:rPr>
              <w:t>15</w:t>
            </w:r>
            <w:r w:rsidR="00E25A73">
              <w:rPr>
                <w:rFonts w:eastAsiaTheme="minorEastAsia"/>
                <w:noProof/>
                <w:lang w:eastAsia="cs-CZ"/>
              </w:rPr>
              <w:tab/>
            </w:r>
            <w:r w:rsidR="00E25A73" w:rsidRPr="002F1712">
              <w:rPr>
                <w:rStyle w:val="Hypertextovodkaz"/>
                <w:noProof/>
              </w:rPr>
              <w:t>Posílení hospodářské, sociální a</w:t>
            </w:r>
            <w:r w:rsidR="0003053E">
              <w:rPr>
                <w:rStyle w:val="Hypertextovodkaz"/>
                <w:noProof/>
              </w:rPr>
              <w:t> </w:t>
            </w:r>
            <w:r w:rsidR="00E25A73" w:rsidRPr="002F1712">
              <w:rPr>
                <w:rStyle w:val="Hypertextovodkaz"/>
                <w:noProof/>
              </w:rPr>
              <w:t>institucionální odolnosti</w:t>
            </w:r>
            <w:r w:rsidR="00E25A73">
              <w:rPr>
                <w:noProof/>
                <w:webHidden/>
              </w:rPr>
              <w:tab/>
            </w:r>
            <w:r w:rsidR="00E25A73">
              <w:rPr>
                <w:noProof/>
                <w:webHidden/>
              </w:rPr>
              <w:fldChar w:fldCharType="begin"/>
            </w:r>
            <w:r w:rsidR="00E25A73">
              <w:rPr>
                <w:noProof/>
                <w:webHidden/>
              </w:rPr>
              <w:instrText xml:space="preserve"> PAGEREF _Toc151444365 \h </w:instrText>
            </w:r>
            <w:r w:rsidR="00E25A73">
              <w:rPr>
                <w:noProof/>
                <w:webHidden/>
              </w:rPr>
            </w:r>
            <w:r w:rsidR="00E25A73">
              <w:rPr>
                <w:noProof/>
                <w:webHidden/>
              </w:rPr>
              <w:fldChar w:fldCharType="separate"/>
            </w:r>
            <w:r w:rsidR="00E25A73">
              <w:rPr>
                <w:noProof/>
                <w:webHidden/>
              </w:rPr>
              <w:t>47</w:t>
            </w:r>
            <w:r w:rsidR="00E25A73">
              <w:rPr>
                <w:noProof/>
                <w:webHidden/>
              </w:rPr>
              <w:fldChar w:fldCharType="end"/>
            </w:r>
          </w:hyperlink>
        </w:p>
        <w:p w14:paraId="412934E6" w14:textId="244CDE63" w:rsidR="00E25A73" w:rsidRDefault="00BA143B">
          <w:pPr>
            <w:pStyle w:val="Obsah2"/>
            <w:tabs>
              <w:tab w:val="left" w:pos="880"/>
              <w:tab w:val="right" w:leader="dot" w:pos="9488"/>
            </w:tabs>
            <w:rPr>
              <w:rFonts w:eastAsiaTheme="minorEastAsia"/>
              <w:noProof/>
              <w:lang w:eastAsia="cs-CZ"/>
            </w:rPr>
          </w:pPr>
          <w:hyperlink w:anchor="_Toc151444366" w:history="1">
            <w:r w:rsidR="00E25A73" w:rsidRPr="002F1712">
              <w:rPr>
                <w:rStyle w:val="Hypertextovodkaz"/>
                <w:noProof/>
              </w:rPr>
              <w:t>16</w:t>
            </w:r>
            <w:r w:rsidR="00E25A73">
              <w:rPr>
                <w:rFonts w:eastAsiaTheme="minorEastAsia"/>
                <w:noProof/>
                <w:lang w:eastAsia="cs-CZ"/>
              </w:rPr>
              <w:tab/>
            </w:r>
            <w:r w:rsidR="00E25A73" w:rsidRPr="002F1712">
              <w:rPr>
                <w:rStyle w:val="Hypertextovodkaz"/>
                <w:noProof/>
              </w:rPr>
              <w:t>Srovnání s</w:t>
            </w:r>
            <w:r w:rsidR="0003053E">
              <w:rPr>
                <w:rStyle w:val="Hypertextovodkaz"/>
                <w:noProof/>
              </w:rPr>
              <w:t> </w:t>
            </w:r>
            <w:r w:rsidR="00E25A73" w:rsidRPr="002F1712">
              <w:rPr>
                <w:rStyle w:val="Hypertextovodkaz"/>
                <w:noProof/>
              </w:rPr>
              <w:t>výchozím stavem investic</w:t>
            </w:r>
            <w:r w:rsidR="00E25A73">
              <w:rPr>
                <w:noProof/>
                <w:webHidden/>
              </w:rPr>
              <w:tab/>
            </w:r>
            <w:r w:rsidR="00E25A73">
              <w:rPr>
                <w:noProof/>
                <w:webHidden/>
              </w:rPr>
              <w:fldChar w:fldCharType="begin"/>
            </w:r>
            <w:r w:rsidR="00E25A73">
              <w:rPr>
                <w:noProof/>
                <w:webHidden/>
              </w:rPr>
              <w:instrText xml:space="preserve"> PAGEREF _Toc151444366 \h </w:instrText>
            </w:r>
            <w:r w:rsidR="00E25A73">
              <w:rPr>
                <w:noProof/>
                <w:webHidden/>
              </w:rPr>
            </w:r>
            <w:r w:rsidR="00E25A73">
              <w:rPr>
                <w:noProof/>
                <w:webHidden/>
              </w:rPr>
              <w:fldChar w:fldCharType="separate"/>
            </w:r>
            <w:r w:rsidR="00E25A73">
              <w:rPr>
                <w:noProof/>
                <w:webHidden/>
              </w:rPr>
              <w:t>48</w:t>
            </w:r>
            <w:r w:rsidR="00E25A73">
              <w:rPr>
                <w:noProof/>
                <w:webHidden/>
              </w:rPr>
              <w:fldChar w:fldCharType="end"/>
            </w:r>
          </w:hyperlink>
        </w:p>
        <w:p w14:paraId="64DF29EE" w14:textId="7B52DB60" w:rsidR="00E25A73" w:rsidRDefault="00BA143B">
          <w:pPr>
            <w:pStyle w:val="Obsah2"/>
            <w:tabs>
              <w:tab w:val="left" w:pos="880"/>
              <w:tab w:val="right" w:leader="dot" w:pos="9488"/>
            </w:tabs>
            <w:rPr>
              <w:rFonts w:eastAsiaTheme="minorEastAsia"/>
              <w:noProof/>
              <w:lang w:eastAsia="cs-CZ"/>
            </w:rPr>
          </w:pPr>
          <w:hyperlink w:anchor="_Toc151444367" w:history="1">
            <w:r w:rsidR="00E25A73" w:rsidRPr="002F1712">
              <w:rPr>
                <w:rStyle w:val="Hypertextovodkaz"/>
                <w:noProof/>
              </w:rPr>
              <w:t>17</w:t>
            </w:r>
            <w:r w:rsidR="00E25A73">
              <w:rPr>
                <w:rFonts w:eastAsiaTheme="minorEastAsia"/>
                <w:noProof/>
                <w:lang w:eastAsia="cs-CZ"/>
              </w:rPr>
              <w:tab/>
            </w:r>
            <w:r w:rsidR="00E25A73" w:rsidRPr="002F1712">
              <w:rPr>
                <w:rStyle w:val="Hypertextovodkaz"/>
                <w:noProof/>
              </w:rPr>
              <w:t>Makroekonomické dopady</w:t>
            </w:r>
            <w:r w:rsidR="00E25A73">
              <w:rPr>
                <w:noProof/>
                <w:webHidden/>
              </w:rPr>
              <w:tab/>
            </w:r>
            <w:r w:rsidR="00E25A73">
              <w:rPr>
                <w:noProof/>
                <w:webHidden/>
              </w:rPr>
              <w:fldChar w:fldCharType="begin"/>
            </w:r>
            <w:r w:rsidR="00E25A73">
              <w:rPr>
                <w:noProof/>
                <w:webHidden/>
              </w:rPr>
              <w:instrText xml:space="preserve"> PAGEREF _Toc151444367 \h </w:instrText>
            </w:r>
            <w:r w:rsidR="00E25A73">
              <w:rPr>
                <w:noProof/>
                <w:webHidden/>
              </w:rPr>
            </w:r>
            <w:r w:rsidR="00E25A73">
              <w:rPr>
                <w:noProof/>
                <w:webHidden/>
              </w:rPr>
              <w:fldChar w:fldCharType="separate"/>
            </w:r>
            <w:r w:rsidR="00E25A73">
              <w:rPr>
                <w:noProof/>
                <w:webHidden/>
              </w:rPr>
              <w:t>48</w:t>
            </w:r>
            <w:r w:rsidR="00E25A73">
              <w:rPr>
                <w:noProof/>
                <w:webHidden/>
              </w:rPr>
              <w:fldChar w:fldCharType="end"/>
            </w:r>
          </w:hyperlink>
        </w:p>
        <w:p w14:paraId="60586926" w14:textId="0AD4D754" w:rsidR="00E25A73" w:rsidRDefault="00BA143B">
          <w:pPr>
            <w:pStyle w:val="Obsah3"/>
            <w:tabs>
              <w:tab w:val="left" w:pos="1100"/>
              <w:tab w:val="right" w:leader="dot" w:pos="9488"/>
            </w:tabs>
            <w:rPr>
              <w:rFonts w:eastAsiaTheme="minorEastAsia"/>
              <w:noProof/>
              <w:lang w:eastAsia="cs-CZ"/>
            </w:rPr>
          </w:pPr>
          <w:hyperlink w:anchor="_Toc151444368" w:history="1">
            <w:r w:rsidR="00E25A73" w:rsidRPr="002F1712">
              <w:rPr>
                <w:rStyle w:val="Hypertextovodkaz"/>
                <w:noProof/>
              </w:rPr>
              <w:t>17.1</w:t>
            </w:r>
            <w:r w:rsidR="00E25A73">
              <w:rPr>
                <w:rFonts w:eastAsiaTheme="minorEastAsia"/>
                <w:noProof/>
                <w:lang w:eastAsia="cs-CZ"/>
              </w:rPr>
              <w:tab/>
            </w:r>
            <w:r w:rsidR="00E25A73" w:rsidRPr="002F1712">
              <w:rPr>
                <w:rStyle w:val="Hypertextovodkaz"/>
                <w:noProof/>
              </w:rPr>
              <w:t>Makroekonomický scénář</w:t>
            </w:r>
            <w:r w:rsidR="00E25A73">
              <w:rPr>
                <w:noProof/>
                <w:webHidden/>
              </w:rPr>
              <w:tab/>
            </w:r>
            <w:r w:rsidR="00E25A73">
              <w:rPr>
                <w:noProof/>
                <w:webHidden/>
              </w:rPr>
              <w:fldChar w:fldCharType="begin"/>
            </w:r>
            <w:r w:rsidR="00E25A73">
              <w:rPr>
                <w:noProof/>
                <w:webHidden/>
              </w:rPr>
              <w:instrText xml:space="preserve"> PAGEREF _Toc151444368 \h </w:instrText>
            </w:r>
            <w:r w:rsidR="00E25A73">
              <w:rPr>
                <w:noProof/>
                <w:webHidden/>
              </w:rPr>
            </w:r>
            <w:r w:rsidR="00E25A73">
              <w:rPr>
                <w:noProof/>
                <w:webHidden/>
              </w:rPr>
              <w:fldChar w:fldCharType="separate"/>
            </w:r>
            <w:r w:rsidR="00E25A73">
              <w:rPr>
                <w:noProof/>
                <w:webHidden/>
              </w:rPr>
              <w:t>48</w:t>
            </w:r>
            <w:r w:rsidR="00E25A73">
              <w:rPr>
                <w:noProof/>
                <w:webHidden/>
              </w:rPr>
              <w:fldChar w:fldCharType="end"/>
            </w:r>
          </w:hyperlink>
        </w:p>
        <w:p w14:paraId="3AC6C0E7" w14:textId="4FAA86A2" w:rsidR="00E25A73" w:rsidRDefault="00BA143B">
          <w:pPr>
            <w:pStyle w:val="Obsah3"/>
            <w:tabs>
              <w:tab w:val="left" w:pos="1100"/>
              <w:tab w:val="right" w:leader="dot" w:pos="9488"/>
            </w:tabs>
            <w:rPr>
              <w:rFonts w:eastAsiaTheme="minorEastAsia"/>
              <w:noProof/>
              <w:lang w:eastAsia="cs-CZ"/>
            </w:rPr>
          </w:pPr>
          <w:hyperlink w:anchor="_Toc151444369" w:history="1">
            <w:r w:rsidR="00E25A73" w:rsidRPr="002F1712">
              <w:rPr>
                <w:rStyle w:val="Hypertextovodkaz"/>
                <w:noProof/>
              </w:rPr>
              <w:t>17.2</w:t>
            </w:r>
            <w:r w:rsidR="00E25A73">
              <w:rPr>
                <w:rFonts w:eastAsiaTheme="minorEastAsia"/>
                <w:noProof/>
                <w:lang w:eastAsia="cs-CZ"/>
              </w:rPr>
              <w:tab/>
            </w:r>
            <w:r w:rsidR="00E25A73" w:rsidRPr="002F1712">
              <w:rPr>
                <w:rStyle w:val="Hypertextovodkaz"/>
                <w:noProof/>
              </w:rPr>
              <w:t>Metodika</w:t>
            </w:r>
            <w:r w:rsidR="00E25A73">
              <w:rPr>
                <w:noProof/>
                <w:webHidden/>
              </w:rPr>
              <w:tab/>
            </w:r>
            <w:r w:rsidR="00E25A73">
              <w:rPr>
                <w:noProof/>
                <w:webHidden/>
              </w:rPr>
              <w:fldChar w:fldCharType="begin"/>
            </w:r>
            <w:r w:rsidR="00E25A73">
              <w:rPr>
                <w:noProof/>
                <w:webHidden/>
              </w:rPr>
              <w:instrText xml:space="preserve"> PAGEREF _Toc151444369 \h </w:instrText>
            </w:r>
            <w:r w:rsidR="00E25A73">
              <w:rPr>
                <w:noProof/>
                <w:webHidden/>
              </w:rPr>
            </w:r>
            <w:r w:rsidR="00E25A73">
              <w:rPr>
                <w:noProof/>
                <w:webHidden/>
              </w:rPr>
              <w:fldChar w:fldCharType="separate"/>
            </w:r>
            <w:r w:rsidR="00E25A73">
              <w:rPr>
                <w:noProof/>
                <w:webHidden/>
              </w:rPr>
              <w:t>49</w:t>
            </w:r>
            <w:r w:rsidR="00E25A73">
              <w:rPr>
                <w:noProof/>
                <w:webHidden/>
              </w:rPr>
              <w:fldChar w:fldCharType="end"/>
            </w:r>
          </w:hyperlink>
        </w:p>
        <w:p w14:paraId="75E33F8C" w14:textId="5F02F6ED" w:rsidR="00E25A73" w:rsidRDefault="00BA143B">
          <w:pPr>
            <w:pStyle w:val="Obsah3"/>
            <w:tabs>
              <w:tab w:val="left" w:pos="1100"/>
              <w:tab w:val="right" w:leader="dot" w:pos="9488"/>
            </w:tabs>
            <w:rPr>
              <w:rFonts w:eastAsiaTheme="minorEastAsia"/>
              <w:noProof/>
              <w:lang w:eastAsia="cs-CZ"/>
            </w:rPr>
          </w:pPr>
          <w:hyperlink w:anchor="_Toc151444370" w:history="1">
            <w:r w:rsidR="00E25A73" w:rsidRPr="002F1712">
              <w:rPr>
                <w:rStyle w:val="Hypertextovodkaz"/>
                <w:noProof/>
              </w:rPr>
              <w:t>17.3</w:t>
            </w:r>
            <w:r w:rsidR="00E25A73">
              <w:rPr>
                <w:rFonts w:eastAsiaTheme="minorEastAsia"/>
                <w:noProof/>
                <w:lang w:eastAsia="cs-CZ"/>
              </w:rPr>
              <w:tab/>
            </w:r>
            <w:r w:rsidR="00E25A73" w:rsidRPr="002F1712">
              <w:rPr>
                <w:rStyle w:val="Hypertextovodkaz"/>
                <w:noProof/>
              </w:rPr>
              <w:t>Makroekonomické dopady NPO</w:t>
            </w:r>
            <w:r w:rsidR="00E25A73">
              <w:rPr>
                <w:noProof/>
                <w:webHidden/>
              </w:rPr>
              <w:tab/>
            </w:r>
            <w:r w:rsidR="00E25A73">
              <w:rPr>
                <w:noProof/>
                <w:webHidden/>
              </w:rPr>
              <w:fldChar w:fldCharType="begin"/>
            </w:r>
            <w:r w:rsidR="00E25A73">
              <w:rPr>
                <w:noProof/>
                <w:webHidden/>
              </w:rPr>
              <w:instrText xml:space="preserve"> PAGEREF _Toc151444370 \h </w:instrText>
            </w:r>
            <w:r w:rsidR="00E25A73">
              <w:rPr>
                <w:noProof/>
                <w:webHidden/>
              </w:rPr>
            </w:r>
            <w:r w:rsidR="00E25A73">
              <w:rPr>
                <w:noProof/>
                <w:webHidden/>
              </w:rPr>
              <w:fldChar w:fldCharType="separate"/>
            </w:r>
            <w:r w:rsidR="00E25A73">
              <w:rPr>
                <w:noProof/>
                <w:webHidden/>
              </w:rPr>
              <w:t>51</w:t>
            </w:r>
            <w:r w:rsidR="00E25A73">
              <w:rPr>
                <w:noProof/>
                <w:webHidden/>
              </w:rPr>
              <w:fldChar w:fldCharType="end"/>
            </w:r>
          </w:hyperlink>
        </w:p>
        <w:p w14:paraId="2A09D1B3" w14:textId="088DD07D" w:rsidR="00E25A73" w:rsidRDefault="00BA143B">
          <w:pPr>
            <w:pStyle w:val="Obsah3"/>
            <w:tabs>
              <w:tab w:val="left" w:pos="1100"/>
              <w:tab w:val="right" w:leader="dot" w:pos="9488"/>
            </w:tabs>
            <w:rPr>
              <w:rFonts w:eastAsiaTheme="minorEastAsia"/>
              <w:noProof/>
              <w:lang w:eastAsia="cs-CZ"/>
            </w:rPr>
          </w:pPr>
          <w:hyperlink w:anchor="_Toc151444371" w:history="1">
            <w:r w:rsidR="00E25A73" w:rsidRPr="002F1712">
              <w:rPr>
                <w:rStyle w:val="Hypertextovodkaz"/>
                <w:noProof/>
              </w:rPr>
              <w:t>17.4</w:t>
            </w:r>
            <w:r w:rsidR="00E25A73">
              <w:rPr>
                <w:rFonts w:eastAsiaTheme="minorEastAsia"/>
                <w:noProof/>
                <w:lang w:eastAsia="cs-CZ"/>
              </w:rPr>
              <w:tab/>
            </w:r>
            <w:r w:rsidR="00E25A73" w:rsidRPr="002F1712">
              <w:rPr>
                <w:rStyle w:val="Hypertextovodkaz"/>
                <w:noProof/>
              </w:rPr>
              <w:t>Dekompozice dopadů do dílčích komponent</w:t>
            </w:r>
            <w:r w:rsidR="00E25A73">
              <w:rPr>
                <w:noProof/>
                <w:webHidden/>
              </w:rPr>
              <w:tab/>
            </w:r>
            <w:r w:rsidR="00E25A73">
              <w:rPr>
                <w:noProof/>
                <w:webHidden/>
              </w:rPr>
              <w:fldChar w:fldCharType="begin"/>
            </w:r>
            <w:r w:rsidR="00E25A73">
              <w:rPr>
                <w:noProof/>
                <w:webHidden/>
              </w:rPr>
              <w:instrText xml:space="preserve"> PAGEREF _Toc151444371 \h </w:instrText>
            </w:r>
            <w:r w:rsidR="00E25A73">
              <w:rPr>
                <w:noProof/>
                <w:webHidden/>
              </w:rPr>
            </w:r>
            <w:r w:rsidR="00E25A73">
              <w:rPr>
                <w:noProof/>
                <w:webHidden/>
              </w:rPr>
              <w:fldChar w:fldCharType="separate"/>
            </w:r>
            <w:r w:rsidR="00E25A73">
              <w:rPr>
                <w:noProof/>
                <w:webHidden/>
              </w:rPr>
              <w:t>53</w:t>
            </w:r>
            <w:r w:rsidR="00E25A73">
              <w:rPr>
                <w:noProof/>
                <w:webHidden/>
              </w:rPr>
              <w:fldChar w:fldCharType="end"/>
            </w:r>
          </w:hyperlink>
        </w:p>
        <w:p w14:paraId="60C5935C" w14:textId="6C41D252" w:rsidR="00FA0F34" w:rsidRPr="00393D5E" w:rsidRDefault="00D254EB" w:rsidP="3E0D70EE">
          <w:pPr>
            <w:pStyle w:val="Obsah3"/>
            <w:tabs>
              <w:tab w:val="left" w:pos="1095"/>
              <w:tab w:val="right" w:leader="dot" w:pos="9495"/>
            </w:tabs>
            <w:rPr>
              <w:rStyle w:val="Hypertextovodkaz"/>
              <w:kern w:val="2"/>
              <w:lang w:eastAsia="cs-CZ"/>
              <w14:ligatures w14:val="standardContextual"/>
            </w:rPr>
          </w:pPr>
          <w:r>
            <w:fldChar w:fldCharType="end"/>
          </w:r>
        </w:p>
      </w:sdtContent>
    </w:sdt>
    <w:p w14:paraId="71538A59" w14:textId="16B32CE1" w:rsidR="00A87E90" w:rsidRPr="00393D5E" w:rsidRDefault="00A87E90" w:rsidP="2E254156">
      <w:pPr>
        <w:pStyle w:val="Obsah3"/>
        <w:tabs>
          <w:tab w:val="left" w:pos="1095"/>
          <w:tab w:val="right" w:leader="dot" w:pos="9495"/>
        </w:tabs>
        <w:rPr>
          <w:rStyle w:val="Hypertextovodkaz"/>
          <w:lang w:eastAsia="cs-CZ"/>
        </w:rPr>
      </w:pPr>
    </w:p>
    <w:p w14:paraId="3CB5EF4F" w14:textId="14A6C7D7" w:rsidR="00662A4F" w:rsidRPr="00393D5E" w:rsidRDefault="00662A4F" w:rsidP="2C0524AF">
      <w:pPr>
        <w:pStyle w:val="Obsah2"/>
        <w:tabs>
          <w:tab w:val="left" w:pos="660"/>
          <w:tab w:val="right" w:leader="dot" w:pos="9495"/>
        </w:tabs>
        <w:rPr>
          <w:rStyle w:val="Hypertextovodkaz"/>
          <w:lang w:eastAsia="cs-CZ"/>
        </w:rPr>
      </w:pPr>
    </w:p>
    <w:p w14:paraId="1938E579" w14:textId="33CDC981" w:rsidR="002560B3" w:rsidRPr="00393D5E" w:rsidRDefault="002560B3" w:rsidP="00316A1B">
      <w:pPr>
        <w:spacing w:line="276" w:lineRule="auto"/>
        <w:jc w:val="both"/>
      </w:pPr>
    </w:p>
    <w:p w14:paraId="339A3743" w14:textId="21DC7DD0" w:rsidR="009A6B0C" w:rsidRPr="00393D5E" w:rsidRDefault="009A6B0C" w:rsidP="00316A1B">
      <w:pPr>
        <w:spacing w:line="276" w:lineRule="auto"/>
        <w:jc w:val="both"/>
      </w:pPr>
      <w:r w:rsidRPr="00393D5E">
        <w:br w:type="page"/>
      </w:r>
    </w:p>
    <w:p w14:paraId="05553E1C" w14:textId="69215748" w:rsidR="00E25A73" w:rsidRDefault="00A33FF6">
      <w:pPr>
        <w:pStyle w:val="Seznamobrzk"/>
        <w:tabs>
          <w:tab w:val="right" w:leader="dot" w:pos="9488"/>
        </w:tabs>
        <w:rPr>
          <w:rFonts w:eastAsiaTheme="minorEastAsia"/>
          <w:noProof/>
          <w:lang w:eastAsia="cs-CZ"/>
        </w:rPr>
      </w:pPr>
      <w:r w:rsidRPr="00393D5E">
        <w:lastRenderedPageBreak/>
        <w:fldChar w:fldCharType="begin"/>
      </w:r>
      <w:r w:rsidRPr="00393D5E">
        <w:instrText xml:space="preserve"> TOC \h \z \c "Tabulka" </w:instrText>
      </w:r>
      <w:r w:rsidRPr="00393D5E">
        <w:fldChar w:fldCharType="separate"/>
      </w:r>
      <w:hyperlink w:anchor="_Toc151444586" w:history="1">
        <w:r w:rsidR="00E25A73" w:rsidRPr="00865C5B">
          <w:rPr>
            <w:rStyle w:val="Hypertextovodkaz"/>
            <w:noProof/>
          </w:rPr>
          <w:t>Tabulka 1: Plnění průřezových kritérií</w:t>
        </w:r>
        <w:r w:rsidR="00E25A73">
          <w:rPr>
            <w:noProof/>
            <w:webHidden/>
          </w:rPr>
          <w:tab/>
        </w:r>
        <w:r w:rsidR="00E25A73">
          <w:rPr>
            <w:noProof/>
            <w:webHidden/>
          </w:rPr>
          <w:fldChar w:fldCharType="begin"/>
        </w:r>
        <w:r w:rsidR="00E25A73">
          <w:rPr>
            <w:noProof/>
            <w:webHidden/>
          </w:rPr>
          <w:instrText xml:space="preserve"> PAGEREF _Toc151444586 \h </w:instrText>
        </w:r>
        <w:r w:rsidR="00E25A73">
          <w:rPr>
            <w:noProof/>
            <w:webHidden/>
          </w:rPr>
        </w:r>
        <w:r w:rsidR="00E25A73">
          <w:rPr>
            <w:noProof/>
            <w:webHidden/>
          </w:rPr>
          <w:fldChar w:fldCharType="separate"/>
        </w:r>
        <w:r w:rsidR="00E25A73">
          <w:rPr>
            <w:noProof/>
            <w:webHidden/>
          </w:rPr>
          <w:t>10</w:t>
        </w:r>
        <w:r w:rsidR="00E25A73">
          <w:rPr>
            <w:noProof/>
            <w:webHidden/>
          </w:rPr>
          <w:fldChar w:fldCharType="end"/>
        </w:r>
      </w:hyperlink>
    </w:p>
    <w:p w14:paraId="323C777D" w14:textId="4BC8FDE0" w:rsidR="00E25A73" w:rsidRDefault="00BA143B">
      <w:pPr>
        <w:pStyle w:val="Seznamobrzk"/>
        <w:tabs>
          <w:tab w:val="right" w:leader="dot" w:pos="9488"/>
        </w:tabs>
        <w:rPr>
          <w:rFonts w:eastAsiaTheme="minorEastAsia"/>
          <w:noProof/>
          <w:lang w:eastAsia="cs-CZ"/>
        </w:rPr>
      </w:pPr>
      <w:hyperlink w:anchor="_Toc151444587" w:history="1">
        <w:r w:rsidR="00E25A73" w:rsidRPr="00865C5B">
          <w:rPr>
            <w:rStyle w:val="Hypertextovodkaz"/>
            <w:noProof/>
          </w:rPr>
          <w:t>Tabulka 2: Vlastnictví komponent</w:t>
        </w:r>
        <w:r w:rsidR="00E25A73">
          <w:rPr>
            <w:noProof/>
            <w:webHidden/>
          </w:rPr>
          <w:tab/>
        </w:r>
        <w:r w:rsidR="00E25A73">
          <w:rPr>
            <w:noProof/>
            <w:webHidden/>
          </w:rPr>
          <w:fldChar w:fldCharType="begin"/>
        </w:r>
        <w:r w:rsidR="00E25A73">
          <w:rPr>
            <w:noProof/>
            <w:webHidden/>
          </w:rPr>
          <w:instrText xml:space="preserve"> PAGEREF _Toc151444587 \h </w:instrText>
        </w:r>
        <w:r w:rsidR="00E25A73">
          <w:rPr>
            <w:noProof/>
            <w:webHidden/>
          </w:rPr>
        </w:r>
        <w:r w:rsidR="00E25A73">
          <w:rPr>
            <w:noProof/>
            <w:webHidden/>
          </w:rPr>
          <w:fldChar w:fldCharType="separate"/>
        </w:r>
        <w:r w:rsidR="00E25A73">
          <w:rPr>
            <w:noProof/>
            <w:webHidden/>
          </w:rPr>
          <w:t>19</w:t>
        </w:r>
        <w:r w:rsidR="00E25A73">
          <w:rPr>
            <w:noProof/>
            <w:webHidden/>
          </w:rPr>
          <w:fldChar w:fldCharType="end"/>
        </w:r>
      </w:hyperlink>
    </w:p>
    <w:p w14:paraId="54C0BC8B" w14:textId="6A4C0BF5" w:rsidR="00E25A73" w:rsidRDefault="00BA143B">
      <w:pPr>
        <w:pStyle w:val="Seznamobrzk"/>
        <w:tabs>
          <w:tab w:val="right" w:leader="dot" w:pos="9488"/>
        </w:tabs>
        <w:rPr>
          <w:rFonts w:eastAsiaTheme="minorEastAsia"/>
          <w:noProof/>
          <w:lang w:eastAsia="cs-CZ"/>
        </w:rPr>
      </w:pPr>
      <w:hyperlink w:anchor="_Toc151444588" w:history="1">
        <w:r w:rsidR="00E25A73" w:rsidRPr="00865C5B">
          <w:rPr>
            <w:rStyle w:val="Hypertextovodkaz"/>
            <w:noProof/>
          </w:rPr>
          <w:t>Tabulka 3: Přehled všech opatření kapitoly REPowerEU (hodnoty jsou zaokrouhleny)</w:t>
        </w:r>
        <w:r w:rsidR="00E25A73">
          <w:rPr>
            <w:noProof/>
            <w:webHidden/>
          </w:rPr>
          <w:tab/>
        </w:r>
        <w:r w:rsidR="00E25A73">
          <w:rPr>
            <w:noProof/>
            <w:webHidden/>
          </w:rPr>
          <w:fldChar w:fldCharType="begin"/>
        </w:r>
        <w:r w:rsidR="00E25A73">
          <w:rPr>
            <w:noProof/>
            <w:webHidden/>
          </w:rPr>
          <w:instrText xml:space="preserve"> PAGEREF _Toc151444588 \h </w:instrText>
        </w:r>
        <w:r w:rsidR="00E25A73">
          <w:rPr>
            <w:noProof/>
            <w:webHidden/>
          </w:rPr>
        </w:r>
        <w:r w:rsidR="00E25A73">
          <w:rPr>
            <w:noProof/>
            <w:webHidden/>
          </w:rPr>
          <w:fldChar w:fldCharType="separate"/>
        </w:r>
        <w:r w:rsidR="00E25A73">
          <w:rPr>
            <w:noProof/>
            <w:webHidden/>
          </w:rPr>
          <w:t>22</w:t>
        </w:r>
        <w:r w:rsidR="00E25A73">
          <w:rPr>
            <w:noProof/>
            <w:webHidden/>
          </w:rPr>
          <w:fldChar w:fldCharType="end"/>
        </w:r>
      </w:hyperlink>
    </w:p>
    <w:p w14:paraId="010DFAF0" w14:textId="6E4FE13A" w:rsidR="00E25A73" w:rsidRDefault="00BA143B">
      <w:pPr>
        <w:pStyle w:val="Seznamobrzk"/>
        <w:tabs>
          <w:tab w:val="right" w:leader="dot" w:pos="9488"/>
        </w:tabs>
        <w:rPr>
          <w:rFonts w:eastAsiaTheme="minorEastAsia"/>
          <w:noProof/>
          <w:lang w:eastAsia="cs-CZ"/>
        </w:rPr>
      </w:pPr>
      <w:hyperlink w:anchor="_Toc151444589" w:history="1">
        <w:r w:rsidR="00E25A73" w:rsidRPr="00865C5B">
          <w:rPr>
            <w:rStyle w:val="Hypertextovodkaz"/>
            <w:noProof/>
          </w:rPr>
          <w:t>Tabulka 4: Opatření REPowerEU kapitoly s</w:t>
        </w:r>
        <w:r w:rsidR="0003053E">
          <w:rPr>
            <w:rStyle w:val="Hypertextovodkaz"/>
            <w:noProof/>
          </w:rPr>
          <w:t> </w:t>
        </w:r>
        <w:r w:rsidR="00E25A73" w:rsidRPr="00865C5B">
          <w:rPr>
            <w:rStyle w:val="Hypertextovodkaz"/>
            <w:noProof/>
          </w:rPr>
          <w:t>přeshraničním rozměrem či dopadem na více zemí (hodnoty jsou zaokrouhleny)</w:t>
        </w:r>
        <w:r w:rsidR="00E25A73">
          <w:rPr>
            <w:noProof/>
            <w:webHidden/>
          </w:rPr>
          <w:tab/>
        </w:r>
        <w:r w:rsidR="00E25A73">
          <w:rPr>
            <w:noProof/>
            <w:webHidden/>
          </w:rPr>
          <w:fldChar w:fldCharType="begin"/>
        </w:r>
        <w:r w:rsidR="00E25A73">
          <w:rPr>
            <w:noProof/>
            <w:webHidden/>
          </w:rPr>
          <w:instrText xml:space="preserve"> PAGEREF _Toc151444589 \h </w:instrText>
        </w:r>
        <w:r w:rsidR="00E25A73">
          <w:rPr>
            <w:noProof/>
            <w:webHidden/>
          </w:rPr>
        </w:r>
        <w:r w:rsidR="00E25A73">
          <w:rPr>
            <w:noProof/>
            <w:webHidden/>
          </w:rPr>
          <w:fldChar w:fldCharType="separate"/>
        </w:r>
        <w:r w:rsidR="00E25A73">
          <w:rPr>
            <w:noProof/>
            <w:webHidden/>
          </w:rPr>
          <w:t>25</w:t>
        </w:r>
        <w:r w:rsidR="00E25A73">
          <w:rPr>
            <w:noProof/>
            <w:webHidden/>
          </w:rPr>
          <w:fldChar w:fldCharType="end"/>
        </w:r>
      </w:hyperlink>
    </w:p>
    <w:p w14:paraId="106085E2" w14:textId="1CEE3DCE" w:rsidR="00E25A73" w:rsidRDefault="00BA143B">
      <w:pPr>
        <w:pStyle w:val="Seznamobrzk"/>
        <w:tabs>
          <w:tab w:val="right" w:leader="dot" w:pos="9488"/>
        </w:tabs>
        <w:rPr>
          <w:rFonts w:eastAsiaTheme="minorEastAsia"/>
          <w:noProof/>
          <w:lang w:eastAsia="cs-CZ"/>
        </w:rPr>
      </w:pPr>
      <w:hyperlink w:anchor="_Toc151444590" w:history="1">
        <w:r w:rsidR="00E25A73" w:rsidRPr="00865C5B">
          <w:rPr>
            <w:rStyle w:val="Hypertextovodkaz"/>
            <w:noProof/>
          </w:rPr>
          <w:t>Tabulka 5: Přehled programů v</w:t>
        </w:r>
        <w:r w:rsidR="0003053E">
          <w:rPr>
            <w:rStyle w:val="Hypertextovodkaz"/>
            <w:noProof/>
          </w:rPr>
          <w:t> </w:t>
        </w:r>
        <w:r w:rsidR="00E25A73" w:rsidRPr="00865C5B">
          <w:rPr>
            <w:rStyle w:val="Hypertextovodkaz"/>
            <w:noProof/>
          </w:rPr>
          <w:t>rámci Modernizačního fondu</w:t>
        </w:r>
        <w:r w:rsidR="00E25A73">
          <w:rPr>
            <w:noProof/>
            <w:webHidden/>
          </w:rPr>
          <w:tab/>
        </w:r>
        <w:r w:rsidR="00E25A73">
          <w:rPr>
            <w:noProof/>
            <w:webHidden/>
          </w:rPr>
          <w:fldChar w:fldCharType="begin"/>
        </w:r>
        <w:r w:rsidR="00E25A73">
          <w:rPr>
            <w:noProof/>
            <w:webHidden/>
          </w:rPr>
          <w:instrText xml:space="preserve"> PAGEREF _Toc151444590 \h </w:instrText>
        </w:r>
        <w:r w:rsidR="00E25A73">
          <w:rPr>
            <w:noProof/>
            <w:webHidden/>
          </w:rPr>
        </w:r>
        <w:r w:rsidR="00E25A73">
          <w:rPr>
            <w:noProof/>
            <w:webHidden/>
          </w:rPr>
          <w:fldChar w:fldCharType="separate"/>
        </w:r>
        <w:r w:rsidR="00E25A73">
          <w:rPr>
            <w:noProof/>
            <w:webHidden/>
          </w:rPr>
          <w:t>40</w:t>
        </w:r>
        <w:r w:rsidR="00E25A73">
          <w:rPr>
            <w:noProof/>
            <w:webHidden/>
          </w:rPr>
          <w:fldChar w:fldCharType="end"/>
        </w:r>
      </w:hyperlink>
    </w:p>
    <w:p w14:paraId="61FCE786" w14:textId="6FA0561F" w:rsidR="00E25A73" w:rsidRDefault="00BA143B">
      <w:pPr>
        <w:pStyle w:val="Seznamobrzk"/>
        <w:tabs>
          <w:tab w:val="right" w:leader="dot" w:pos="9488"/>
        </w:tabs>
        <w:rPr>
          <w:rFonts w:eastAsiaTheme="minorEastAsia"/>
          <w:noProof/>
          <w:lang w:eastAsia="cs-CZ"/>
        </w:rPr>
      </w:pPr>
      <w:hyperlink w:anchor="_Toc151444591" w:history="1">
        <w:r w:rsidR="00E25A73" w:rsidRPr="00865C5B">
          <w:rPr>
            <w:rStyle w:val="Hypertextovodkaz"/>
            <w:noProof/>
          </w:rPr>
          <w:t>Tabulka 6: Základní makroekonomický scénář</w:t>
        </w:r>
        <w:r w:rsidR="00E25A73">
          <w:rPr>
            <w:noProof/>
            <w:webHidden/>
          </w:rPr>
          <w:tab/>
        </w:r>
        <w:r w:rsidR="00E25A73">
          <w:rPr>
            <w:noProof/>
            <w:webHidden/>
          </w:rPr>
          <w:fldChar w:fldCharType="begin"/>
        </w:r>
        <w:r w:rsidR="00E25A73">
          <w:rPr>
            <w:noProof/>
            <w:webHidden/>
          </w:rPr>
          <w:instrText xml:space="preserve"> PAGEREF _Toc151444591 \h </w:instrText>
        </w:r>
        <w:r w:rsidR="00E25A73">
          <w:rPr>
            <w:noProof/>
            <w:webHidden/>
          </w:rPr>
        </w:r>
        <w:r w:rsidR="00E25A73">
          <w:rPr>
            <w:noProof/>
            <w:webHidden/>
          </w:rPr>
          <w:fldChar w:fldCharType="separate"/>
        </w:r>
        <w:r w:rsidR="00E25A73">
          <w:rPr>
            <w:noProof/>
            <w:webHidden/>
          </w:rPr>
          <w:t>49</w:t>
        </w:r>
        <w:r w:rsidR="00E25A73">
          <w:rPr>
            <w:noProof/>
            <w:webHidden/>
          </w:rPr>
          <w:fldChar w:fldCharType="end"/>
        </w:r>
      </w:hyperlink>
    </w:p>
    <w:p w14:paraId="3E4ADC67" w14:textId="11983C3E" w:rsidR="00E25A73" w:rsidRDefault="00BA143B">
      <w:pPr>
        <w:pStyle w:val="Seznamobrzk"/>
        <w:tabs>
          <w:tab w:val="right" w:leader="dot" w:pos="9488"/>
        </w:tabs>
        <w:rPr>
          <w:rFonts w:eastAsiaTheme="minorEastAsia"/>
          <w:noProof/>
          <w:lang w:eastAsia="cs-CZ"/>
        </w:rPr>
      </w:pPr>
      <w:hyperlink w:anchor="_Toc151444592" w:history="1">
        <w:r w:rsidR="00E25A73" w:rsidRPr="00865C5B">
          <w:rPr>
            <w:rStyle w:val="Hypertextovodkaz"/>
            <w:noProof/>
          </w:rPr>
          <w:t>Tabulka 7: Dopady na HDP a</w:t>
        </w:r>
        <w:r w:rsidR="0003053E">
          <w:rPr>
            <w:rStyle w:val="Hypertextovodkaz"/>
            <w:noProof/>
          </w:rPr>
          <w:t> </w:t>
        </w:r>
        <w:r w:rsidR="00E25A73" w:rsidRPr="00865C5B">
          <w:rPr>
            <w:rStyle w:val="Hypertextovodkaz"/>
            <w:noProof/>
          </w:rPr>
          <w:t>zaměstnanost</w:t>
        </w:r>
        <w:r w:rsidR="00E25A73">
          <w:rPr>
            <w:noProof/>
            <w:webHidden/>
          </w:rPr>
          <w:tab/>
        </w:r>
        <w:r w:rsidR="00E25A73">
          <w:rPr>
            <w:noProof/>
            <w:webHidden/>
          </w:rPr>
          <w:fldChar w:fldCharType="begin"/>
        </w:r>
        <w:r w:rsidR="00E25A73">
          <w:rPr>
            <w:noProof/>
            <w:webHidden/>
          </w:rPr>
          <w:instrText xml:space="preserve"> PAGEREF _Toc151444592 \h </w:instrText>
        </w:r>
        <w:r w:rsidR="00E25A73">
          <w:rPr>
            <w:noProof/>
            <w:webHidden/>
          </w:rPr>
        </w:r>
        <w:r w:rsidR="00E25A73">
          <w:rPr>
            <w:noProof/>
            <w:webHidden/>
          </w:rPr>
          <w:fldChar w:fldCharType="separate"/>
        </w:r>
        <w:r w:rsidR="00E25A73">
          <w:rPr>
            <w:noProof/>
            <w:webHidden/>
          </w:rPr>
          <w:t>51</w:t>
        </w:r>
        <w:r w:rsidR="00E25A73">
          <w:rPr>
            <w:noProof/>
            <w:webHidden/>
          </w:rPr>
          <w:fldChar w:fldCharType="end"/>
        </w:r>
      </w:hyperlink>
    </w:p>
    <w:p w14:paraId="58F63FF8" w14:textId="2F88688D" w:rsidR="00E25A73" w:rsidRDefault="00BA143B">
      <w:pPr>
        <w:pStyle w:val="Seznamobrzk"/>
        <w:tabs>
          <w:tab w:val="right" w:leader="dot" w:pos="9488"/>
        </w:tabs>
        <w:rPr>
          <w:rFonts w:eastAsiaTheme="minorEastAsia"/>
          <w:noProof/>
          <w:lang w:eastAsia="cs-CZ"/>
        </w:rPr>
      </w:pPr>
      <w:hyperlink w:anchor="_Toc151444593" w:history="1">
        <w:r w:rsidR="00E25A73" w:rsidRPr="00865C5B">
          <w:rPr>
            <w:rStyle w:val="Hypertextovodkaz"/>
            <w:noProof/>
          </w:rPr>
          <w:t>Tabulka 8: Stanovené impulzy v</w:t>
        </w:r>
        <w:r w:rsidR="0003053E">
          <w:rPr>
            <w:rStyle w:val="Hypertextovodkaz"/>
            <w:noProof/>
          </w:rPr>
          <w:t> </w:t>
        </w:r>
        <w:r w:rsidR="00E25A73" w:rsidRPr="00865C5B">
          <w:rPr>
            <w:rStyle w:val="Hypertextovodkaz"/>
            <w:noProof/>
          </w:rPr>
          <w:t>rámci 1. pilíře – digitální transformace</w:t>
        </w:r>
        <w:r w:rsidR="00E25A73">
          <w:rPr>
            <w:noProof/>
            <w:webHidden/>
          </w:rPr>
          <w:tab/>
        </w:r>
        <w:r w:rsidR="00E25A73">
          <w:rPr>
            <w:noProof/>
            <w:webHidden/>
          </w:rPr>
          <w:fldChar w:fldCharType="begin"/>
        </w:r>
        <w:r w:rsidR="00E25A73">
          <w:rPr>
            <w:noProof/>
            <w:webHidden/>
          </w:rPr>
          <w:instrText xml:space="preserve"> PAGEREF _Toc151444593 \h </w:instrText>
        </w:r>
        <w:r w:rsidR="00E25A73">
          <w:rPr>
            <w:noProof/>
            <w:webHidden/>
          </w:rPr>
        </w:r>
        <w:r w:rsidR="00E25A73">
          <w:rPr>
            <w:noProof/>
            <w:webHidden/>
          </w:rPr>
          <w:fldChar w:fldCharType="separate"/>
        </w:r>
        <w:r w:rsidR="00E25A73">
          <w:rPr>
            <w:noProof/>
            <w:webHidden/>
          </w:rPr>
          <w:t>54</w:t>
        </w:r>
        <w:r w:rsidR="00E25A73">
          <w:rPr>
            <w:noProof/>
            <w:webHidden/>
          </w:rPr>
          <w:fldChar w:fldCharType="end"/>
        </w:r>
      </w:hyperlink>
    </w:p>
    <w:p w14:paraId="7A010427" w14:textId="026D933F" w:rsidR="00E25A73" w:rsidRDefault="00BA143B">
      <w:pPr>
        <w:pStyle w:val="Seznamobrzk"/>
        <w:tabs>
          <w:tab w:val="right" w:leader="dot" w:pos="9488"/>
        </w:tabs>
        <w:rPr>
          <w:rFonts w:eastAsiaTheme="minorEastAsia"/>
          <w:noProof/>
          <w:lang w:eastAsia="cs-CZ"/>
        </w:rPr>
      </w:pPr>
      <w:hyperlink w:anchor="_Toc151444594" w:history="1">
        <w:r w:rsidR="00E25A73" w:rsidRPr="00865C5B">
          <w:rPr>
            <w:rStyle w:val="Hypertextovodkaz"/>
            <w:noProof/>
          </w:rPr>
          <w:t>Tabulka 9: Makroekonomické dopady 1. pilíře – digitální transformace</w:t>
        </w:r>
        <w:r w:rsidR="00E25A73">
          <w:rPr>
            <w:noProof/>
            <w:webHidden/>
          </w:rPr>
          <w:tab/>
        </w:r>
        <w:r w:rsidR="00E25A73">
          <w:rPr>
            <w:noProof/>
            <w:webHidden/>
          </w:rPr>
          <w:fldChar w:fldCharType="begin"/>
        </w:r>
        <w:r w:rsidR="00E25A73">
          <w:rPr>
            <w:noProof/>
            <w:webHidden/>
          </w:rPr>
          <w:instrText xml:space="preserve"> PAGEREF _Toc151444594 \h </w:instrText>
        </w:r>
        <w:r w:rsidR="00E25A73">
          <w:rPr>
            <w:noProof/>
            <w:webHidden/>
          </w:rPr>
        </w:r>
        <w:r w:rsidR="00E25A73">
          <w:rPr>
            <w:noProof/>
            <w:webHidden/>
          </w:rPr>
          <w:fldChar w:fldCharType="separate"/>
        </w:r>
        <w:r w:rsidR="00E25A73">
          <w:rPr>
            <w:noProof/>
            <w:webHidden/>
          </w:rPr>
          <w:t>55</w:t>
        </w:r>
        <w:r w:rsidR="00E25A73">
          <w:rPr>
            <w:noProof/>
            <w:webHidden/>
          </w:rPr>
          <w:fldChar w:fldCharType="end"/>
        </w:r>
      </w:hyperlink>
    </w:p>
    <w:p w14:paraId="14093E10" w14:textId="223870F6" w:rsidR="00E25A73" w:rsidRDefault="00BA143B">
      <w:pPr>
        <w:pStyle w:val="Seznamobrzk"/>
        <w:tabs>
          <w:tab w:val="right" w:leader="dot" w:pos="9488"/>
        </w:tabs>
        <w:rPr>
          <w:rFonts w:eastAsiaTheme="minorEastAsia"/>
          <w:noProof/>
          <w:lang w:eastAsia="cs-CZ"/>
        </w:rPr>
      </w:pPr>
      <w:hyperlink w:anchor="_Toc151444595" w:history="1">
        <w:r w:rsidR="00E25A73" w:rsidRPr="00865C5B">
          <w:rPr>
            <w:rStyle w:val="Hypertextovodkaz"/>
            <w:noProof/>
          </w:rPr>
          <w:t>Tabulka 10: Stanovené impulzy v</w:t>
        </w:r>
        <w:r w:rsidR="0003053E">
          <w:rPr>
            <w:rStyle w:val="Hypertextovodkaz"/>
            <w:noProof/>
          </w:rPr>
          <w:t> </w:t>
        </w:r>
        <w:r w:rsidR="00E25A73" w:rsidRPr="00865C5B">
          <w:rPr>
            <w:rStyle w:val="Hypertextovodkaz"/>
            <w:noProof/>
          </w:rPr>
          <w:t>rámci 2. pilíře – fyzická infrastruktura a</w:t>
        </w:r>
        <w:r w:rsidR="0003053E">
          <w:rPr>
            <w:rStyle w:val="Hypertextovodkaz"/>
            <w:noProof/>
          </w:rPr>
          <w:t> </w:t>
        </w:r>
        <w:r w:rsidR="00E25A73" w:rsidRPr="00865C5B">
          <w:rPr>
            <w:rStyle w:val="Hypertextovodkaz"/>
            <w:noProof/>
          </w:rPr>
          <w:t>zelená tranzice</w:t>
        </w:r>
        <w:r w:rsidR="00E25A73">
          <w:rPr>
            <w:noProof/>
            <w:webHidden/>
          </w:rPr>
          <w:tab/>
        </w:r>
        <w:r w:rsidR="00E25A73">
          <w:rPr>
            <w:noProof/>
            <w:webHidden/>
          </w:rPr>
          <w:fldChar w:fldCharType="begin"/>
        </w:r>
        <w:r w:rsidR="00E25A73">
          <w:rPr>
            <w:noProof/>
            <w:webHidden/>
          </w:rPr>
          <w:instrText xml:space="preserve"> PAGEREF _Toc151444595 \h </w:instrText>
        </w:r>
        <w:r w:rsidR="00E25A73">
          <w:rPr>
            <w:noProof/>
            <w:webHidden/>
          </w:rPr>
        </w:r>
        <w:r w:rsidR="00E25A73">
          <w:rPr>
            <w:noProof/>
            <w:webHidden/>
          </w:rPr>
          <w:fldChar w:fldCharType="separate"/>
        </w:r>
        <w:r w:rsidR="00E25A73">
          <w:rPr>
            <w:noProof/>
            <w:webHidden/>
          </w:rPr>
          <w:t>56</w:t>
        </w:r>
        <w:r w:rsidR="00E25A73">
          <w:rPr>
            <w:noProof/>
            <w:webHidden/>
          </w:rPr>
          <w:fldChar w:fldCharType="end"/>
        </w:r>
      </w:hyperlink>
    </w:p>
    <w:p w14:paraId="419EA2E3" w14:textId="72C1D6CA" w:rsidR="00E25A73" w:rsidRDefault="00BA143B">
      <w:pPr>
        <w:pStyle w:val="Seznamobrzk"/>
        <w:tabs>
          <w:tab w:val="right" w:leader="dot" w:pos="9488"/>
        </w:tabs>
        <w:rPr>
          <w:rFonts w:eastAsiaTheme="minorEastAsia"/>
          <w:noProof/>
          <w:lang w:eastAsia="cs-CZ"/>
        </w:rPr>
      </w:pPr>
      <w:hyperlink w:anchor="_Toc151444596" w:history="1">
        <w:r w:rsidR="00E25A73" w:rsidRPr="00865C5B">
          <w:rPr>
            <w:rStyle w:val="Hypertextovodkaz"/>
            <w:noProof/>
          </w:rPr>
          <w:t>Tabulka 11: Makroekonomické dopady 2. pilíře – fyzická infrastruktura a</w:t>
        </w:r>
        <w:r w:rsidR="0003053E">
          <w:rPr>
            <w:rStyle w:val="Hypertextovodkaz"/>
            <w:noProof/>
          </w:rPr>
          <w:t> </w:t>
        </w:r>
        <w:r w:rsidR="00E25A73" w:rsidRPr="00865C5B">
          <w:rPr>
            <w:rStyle w:val="Hypertextovodkaz"/>
            <w:noProof/>
          </w:rPr>
          <w:t>zelená tranzice</w:t>
        </w:r>
        <w:r w:rsidR="00E25A73">
          <w:rPr>
            <w:noProof/>
            <w:webHidden/>
          </w:rPr>
          <w:tab/>
        </w:r>
        <w:r w:rsidR="00E25A73">
          <w:rPr>
            <w:noProof/>
            <w:webHidden/>
          </w:rPr>
          <w:fldChar w:fldCharType="begin"/>
        </w:r>
        <w:r w:rsidR="00E25A73">
          <w:rPr>
            <w:noProof/>
            <w:webHidden/>
          </w:rPr>
          <w:instrText xml:space="preserve"> PAGEREF _Toc151444596 \h </w:instrText>
        </w:r>
        <w:r w:rsidR="00E25A73">
          <w:rPr>
            <w:noProof/>
            <w:webHidden/>
          </w:rPr>
        </w:r>
        <w:r w:rsidR="00E25A73">
          <w:rPr>
            <w:noProof/>
            <w:webHidden/>
          </w:rPr>
          <w:fldChar w:fldCharType="separate"/>
        </w:r>
        <w:r w:rsidR="00E25A73">
          <w:rPr>
            <w:noProof/>
            <w:webHidden/>
          </w:rPr>
          <w:t>56</w:t>
        </w:r>
        <w:r w:rsidR="00E25A73">
          <w:rPr>
            <w:noProof/>
            <w:webHidden/>
          </w:rPr>
          <w:fldChar w:fldCharType="end"/>
        </w:r>
      </w:hyperlink>
    </w:p>
    <w:p w14:paraId="7DDBA558" w14:textId="7A824086" w:rsidR="00E25A73" w:rsidRDefault="00BA143B">
      <w:pPr>
        <w:pStyle w:val="Seznamobrzk"/>
        <w:tabs>
          <w:tab w:val="right" w:leader="dot" w:pos="9488"/>
        </w:tabs>
        <w:rPr>
          <w:rFonts w:eastAsiaTheme="minorEastAsia"/>
          <w:noProof/>
          <w:lang w:eastAsia="cs-CZ"/>
        </w:rPr>
      </w:pPr>
      <w:hyperlink w:anchor="_Toc151444597" w:history="1">
        <w:r w:rsidR="00E25A73" w:rsidRPr="00865C5B">
          <w:rPr>
            <w:rStyle w:val="Hypertextovodkaz"/>
            <w:noProof/>
          </w:rPr>
          <w:t>Tabulka 12: Stanovené impulzy v</w:t>
        </w:r>
        <w:r w:rsidR="0003053E">
          <w:rPr>
            <w:rStyle w:val="Hypertextovodkaz"/>
            <w:noProof/>
          </w:rPr>
          <w:t> </w:t>
        </w:r>
        <w:r w:rsidR="00E25A73" w:rsidRPr="00865C5B">
          <w:rPr>
            <w:rStyle w:val="Hypertextovodkaz"/>
            <w:noProof/>
          </w:rPr>
          <w:t>rámci 3. pilíře – vzdělávání a</w:t>
        </w:r>
        <w:r w:rsidR="0003053E">
          <w:rPr>
            <w:rStyle w:val="Hypertextovodkaz"/>
            <w:noProof/>
          </w:rPr>
          <w:t> </w:t>
        </w:r>
        <w:r w:rsidR="00E25A73" w:rsidRPr="00865C5B">
          <w:rPr>
            <w:rStyle w:val="Hypertextovodkaz"/>
            <w:noProof/>
          </w:rPr>
          <w:t>trh práce</w:t>
        </w:r>
        <w:r w:rsidR="00E25A73">
          <w:rPr>
            <w:noProof/>
            <w:webHidden/>
          </w:rPr>
          <w:tab/>
        </w:r>
        <w:r w:rsidR="00E25A73">
          <w:rPr>
            <w:noProof/>
            <w:webHidden/>
          </w:rPr>
          <w:fldChar w:fldCharType="begin"/>
        </w:r>
        <w:r w:rsidR="00E25A73">
          <w:rPr>
            <w:noProof/>
            <w:webHidden/>
          </w:rPr>
          <w:instrText xml:space="preserve"> PAGEREF _Toc151444597 \h </w:instrText>
        </w:r>
        <w:r w:rsidR="00E25A73">
          <w:rPr>
            <w:noProof/>
            <w:webHidden/>
          </w:rPr>
        </w:r>
        <w:r w:rsidR="00E25A73">
          <w:rPr>
            <w:noProof/>
            <w:webHidden/>
          </w:rPr>
          <w:fldChar w:fldCharType="separate"/>
        </w:r>
        <w:r w:rsidR="00E25A73">
          <w:rPr>
            <w:noProof/>
            <w:webHidden/>
          </w:rPr>
          <w:t>57</w:t>
        </w:r>
        <w:r w:rsidR="00E25A73">
          <w:rPr>
            <w:noProof/>
            <w:webHidden/>
          </w:rPr>
          <w:fldChar w:fldCharType="end"/>
        </w:r>
      </w:hyperlink>
    </w:p>
    <w:p w14:paraId="6E631ABA" w14:textId="77536392" w:rsidR="00E25A73" w:rsidRDefault="00BA143B">
      <w:pPr>
        <w:pStyle w:val="Seznamobrzk"/>
        <w:tabs>
          <w:tab w:val="right" w:leader="dot" w:pos="9488"/>
        </w:tabs>
        <w:rPr>
          <w:rFonts w:eastAsiaTheme="minorEastAsia"/>
          <w:noProof/>
          <w:lang w:eastAsia="cs-CZ"/>
        </w:rPr>
      </w:pPr>
      <w:hyperlink w:anchor="_Toc151444598" w:history="1">
        <w:r w:rsidR="00E25A73" w:rsidRPr="00865C5B">
          <w:rPr>
            <w:rStyle w:val="Hypertextovodkaz"/>
            <w:noProof/>
          </w:rPr>
          <w:t>Tabulka 13: Makroekonomické dopady 3. pilíře – vzdělávání a</w:t>
        </w:r>
        <w:r w:rsidR="0003053E">
          <w:rPr>
            <w:rStyle w:val="Hypertextovodkaz"/>
            <w:noProof/>
          </w:rPr>
          <w:t> </w:t>
        </w:r>
        <w:r w:rsidR="00E25A73" w:rsidRPr="00865C5B">
          <w:rPr>
            <w:rStyle w:val="Hypertextovodkaz"/>
            <w:noProof/>
          </w:rPr>
          <w:t>trh práce</w:t>
        </w:r>
        <w:r w:rsidR="00E25A73">
          <w:rPr>
            <w:noProof/>
            <w:webHidden/>
          </w:rPr>
          <w:tab/>
        </w:r>
        <w:r w:rsidR="00E25A73">
          <w:rPr>
            <w:noProof/>
            <w:webHidden/>
          </w:rPr>
          <w:fldChar w:fldCharType="begin"/>
        </w:r>
        <w:r w:rsidR="00E25A73">
          <w:rPr>
            <w:noProof/>
            <w:webHidden/>
          </w:rPr>
          <w:instrText xml:space="preserve"> PAGEREF _Toc151444598 \h </w:instrText>
        </w:r>
        <w:r w:rsidR="00E25A73">
          <w:rPr>
            <w:noProof/>
            <w:webHidden/>
          </w:rPr>
        </w:r>
        <w:r w:rsidR="00E25A73">
          <w:rPr>
            <w:noProof/>
            <w:webHidden/>
          </w:rPr>
          <w:fldChar w:fldCharType="separate"/>
        </w:r>
        <w:r w:rsidR="00E25A73">
          <w:rPr>
            <w:noProof/>
            <w:webHidden/>
          </w:rPr>
          <w:t>57</w:t>
        </w:r>
        <w:r w:rsidR="00E25A73">
          <w:rPr>
            <w:noProof/>
            <w:webHidden/>
          </w:rPr>
          <w:fldChar w:fldCharType="end"/>
        </w:r>
      </w:hyperlink>
    </w:p>
    <w:p w14:paraId="6B0531DA" w14:textId="68CAC0D5" w:rsidR="00E25A73" w:rsidRDefault="00BA143B">
      <w:pPr>
        <w:pStyle w:val="Seznamobrzk"/>
        <w:tabs>
          <w:tab w:val="right" w:leader="dot" w:pos="9488"/>
        </w:tabs>
        <w:rPr>
          <w:rFonts w:eastAsiaTheme="minorEastAsia"/>
          <w:noProof/>
          <w:lang w:eastAsia="cs-CZ"/>
        </w:rPr>
      </w:pPr>
      <w:hyperlink w:anchor="_Toc151444599" w:history="1">
        <w:r w:rsidR="00E25A73" w:rsidRPr="00865C5B">
          <w:rPr>
            <w:rStyle w:val="Hypertextovodkaz"/>
            <w:noProof/>
          </w:rPr>
          <w:t>Tabulka 14: Stanovené impulzy v</w:t>
        </w:r>
        <w:r w:rsidR="0003053E">
          <w:rPr>
            <w:rStyle w:val="Hypertextovodkaz"/>
            <w:noProof/>
          </w:rPr>
          <w:t> </w:t>
        </w:r>
        <w:r w:rsidR="00E25A73" w:rsidRPr="00865C5B">
          <w:rPr>
            <w:rStyle w:val="Hypertextovodkaz"/>
            <w:noProof/>
          </w:rPr>
          <w:t>rámci 4. pilíře – instituce a</w:t>
        </w:r>
        <w:r w:rsidR="0003053E">
          <w:rPr>
            <w:rStyle w:val="Hypertextovodkaz"/>
            <w:noProof/>
          </w:rPr>
          <w:t> </w:t>
        </w:r>
        <w:r w:rsidR="00E25A73" w:rsidRPr="00865C5B">
          <w:rPr>
            <w:rStyle w:val="Hypertextovodkaz"/>
            <w:noProof/>
          </w:rPr>
          <w:t>regulace a</w:t>
        </w:r>
        <w:r w:rsidR="0003053E">
          <w:rPr>
            <w:rStyle w:val="Hypertextovodkaz"/>
            <w:noProof/>
          </w:rPr>
          <w:t> </w:t>
        </w:r>
        <w:r w:rsidR="00E25A73" w:rsidRPr="00865C5B">
          <w:rPr>
            <w:rStyle w:val="Hypertextovodkaz"/>
            <w:noProof/>
          </w:rPr>
          <w:t>podpora podnikání</w:t>
        </w:r>
        <w:r w:rsidR="00E25A73">
          <w:rPr>
            <w:noProof/>
            <w:webHidden/>
          </w:rPr>
          <w:tab/>
        </w:r>
        <w:r w:rsidR="00E25A73">
          <w:rPr>
            <w:noProof/>
            <w:webHidden/>
          </w:rPr>
          <w:fldChar w:fldCharType="begin"/>
        </w:r>
        <w:r w:rsidR="00E25A73">
          <w:rPr>
            <w:noProof/>
            <w:webHidden/>
          </w:rPr>
          <w:instrText xml:space="preserve"> PAGEREF _Toc151444599 \h </w:instrText>
        </w:r>
        <w:r w:rsidR="00E25A73">
          <w:rPr>
            <w:noProof/>
            <w:webHidden/>
          </w:rPr>
        </w:r>
        <w:r w:rsidR="00E25A73">
          <w:rPr>
            <w:noProof/>
            <w:webHidden/>
          </w:rPr>
          <w:fldChar w:fldCharType="separate"/>
        </w:r>
        <w:r w:rsidR="00E25A73">
          <w:rPr>
            <w:noProof/>
            <w:webHidden/>
          </w:rPr>
          <w:t>57</w:t>
        </w:r>
        <w:r w:rsidR="00E25A73">
          <w:rPr>
            <w:noProof/>
            <w:webHidden/>
          </w:rPr>
          <w:fldChar w:fldCharType="end"/>
        </w:r>
      </w:hyperlink>
    </w:p>
    <w:p w14:paraId="415661C5" w14:textId="058972EA" w:rsidR="00E25A73" w:rsidRDefault="00BA143B">
      <w:pPr>
        <w:pStyle w:val="Seznamobrzk"/>
        <w:tabs>
          <w:tab w:val="right" w:leader="dot" w:pos="9488"/>
        </w:tabs>
        <w:rPr>
          <w:rFonts w:eastAsiaTheme="minorEastAsia"/>
          <w:noProof/>
          <w:lang w:eastAsia="cs-CZ"/>
        </w:rPr>
      </w:pPr>
      <w:hyperlink w:anchor="_Toc151444600" w:history="1">
        <w:r w:rsidR="00E25A73" w:rsidRPr="00865C5B">
          <w:rPr>
            <w:rStyle w:val="Hypertextovodkaz"/>
            <w:noProof/>
          </w:rPr>
          <w:t>Tabulka 15: Makroekonomické dopady 4. pilíře – instituce a</w:t>
        </w:r>
        <w:r w:rsidR="0003053E">
          <w:rPr>
            <w:rStyle w:val="Hypertextovodkaz"/>
            <w:noProof/>
          </w:rPr>
          <w:t> </w:t>
        </w:r>
        <w:r w:rsidR="00E25A73" w:rsidRPr="00865C5B">
          <w:rPr>
            <w:rStyle w:val="Hypertextovodkaz"/>
            <w:noProof/>
          </w:rPr>
          <w:t>regulace a</w:t>
        </w:r>
        <w:r w:rsidR="0003053E">
          <w:rPr>
            <w:rStyle w:val="Hypertextovodkaz"/>
            <w:noProof/>
          </w:rPr>
          <w:t> </w:t>
        </w:r>
        <w:r w:rsidR="00E25A73" w:rsidRPr="00865C5B">
          <w:rPr>
            <w:rStyle w:val="Hypertextovodkaz"/>
            <w:noProof/>
          </w:rPr>
          <w:t>podpora podnikání</w:t>
        </w:r>
        <w:r w:rsidR="00E25A73">
          <w:rPr>
            <w:noProof/>
            <w:webHidden/>
          </w:rPr>
          <w:tab/>
        </w:r>
        <w:r w:rsidR="00E25A73">
          <w:rPr>
            <w:noProof/>
            <w:webHidden/>
          </w:rPr>
          <w:fldChar w:fldCharType="begin"/>
        </w:r>
        <w:r w:rsidR="00E25A73">
          <w:rPr>
            <w:noProof/>
            <w:webHidden/>
          </w:rPr>
          <w:instrText xml:space="preserve"> PAGEREF _Toc151444600 \h </w:instrText>
        </w:r>
        <w:r w:rsidR="00E25A73">
          <w:rPr>
            <w:noProof/>
            <w:webHidden/>
          </w:rPr>
        </w:r>
        <w:r w:rsidR="00E25A73">
          <w:rPr>
            <w:noProof/>
            <w:webHidden/>
          </w:rPr>
          <w:fldChar w:fldCharType="separate"/>
        </w:r>
        <w:r w:rsidR="00E25A73">
          <w:rPr>
            <w:noProof/>
            <w:webHidden/>
          </w:rPr>
          <w:t>58</w:t>
        </w:r>
        <w:r w:rsidR="00E25A73">
          <w:rPr>
            <w:noProof/>
            <w:webHidden/>
          </w:rPr>
          <w:fldChar w:fldCharType="end"/>
        </w:r>
      </w:hyperlink>
    </w:p>
    <w:p w14:paraId="29F199DC" w14:textId="15A304DB" w:rsidR="00E25A73" w:rsidRDefault="00BA143B">
      <w:pPr>
        <w:pStyle w:val="Seznamobrzk"/>
        <w:tabs>
          <w:tab w:val="right" w:leader="dot" w:pos="9488"/>
        </w:tabs>
        <w:rPr>
          <w:rFonts w:eastAsiaTheme="minorEastAsia"/>
          <w:noProof/>
          <w:lang w:eastAsia="cs-CZ"/>
        </w:rPr>
      </w:pPr>
      <w:hyperlink w:anchor="_Toc151444601" w:history="1">
        <w:r w:rsidR="00E25A73" w:rsidRPr="00865C5B">
          <w:rPr>
            <w:rStyle w:val="Hypertextovodkaz"/>
            <w:noProof/>
          </w:rPr>
          <w:t>Tabulka 16: Stanovené impulzy v</w:t>
        </w:r>
        <w:r w:rsidR="0003053E">
          <w:rPr>
            <w:rStyle w:val="Hypertextovodkaz"/>
            <w:noProof/>
          </w:rPr>
          <w:t> </w:t>
        </w:r>
        <w:r w:rsidR="00E25A73" w:rsidRPr="00865C5B">
          <w:rPr>
            <w:rStyle w:val="Hypertextovodkaz"/>
            <w:noProof/>
          </w:rPr>
          <w:t>rámci 5. pilíře – výzkum, vývoj a</w:t>
        </w:r>
        <w:r w:rsidR="0003053E">
          <w:rPr>
            <w:rStyle w:val="Hypertextovodkaz"/>
            <w:noProof/>
          </w:rPr>
          <w:t> </w:t>
        </w:r>
        <w:r w:rsidR="00E25A73" w:rsidRPr="00865C5B">
          <w:rPr>
            <w:rStyle w:val="Hypertextovodkaz"/>
            <w:noProof/>
          </w:rPr>
          <w:t>inovace</w:t>
        </w:r>
        <w:r w:rsidR="00E25A73">
          <w:rPr>
            <w:noProof/>
            <w:webHidden/>
          </w:rPr>
          <w:tab/>
        </w:r>
        <w:r w:rsidR="00E25A73">
          <w:rPr>
            <w:noProof/>
            <w:webHidden/>
          </w:rPr>
          <w:fldChar w:fldCharType="begin"/>
        </w:r>
        <w:r w:rsidR="00E25A73">
          <w:rPr>
            <w:noProof/>
            <w:webHidden/>
          </w:rPr>
          <w:instrText xml:space="preserve"> PAGEREF _Toc151444601 \h </w:instrText>
        </w:r>
        <w:r w:rsidR="00E25A73">
          <w:rPr>
            <w:noProof/>
            <w:webHidden/>
          </w:rPr>
        </w:r>
        <w:r w:rsidR="00E25A73">
          <w:rPr>
            <w:noProof/>
            <w:webHidden/>
          </w:rPr>
          <w:fldChar w:fldCharType="separate"/>
        </w:r>
        <w:r w:rsidR="00E25A73">
          <w:rPr>
            <w:noProof/>
            <w:webHidden/>
          </w:rPr>
          <w:t>58</w:t>
        </w:r>
        <w:r w:rsidR="00E25A73">
          <w:rPr>
            <w:noProof/>
            <w:webHidden/>
          </w:rPr>
          <w:fldChar w:fldCharType="end"/>
        </w:r>
      </w:hyperlink>
    </w:p>
    <w:p w14:paraId="34A857DA" w14:textId="0F5BBF0A" w:rsidR="00E25A73" w:rsidRDefault="00BA143B">
      <w:pPr>
        <w:pStyle w:val="Seznamobrzk"/>
        <w:tabs>
          <w:tab w:val="right" w:leader="dot" w:pos="9488"/>
        </w:tabs>
        <w:rPr>
          <w:rFonts w:eastAsiaTheme="minorEastAsia"/>
          <w:noProof/>
          <w:lang w:eastAsia="cs-CZ"/>
        </w:rPr>
      </w:pPr>
      <w:hyperlink w:anchor="_Toc151444602" w:history="1">
        <w:r w:rsidR="00E25A73" w:rsidRPr="00865C5B">
          <w:rPr>
            <w:rStyle w:val="Hypertextovodkaz"/>
            <w:noProof/>
          </w:rPr>
          <w:t>Tabulka 17: Makroekonomické dopady 5. pilíře – výzkum, vývoj a</w:t>
        </w:r>
        <w:r w:rsidR="0003053E">
          <w:rPr>
            <w:rStyle w:val="Hypertextovodkaz"/>
            <w:noProof/>
          </w:rPr>
          <w:t> </w:t>
        </w:r>
        <w:r w:rsidR="00E25A73" w:rsidRPr="00865C5B">
          <w:rPr>
            <w:rStyle w:val="Hypertextovodkaz"/>
            <w:noProof/>
          </w:rPr>
          <w:t>inovace</w:t>
        </w:r>
        <w:r w:rsidR="00E25A73">
          <w:rPr>
            <w:noProof/>
            <w:webHidden/>
          </w:rPr>
          <w:tab/>
        </w:r>
        <w:r w:rsidR="00E25A73">
          <w:rPr>
            <w:noProof/>
            <w:webHidden/>
          </w:rPr>
          <w:fldChar w:fldCharType="begin"/>
        </w:r>
        <w:r w:rsidR="00E25A73">
          <w:rPr>
            <w:noProof/>
            <w:webHidden/>
          </w:rPr>
          <w:instrText xml:space="preserve"> PAGEREF _Toc151444602 \h </w:instrText>
        </w:r>
        <w:r w:rsidR="00E25A73">
          <w:rPr>
            <w:noProof/>
            <w:webHidden/>
          </w:rPr>
        </w:r>
        <w:r w:rsidR="00E25A73">
          <w:rPr>
            <w:noProof/>
            <w:webHidden/>
          </w:rPr>
          <w:fldChar w:fldCharType="separate"/>
        </w:r>
        <w:r w:rsidR="00E25A73">
          <w:rPr>
            <w:noProof/>
            <w:webHidden/>
          </w:rPr>
          <w:t>58</w:t>
        </w:r>
        <w:r w:rsidR="00E25A73">
          <w:rPr>
            <w:noProof/>
            <w:webHidden/>
          </w:rPr>
          <w:fldChar w:fldCharType="end"/>
        </w:r>
      </w:hyperlink>
    </w:p>
    <w:p w14:paraId="393F1240" w14:textId="4847F2AE" w:rsidR="00E25A73" w:rsidRDefault="00BA143B">
      <w:pPr>
        <w:pStyle w:val="Seznamobrzk"/>
        <w:tabs>
          <w:tab w:val="right" w:leader="dot" w:pos="9488"/>
        </w:tabs>
        <w:rPr>
          <w:rFonts w:eastAsiaTheme="minorEastAsia"/>
          <w:noProof/>
          <w:lang w:eastAsia="cs-CZ"/>
        </w:rPr>
      </w:pPr>
      <w:hyperlink w:anchor="_Toc151444603" w:history="1">
        <w:r w:rsidR="00E25A73" w:rsidRPr="00865C5B">
          <w:rPr>
            <w:rStyle w:val="Hypertextovodkaz"/>
            <w:noProof/>
          </w:rPr>
          <w:t>Tabulka 18: Stanovené impulzy v</w:t>
        </w:r>
        <w:r w:rsidR="0003053E">
          <w:rPr>
            <w:rStyle w:val="Hypertextovodkaz"/>
            <w:noProof/>
          </w:rPr>
          <w:t> </w:t>
        </w:r>
        <w:r w:rsidR="00E25A73" w:rsidRPr="00865C5B">
          <w:rPr>
            <w:rStyle w:val="Hypertextovodkaz"/>
            <w:noProof/>
          </w:rPr>
          <w:t>rámci 6. pilíře – zdraví a</w:t>
        </w:r>
        <w:r w:rsidR="0003053E">
          <w:rPr>
            <w:rStyle w:val="Hypertextovodkaz"/>
            <w:noProof/>
          </w:rPr>
          <w:t> </w:t>
        </w:r>
        <w:r w:rsidR="00E25A73" w:rsidRPr="00865C5B">
          <w:rPr>
            <w:rStyle w:val="Hypertextovodkaz"/>
            <w:noProof/>
          </w:rPr>
          <w:t>odolnost obyvatel</w:t>
        </w:r>
        <w:r w:rsidR="00E25A73">
          <w:rPr>
            <w:noProof/>
            <w:webHidden/>
          </w:rPr>
          <w:tab/>
        </w:r>
        <w:r w:rsidR="00E25A73">
          <w:rPr>
            <w:noProof/>
            <w:webHidden/>
          </w:rPr>
          <w:fldChar w:fldCharType="begin"/>
        </w:r>
        <w:r w:rsidR="00E25A73">
          <w:rPr>
            <w:noProof/>
            <w:webHidden/>
          </w:rPr>
          <w:instrText xml:space="preserve"> PAGEREF _Toc151444603 \h </w:instrText>
        </w:r>
        <w:r w:rsidR="00E25A73">
          <w:rPr>
            <w:noProof/>
            <w:webHidden/>
          </w:rPr>
        </w:r>
        <w:r w:rsidR="00E25A73">
          <w:rPr>
            <w:noProof/>
            <w:webHidden/>
          </w:rPr>
          <w:fldChar w:fldCharType="separate"/>
        </w:r>
        <w:r w:rsidR="00E25A73">
          <w:rPr>
            <w:noProof/>
            <w:webHidden/>
          </w:rPr>
          <w:t>59</w:t>
        </w:r>
        <w:r w:rsidR="00E25A73">
          <w:rPr>
            <w:noProof/>
            <w:webHidden/>
          </w:rPr>
          <w:fldChar w:fldCharType="end"/>
        </w:r>
      </w:hyperlink>
    </w:p>
    <w:p w14:paraId="43ABE2BD" w14:textId="2E8D1C9B" w:rsidR="00E25A73" w:rsidRDefault="00BA143B">
      <w:pPr>
        <w:pStyle w:val="Seznamobrzk"/>
        <w:tabs>
          <w:tab w:val="right" w:leader="dot" w:pos="9488"/>
        </w:tabs>
        <w:rPr>
          <w:rFonts w:eastAsiaTheme="minorEastAsia"/>
          <w:noProof/>
          <w:lang w:eastAsia="cs-CZ"/>
        </w:rPr>
      </w:pPr>
      <w:hyperlink w:anchor="_Toc151444604" w:history="1">
        <w:r w:rsidR="00E25A73" w:rsidRPr="00865C5B">
          <w:rPr>
            <w:rStyle w:val="Hypertextovodkaz"/>
            <w:noProof/>
          </w:rPr>
          <w:t>Tabulka 19: Makroekonomické dopady 6. pilíře – zdraví a</w:t>
        </w:r>
        <w:r w:rsidR="0003053E">
          <w:rPr>
            <w:rStyle w:val="Hypertextovodkaz"/>
            <w:noProof/>
          </w:rPr>
          <w:t> </w:t>
        </w:r>
        <w:r w:rsidR="00E25A73" w:rsidRPr="00865C5B">
          <w:rPr>
            <w:rStyle w:val="Hypertextovodkaz"/>
            <w:noProof/>
          </w:rPr>
          <w:t>odolnost obyvatel</w:t>
        </w:r>
        <w:r w:rsidR="00E25A73">
          <w:rPr>
            <w:noProof/>
            <w:webHidden/>
          </w:rPr>
          <w:tab/>
        </w:r>
        <w:r w:rsidR="00E25A73">
          <w:rPr>
            <w:noProof/>
            <w:webHidden/>
          </w:rPr>
          <w:fldChar w:fldCharType="begin"/>
        </w:r>
        <w:r w:rsidR="00E25A73">
          <w:rPr>
            <w:noProof/>
            <w:webHidden/>
          </w:rPr>
          <w:instrText xml:space="preserve"> PAGEREF _Toc151444604 \h </w:instrText>
        </w:r>
        <w:r w:rsidR="00E25A73">
          <w:rPr>
            <w:noProof/>
            <w:webHidden/>
          </w:rPr>
        </w:r>
        <w:r w:rsidR="00E25A73">
          <w:rPr>
            <w:noProof/>
            <w:webHidden/>
          </w:rPr>
          <w:fldChar w:fldCharType="separate"/>
        </w:r>
        <w:r w:rsidR="00E25A73">
          <w:rPr>
            <w:noProof/>
            <w:webHidden/>
          </w:rPr>
          <w:t>59</w:t>
        </w:r>
        <w:r w:rsidR="00E25A73">
          <w:rPr>
            <w:noProof/>
            <w:webHidden/>
          </w:rPr>
          <w:fldChar w:fldCharType="end"/>
        </w:r>
      </w:hyperlink>
    </w:p>
    <w:p w14:paraId="34263D0F" w14:textId="7123DD65" w:rsidR="00E25A73" w:rsidRDefault="00BA143B">
      <w:pPr>
        <w:pStyle w:val="Seznamobrzk"/>
        <w:tabs>
          <w:tab w:val="right" w:leader="dot" w:pos="9488"/>
        </w:tabs>
        <w:rPr>
          <w:rFonts w:eastAsiaTheme="minorEastAsia"/>
          <w:noProof/>
          <w:lang w:eastAsia="cs-CZ"/>
        </w:rPr>
      </w:pPr>
      <w:hyperlink w:anchor="_Toc151444605" w:history="1">
        <w:r w:rsidR="00E25A73" w:rsidRPr="00865C5B">
          <w:rPr>
            <w:rStyle w:val="Hypertextovodkaz"/>
            <w:noProof/>
          </w:rPr>
          <w:t>Tabulka 20: Stanovené impulzy v</w:t>
        </w:r>
        <w:r w:rsidR="0003053E">
          <w:rPr>
            <w:rStyle w:val="Hypertextovodkaz"/>
            <w:noProof/>
          </w:rPr>
          <w:t> </w:t>
        </w:r>
        <w:r w:rsidR="00E25A73" w:rsidRPr="00865C5B">
          <w:rPr>
            <w:rStyle w:val="Hypertextovodkaz"/>
            <w:noProof/>
          </w:rPr>
          <w:t>rámci 7. pilíře – REPowerEU</w:t>
        </w:r>
        <w:r w:rsidR="00E25A73">
          <w:rPr>
            <w:noProof/>
            <w:webHidden/>
          </w:rPr>
          <w:tab/>
        </w:r>
        <w:r w:rsidR="00E25A73">
          <w:rPr>
            <w:noProof/>
            <w:webHidden/>
          </w:rPr>
          <w:fldChar w:fldCharType="begin"/>
        </w:r>
        <w:r w:rsidR="00E25A73">
          <w:rPr>
            <w:noProof/>
            <w:webHidden/>
          </w:rPr>
          <w:instrText xml:space="preserve"> PAGEREF _Toc151444605 \h </w:instrText>
        </w:r>
        <w:r w:rsidR="00E25A73">
          <w:rPr>
            <w:noProof/>
            <w:webHidden/>
          </w:rPr>
        </w:r>
        <w:r w:rsidR="00E25A73">
          <w:rPr>
            <w:noProof/>
            <w:webHidden/>
          </w:rPr>
          <w:fldChar w:fldCharType="separate"/>
        </w:r>
        <w:r w:rsidR="00E25A73">
          <w:rPr>
            <w:noProof/>
            <w:webHidden/>
          </w:rPr>
          <w:t>59</w:t>
        </w:r>
        <w:r w:rsidR="00E25A73">
          <w:rPr>
            <w:noProof/>
            <w:webHidden/>
          </w:rPr>
          <w:fldChar w:fldCharType="end"/>
        </w:r>
      </w:hyperlink>
    </w:p>
    <w:p w14:paraId="3A013E78" w14:textId="344F381F" w:rsidR="00E25A73" w:rsidRDefault="00BA143B">
      <w:pPr>
        <w:pStyle w:val="Seznamobrzk"/>
        <w:tabs>
          <w:tab w:val="right" w:leader="dot" w:pos="9488"/>
        </w:tabs>
        <w:rPr>
          <w:rFonts w:eastAsiaTheme="minorEastAsia"/>
          <w:noProof/>
          <w:lang w:eastAsia="cs-CZ"/>
        </w:rPr>
      </w:pPr>
      <w:hyperlink w:anchor="_Toc151444606" w:history="1">
        <w:r w:rsidR="00E25A73" w:rsidRPr="00865C5B">
          <w:rPr>
            <w:rStyle w:val="Hypertextovodkaz"/>
            <w:noProof/>
          </w:rPr>
          <w:t>Tabulka 21: Makroekonomické dopady 7. pilíře – REPowerEU</w:t>
        </w:r>
        <w:r w:rsidR="00E25A73">
          <w:rPr>
            <w:noProof/>
            <w:webHidden/>
          </w:rPr>
          <w:tab/>
        </w:r>
        <w:r w:rsidR="00E25A73">
          <w:rPr>
            <w:noProof/>
            <w:webHidden/>
          </w:rPr>
          <w:fldChar w:fldCharType="begin"/>
        </w:r>
        <w:r w:rsidR="00E25A73">
          <w:rPr>
            <w:noProof/>
            <w:webHidden/>
          </w:rPr>
          <w:instrText xml:space="preserve"> PAGEREF _Toc151444606 \h </w:instrText>
        </w:r>
        <w:r w:rsidR="00E25A73">
          <w:rPr>
            <w:noProof/>
            <w:webHidden/>
          </w:rPr>
        </w:r>
        <w:r w:rsidR="00E25A73">
          <w:rPr>
            <w:noProof/>
            <w:webHidden/>
          </w:rPr>
          <w:fldChar w:fldCharType="separate"/>
        </w:r>
        <w:r w:rsidR="00E25A73">
          <w:rPr>
            <w:noProof/>
            <w:webHidden/>
          </w:rPr>
          <w:t>60</w:t>
        </w:r>
        <w:r w:rsidR="00E25A73">
          <w:rPr>
            <w:noProof/>
            <w:webHidden/>
          </w:rPr>
          <w:fldChar w:fldCharType="end"/>
        </w:r>
      </w:hyperlink>
    </w:p>
    <w:p w14:paraId="22D35E72" w14:textId="0E58F254" w:rsidR="00A33FF6" w:rsidRPr="00393D5E" w:rsidRDefault="00A33FF6" w:rsidP="00316A1B">
      <w:pPr>
        <w:spacing w:line="276" w:lineRule="auto"/>
        <w:jc w:val="both"/>
      </w:pPr>
      <w:r w:rsidRPr="00393D5E">
        <w:fldChar w:fldCharType="end"/>
      </w:r>
    </w:p>
    <w:p w14:paraId="5FA1A873" w14:textId="3893C924" w:rsidR="00A043B2" w:rsidRDefault="00A043B2">
      <w:r>
        <w:br w:type="page"/>
      </w:r>
    </w:p>
    <w:tbl>
      <w:tblPr>
        <w:tblW w:w="5000" w:type="pct"/>
        <w:tblLayout w:type="fixed"/>
        <w:tblCellMar>
          <w:left w:w="70" w:type="dxa"/>
          <w:right w:w="70" w:type="dxa"/>
        </w:tblCellMar>
        <w:tblLook w:val="04A0" w:firstRow="1" w:lastRow="0" w:firstColumn="1" w:lastColumn="0" w:noHBand="0" w:noVBand="1"/>
      </w:tblPr>
      <w:tblGrid>
        <w:gridCol w:w="1277"/>
        <w:gridCol w:w="8221"/>
      </w:tblGrid>
      <w:tr w:rsidR="00D371D0" w:rsidRPr="00393D5E" w14:paraId="7240CF1B" w14:textId="77777777" w:rsidTr="1E39CB1F">
        <w:trPr>
          <w:trHeight w:val="542"/>
          <w:tblHeader/>
        </w:trPr>
        <w:tc>
          <w:tcPr>
            <w:tcW w:w="5000" w:type="pct"/>
            <w:gridSpan w:val="2"/>
            <w:shd w:val="clear" w:color="auto" w:fill="auto"/>
            <w:noWrap/>
            <w:vAlign w:val="center"/>
            <w:hideMark/>
          </w:tcPr>
          <w:p w14:paraId="49C6FF66" w14:textId="77777777" w:rsidR="00D371D0" w:rsidRPr="00393D5E" w:rsidRDefault="00D371D0" w:rsidP="00316A1B">
            <w:pPr>
              <w:spacing w:line="276" w:lineRule="auto"/>
              <w:rPr>
                <w:rFonts w:eastAsia="Times New Roman" w:cstheme="minorHAnsi"/>
                <w:b/>
                <w:color w:val="000000"/>
                <w:lang w:eastAsia="cs-CZ"/>
              </w:rPr>
            </w:pPr>
            <w:r w:rsidRPr="00393D5E">
              <w:rPr>
                <w:rFonts w:eastAsia="Times New Roman" w:cstheme="minorHAnsi"/>
                <w:b/>
                <w:color w:val="000000"/>
                <w:lang w:eastAsia="cs-CZ"/>
              </w:rPr>
              <w:lastRenderedPageBreak/>
              <w:t xml:space="preserve">Seznam zkratek </w:t>
            </w:r>
          </w:p>
        </w:tc>
      </w:tr>
      <w:tr w:rsidR="009F55A4" w:rsidRPr="00393D5E" w14:paraId="5E14C327" w14:textId="77777777" w:rsidTr="1E39CB1F">
        <w:trPr>
          <w:trHeight w:val="288"/>
        </w:trPr>
        <w:tc>
          <w:tcPr>
            <w:tcW w:w="672" w:type="pct"/>
            <w:shd w:val="clear" w:color="auto" w:fill="auto"/>
            <w:noWrap/>
            <w:vAlign w:val="center"/>
          </w:tcPr>
          <w:p w14:paraId="4B33CA71"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AI</w:t>
            </w:r>
          </w:p>
        </w:tc>
        <w:tc>
          <w:tcPr>
            <w:tcW w:w="4328" w:type="pct"/>
            <w:shd w:val="clear" w:color="auto" w:fill="auto"/>
            <w:noWrap/>
            <w:vAlign w:val="center"/>
          </w:tcPr>
          <w:p w14:paraId="1CEA2832"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Umělá inteligence (Artificial intelligece)</w:t>
            </w:r>
          </w:p>
        </w:tc>
      </w:tr>
      <w:tr w:rsidR="009F55A4" w:rsidRPr="00393D5E" w14:paraId="32A4C58E" w14:textId="77777777" w:rsidTr="1E39CB1F">
        <w:trPr>
          <w:trHeight w:val="288"/>
        </w:trPr>
        <w:tc>
          <w:tcPr>
            <w:tcW w:w="672" w:type="pct"/>
            <w:shd w:val="clear" w:color="auto" w:fill="auto"/>
            <w:noWrap/>
            <w:vAlign w:val="center"/>
          </w:tcPr>
          <w:p w14:paraId="5D8FA9D3"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AIS</w:t>
            </w:r>
          </w:p>
        </w:tc>
        <w:tc>
          <w:tcPr>
            <w:tcW w:w="4328" w:type="pct"/>
            <w:shd w:val="clear" w:color="auto" w:fill="auto"/>
            <w:noWrap/>
            <w:vAlign w:val="center"/>
          </w:tcPr>
          <w:p w14:paraId="6B72EAC0"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Agendový informační systému</w:t>
            </w:r>
          </w:p>
        </w:tc>
      </w:tr>
      <w:tr w:rsidR="009F55A4" w:rsidRPr="00393D5E" w14:paraId="527426EB" w14:textId="77777777" w:rsidTr="1E39CB1F">
        <w:trPr>
          <w:trHeight w:val="288"/>
        </w:trPr>
        <w:tc>
          <w:tcPr>
            <w:tcW w:w="672" w:type="pct"/>
            <w:shd w:val="clear" w:color="auto" w:fill="auto"/>
            <w:noWrap/>
            <w:vAlign w:val="center"/>
          </w:tcPr>
          <w:p w14:paraId="763BB186"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AMSP ČR</w:t>
            </w:r>
          </w:p>
        </w:tc>
        <w:tc>
          <w:tcPr>
            <w:tcW w:w="4328" w:type="pct"/>
            <w:shd w:val="clear" w:color="auto" w:fill="auto"/>
            <w:noWrap/>
            <w:vAlign w:val="center"/>
          </w:tcPr>
          <w:p w14:paraId="6B1652D2" w14:textId="4F4342E1"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Asociace malých a</w:t>
            </w:r>
            <w:r w:rsidR="0003053E">
              <w:rPr>
                <w:rFonts w:eastAsia="Times New Roman" w:cstheme="minorHAnsi"/>
                <w:lang w:eastAsia="cs-CZ"/>
              </w:rPr>
              <w:t> </w:t>
            </w:r>
            <w:r w:rsidRPr="00393D5E">
              <w:rPr>
                <w:rFonts w:eastAsia="Times New Roman" w:cstheme="minorHAnsi"/>
                <w:lang w:eastAsia="cs-CZ"/>
              </w:rPr>
              <w:t>středních podniků a</w:t>
            </w:r>
            <w:r w:rsidR="0003053E">
              <w:rPr>
                <w:rFonts w:eastAsia="Times New Roman" w:cstheme="minorHAnsi"/>
                <w:lang w:eastAsia="cs-CZ"/>
              </w:rPr>
              <w:t> </w:t>
            </w:r>
            <w:r w:rsidRPr="00393D5E">
              <w:rPr>
                <w:rFonts w:eastAsia="Times New Roman" w:cstheme="minorHAnsi"/>
                <w:lang w:eastAsia="cs-CZ"/>
              </w:rPr>
              <w:t>živnostníků ČR</w:t>
            </w:r>
          </w:p>
        </w:tc>
      </w:tr>
      <w:tr w:rsidR="009F55A4" w:rsidRPr="00393D5E" w14:paraId="2CD21756" w14:textId="77777777" w:rsidTr="1E39CB1F">
        <w:trPr>
          <w:trHeight w:val="288"/>
        </w:trPr>
        <w:tc>
          <w:tcPr>
            <w:tcW w:w="672" w:type="pct"/>
            <w:shd w:val="clear" w:color="auto" w:fill="auto"/>
            <w:noWrap/>
            <w:vAlign w:val="center"/>
          </w:tcPr>
          <w:p w14:paraId="4D05DD1D"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BAR</w:t>
            </w:r>
          </w:p>
        </w:tc>
        <w:tc>
          <w:tcPr>
            <w:tcW w:w="4328" w:type="pct"/>
            <w:shd w:val="clear" w:color="auto" w:fill="auto"/>
            <w:noWrap/>
            <w:vAlign w:val="center"/>
          </w:tcPr>
          <w:p w14:paraId="75006FE8"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Rezerva na přizpůsobení brexitu (Brexit Adjustment Reserve)</w:t>
            </w:r>
          </w:p>
        </w:tc>
      </w:tr>
      <w:tr w:rsidR="009F55A4" w:rsidRPr="00393D5E" w14:paraId="6B825A81" w14:textId="77777777" w:rsidTr="1E39CB1F">
        <w:trPr>
          <w:trHeight w:val="288"/>
        </w:trPr>
        <w:tc>
          <w:tcPr>
            <w:tcW w:w="672" w:type="pct"/>
            <w:shd w:val="clear" w:color="auto" w:fill="auto"/>
            <w:noWrap/>
            <w:vAlign w:val="center"/>
          </w:tcPr>
          <w:p w14:paraId="12D6020E"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CEP</w:t>
            </w:r>
          </w:p>
        </w:tc>
        <w:tc>
          <w:tcPr>
            <w:tcW w:w="4328" w:type="pct"/>
            <w:shd w:val="clear" w:color="auto" w:fill="auto"/>
            <w:noWrap/>
            <w:vAlign w:val="center"/>
          </w:tcPr>
          <w:p w14:paraId="37199553" w14:textId="77777777" w:rsidR="009F55A4" w:rsidRPr="00393D5E" w:rsidRDefault="009F55A4" w:rsidP="00316A1B">
            <w:pPr>
              <w:spacing w:line="276" w:lineRule="auto"/>
              <w:rPr>
                <w:rFonts w:eastAsia="Times New Roman" w:cstheme="minorHAnsi"/>
                <w:lang w:eastAsia="cs-CZ"/>
              </w:rPr>
            </w:pPr>
            <w:r w:rsidRPr="00393D5E">
              <w:rPr>
                <w:rFonts w:eastAsiaTheme="minorEastAsia" w:cstheme="minorHAnsi"/>
              </w:rPr>
              <w:t>Balíček čisté energie (Clean Energy Package)</w:t>
            </w:r>
          </w:p>
        </w:tc>
      </w:tr>
      <w:tr w:rsidR="009F55A4" w:rsidRPr="00393D5E" w14:paraId="151A95B3" w14:textId="77777777" w:rsidTr="1E39CB1F">
        <w:trPr>
          <w:trHeight w:val="288"/>
        </w:trPr>
        <w:tc>
          <w:tcPr>
            <w:tcW w:w="672" w:type="pct"/>
            <w:shd w:val="clear" w:color="auto" w:fill="auto"/>
            <w:noWrap/>
            <w:vAlign w:val="center"/>
          </w:tcPr>
          <w:p w14:paraId="02D70067"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CSRs</w:t>
            </w:r>
          </w:p>
        </w:tc>
        <w:tc>
          <w:tcPr>
            <w:tcW w:w="4328" w:type="pct"/>
            <w:shd w:val="clear" w:color="auto" w:fill="auto"/>
            <w:noWrap/>
            <w:vAlign w:val="center"/>
          </w:tcPr>
          <w:p w14:paraId="0D371483" w14:textId="77777777" w:rsidR="009F55A4" w:rsidRPr="00393D5E" w:rsidRDefault="009F55A4" w:rsidP="00316A1B">
            <w:pPr>
              <w:spacing w:line="276" w:lineRule="auto"/>
              <w:rPr>
                <w:rFonts w:eastAsia="Times New Roman" w:cstheme="minorHAnsi"/>
                <w:lang w:eastAsia="cs-CZ"/>
              </w:rPr>
            </w:pPr>
            <w:r w:rsidRPr="00393D5E">
              <w:rPr>
                <w:rFonts w:cstheme="minorHAnsi"/>
              </w:rPr>
              <w:t>Doporučení pro jednotlivé země (Country Specific Recommendations)</w:t>
            </w:r>
          </w:p>
        </w:tc>
      </w:tr>
      <w:tr w:rsidR="009F55A4" w:rsidRPr="00393D5E" w14:paraId="1888F2F4" w14:textId="77777777" w:rsidTr="1E39CB1F">
        <w:trPr>
          <w:trHeight w:val="288"/>
        </w:trPr>
        <w:tc>
          <w:tcPr>
            <w:tcW w:w="672" w:type="pct"/>
            <w:shd w:val="clear" w:color="auto" w:fill="auto"/>
            <w:noWrap/>
            <w:vAlign w:val="center"/>
          </w:tcPr>
          <w:p w14:paraId="37EDAFA9"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ČMZRB</w:t>
            </w:r>
          </w:p>
        </w:tc>
        <w:tc>
          <w:tcPr>
            <w:tcW w:w="4328" w:type="pct"/>
            <w:shd w:val="clear" w:color="auto" w:fill="auto"/>
            <w:noWrap/>
            <w:vAlign w:val="center"/>
          </w:tcPr>
          <w:p w14:paraId="3478C777" w14:textId="08640430"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Českomoravská záruční a</w:t>
            </w:r>
            <w:r w:rsidR="0003053E">
              <w:rPr>
                <w:rFonts w:eastAsia="Times New Roman" w:cstheme="minorHAnsi"/>
                <w:lang w:eastAsia="cs-CZ"/>
              </w:rPr>
              <w:t> </w:t>
            </w:r>
            <w:r w:rsidRPr="00393D5E">
              <w:rPr>
                <w:rFonts w:eastAsia="Times New Roman" w:cstheme="minorHAnsi"/>
                <w:lang w:eastAsia="cs-CZ"/>
              </w:rPr>
              <w:t>rozvojová banka</w:t>
            </w:r>
          </w:p>
        </w:tc>
      </w:tr>
      <w:tr w:rsidR="009F55A4" w:rsidRPr="00393D5E" w14:paraId="7308C554" w14:textId="77777777" w:rsidTr="1E39CB1F">
        <w:trPr>
          <w:trHeight w:val="288"/>
        </w:trPr>
        <w:tc>
          <w:tcPr>
            <w:tcW w:w="672" w:type="pct"/>
            <w:shd w:val="clear" w:color="auto" w:fill="auto"/>
            <w:noWrap/>
            <w:vAlign w:val="center"/>
          </w:tcPr>
          <w:p w14:paraId="4A55C957"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DLT</w:t>
            </w:r>
          </w:p>
        </w:tc>
        <w:tc>
          <w:tcPr>
            <w:tcW w:w="4328" w:type="pct"/>
            <w:shd w:val="clear" w:color="auto" w:fill="auto"/>
            <w:noWrap/>
            <w:vAlign w:val="center"/>
          </w:tcPr>
          <w:p w14:paraId="5819DB8E"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Technologie distribuovaných účetních knih (Distributed Ledger Technology)</w:t>
            </w:r>
          </w:p>
        </w:tc>
      </w:tr>
      <w:tr w:rsidR="009F55A4" w:rsidRPr="00393D5E" w14:paraId="7D331E2B" w14:textId="77777777" w:rsidTr="1E39CB1F">
        <w:trPr>
          <w:trHeight w:val="288"/>
        </w:trPr>
        <w:tc>
          <w:tcPr>
            <w:tcW w:w="672" w:type="pct"/>
            <w:shd w:val="clear" w:color="auto" w:fill="auto"/>
            <w:noWrap/>
            <w:vAlign w:val="center"/>
          </w:tcPr>
          <w:p w14:paraId="32871330"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DTM</w:t>
            </w:r>
          </w:p>
        </w:tc>
        <w:tc>
          <w:tcPr>
            <w:tcW w:w="4328" w:type="pct"/>
            <w:shd w:val="clear" w:color="auto" w:fill="auto"/>
            <w:noWrap/>
            <w:vAlign w:val="center"/>
          </w:tcPr>
          <w:p w14:paraId="02F7F308"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Digitální technické mapy</w:t>
            </w:r>
          </w:p>
        </w:tc>
      </w:tr>
      <w:tr w:rsidR="009F55A4" w:rsidRPr="00393D5E" w14:paraId="29568DA7" w14:textId="77777777" w:rsidTr="1E39CB1F">
        <w:trPr>
          <w:trHeight w:val="288"/>
        </w:trPr>
        <w:tc>
          <w:tcPr>
            <w:tcW w:w="672" w:type="pct"/>
            <w:shd w:val="clear" w:color="auto" w:fill="auto"/>
            <w:noWrap/>
            <w:vAlign w:val="center"/>
          </w:tcPr>
          <w:p w14:paraId="2D195488"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EBSI</w:t>
            </w:r>
          </w:p>
        </w:tc>
        <w:tc>
          <w:tcPr>
            <w:tcW w:w="4328" w:type="pct"/>
            <w:shd w:val="clear" w:color="auto" w:fill="auto"/>
            <w:noWrap/>
            <w:vAlign w:val="center"/>
          </w:tcPr>
          <w:p w14:paraId="3FCCA805"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Evropská infrastruktura služeb blockchainu (The European Blockchain Services Infrastructure)</w:t>
            </w:r>
          </w:p>
        </w:tc>
      </w:tr>
      <w:tr w:rsidR="009F55A4" w:rsidRPr="00393D5E" w14:paraId="0009FDE6" w14:textId="77777777" w:rsidTr="1E39CB1F">
        <w:trPr>
          <w:trHeight w:val="288"/>
        </w:trPr>
        <w:tc>
          <w:tcPr>
            <w:tcW w:w="672" w:type="pct"/>
            <w:shd w:val="clear" w:color="auto" w:fill="auto"/>
            <w:noWrap/>
            <w:vAlign w:val="center"/>
          </w:tcPr>
          <w:p w14:paraId="7884FE3B"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ENTSOG</w:t>
            </w:r>
          </w:p>
        </w:tc>
        <w:tc>
          <w:tcPr>
            <w:tcW w:w="4328" w:type="pct"/>
            <w:shd w:val="clear" w:color="auto" w:fill="auto"/>
            <w:noWrap/>
            <w:vAlign w:val="center"/>
          </w:tcPr>
          <w:p w14:paraId="211A10FA"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Evropská síť provozovatelů přepravních soustav zemního plynu (European Network of Transmission System Operators for Gas)</w:t>
            </w:r>
          </w:p>
        </w:tc>
      </w:tr>
      <w:tr w:rsidR="009F55A4" w:rsidRPr="00393D5E" w14:paraId="1CDD967A" w14:textId="77777777" w:rsidTr="1E39CB1F">
        <w:trPr>
          <w:trHeight w:val="288"/>
        </w:trPr>
        <w:tc>
          <w:tcPr>
            <w:tcW w:w="672" w:type="pct"/>
            <w:shd w:val="clear" w:color="auto" w:fill="auto"/>
            <w:noWrap/>
            <w:vAlign w:val="center"/>
          </w:tcPr>
          <w:p w14:paraId="1A5E0114"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ePasy</w:t>
            </w:r>
          </w:p>
        </w:tc>
        <w:tc>
          <w:tcPr>
            <w:tcW w:w="4328" w:type="pct"/>
            <w:shd w:val="clear" w:color="auto" w:fill="auto"/>
            <w:noWrap/>
            <w:vAlign w:val="center"/>
          </w:tcPr>
          <w:p w14:paraId="235C094D"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Elektronický systém pro pasy</w:t>
            </w:r>
          </w:p>
        </w:tc>
      </w:tr>
      <w:tr w:rsidR="009F55A4" w:rsidRPr="00393D5E" w14:paraId="530CBFA3" w14:textId="77777777" w:rsidTr="1E39CB1F">
        <w:trPr>
          <w:trHeight w:val="288"/>
        </w:trPr>
        <w:tc>
          <w:tcPr>
            <w:tcW w:w="672" w:type="pct"/>
            <w:shd w:val="clear" w:color="auto" w:fill="auto"/>
            <w:noWrap/>
            <w:vAlign w:val="center"/>
          </w:tcPr>
          <w:p w14:paraId="7BE27CDD" w14:textId="77777777" w:rsidR="009F55A4" w:rsidRPr="00393D5E" w:rsidRDefault="009F55A4" w:rsidP="00316A1B">
            <w:pPr>
              <w:spacing w:line="276" w:lineRule="auto"/>
              <w:rPr>
                <w:rFonts w:eastAsia="Times New Roman" w:cstheme="minorHAnsi"/>
                <w:lang w:eastAsia="cs-CZ"/>
              </w:rPr>
            </w:pPr>
            <w:r w:rsidRPr="00393D5E">
              <w:rPr>
                <w:rFonts w:eastAsiaTheme="minorEastAsia" w:cstheme="minorHAnsi"/>
              </w:rPr>
              <w:t>ERTMS</w:t>
            </w:r>
          </w:p>
        </w:tc>
        <w:tc>
          <w:tcPr>
            <w:tcW w:w="4328" w:type="pct"/>
            <w:shd w:val="clear" w:color="auto" w:fill="auto"/>
            <w:noWrap/>
            <w:vAlign w:val="center"/>
          </w:tcPr>
          <w:p w14:paraId="3ADD337B"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Evropský systém řízení železniční dopravy (European Rail Traffic Management Systém)</w:t>
            </w:r>
          </w:p>
        </w:tc>
      </w:tr>
      <w:tr w:rsidR="009F55A4" w:rsidRPr="00393D5E" w14:paraId="0FCD8E3C" w14:textId="77777777" w:rsidTr="1E39CB1F">
        <w:trPr>
          <w:trHeight w:val="288"/>
        </w:trPr>
        <w:tc>
          <w:tcPr>
            <w:tcW w:w="672" w:type="pct"/>
            <w:shd w:val="clear" w:color="auto" w:fill="auto"/>
            <w:noWrap/>
            <w:vAlign w:val="center"/>
          </w:tcPr>
          <w:p w14:paraId="2B20B4C5"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ETS</w:t>
            </w:r>
          </w:p>
        </w:tc>
        <w:tc>
          <w:tcPr>
            <w:tcW w:w="4328" w:type="pct"/>
            <w:shd w:val="clear" w:color="auto" w:fill="auto"/>
            <w:noWrap/>
            <w:vAlign w:val="center"/>
          </w:tcPr>
          <w:p w14:paraId="20C3BA44" w14:textId="4FC82EA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Systém obchodování s</w:t>
            </w:r>
            <w:r w:rsidR="0003053E">
              <w:rPr>
                <w:rFonts w:eastAsia="Times New Roman" w:cstheme="minorHAnsi"/>
                <w:lang w:eastAsia="cs-CZ"/>
              </w:rPr>
              <w:t> </w:t>
            </w:r>
            <w:r w:rsidRPr="00393D5E">
              <w:rPr>
                <w:rFonts w:eastAsia="Times New Roman" w:cstheme="minorHAnsi"/>
                <w:lang w:eastAsia="cs-CZ"/>
              </w:rPr>
              <w:t>emisemi (Emissions Trading Systém)</w:t>
            </w:r>
          </w:p>
        </w:tc>
      </w:tr>
      <w:tr w:rsidR="009F55A4" w:rsidRPr="00393D5E" w14:paraId="5C1F0B96" w14:textId="77777777" w:rsidTr="1E39CB1F">
        <w:trPr>
          <w:trHeight w:val="288"/>
        </w:trPr>
        <w:tc>
          <w:tcPr>
            <w:tcW w:w="672" w:type="pct"/>
            <w:shd w:val="clear" w:color="auto" w:fill="auto"/>
            <w:noWrap/>
            <w:vAlign w:val="center"/>
          </w:tcPr>
          <w:p w14:paraId="5BD64ADE"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EU</w:t>
            </w:r>
          </w:p>
        </w:tc>
        <w:tc>
          <w:tcPr>
            <w:tcW w:w="4328" w:type="pct"/>
            <w:shd w:val="clear" w:color="auto" w:fill="auto"/>
            <w:noWrap/>
            <w:vAlign w:val="center"/>
          </w:tcPr>
          <w:p w14:paraId="470313E5"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Evropská Unie</w:t>
            </w:r>
          </w:p>
        </w:tc>
      </w:tr>
      <w:tr w:rsidR="009F55A4" w:rsidRPr="00393D5E" w14:paraId="09D3E452" w14:textId="77777777" w:rsidTr="1E39CB1F">
        <w:trPr>
          <w:trHeight w:val="288"/>
        </w:trPr>
        <w:tc>
          <w:tcPr>
            <w:tcW w:w="672" w:type="pct"/>
            <w:shd w:val="clear" w:color="auto" w:fill="auto"/>
            <w:noWrap/>
            <w:vAlign w:val="center"/>
          </w:tcPr>
          <w:p w14:paraId="2E0C59B4"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EU ETS</w:t>
            </w:r>
          </w:p>
        </w:tc>
        <w:tc>
          <w:tcPr>
            <w:tcW w:w="4328" w:type="pct"/>
            <w:shd w:val="clear" w:color="auto" w:fill="auto"/>
            <w:noWrap/>
            <w:vAlign w:val="center"/>
          </w:tcPr>
          <w:p w14:paraId="2ADA0A8F" w14:textId="5741F8E3"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Evropský systém pro obchodování s</w:t>
            </w:r>
            <w:r w:rsidR="0003053E">
              <w:rPr>
                <w:rFonts w:eastAsia="Times New Roman" w:cstheme="minorHAnsi"/>
                <w:lang w:eastAsia="cs-CZ"/>
              </w:rPr>
              <w:t> </w:t>
            </w:r>
            <w:r w:rsidRPr="00393D5E">
              <w:rPr>
                <w:rFonts w:eastAsia="Times New Roman" w:cstheme="minorHAnsi"/>
                <w:lang w:eastAsia="cs-CZ"/>
              </w:rPr>
              <w:t>emisemi (EU Emissions Trading Systém)</w:t>
            </w:r>
          </w:p>
        </w:tc>
      </w:tr>
      <w:tr w:rsidR="009F55A4" w:rsidRPr="00393D5E" w14:paraId="4EB1BDBE" w14:textId="77777777" w:rsidTr="1E39CB1F">
        <w:trPr>
          <w:trHeight w:val="288"/>
        </w:trPr>
        <w:tc>
          <w:tcPr>
            <w:tcW w:w="672" w:type="pct"/>
            <w:shd w:val="clear" w:color="auto" w:fill="auto"/>
            <w:noWrap/>
            <w:vAlign w:val="center"/>
          </w:tcPr>
          <w:p w14:paraId="20EAE57F"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EVC2</w:t>
            </w:r>
          </w:p>
        </w:tc>
        <w:tc>
          <w:tcPr>
            <w:tcW w:w="4328" w:type="pct"/>
            <w:shd w:val="clear" w:color="auto" w:fill="auto"/>
            <w:noWrap/>
            <w:vAlign w:val="center"/>
          </w:tcPr>
          <w:p w14:paraId="6E730C74"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Elektronický systém pro víza</w:t>
            </w:r>
          </w:p>
        </w:tc>
      </w:tr>
      <w:tr w:rsidR="5BC52D6A" w:rsidRPr="00393D5E" w14:paraId="3046BDA8" w14:textId="77777777" w:rsidTr="1E39CB1F">
        <w:trPr>
          <w:trHeight w:val="288"/>
        </w:trPr>
        <w:tc>
          <w:tcPr>
            <w:tcW w:w="672" w:type="pct"/>
            <w:shd w:val="clear" w:color="auto" w:fill="auto"/>
            <w:noWrap/>
            <w:vAlign w:val="center"/>
          </w:tcPr>
          <w:p w14:paraId="04F9C324" w14:textId="02F85AEC" w:rsidR="7B729BD6" w:rsidRPr="00393D5E" w:rsidRDefault="7B729BD6" w:rsidP="5BC52D6A">
            <w:pPr>
              <w:spacing w:line="276" w:lineRule="auto"/>
              <w:rPr>
                <w:rFonts w:eastAsia="Times New Roman"/>
                <w:lang w:eastAsia="cs-CZ"/>
              </w:rPr>
            </w:pPr>
            <w:r w:rsidRPr="00393D5E">
              <w:rPr>
                <w:rFonts w:eastAsia="Times New Roman"/>
                <w:lang w:eastAsia="cs-CZ"/>
              </w:rPr>
              <w:t>FTE</w:t>
            </w:r>
          </w:p>
        </w:tc>
        <w:tc>
          <w:tcPr>
            <w:tcW w:w="4328" w:type="pct"/>
            <w:shd w:val="clear" w:color="auto" w:fill="auto"/>
            <w:noWrap/>
            <w:vAlign w:val="center"/>
          </w:tcPr>
          <w:p w14:paraId="090C8E7A" w14:textId="58BC55E0" w:rsidR="7B729BD6" w:rsidRPr="00393D5E" w:rsidRDefault="7B729BD6" w:rsidP="5BC52D6A">
            <w:pPr>
              <w:spacing w:line="276" w:lineRule="auto"/>
              <w:rPr>
                <w:rFonts w:eastAsia="Times New Roman"/>
                <w:lang w:eastAsia="cs-CZ"/>
              </w:rPr>
            </w:pPr>
            <w:r w:rsidRPr="00393D5E">
              <w:rPr>
                <w:rFonts w:eastAsia="Times New Roman"/>
                <w:lang w:eastAsia="cs-CZ"/>
              </w:rPr>
              <w:t>Plný pracovní úvazek (Full time equivalent)</w:t>
            </w:r>
          </w:p>
        </w:tc>
      </w:tr>
      <w:tr w:rsidR="009F55A4" w:rsidRPr="00393D5E" w14:paraId="12C69B97" w14:textId="77777777" w:rsidTr="1E39CB1F">
        <w:trPr>
          <w:trHeight w:val="288"/>
        </w:trPr>
        <w:tc>
          <w:tcPr>
            <w:tcW w:w="672" w:type="pct"/>
            <w:shd w:val="clear" w:color="auto" w:fill="auto"/>
            <w:noWrap/>
            <w:vAlign w:val="center"/>
          </w:tcPr>
          <w:p w14:paraId="13C908C1"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IKL</w:t>
            </w:r>
          </w:p>
        </w:tc>
        <w:tc>
          <w:tcPr>
            <w:tcW w:w="4328" w:type="pct"/>
            <w:shd w:val="clear" w:color="auto" w:fill="auto"/>
            <w:noWrap/>
            <w:vAlign w:val="center"/>
          </w:tcPr>
          <w:p w14:paraId="226188B7"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Ropovod Ingolstadt-Kralupy-Litvínov</w:t>
            </w:r>
          </w:p>
        </w:tc>
      </w:tr>
      <w:tr w:rsidR="009F55A4" w:rsidRPr="00393D5E" w14:paraId="394E6083" w14:textId="77777777" w:rsidTr="1E39CB1F">
        <w:trPr>
          <w:trHeight w:val="288"/>
        </w:trPr>
        <w:tc>
          <w:tcPr>
            <w:tcW w:w="672" w:type="pct"/>
            <w:shd w:val="clear" w:color="auto" w:fill="auto"/>
            <w:noWrap/>
            <w:vAlign w:val="center"/>
          </w:tcPr>
          <w:p w14:paraId="684BB1CA"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IPCEI</w:t>
            </w:r>
          </w:p>
        </w:tc>
        <w:tc>
          <w:tcPr>
            <w:tcW w:w="4328" w:type="pct"/>
            <w:shd w:val="clear" w:color="auto" w:fill="auto"/>
            <w:noWrap/>
            <w:vAlign w:val="center"/>
          </w:tcPr>
          <w:p w14:paraId="3AF08C97"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Důležité projekty společného evropského zájmu (Important Projects of Common European Interest)</w:t>
            </w:r>
          </w:p>
        </w:tc>
      </w:tr>
      <w:tr w:rsidR="009F55A4" w:rsidRPr="00393D5E" w14:paraId="253307A4" w14:textId="77777777" w:rsidTr="1E39CB1F">
        <w:trPr>
          <w:trHeight w:val="288"/>
        </w:trPr>
        <w:tc>
          <w:tcPr>
            <w:tcW w:w="672" w:type="pct"/>
            <w:shd w:val="clear" w:color="auto" w:fill="auto"/>
            <w:noWrap/>
            <w:vAlign w:val="center"/>
          </w:tcPr>
          <w:p w14:paraId="0ED94B66"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IS</w:t>
            </w:r>
          </w:p>
        </w:tc>
        <w:tc>
          <w:tcPr>
            <w:tcW w:w="4328" w:type="pct"/>
            <w:shd w:val="clear" w:color="auto" w:fill="auto"/>
            <w:noWrap/>
            <w:vAlign w:val="center"/>
          </w:tcPr>
          <w:p w14:paraId="412E384F" w14:textId="0777B8B3"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I</w:t>
            </w:r>
            <w:r w:rsidR="00C43FB1" w:rsidRPr="00393D5E">
              <w:rPr>
                <w:rFonts w:eastAsia="Times New Roman" w:cstheme="minorHAnsi"/>
                <w:lang w:eastAsia="cs-CZ"/>
              </w:rPr>
              <w:t>nformační</w:t>
            </w:r>
            <w:r w:rsidRPr="00393D5E">
              <w:rPr>
                <w:rFonts w:eastAsia="Times New Roman" w:cstheme="minorHAnsi"/>
                <w:lang w:eastAsia="cs-CZ"/>
              </w:rPr>
              <w:t xml:space="preserve"> systém</w:t>
            </w:r>
          </w:p>
        </w:tc>
      </w:tr>
      <w:tr w:rsidR="009F55A4" w:rsidRPr="00393D5E" w14:paraId="490273DD" w14:textId="77777777" w:rsidTr="1E39CB1F">
        <w:trPr>
          <w:trHeight w:val="288"/>
        </w:trPr>
        <w:tc>
          <w:tcPr>
            <w:tcW w:w="672" w:type="pct"/>
            <w:shd w:val="clear" w:color="auto" w:fill="auto"/>
            <w:noWrap/>
            <w:vAlign w:val="center"/>
          </w:tcPr>
          <w:p w14:paraId="31B8E95C"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LNG</w:t>
            </w:r>
          </w:p>
        </w:tc>
        <w:tc>
          <w:tcPr>
            <w:tcW w:w="4328" w:type="pct"/>
            <w:shd w:val="clear" w:color="auto" w:fill="auto"/>
            <w:noWrap/>
            <w:vAlign w:val="center"/>
          </w:tcPr>
          <w:p w14:paraId="1DDD2C8A"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Zkapalněný zemní plyn (Liquefied natural gas)</w:t>
            </w:r>
          </w:p>
        </w:tc>
      </w:tr>
      <w:tr w:rsidR="009F55A4" w:rsidRPr="00393D5E" w14:paraId="6777FC04" w14:textId="77777777" w:rsidTr="1E39CB1F">
        <w:trPr>
          <w:trHeight w:val="288"/>
        </w:trPr>
        <w:tc>
          <w:tcPr>
            <w:tcW w:w="672" w:type="pct"/>
            <w:shd w:val="clear" w:color="auto" w:fill="auto"/>
            <w:noWrap/>
            <w:vAlign w:val="center"/>
          </w:tcPr>
          <w:p w14:paraId="7E23B4EE"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MSP</w:t>
            </w:r>
          </w:p>
        </w:tc>
        <w:tc>
          <w:tcPr>
            <w:tcW w:w="4328" w:type="pct"/>
            <w:shd w:val="clear" w:color="auto" w:fill="auto"/>
            <w:noWrap/>
            <w:vAlign w:val="center"/>
          </w:tcPr>
          <w:p w14:paraId="3AE111E3" w14:textId="32FBF1B6"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Malé a</w:t>
            </w:r>
            <w:r w:rsidR="0003053E">
              <w:rPr>
                <w:rFonts w:eastAsia="Times New Roman" w:cstheme="minorHAnsi"/>
                <w:lang w:eastAsia="cs-CZ"/>
              </w:rPr>
              <w:t> </w:t>
            </w:r>
            <w:r w:rsidRPr="00393D5E">
              <w:rPr>
                <w:rFonts w:eastAsia="Times New Roman" w:cstheme="minorHAnsi"/>
                <w:lang w:eastAsia="cs-CZ"/>
              </w:rPr>
              <w:t>střední podniky</w:t>
            </w:r>
          </w:p>
        </w:tc>
      </w:tr>
      <w:tr w:rsidR="009F55A4" w:rsidRPr="00393D5E" w14:paraId="7CD47AC2" w14:textId="77777777" w:rsidTr="1E39CB1F">
        <w:trPr>
          <w:trHeight w:val="288"/>
        </w:trPr>
        <w:tc>
          <w:tcPr>
            <w:tcW w:w="672" w:type="pct"/>
            <w:shd w:val="clear" w:color="auto" w:fill="auto"/>
            <w:noWrap/>
            <w:vAlign w:val="center"/>
          </w:tcPr>
          <w:p w14:paraId="010C1B65"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NPO</w:t>
            </w:r>
          </w:p>
        </w:tc>
        <w:tc>
          <w:tcPr>
            <w:tcW w:w="4328" w:type="pct"/>
            <w:shd w:val="clear" w:color="auto" w:fill="auto"/>
            <w:noWrap/>
            <w:vAlign w:val="center"/>
          </w:tcPr>
          <w:p w14:paraId="4883A16C"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Národní plán obnovy</w:t>
            </w:r>
          </w:p>
        </w:tc>
      </w:tr>
      <w:tr w:rsidR="009F55A4" w:rsidRPr="00393D5E" w14:paraId="048F85AC" w14:textId="77777777" w:rsidTr="1E39CB1F">
        <w:trPr>
          <w:trHeight w:val="288"/>
        </w:trPr>
        <w:tc>
          <w:tcPr>
            <w:tcW w:w="672" w:type="pct"/>
            <w:shd w:val="clear" w:color="auto" w:fill="auto"/>
            <w:noWrap/>
            <w:vAlign w:val="center"/>
          </w:tcPr>
          <w:p w14:paraId="2F672F63"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OZE</w:t>
            </w:r>
          </w:p>
        </w:tc>
        <w:tc>
          <w:tcPr>
            <w:tcW w:w="4328" w:type="pct"/>
            <w:shd w:val="clear" w:color="auto" w:fill="auto"/>
            <w:noWrap/>
            <w:vAlign w:val="center"/>
          </w:tcPr>
          <w:p w14:paraId="2491B312"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Obnovitelné zdroje energie</w:t>
            </w:r>
          </w:p>
        </w:tc>
      </w:tr>
      <w:tr w:rsidR="009F55A4" w:rsidRPr="00393D5E" w14:paraId="41848F63" w14:textId="77777777" w:rsidTr="1E39CB1F">
        <w:trPr>
          <w:trHeight w:val="288"/>
        </w:trPr>
        <w:tc>
          <w:tcPr>
            <w:tcW w:w="672" w:type="pct"/>
            <w:shd w:val="clear" w:color="auto" w:fill="auto"/>
            <w:noWrap/>
            <w:vAlign w:val="center"/>
          </w:tcPr>
          <w:p w14:paraId="1107B994"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PCI</w:t>
            </w:r>
          </w:p>
        </w:tc>
        <w:tc>
          <w:tcPr>
            <w:tcW w:w="4328" w:type="pct"/>
            <w:shd w:val="clear" w:color="auto" w:fill="auto"/>
            <w:noWrap/>
            <w:vAlign w:val="center"/>
          </w:tcPr>
          <w:p w14:paraId="70672F0A"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Projekt společného zájmu (Projects of Common Interest)</w:t>
            </w:r>
          </w:p>
        </w:tc>
      </w:tr>
      <w:tr w:rsidR="009F55A4" w:rsidRPr="00393D5E" w14:paraId="156D4A59" w14:textId="77777777" w:rsidTr="1E39CB1F">
        <w:trPr>
          <w:trHeight w:val="288"/>
        </w:trPr>
        <w:tc>
          <w:tcPr>
            <w:tcW w:w="672" w:type="pct"/>
            <w:shd w:val="clear" w:color="auto" w:fill="auto"/>
            <w:noWrap/>
            <w:vAlign w:val="center"/>
          </w:tcPr>
          <w:p w14:paraId="157DB371"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lastRenderedPageBreak/>
              <w:t>PL</w:t>
            </w:r>
          </w:p>
        </w:tc>
        <w:tc>
          <w:tcPr>
            <w:tcW w:w="4328" w:type="pct"/>
            <w:shd w:val="clear" w:color="auto" w:fill="auto"/>
            <w:noWrap/>
            <w:vAlign w:val="center"/>
          </w:tcPr>
          <w:p w14:paraId="1259ADCD"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Polská republika</w:t>
            </w:r>
          </w:p>
        </w:tc>
      </w:tr>
      <w:tr w:rsidR="009F55A4" w:rsidRPr="00393D5E" w14:paraId="44ECFAF2" w14:textId="77777777" w:rsidTr="1E39CB1F">
        <w:trPr>
          <w:trHeight w:val="288"/>
        </w:trPr>
        <w:tc>
          <w:tcPr>
            <w:tcW w:w="672" w:type="pct"/>
            <w:shd w:val="clear" w:color="auto" w:fill="auto"/>
            <w:noWrap/>
            <w:vAlign w:val="center"/>
          </w:tcPr>
          <w:p w14:paraId="1CC9E6A4"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RHDS</w:t>
            </w:r>
          </w:p>
        </w:tc>
        <w:tc>
          <w:tcPr>
            <w:tcW w:w="4328" w:type="pct"/>
            <w:shd w:val="clear" w:color="auto" w:fill="auto"/>
            <w:noWrap/>
            <w:vAlign w:val="center"/>
          </w:tcPr>
          <w:p w14:paraId="08A1DECC" w14:textId="426A23B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Tripartita – Rada hospodářské a</w:t>
            </w:r>
            <w:r w:rsidR="0003053E">
              <w:rPr>
                <w:rFonts w:eastAsia="Times New Roman" w:cstheme="minorHAnsi"/>
                <w:lang w:eastAsia="cs-CZ"/>
              </w:rPr>
              <w:t> </w:t>
            </w:r>
            <w:r w:rsidRPr="00393D5E">
              <w:rPr>
                <w:rFonts w:eastAsia="Times New Roman" w:cstheme="minorHAnsi"/>
                <w:lang w:eastAsia="cs-CZ"/>
              </w:rPr>
              <w:t>sociální dohody České republiky</w:t>
            </w:r>
          </w:p>
        </w:tc>
      </w:tr>
      <w:tr w:rsidR="009F55A4" w:rsidRPr="00393D5E" w14:paraId="1F993F19" w14:textId="77777777" w:rsidTr="1E39CB1F">
        <w:trPr>
          <w:trHeight w:val="288"/>
        </w:trPr>
        <w:tc>
          <w:tcPr>
            <w:tcW w:w="672" w:type="pct"/>
            <w:shd w:val="clear" w:color="auto" w:fill="auto"/>
            <w:noWrap/>
            <w:vAlign w:val="center"/>
          </w:tcPr>
          <w:p w14:paraId="5263F0A7"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RIA</w:t>
            </w:r>
          </w:p>
        </w:tc>
        <w:tc>
          <w:tcPr>
            <w:tcW w:w="4328" w:type="pct"/>
            <w:shd w:val="clear" w:color="auto" w:fill="auto"/>
            <w:noWrap/>
            <w:vAlign w:val="center"/>
          </w:tcPr>
          <w:p w14:paraId="5F140F3B"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Hodnocení dopadů regulace (Regulatory Impact Assessment)</w:t>
            </w:r>
          </w:p>
        </w:tc>
      </w:tr>
      <w:tr w:rsidR="009F55A4" w:rsidRPr="00393D5E" w14:paraId="62EBC98E" w14:textId="77777777" w:rsidTr="1E39CB1F">
        <w:trPr>
          <w:trHeight w:val="288"/>
        </w:trPr>
        <w:tc>
          <w:tcPr>
            <w:tcW w:w="672" w:type="pct"/>
            <w:shd w:val="clear" w:color="auto" w:fill="auto"/>
            <w:noWrap/>
            <w:vAlign w:val="center"/>
          </w:tcPr>
          <w:p w14:paraId="551674CD"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RIS3</w:t>
            </w:r>
          </w:p>
        </w:tc>
        <w:tc>
          <w:tcPr>
            <w:tcW w:w="4328" w:type="pct"/>
            <w:shd w:val="clear" w:color="auto" w:fill="auto"/>
            <w:noWrap/>
            <w:vAlign w:val="center"/>
          </w:tcPr>
          <w:p w14:paraId="598BCAB1" w14:textId="0FF7D3BA"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Strategie výzkumu a</w:t>
            </w:r>
            <w:r w:rsidR="0003053E">
              <w:rPr>
                <w:rFonts w:eastAsia="Times New Roman" w:cstheme="minorHAnsi"/>
                <w:lang w:eastAsia="cs-CZ"/>
              </w:rPr>
              <w:t> </w:t>
            </w:r>
            <w:r w:rsidRPr="00393D5E">
              <w:rPr>
                <w:rFonts w:eastAsia="Times New Roman" w:cstheme="minorHAnsi"/>
                <w:lang w:eastAsia="cs-CZ"/>
              </w:rPr>
              <w:t>inovací pro inteligentní specializaci (Research and Innovation Strategy for Smart Specialisation)</w:t>
            </w:r>
          </w:p>
        </w:tc>
      </w:tr>
      <w:tr w:rsidR="009F55A4" w:rsidRPr="00393D5E" w14:paraId="6EA32A60" w14:textId="77777777" w:rsidTr="1E39CB1F">
        <w:trPr>
          <w:trHeight w:val="288"/>
        </w:trPr>
        <w:tc>
          <w:tcPr>
            <w:tcW w:w="672" w:type="pct"/>
            <w:shd w:val="clear" w:color="auto" w:fill="auto"/>
            <w:noWrap/>
            <w:vAlign w:val="center"/>
          </w:tcPr>
          <w:p w14:paraId="0AA043F3" w14:textId="77777777" w:rsidR="009F55A4" w:rsidRPr="00393D5E" w:rsidRDefault="009F55A4" w:rsidP="00316A1B">
            <w:pPr>
              <w:spacing w:line="276" w:lineRule="auto"/>
              <w:rPr>
                <w:rFonts w:eastAsia="Times New Roman" w:cstheme="minorHAnsi"/>
                <w:lang w:eastAsia="cs-CZ"/>
              </w:rPr>
            </w:pPr>
            <w:r w:rsidRPr="00393D5E">
              <w:rPr>
                <w:rFonts w:cstheme="minorHAnsi"/>
              </w:rPr>
              <w:t>R</w:t>
            </w:r>
            <w:r w:rsidRPr="00393D5E">
              <w:rPr>
                <w:rFonts w:eastAsia="Times New Roman" w:cstheme="minorHAnsi"/>
                <w:lang w:eastAsia="cs-CZ"/>
              </w:rPr>
              <w:t xml:space="preserve">RF </w:t>
            </w:r>
          </w:p>
        </w:tc>
        <w:tc>
          <w:tcPr>
            <w:tcW w:w="4328" w:type="pct"/>
            <w:shd w:val="clear" w:color="auto" w:fill="auto"/>
            <w:noWrap/>
            <w:vAlign w:val="center"/>
          </w:tcPr>
          <w:p w14:paraId="415B8251" w14:textId="6A0B4646" w:rsidR="009F55A4" w:rsidRPr="00393D5E" w:rsidRDefault="279E136F" w:rsidP="518B77C3">
            <w:pPr>
              <w:spacing w:line="276" w:lineRule="auto"/>
              <w:rPr>
                <w:rFonts w:eastAsia="Times New Roman"/>
                <w:lang w:eastAsia="cs-CZ"/>
              </w:rPr>
            </w:pPr>
            <w:r w:rsidRPr="00393D5E">
              <w:rPr>
                <w:rFonts w:eastAsia="Times New Roman"/>
                <w:lang w:eastAsia="cs-CZ"/>
              </w:rPr>
              <w:t>Nástroj pro o</w:t>
            </w:r>
            <w:r w:rsidR="23B4DDEB" w:rsidRPr="00393D5E">
              <w:rPr>
                <w:rFonts w:eastAsia="Times New Roman"/>
                <w:lang w:eastAsia="cs-CZ"/>
              </w:rPr>
              <w:t xml:space="preserve">živení </w:t>
            </w:r>
            <w:r w:rsidRPr="00393D5E">
              <w:rPr>
                <w:rFonts w:eastAsia="Times New Roman"/>
                <w:lang w:eastAsia="cs-CZ"/>
              </w:rPr>
              <w:t>a</w:t>
            </w:r>
            <w:r w:rsidR="0003053E">
              <w:rPr>
                <w:rFonts w:eastAsia="Times New Roman"/>
                <w:lang w:eastAsia="cs-CZ"/>
              </w:rPr>
              <w:t> </w:t>
            </w:r>
            <w:r w:rsidRPr="00393D5E">
              <w:rPr>
                <w:rFonts w:eastAsia="Times New Roman"/>
                <w:lang w:eastAsia="cs-CZ"/>
              </w:rPr>
              <w:t>odolnost (Recovery and Resilience Facility)</w:t>
            </w:r>
          </w:p>
        </w:tc>
      </w:tr>
      <w:tr w:rsidR="5BC52D6A" w:rsidRPr="00393D5E" w14:paraId="765A6FBB" w14:textId="77777777" w:rsidTr="1E39CB1F">
        <w:trPr>
          <w:trHeight w:val="288"/>
        </w:trPr>
        <w:tc>
          <w:tcPr>
            <w:tcW w:w="672" w:type="pct"/>
            <w:shd w:val="clear" w:color="auto" w:fill="auto"/>
            <w:noWrap/>
            <w:vAlign w:val="center"/>
          </w:tcPr>
          <w:p w14:paraId="5CE951E7" w14:textId="603C3370" w:rsidR="786B32D7" w:rsidRPr="00393D5E" w:rsidRDefault="786B32D7" w:rsidP="5BC52D6A">
            <w:pPr>
              <w:spacing w:line="276" w:lineRule="auto"/>
            </w:pPr>
            <w:r w:rsidRPr="00393D5E">
              <w:t>SDG</w:t>
            </w:r>
          </w:p>
        </w:tc>
        <w:tc>
          <w:tcPr>
            <w:tcW w:w="4328" w:type="pct"/>
            <w:shd w:val="clear" w:color="auto" w:fill="auto"/>
            <w:noWrap/>
            <w:vAlign w:val="center"/>
          </w:tcPr>
          <w:p w14:paraId="7C9E2A17" w14:textId="72C6C617" w:rsidR="786B32D7" w:rsidRPr="00393D5E" w:rsidRDefault="786B32D7" w:rsidP="5BC52D6A">
            <w:pPr>
              <w:spacing w:line="276" w:lineRule="auto"/>
              <w:rPr>
                <w:rFonts w:eastAsia="Times New Roman"/>
                <w:lang w:eastAsia="cs-CZ"/>
              </w:rPr>
            </w:pPr>
            <w:r w:rsidRPr="00393D5E">
              <w:rPr>
                <w:rFonts w:eastAsia="Times New Roman"/>
                <w:lang w:eastAsia="cs-CZ"/>
              </w:rPr>
              <w:t>Cíle udržitelného rozvoje (Sustainable Development Goals)</w:t>
            </w:r>
          </w:p>
        </w:tc>
      </w:tr>
      <w:tr w:rsidR="009F55A4" w:rsidRPr="00393D5E" w14:paraId="08564CCC" w14:textId="77777777" w:rsidTr="1E39CB1F">
        <w:trPr>
          <w:trHeight w:val="288"/>
        </w:trPr>
        <w:tc>
          <w:tcPr>
            <w:tcW w:w="672" w:type="pct"/>
            <w:shd w:val="clear" w:color="auto" w:fill="auto"/>
            <w:noWrap/>
            <w:vAlign w:val="center"/>
          </w:tcPr>
          <w:p w14:paraId="049D939F"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SME</w:t>
            </w:r>
          </w:p>
        </w:tc>
        <w:tc>
          <w:tcPr>
            <w:tcW w:w="4328" w:type="pct"/>
            <w:shd w:val="clear" w:color="auto" w:fill="auto"/>
            <w:noWrap/>
            <w:vAlign w:val="center"/>
          </w:tcPr>
          <w:p w14:paraId="2C350039" w14:textId="3BAFDAF6"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Malé a</w:t>
            </w:r>
            <w:r w:rsidR="0003053E">
              <w:rPr>
                <w:rFonts w:eastAsia="Times New Roman" w:cstheme="minorHAnsi"/>
                <w:lang w:eastAsia="cs-CZ"/>
              </w:rPr>
              <w:t> </w:t>
            </w:r>
            <w:r w:rsidRPr="00393D5E">
              <w:rPr>
                <w:rFonts w:eastAsia="Times New Roman" w:cstheme="minorHAnsi"/>
                <w:lang w:eastAsia="cs-CZ"/>
              </w:rPr>
              <w:t>střední podniky (Small and Medium Enterprise)</w:t>
            </w:r>
          </w:p>
        </w:tc>
      </w:tr>
      <w:tr w:rsidR="009F55A4" w:rsidRPr="00393D5E" w14:paraId="584F420E" w14:textId="77777777" w:rsidTr="1E39CB1F">
        <w:trPr>
          <w:trHeight w:val="288"/>
        </w:trPr>
        <w:tc>
          <w:tcPr>
            <w:tcW w:w="672" w:type="pct"/>
            <w:shd w:val="clear" w:color="auto" w:fill="auto"/>
            <w:noWrap/>
            <w:vAlign w:val="center"/>
          </w:tcPr>
          <w:p w14:paraId="71CCE986"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SPSE</w:t>
            </w:r>
          </w:p>
        </w:tc>
        <w:tc>
          <w:tcPr>
            <w:tcW w:w="4328" w:type="pct"/>
            <w:shd w:val="clear" w:color="auto" w:fill="auto"/>
            <w:noWrap/>
            <w:vAlign w:val="center"/>
          </w:tcPr>
          <w:p w14:paraId="5D27BB74" w14:textId="23C0A813" w:rsidR="009F55A4" w:rsidRPr="00393D5E" w:rsidRDefault="007C2502" w:rsidP="00316A1B">
            <w:pPr>
              <w:spacing w:line="276" w:lineRule="auto"/>
              <w:rPr>
                <w:rFonts w:eastAsia="Times New Roman" w:cstheme="minorHAnsi"/>
                <w:lang w:eastAsia="cs-CZ"/>
              </w:rPr>
            </w:pPr>
            <w:r w:rsidRPr="00393D5E">
              <w:rPr>
                <w:rFonts w:eastAsia="Times New Roman" w:cstheme="minorHAnsi"/>
                <w:lang w:eastAsia="cs-CZ"/>
              </w:rPr>
              <w:t>Jihoevropská potrubní společnost (Société du Pipeline sud européen)</w:t>
            </w:r>
          </w:p>
        </w:tc>
      </w:tr>
      <w:tr w:rsidR="009F55A4" w:rsidRPr="00393D5E" w14:paraId="11FEA908" w14:textId="77777777" w:rsidTr="1E39CB1F">
        <w:trPr>
          <w:trHeight w:val="288"/>
        </w:trPr>
        <w:tc>
          <w:tcPr>
            <w:tcW w:w="672" w:type="pct"/>
            <w:shd w:val="clear" w:color="auto" w:fill="auto"/>
            <w:noWrap/>
            <w:vAlign w:val="center"/>
          </w:tcPr>
          <w:p w14:paraId="73A60905"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STORK</w:t>
            </w:r>
          </w:p>
        </w:tc>
        <w:tc>
          <w:tcPr>
            <w:tcW w:w="4328" w:type="pct"/>
            <w:shd w:val="clear" w:color="auto" w:fill="auto"/>
            <w:noWrap/>
            <w:vAlign w:val="center"/>
          </w:tcPr>
          <w:p w14:paraId="43B50146"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Česko-polský propojovací plynovod</w:t>
            </w:r>
          </w:p>
        </w:tc>
      </w:tr>
      <w:tr w:rsidR="009F55A4" w:rsidRPr="00393D5E" w14:paraId="0F24AA9C" w14:textId="77777777" w:rsidTr="1E39CB1F">
        <w:trPr>
          <w:trHeight w:val="288"/>
        </w:trPr>
        <w:tc>
          <w:tcPr>
            <w:tcW w:w="672" w:type="pct"/>
            <w:shd w:val="clear" w:color="auto" w:fill="auto"/>
            <w:noWrap/>
            <w:vAlign w:val="center"/>
          </w:tcPr>
          <w:p w14:paraId="71A76022"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TAL</w:t>
            </w:r>
          </w:p>
        </w:tc>
        <w:tc>
          <w:tcPr>
            <w:tcW w:w="4328" w:type="pct"/>
            <w:shd w:val="clear" w:color="auto" w:fill="auto"/>
            <w:noWrap/>
            <w:vAlign w:val="center"/>
          </w:tcPr>
          <w:p w14:paraId="3D1FFC73"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Transalpinský ropovod</w:t>
            </w:r>
          </w:p>
        </w:tc>
      </w:tr>
      <w:tr w:rsidR="009F55A4" w:rsidRPr="00393D5E" w14:paraId="69276C04" w14:textId="77777777" w:rsidTr="1E39CB1F">
        <w:trPr>
          <w:trHeight w:val="288"/>
        </w:trPr>
        <w:tc>
          <w:tcPr>
            <w:tcW w:w="672" w:type="pct"/>
            <w:shd w:val="clear" w:color="auto" w:fill="auto"/>
            <w:noWrap/>
            <w:vAlign w:val="center"/>
          </w:tcPr>
          <w:p w14:paraId="0CB1EC8E"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ÚV</w:t>
            </w:r>
          </w:p>
        </w:tc>
        <w:tc>
          <w:tcPr>
            <w:tcW w:w="4328" w:type="pct"/>
            <w:shd w:val="clear" w:color="auto" w:fill="auto"/>
            <w:noWrap/>
            <w:vAlign w:val="center"/>
          </w:tcPr>
          <w:p w14:paraId="20CCBACF"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Úřad vlády ČR</w:t>
            </w:r>
          </w:p>
        </w:tc>
      </w:tr>
      <w:tr w:rsidR="009F55A4" w:rsidRPr="00393D5E" w14:paraId="7A874335" w14:textId="77777777" w:rsidTr="1E39CB1F">
        <w:trPr>
          <w:trHeight w:val="288"/>
        </w:trPr>
        <w:tc>
          <w:tcPr>
            <w:tcW w:w="672" w:type="pct"/>
            <w:shd w:val="clear" w:color="auto" w:fill="auto"/>
            <w:noWrap/>
            <w:vAlign w:val="center"/>
          </w:tcPr>
          <w:p w14:paraId="2867C6F9"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VH zařízení</w:t>
            </w:r>
          </w:p>
        </w:tc>
        <w:tc>
          <w:tcPr>
            <w:tcW w:w="4328" w:type="pct"/>
            <w:shd w:val="clear" w:color="auto" w:fill="auto"/>
            <w:noWrap/>
            <w:vAlign w:val="center"/>
          </w:tcPr>
          <w:p w14:paraId="3048F90D"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Vodohospodářská zařízení</w:t>
            </w:r>
          </w:p>
        </w:tc>
      </w:tr>
      <w:tr w:rsidR="009F55A4" w:rsidRPr="00393D5E" w14:paraId="7848E7DF" w14:textId="77777777" w:rsidTr="1E39CB1F">
        <w:trPr>
          <w:trHeight w:val="288"/>
        </w:trPr>
        <w:tc>
          <w:tcPr>
            <w:tcW w:w="672" w:type="pct"/>
            <w:shd w:val="clear" w:color="auto" w:fill="auto"/>
            <w:noWrap/>
            <w:vAlign w:val="center"/>
          </w:tcPr>
          <w:p w14:paraId="322A4024"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VHCN</w:t>
            </w:r>
          </w:p>
        </w:tc>
        <w:tc>
          <w:tcPr>
            <w:tcW w:w="4328" w:type="pct"/>
            <w:shd w:val="clear" w:color="auto" w:fill="auto"/>
            <w:noWrap/>
            <w:vAlign w:val="center"/>
          </w:tcPr>
          <w:p w14:paraId="19EB7089" w14:textId="77777777" w:rsidR="009F55A4" w:rsidRPr="00393D5E" w:rsidRDefault="009F55A4" w:rsidP="00316A1B">
            <w:pPr>
              <w:spacing w:line="276" w:lineRule="auto"/>
              <w:rPr>
                <w:rFonts w:eastAsia="Times New Roman" w:cstheme="minorHAnsi"/>
                <w:lang w:eastAsia="cs-CZ"/>
              </w:rPr>
            </w:pPr>
            <w:r w:rsidRPr="00393D5E">
              <w:rPr>
                <w:rFonts w:eastAsia="Times New Roman" w:cstheme="minorHAnsi"/>
                <w:lang w:eastAsia="cs-CZ"/>
              </w:rPr>
              <w:t>Velmi vysokokapacitní sítě (Very High Capacity Networks)</w:t>
            </w:r>
          </w:p>
        </w:tc>
      </w:tr>
    </w:tbl>
    <w:p w14:paraId="45D6BE11" w14:textId="1D00759E" w:rsidR="00A73F9E" w:rsidRPr="00393D5E" w:rsidRDefault="000255D9" w:rsidP="00316A1B">
      <w:pPr>
        <w:tabs>
          <w:tab w:val="left" w:pos="1624"/>
        </w:tabs>
        <w:spacing w:line="276" w:lineRule="auto"/>
      </w:pPr>
      <w:r w:rsidRPr="00393D5E">
        <w:rPr>
          <w:color w:val="000000" w:themeColor="text1"/>
        </w:rPr>
        <w:t>Pozn.: V</w:t>
      </w:r>
      <w:r w:rsidR="0003053E">
        <w:rPr>
          <w:color w:val="000000" w:themeColor="text1"/>
        </w:rPr>
        <w:t> </w:t>
      </w:r>
      <w:r w:rsidRPr="00393D5E">
        <w:rPr>
          <w:color w:val="000000" w:themeColor="text1"/>
        </w:rPr>
        <w:t>seznamu nejsou uvedeny symboly a</w:t>
      </w:r>
      <w:r w:rsidR="0003053E">
        <w:rPr>
          <w:color w:val="000000" w:themeColor="text1"/>
        </w:rPr>
        <w:t> </w:t>
      </w:r>
      <w:r w:rsidRPr="00393D5E">
        <w:rPr>
          <w:color w:val="000000" w:themeColor="text1"/>
        </w:rPr>
        <w:t>zkratky všeobecně známé</w:t>
      </w:r>
      <w:r w:rsidRPr="00393D5E">
        <w:t>.</w:t>
      </w:r>
    </w:p>
    <w:p w14:paraId="3B4BF0EF" w14:textId="7966D3AE" w:rsidR="35823B3C" w:rsidRPr="00393D5E" w:rsidRDefault="35823B3C">
      <w:r w:rsidRPr="00393D5E">
        <w:br w:type="page"/>
      </w:r>
    </w:p>
    <w:p w14:paraId="6A4C3E7F" w14:textId="49026AC4" w:rsidR="00A73F9E" w:rsidRPr="00393D5E" w:rsidRDefault="7A7D4FEC" w:rsidP="3E0D70EE">
      <w:pPr>
        <w:pStyle w:val="Nadpis1"/>
        <w:numPr>
          <w:ilvl w:val="0"/>
          <w:numId w:val="0"/>
        </w:numPr>
        <w:spacing w:line="276" w:lineRule="auto"/>
        <w:jc w:val="left"/>
        <w:rPr>
          <w:rStyle w:val="normaltextrun"/>
          <w:rFonts w:asciiTheme="minorHAnsi" w:hAnsiTheme="minorHAnsi" w:cstheme="minorBidi"/>
        </w:rPr>
      </w:pPr>
      <w:bookmarkStart w:id="2" w:name="_Toc132267773"/>
      <w:bookmarkStart w:id="3" w:name="_Toc151444335"/>
      <w:r w:rsidRPr="3E0D70EE">
        <w:rPr>
          <w:rFonts w:asciiTheme="minorHAnsi" w:hAnsiTheme="minorHAnsi" w:cstheme="minorBidi"/>
        </w:rPr>
        <w:lastRenderedPageBreak/>
        <w:t>Část I. Úvod</w:t>
      </w:r>
      <w:bookmarkEnd w:id="2"/>
      <w:r w:rsidRPr="3E0D70EE">
        <w:rPr>
          <w:rFonts w:asciiTheme="minorHAnsi" w:hAnsiTheme="minorHAnsi" w:cstheme="minorBidi"/>
        </w:rPr>
        <w:t xml:space="preserve"> k</w:t>
      </w:r>
      <w:r w:rsidR="0003053E">
        <w:rPr>
          <w:rFonts w:asciiTheme="minorHAnsi" w:hAnsiTheme="minorHAnsi" w:cstheme="minorBidi"/>
        </w:rPr>
        <w:t> </w:t>
      </w:r>
      <w:r w:rsidRPr="3E0D70EE">
        <w:rPr>
          <w:rFonts w:asciiTheme="minorHAnsi" w:hAnsiTheme="minorHAnsi" w:cstheme="minorBidi"/>
        </w:rPr>
        <w:t>dodatku</w:t>
      </w:r>
      <w:bookmarkEnd w:id="3"/>
    </w:p>
    <w:p w14:paraId="0A067C96" w14:textId="77777777" w:rsidR="009A6B0C" w:rsidRPr="00393D5E" w:rsidRDefault="009A6B0C" w:rsidP="00316A1B">
      <w:pPr>
        <w:spacing w:line="276" w:lineRule="auto"/>
        <w:jc w:val="both"/>
      </w:pPr>
    </w:p>
    <w:p w14:paraId="35E62FEE" w14:textId="77777777" w:rsidR="00E3689A" w:rsidRPr="00393D5E" w:rsidRDefault="00E3689A" w:rsidP="00316A1B">
      <w:pPr>
        <w:spacing w:line="276" w:lineRule="auto"/>
        <w:jc w:val="both"/>
      </w:pPr>
      <w:r w:rsidRPr="00393D5E">
        <w:br w:type="page"/>
      </w:r>
    </w:p>
    <w:p w14:paraId="5AC98218" w14:textId="77777777" w:rsidR="00B4450A" w:rsidRPr="00393D5E" w:rsidRDefault="3FAE026F" w:rsidP="00316A1B">
      <w:pPr>
        <w:pStyle w:val="Nadpis2"/>
        <w:spacing w:line="276" w:lineRule="auto"/>
      </w:pPr>
      <w:bookmarkStart w:id="4" w:name="_Toc151444336"/>
      <w:r>
        <w:lastRenderedPageBreak/>
        <w:t>Obecný cíl</w:t>
      </w:r>
      <w:bookmarkEnd w:id="4"/>
      <w:r>
        <w:t xml:space="preserve"> </w:t>
      </w:r>
    </w:p>
    <w:p w14:paraId="6E6C2245" w14:textId="26AD776C" w:rsidR="005B5D90" w:rsidRPr="00393D5E" w:rsidRDefault="00B4450A" w:rsidP="00316A1B">
      <w:pPr>
        <w:spacing w:line="276" w:lineRule="auto"/>
        <w:jc w:val="both"/>
      </w:pPr>
      <w:r w:rsidRPr="00393D5E">
        <w:t>Od přijetí nařízení o</w:t>
      </w:r>
      <w:r w:rsidR="0003053E">
        <w:t> </w:t>
      </w:r>
      <w:r w:rsidRPr="00393D5E">
        <w:t>Nástroji pro oživení a</w:t>
      </w:r>
      <w:r w:rsidR="0003053E">
        <w:t> </w:t>
      </w:r>
      <w:r w:rsidRPr="00393D5E">
        <w:t>odolnost a</w:t>
      </w:r>
      <w:r w:rsidR="0003053E">
        <w:t> </w:t>
      </w:r>
      <w:r w:rsidRPr="00393D5E">
        <w:t>p</w:t>
      </w:r>
      <w:r w:rsidR="00B33AAB" w:rsidRPr="00393D5E">
        <w:t>ůvodního Národního plánu obnovy</w:t>
      </w:r>
      <w:r w:rsidR="005B5D90" w:rsidRPr="00393D5E">
        <w:t xml:space="preserve"> </w:t>
      </w:r>
      <w:r w:rsidR="000338B5" w:rsidRPr="00393D5E">
        <w:t>(</w:t>
      </w:r>
      <w:r w:rsidR="000338B5" w:rsidRPr="00393D5E">
        <w:rPr>
          <w:i/>
        </w:rPr>
        <w:t>Recovery and Resilience Facility</w:t>
      </w:r>
      <w:r w:rsidR="000338B5" w:rsidRPr="00393D5E">
        <w:t xml:space="preserve">, RRF) </w:t>
      </w:r>
      <w:r w:rsidRPr="00393D5E">
        <w:t>se geopolitické okolnosti v</w:t>
      </w:r>
      <w:r w:rsidR="0003053E">
        <w:t> </w:t>
      </w:r>
      <w:r w:rsidRPr="00393D5E">
        <w:t>Evropě značně změnily. Ruská vojenská agrese vytvořila rozsáhlé výzvy pro energetiku Evropské unie a</w:t>
      </w:r>
      <w:r w:rsidR="0003053E">
        <w:t> </w:t>
      </w:r>
      <w:r w:rsidRPr="00393D5E">
        <w:t>tím zhoršila hospodářské a</w:t>
      </w:r>
      <w:r w:rsidR="0003053E">
        <w:t> </w:t>
      </w:r>
      <w:r w:rsidRPr="00393D5E">
        <w:t>sociální důsledky krize COVID-19.</w:t>
      </w:r>
      <w:r w:rsidR="00C12F5B" w:rsidRPr="00393D5E">
        <w:rPr>
          <w:rStyle w:val="Znakapoznpodarou"/>
        </w:rPr>
        <w:footnoteReference w:id="1"/>
      </w:r>
      <w:r w:rsidRPr="00393D5E">
        <w:t xml:space="preserve"> V</w:t>
      </w:r>
      <w:r w:rsidR="0003053E">
        <w:t> </w:t>
      </w:r>
      <w:r w:rsidRPr="00393D5E">
        <w:t>důsledku přetrvávající</w:t>
      </w:r>
      <w:r w:rsidR="00B33AAB" w:rsidRPr="00393D5E">
        <w:t>c</w:t>
      </w:r>
      <w:r w:rsidRPr="00393D5E">
        <w:t>h hospodářsk</w:t>
      </w:r>
      <w:r w:rsidR="00B33AAB" w:rsidRPr="00393D5E">
        <w:t>ých dopadů</w:t>
      </w:r>
      <w:r w:rsidRPr="00393D5E">
        <w:t xml:space="preserve"> způsoben</w:t>
      </w:r>
      <w:r w:rsidR="00B33AAB" w:rsidRPr="00393D5E">
        <w:t>ých</w:t>
      </w:r>
      <w:r w:rsidRPr="00393D5E">
        <w:t xml:space="preserve"> pandemií COVID-19 a</w:t>
      </w:r>
      <w:r w:rsidR="0003053E">
        <w:t> </w:t>
      </w:r>
      <w:r w:rsidRPr="00393D5E">
        <w:t>navazují</w:t>
      </w:r>
      <w:r w:rsidR="00B33AAB" w:rsidRPr="00393D5E">
        <w:t>cích krizí spojených s</w:t>
      </w:r>
      <w:r w:rsidR="0003053E">
        <w:t> </w:t>
      </w:r>
      <w:r w:rsidR="00B33AAB" w:rsidRPr="00393D5E">
        <w:t>nebývale vysokou</w:t>
      </w:r>
      <w:r w:rsidRPr="00393D5E">
        <w:t xml:space="preserve"> mírou inflace a</w:t>
      </w:r>
      <w:r w:rsidR="0003053E">
        <w:t> </w:t>
      </w:r>
      <w:r w:rsidRPr="00393D5E">
        <w:t>válečným konfliktem v</w:t>
      </w:r>
      <w:r w:rsidR="0003053E">
        <w:t> </w:t>
      </w:r>
      <w:r w:rsidRPr="00393D5E">
        <w:t xml:space="preserve">Evropě, připravila vláda České republiky aktualizovanou </w:t>
      </w:r>
      <w:r w:rsidR="005B5D90" w:rsidRPr="00393D5E">
        <w:t>a</w:t>
      </w:r>
      <w:r w:rsidR="0003053E">
        <w:t> </w:t>
      </w:r>
      <w:r w:rsidR="005B5D90" w:rsidRPr="00393D5E">
        <w:t xml:space="preserve">pozměněnou </w:t>
      </w:r>
      <w:r w:rsidRPr="00393D5E">
        <w:t xml:space="preserve">verzi Národního plánu obnovy. </w:t>
      </w:r>
    </w:p>
    <w:p w14:paraId="456BAEDF" w14:textId="1516651D" w:rsidR="00B33AAB" w:rsidRPr="00393D5E" w:rsidRDefault="740907FE" w:rsidP="40618F90">
      <w:pPr>
        <w:spacing w:line="276" w:lineRule="auto"/>
        <w:jc w:val="both"/>
      </w:pPr>
      <w:r w:rsidRPr="00393D5E">
        <w:t xml:space="preserve">Národní plán obnovy </w:t>
      </w:r>
      <w:r w:rsidR="00505D65">
        <w:t xml:space="preserve">je </w:t>
      </w:r>
      <w:r w:rsidR="6614ADF0" w:rsidRPr="00393D5E">
        <w:t>ve své původní verzi („NPO (2021)“)</w:t>
      </w:r>
      <w:r w:rsidR="00B21F4B">
        <w:t xml:space="preserve"> </w:t>
      </w:r>
      <w:r w:rsidRPr="00393D5E">
        <w:t>strategickým dokumentem, kterým Česká republika v</w:t>
      </w:r>
      <w:r w:rsidR="0003053E">
        <w:t> </w:t>
      </w:r>
      <w:r w:rsidRPr="00393D5E">
        <w:t>roce 2021 požádala o</w:t>
      </w:r>
      <w:r w:rsidR="0003053E">
        <w:t> </w:t>
      </w:r>
      <w:r w:rsidRPr="00393D5E">
        <w:t>finanční příspěvek z</w:t>
      </w:r>
      <w:r w:rsidR="0003053E">
        <w:t> </w:t>
      </w:r>
      <w:r w:rsidR="5D239352" w:rsidRPr="00393D5E">
        <w:t>RRF</w:t>
      </w:r>
      <w:r w:rsidRPr="00393D5E">
        <w:t xml:space="preserve"> ve výši 7 035,7 mil. eur (179</w:t>
      </w:r>
      <w:r w:rsidR="00C4185B">
        <w:t>,1</w:t>
      </w:r>
      <w:r w:rsidRPr="00393D5E">
        <w:t xml:space="preserve"> mld. Kč) ve formě </w:t>
      </w:r>
      <w:r w:rsidR="64159158" w:rsidRPr="18B68733">
        <w:t>grantů</w:t>
      </w:r>
      <w:r w:rsidRPr="18B68733">
        <w:t>.</w:t>
      </w:r>
      <w:r w:rsidR="00B4450A" w:rsidRPr="18B68733">
        <w:rPr>
          <w:rStyle w:val="Znakapoznpodarou"/>
        </w:rPr>
        <w:footnoteReference w:id="2"/>
      </w:r>
      <w:r w:rsidRPr="18B68733">
        <w:t xml:space="preserve"> </w:t>
      </w:r>
      <w:r w:rsidR="6614ADF0" w:rsidRPr="18B68733">
        <w:t>Pro efektivnější zvládnutí výše uvedených výzev předkládá vláda plán na využití dodatečných</w:t>
      </w:r>
      <w:r w:rsidRPr="18B68733">
        <w:t xml:space="preserve"> </w:t>
      </w:r>
      <w:r w:rsidR="005672BC">
        <w:t xml:space="preserve">29,9 </w:t>
      </w:r>
      <w:r w:rsidR="77D40B11" w:rsidRPr="18B68733">
        <w:t xml:space="preserve">mld. Kč ve formě </w:t>
      </w:r>
      <w:r w:rsidR="11EF176C" w:rsidRPr="18B68733">
        <w:t xml:space="preserve">grantů </w:t>
      </w:r>
      <w:r w:rsidR="00E545A6">
        <w:t>a</w:t>
      </w:r>
      <w:r w:rsidR="0003053E">
        <w:t> </w:t>
      </w:r>
      <w:r w:rsidR="003E6618">
        <w:t>1</w:t>
      </w:r>
      <w:r w:rsidR="00C4185B" w:rsidRPr="18B68733">
        <w:t>9,4</w:t>
      </w:r>
      <w:r w:rsidR="77D40B11" w:rsidRPr="18B68733">
        <w:t xml:space="preserve"> </w:t>
      </w:r>
      <w:r w:rsidRPr="18B68733">
        <w:t>mld. Kč</w:t>
      </w:r>
      <w:r w:rsidR="6614ADF0" w:rsidRPr="18B68733">
        <w:t xml:space="preserve"> ve formě půjčky z</w:t>
      </w:r>
      <w:r w:rsidR="0003053E">
        <w:t> </w:t>
      </w:r>
      <w:r w:rsidR="5D239352" w:rsidRPr="18B68733">
        <w:t>RRF</w:t>
      </w:r>
      <w:r w:rsidRPr="18B68733">
        <w:t xml:space="preserve">. </w:t>
      </w:r>
      <w:r w:rsidR="00316A1B" w:rsidRPr="18B68733">
        <w:t xml:space="preserve">Celková alokace plánu činí </w:t>
      </w:r>
      <w:r w:rsidR="00E33862">
        <w:t>228,</w:t>
      </w:r>
      <w:r w:rsidR="005672BC">
        <w:t>4</w:t>
      </w:r>
      <w:r w:rsidR="552D0641" w:rsidRPr="18B68733">
        <w:t xml:space="preserve"> </w:t>
      </w:r>
      <w:r w:rsidR="00316A1B" w:rsidRPr="18B68733">
        <w:t>mld. Kč.</w:t>
      </w:r>
    </w:p>
    <w:p w14:paraId="4F2079F3" w14:textId="59C44B49" w:rsidR="00B33AAB" w:rsidRPr="00393D5E" w:rsidRDefault="00B33AAB" w:rsidP="18B68733">
      <w:pPr>
        <w:spacing w:line="276" w:lineRule="auto"/>
        <w:jc w:val="both"/>
      </w:pPr>
      <w:r w:rsidRPr="18B68733">
        <w:t>Investice a</w:t>
      </w:r>
      <w:r w:rsidR="0003053E">
        <w:t> </w:t>
      </w:r>
      <w:r w:rsidRPr="18B68733">
        <w:t>reformy zahrnuté v</w:t>
      </w:r>
      <w:r w:rsidR="0003053E">
        <w:t> </w:t>
      </w:r>
      <w:r w:rsidRPr="18B68733">
        <w:t>NPO (2021) byly rozčleněny do 6 pilířů, které se dále dělí na komponenty, subkomponenty a</w:t>
      </w:r>
      <w:r w:rsidR="0003053E">
        <w:t> </w:t>
      </w:r>
      <w:r w:rsidRPr="18B68733">
        <w:t>následně na konkrétní reformy a</w:t>
      </w:r>
      <w:r w:rsidR="0003053E">
        <w:t> </w:t>
      </w:r>
      <w:r w:rsidRPr="18B68733">
        <w:t xml:space="preserve">investiční akce: </w:t>
      </w:r>
    </w:p>
    <w:p w14:paraId="2BF3506C" w14:textId="48FDD884" w:rsidR="00B33AAB" w:rsidRPr="00393D5E" w:rsidRDefault="447E9E27" w:rsidP="18B68733">
      <w:pPr>
        <w:spacing w:line="276" w:lineRule="auto"/>
        <w:jc w:val="both"/>
      </w:pPr>
      <w:r>
        <w:t>―</w:t>
      </w:r>
      <w:r>
        <w:tab/>
      </w:r>
      <w:r w:rsidR="2E5CBF4C">
        <w:t xml:space="preserve">1. </w:t>
      </w:r>
      <w:r>
        <w:t xml:space="preserve">Digitální transformace </w:t>
      </w:r>
      <w:r>
        <w:tab/>
      </w:r>
      <w:r>
        <w:tab/>
      </w:r>
      <w:r>
        <w:tab/>
      </w:r>
      <w:r>
        <w:tab/>
      </w:r>
      <w:r>
        <w:tab/>
      </w:r>
      <w:r>
        <w:tab/>
      </w:r>
      <w:r>
        <w:tab/>
      </w:r>
      <w:r w:rsidR="000E2439">
        <w:t>37 789</w:t>
      </w:r>
      <w:r w:rsidR="49DE3F58">
        <w:t xml:space="preserve"> </w:t>
      </w:r>
      <w:r>
        <w:t>mil. Kč</w:t>
      </w:r>
    </w:p>
    <w:p w14:paraId="3060FD5A" w14:textId="56FF42A2" w:rsidR="00B33AAB" w:rsidRPr="00393D5E" w:rsidRDefault="447E9E27" w:rsidP="18B68733">
      <w:pPr>
        <w:spacing w:line="276" w:lineRule="auto"/>
        <w:jc w:val="both"/>
      </w:pPr>
      <w:r>
        <w:t>―</w:t>
      </w:r>
      <w:r>
        <w:tab/>
      </w:r>
      <w:r w:rsidR="2E5CBF4C">
        <w:t xml:space="preserve">2. </w:t>
      </w:r>
      <w:r>
        <w:t>Fyzická infrastruktura a</w:t>
      </w:r>
      <w:r w:rsidR="0003053E">
        <w:t> </w:t>
      </w:r>
      <w:r>
        <w:t xml:space="preserve">zelená tranzice </w:t>
      </w:r>
      <w:r>
        <w:tab/>
      </w:r>
      <w:r>
        <w:tab/>
      </w:r>
      <w:r>
        <w:tab/>
      </w:r>
      <w:r>
        <w:tab/>
      </w:r>
      <w:r>
        <w:tab/>
      </w:r>
      <w:r w:rsidR="00C4185B">
        <w:t>95 013</w:t>
      </w:r>
      <w:r w:rsidR="406607FE">
        <w:t xml:space="preserve"> </w:t>
      </w:r>
      <w:r>
        <w:t>mil. Kč</w:t>
      </w:r>
    </w:p>
    <w:p w14:paraId="13E42F6E" w14:textId="7CA531A8" w:rsidR="00B33AAB" w:rsidRPr="00393D5E" w:rsidRDefault="447E9E27" w:rsidP="18B68733">
      <w:pPr>
        <w:spacing w:line="276" w:lineRule="auto"/>
        <w:jc w:val="both"/>
      </w:pPr>
      <w:r>
        <w:t>―</w:t>
      </w:r>
      <w:r>
        <w:tab/>
      </w:r>
      <w:r w:rsidR="2E5CBF4C">
        <w:t xml:space="preserve">3. </w:t>
      </w:r>
      <w:r>
        <w:t>Vzdělávání a</w:t>
      </w:r>
      <w:r w:rsidR="0003053E">
        <w:t> </w:t>
      </w:r>
      <w:r>
        <w:t xml:space="preserve">trh práce </w:t>
      </w:r>
      <w:r>
        <w:tab/>
      </w:r>
      <w:r>
        <w:tab/>
      </w:r>
      <w:r>
        <w:tab/>
      </w:r>
      <w:r>
        <w:tab/>
      </w:r>
      <w:r>
        <w:tab/>
      </w:r>
      <w:r>
        <w:tab/>
      </w:r>
      <w:r>
        <w:tab/>
      </w:r>
      <w:r w:rsidR="00842B73">
        <w:t xml:space="preserve">45 </w:t>
      </w:r>
      <w:r w:rsidR="005672BC">
        <w:t>229</w:t>
      </w:r>
      <w:r w:rsidR="50596ADE">
        <w:t xml:space="preserve"> </w:t>
      </w:r>
      <w:r>
        <w:t>mil. Kč</w:t>
      </w:r>
    </w:p>
    <w:p w14:paraId="33FC383F" w14:textId="6C614A22" w:rsidR="00B33AAB" w:rsidRPr="00393D5E" w:rsidRDefault="447E9E27" w:rsidP="18B68733">
      <w:pPr>
        <w:spacing w:line="276" w:lineRule="auto"/>
        <w:jc w:val="both"/>
      </w:pPr>
      <w:r>
        <w:t>―</w:t>
      </w:r>
      <w:r>
        <w:tab/>
      </w:r>
      <w:r w:rsidR="2E5CBF4C">
        <w:t xml:space="preserve">4. </w:t>
      </w:r>
      <w:r>
        <w:t>Instituce a</w:t>
      </w:r>
      <w:r w:rsidR="0003053E">
        <w:t> </w:t>
      </w:r>
      <w:r>
        <w:t>regulace a</w:t>
      </w:r>
      <w:r w:rsidR="0003053E">
        <w:t> </w:t>
      </w:r>
      <w:r>
        <w:t>podpora podnikání v</w:t>
      </w:r>
      <w:r w:rsidR="0003053E">
        <w:t> </w:t>
      </w:r>
      <w:r>
        <w:t>reakci na COVID-19</w:t>
      </w:r>
      <w:r>
        <w:tab/>
      </w:r>
      <w:r>
        <w:tab/>
      </w:r>
      <w:r w:rsidR="00842B73">
        <w:t>10 375</w:t>
      </w:r>
      <w:r>
        <w:t xml:space="preserve"> mil. Kč </w:t>
      </w:r>
    </w:p>
    <w:p w14:paraId="6E06A5F2" w14:textId="3F5E8CF5" w:rsidR="00B33AAB" w:rsidRPr="00393D5E" w:rsidRDefault="447E9E27" w:rsidP="18B68733">
      <w:pPr>
        <w:spacing w:line="276" w:lineRule="auto"/>
        <w:jc w:val="both"/>
      </w:pPr>
      <w:r>
        <w:t>―</w:t>
      </w:r>
      <w:r>
        <w:tab/>
      </w:r>
      <w:r w:rsidR="2E5CBF4C">
        <w:t xml:space="preserve">5. </w:t>
      </w:r>
      <w:r>
        <w:t>Výzkum, vývoj a</w:t>
      </w:r>
      <w:r w:rsidR="0003053E">
        <w:t> </w:t>
      </w:r>
      <w:r>
        <w:t xml:space="preserve">inovace </w:t>
      </w:r>
      <w:r>
        <w:tab/>
      </w:r>
      <w:r>
        <w:tab/>
      </w:r>
      <w:r>
        <w:tab/>
      </w:r>
      <w:r>
        <w:tab/>
      </w:r>
      <w:r>
        <w:tab/>
      </w:r>
      <w:r>
        <w:tab/>
      </w:r>
      <w:r>
        <w:tab/>
        <w:t>1</w:t>
      </w:r>
      <w:r w:rsidR="1239D163">
        <w:t xml:space="preserve">0 </w:t>
      </w:r>
      <w:r w:rsidR="002405B8">
        <w:t>095</w:t>
      </w:r>
      <w:r>
        <w:t xml:space="preserve"> mil. Kč</w:t>
      </w:r>
    </w:p>
    <w:p w14:paraId="101925AF" w14:textId="5ABBE56A" w:rsidR="00B33AAB" w:rsidRPr="00393D5E" w:rsidRDefault="447E9E27" w:rsidP="18B68733">
      <w:pPr>
        <w:spacing w:line="276" w:lineRule="auto"/>
        <w:jc w:val="both"/>
      </w:pPr>
      <w:r>
        <w:t>―</w:t>
      </w:r>
      <w:r>
        <w:tab/>
      </w:r>
      <w:r w:rsidR="2E5CBF4C">
        <w:t xml:space="preserve">6. </w:t>
      </w:r>
      <w:r>
        <w:t>Zdraví a</w:t>
      </w:r>
      <w:r w:rsidR="0003053E">
        <w:t> </w:t>
      </w:r>
      <w:r>
        <w:t xml:space="preserve">odolnost obyvatelstva </w:t>
      </w:r>
      <w:r>
        <w:tab/>
      </w:r>
      <w:r>
        <w:tab/>
      </w:r>
      <w:r>
        <w:tab/>
      </w:r>
      <w:r>
        <w:tab/>
      </w:r>
      <w:r>
        <w:tab/>
      </w:r>
      <w:r>
        <w:tab/>
        <w:t>1</w:t>
      </w:r>
      <w:r w:rsidR="1530D2C1">
        <w:t>2 441</w:t>
      </w:r>
      <w:r>
        <w:t xml:space="preserve"> mil. Kč</w:t>
      </w:r>
    </w:p>
    <w:p w14:paraId="2FC76C4A" w14:textId="2E2EF01C" w:rsidR="00B33AAB" w:rsidRPr="00393D5E" w:rsidRDefault="014CEFBB" w:rsidP="5BC52D6A">
      <w:pPr>
        <w:spacing w:line="276" w:lineRule="auto"/>
        <w:jc w:val="both"/>
      </w:pPr>
      <w:r>
        <w:t>K výše uvedeným 6 pilířům je prostřednictvím tohoto Dodatku k</w:t>
      </w:r>
      <w:r w:rsidR="0003053E">
        <w:t> </w:t>
      </w:r>
      <w:r>
        <w:t>N</w:t>
      </w:r>
      <w:r w:rsidR="2E5CBF4C">
        <w:t>árodnímu plánu obnovy (dále „Dodatek k</w:t>
      </w:r>
      <w:r w:rsidR="0003053E">
        <w:t> </w:t>
      </w:r>
      <w:r w:rsidR="2E5CBF4C">
        <w:t>NPO“)</w:t>
      </w:r>
      <w:r>
        <w:t xml:space="preserve"> přidán 7. pilíř – REPowerEU</w:t>
      </w:r>
      <w:r w:rsidR="0D5E714F">
        <w:t xml:space="preserve"> ve výši</w:t>
      </w:r>
      <w:r w:rsidR="00C4185B">
        <w:t xml:space="preserve"> </w:t>
      </w:r>
      <w:r w:rsidR="002C6DC0">
        <w:t>17 461,3</w:t>
      </w:r>
      <w:r w:rsidR="6E600C23">
        <w:t xml:space="preserve"> </w:t>
      </w:r>
      <w:r w:rsidR="00AB4978">
        <w:t>mil.</w:t>
      </w:r>
      <w:r w:rsidR="0D5E714F">
        <w:t xml:space="preserve"> Kč</w:t>
      </w:r>
      <w:r>
        <w:t>.</w:t>
      </w:r>
    </w:p>
    <w:p w14:paraId="109211D3" w14:textId="35FC414F" w:rsidR="00BE113A" w:rsidRPr="00393D5E" w:rsidRDefault="00C70EE4" w:rsidP="00316A1B">
      <w:pPr>
        <w:spacing w:line="276" w:lineRule="auto"/>
        <w:jc w:val="both"/>
        <w:rPr>
          <w:rFonts w:cstheme="minorHAnsi"/>
        </w:rPr>
      </w:pPr>
      <w:r w:rsidRPr="00393D5E">
        <w:rPr>
          <w:rFonts w:cstheme="minorHAnsi"/>
        </w:rPr>
        <w:t>Již NPO (2021) plnil všech šest průřezových kritérií, které musí plány pro oživení a</w:t>
      </w:r>
      <w:r w:rsidR="0003053E">
        <w:rPr>
          <w:rFonts w:cstheme="minorHAnsi"/>
        </w:rPr>
        <w:t> </w:t>
      </w:r>
      <w:r w:rsidRPr="00393D5E">
        <w:rPr>
          <w:rFonts w:cstheme="minorHAnsi"/>
        </w:rPr>
        <w:t>odolnost splnit dle nařízení Evropského parlamentu a</w:t>
      </w:r>
      <w:r w:rsidR="0003053E">
        <w:rPr>
          <w:rFonts w:cstheme="minorHAnsi"/>
        </w:rPr>
        <w:t> </w:t>
      </w:r>
      <w:r w:rsidRPr="00393D5E">
        <w:rPr>
          <w:rFonts w:cstheme="minorHAnsi"/>
        </w:rPr>
        <w:t xml:space="preserve">Rady (EU) 2021/241, kterým se zřizuje </w:t>
      </w:r>
      <w:r w:rsidR="000338B5" w:rsidRPr="00393D5E">
        <w:rPr>
          <w:rFonts w:cstheme="minorHAnsi"/>
        </w:rPr>
        <w:t>RRF</w:t>
      </w:r>
      <w:r w:rsidRPr="00393D5E">
        <w:rPr>
          <w:rFonts w:cstheme="minorHAnsi"/>
        </w:rPr>
        <w:t xml:space="preserve"> (dále „Nařízení“); viz NPO (2021) str. 13 a</w:t>
      </w:r>
      <w:r w:rsidR="0003053E">
        <w:rPr>
          <w:rFonts w:cstheme="minorHAnsi"/>
        </w:rPr>
        <w:t> </w:t>
      </w:r>
      <w:r w:rsidRPr="00393D5E">
        <w:rPr>
          <w:rFonts w:cstheme="minorHAnsi"/>
        </w:rPr>
        <w:t>násl. Novými opatřeními popsanými v</w:t>
      </w:r>
      <w:r w:rsidR="0003053E">
        <w:rPr>
          <w:rFonts w:cstheme="minorHAnsi"/>
        </w:rPr>
        <w:t> </w:t>
      </w:r>
      <w:r w:rsidRPr="00393D5E">
        <w:rPr>
          <w:rFonts w:cstheme="minorHAnsi"/>
        </w:rPr>
        <w:t>Dodatku k</w:t>
      </w:r>
      <w:r w:rsidR="0003053E">
        <w:rPr>
          <w:rFonts w:cstheme="minorHAnsi"/>
        </w:rPr>
        <w:t> </w:t>
      </w:r>
      <w:r w:rsidRPr="00393D5E">
        <w:rPr>
          <w:rFonts w:cstheme="minorHAnsi"/>
        </w:rPr>
        <w:t>NPO bude plnění průřezových kritérií dále posíleno.</w:t>
      </w:r>
    </w:p>
    <w:tbl>
      <w:tblPr>
        <w:tblStyle w:val="Mkatabulky"/>
        <w:tblW w:w="0" w:type="auto"/>
        <w:tblLook w:val="04A0" w:firstRow="1" w:lastRow="0" w:firstColumn="1" w:lastColumn="0" w:noHBand="0" w:noVBand="1"/>
      </w:tblPr>
      <w:tblGrid>
        <w:gridCol w:w="4673"/>
        <w:gridCol w:w="4815"/>
      </w:tblGrid>
      <w:tr w:rsidR="00C70EE4" w:rsidRPr="00393D5E" w14:paraId="77BB3B43" w14:textId="77777777" w:rsidTr="1E39CB1F">
        <w:trPr>
          <w:tblHeader/>
        </w:trPr>
        <w:tc>
          <w:tcPr>
            <w:tcW w:w="4673" w:type="dxa"/>
            <w:shd w:val="clear" w:color="auto" w:fill="D9D9D9" w:themeFill="background1" w:themeFillShade="D9"/>
          </w:tcPr>
          <w:p w14:paraId="19E6C062" w14:textId="37A50294" w:rsidR="00C70EE4" w:rsidRPr="00393D5E" w:rsidRDefault="00C70EE4" w:rsidP="00316A1B">
            <w:pPr>
              <w:spacing w:line="276" w:lineRule="auto"/>
              <w:jc w:val="both"/>
              <w:rPr>
                <w:rFonts w:cstheme="minorHAnsi"/>
                <w:b/>
              </w:rPr>
            </w:pPr>
            <w:r w:rsidRPr="00393D5E">
              <w:rPr>
                <w:rFonts w:cstheme="minorHAnsi"/>
                <w:b/>
              </w:rPr>
              <w:t>Průřezová kritéria uvedená v</w:t>
            </w:r>
            <w:r w:rsidR="0003053E">
              <w:rPr>
                <w:rFonts w:cstheme="minorHAnsi"/>
                <w:b/>
              </w:rPr>
              <w:t> </w:t>
            </w:r>
            <w:r w:rsidRPr="00393D5E">
              <w:rPr>
                <w:rFonts w:cstheme="minorHAnsi"/>
                <w:b/>
              </w:rPr>
              <w:t>článku 3 Nařízení</w:t>
            </w:r>
          </w:p>
        </w:tc>
        <w:tc>
          <w:tcPr>
            <w:tcW w:w="4815" w:type="dxa"/>
            <w:shd w:val="clear" w:color="auto" w:fill="D9D9D9" w:themeFill="background1" w:themeFillShade="D9"/>
          </w:tcPr>
          <w:p w14:paraId="446F2A6C" w14:textId="4314AAFB" w:rsidR="00C70EE4" w:rsidRPr="00393D5E" w:rsidRDefault="00C70EE4" w:rsidP="00316A1B">
            <w:pPr>
              <w:spacing w:line="276" w:lineRule="auto"/>
              <w:jc w:val="both"/>
              <w:rPr>
                <w:rFonts w:cstheme="minorHAnsi"/>
                <w:b/>
              </w:rPr>
            </w:pPr>
            <w:r w:rsidRPr="00393D5E">
              <w:rPr>
                <w:rFonts w:cstheme="minorHAnsi"/>
                <w:b/>
              </w:rPr>
              <w:t>Naplnění průřezového kritéria v</w:t>
            </w:r>
            <w:r w:rsidR="0003053E">
              <w:rPr>
                <w:rFonts w:cstheme="minorHAnsi"/>
                <w:b/>
              </w:rPr>
              <w:t> </w:t>
            </w:r>
            <w:r w:rsidRPr="00393D5E">
              <w:rPr>
                <w:rFonts w:cstheme="minorHAnsi"/>
                <w:b/>
              </w:rPr>
              <w:t>NPO</w:t>
            </w:r>
            <w:r w:rsidR="001F0914" w:rsidRPr="00393D5E">
              <w:rPr>
                <w:rFonts w:cstheme="minorHAnsi"/>
                <w:b/>
              </w:rPr>
              <w:t xml:space="preserve"> (včetně Dodatku k</w:t>
            </w:r>
            <w:r w:rsidR="0003053E">
              <w:rPr>
                <w:rFonts w:cstheme="minorHAnsi"/>
                <w:b/>
              </w:rPr>
              <w:t> </w:t>
            </w:r>
            <w:r w:rsidR="001F0914" w:rsidRPr="00393D5E">
              <w:rPr>
                <w:rFonts w:cstheme="minorHAnsi"/>
                <w:b/>
              </w:rPr>
              <w:t>NPO)</w:t>
            </w:r>
          </w:p>
        </w:tc>
      </w:tr>
      <w:tr w:rsidR="00D371D0" w:rsidRPr="00393D5E" w14:paraId="0C425010" w14:textId="77777777" w:rsidTr="1E39CB1F">
        <w:tc>
          <w:tcPr>
            <w:tcW w:w="4673" w:type="dxa"/>
          </w:tcPr>
          <w:p w14:paraId="64DD64DC" w14:textId="77777777" w:rsidR="00D371D0" w:rsidRPr="00393D5E" w:rsidRDefault="00D371D0" w:rsidP="00316A1B">
            <w:pPr>
              <w:spacing w:line="276" w:lineRule="auto"/>
              <w:jc w:val="both"/>
              <w:rPr>
                <w:rFonts w:cstheme="minorHAnsi"/>
              </w:rPr>
            </w:pPr>
            <w:bookmarkStart w:id="5" w:name="_Hlk73467471"/>
            <w:r w:rsidRPr="00393D5E">
              <w:rPr>
                <w:rFonts w:cstheme="minorHAnsi"/>
              </w:rPr>
              <w:t>Zelená transformace</w:t>
            </w:r>
          </w:p>
        </w:tc>
        <w:tc>
          <w:tcPr>
            <w:tcW w:w="4815" w:type="dxa"/>
          </w:tcPr>
          <w:p w14:paraId="1C733EF0" w14:textId="1F526B9B" w:rsidR="00D371D0" w:rsidRPr="00393D5E" w:rsidRDefault="00AB4978" w:rsidP="3E0D70EE">
            <w:pPr>
              <w:spacing w:line="276" w:lineRule="auto"/>
              <w:jc w:val="both"/>
            </w:pPr>
            <w:r>
              <w:t>4</w:t>
            </w:r>
            <w:r w:rsidR="008F41FE">
              <w:t>2</w:t>
            </w:r>
            <w:r w:rsidR="00C4185B">
              <w:t>,</w:t>
            </w:r>
            <w:r w:rsidR="00FB0EFA">
              <w:t>9</w:t>
            </w:r>
            <w:r w:rsidR="1DFF4C5A">
              <w:t xml:space="preserve"> </w:t>
            </w:r>
            <w:r w:rsidR="2C954E8E">
              <w:t>% opatření celého plánu přispívá k</w:t>
            </w:r>
            <w:r w:rsidR="0003053E">
              <w:t> </w:t>
            </w:r>
            <w:r w:rsidR="2C954E8E">
              <w:t>plnění cílů v</w:t>
            </w:r>
            <w:r w:rsidR="0003053E">
              <w:t> </w:t>
            </w:r>
            <w:r w:rsidR="2C954E8E">
              <w:t>oblasti klimatu</w:t>
            </w:r>
          </w:p>
        </w:tc>
      </w:tr>
      <w:tr w:rsidR="00D371D0" w:rsidRPr="00393D5E" w14:paraId="438243E1" w14:textId="77777777" w:rsidTr="1E39CB1F">
        <w:tc>
          <w:tcPr>
            <w:tcW w:w="4673" w:type="dxa"/>
          </w:tcPr>
          <w:p w14:paraId="6706253D" w14:textId="77777777" w:rsidR="00D371D0" w:rsidRPr="00393D5E" w:rsidRDefault="00D371D0" w:rsidP="00316A1B">
            <w:pPr>
              <w:spacing w:line="276" w:lineRule="auto"/>
              <w:jc w:val="both"/>
              <w:rPr>
                <w:rFonts w:cstheme="minorHAnsi"/>
              </w:rPr>
            </w:pPr>
            <w:r w:rsidRPr="00393D5E">
              <w:rPr>
                <w:rFonts w:cstheme="minorHAnsi"/>
              </w:rPr>
              <w:t>Digitální transformace</w:t>
            </w:r>
          </w:p>
        </w:tc>
        <w:tc>
          <w:tcPr>
            <w:tcW w:w="4815" w:type="dxa"/>
          </w:tcPr>
          <w:p w14:paraId="71CF9489" w14:textId="38E9D7C9" w:rsidR="00D371D0" w:rsidRPr="00393D5E" w:rsidRDefault="17194EA0" w:rsidP="00316A1B">
            <w:pPr>
              <w:spacing w:line="276" w:lineRule="auto"/>
              <w:jc w:val="both"/>
            </w:pPr>
            <w:r>
              <w:t>2</w:t>
            </w:r>
            <w:r w:rsidR="008F41FE">
              <w:t>2,</w:t>
            </w:r>
            <w:r w:rsidR="00FB0EFA">
              <w:t>8</w:t>
            </w:r>
            <w:r w:rsidR="4FB581D3">
              <w:t xml:space="preserve"> </w:t>
            </w:r>
            <w:r w:rsidR="2C954E8E">
              <w:t>% opatření celého plánu přispívá k</w:t>
            </w:r>
            <w:r w:rsidR="0003053E">
              <w:t> </w:t>
            </w:r>
            <w:r w:rsidR="2C954E8E">
              <w:t xml:space="preserve">plnění </w:t>
            </w:r>
            <w:r w:rsidR="5D4CDF5C">
              <w:t>c</w:t>
            </w:r>
            <w:r w:rsidR="2C954E8E">
              <w:t>ílů v</w:t>
            </w:r>
            <w:r w:rsidR="0003053E">
              <w:t> </w:t>
            </w:r>
            <w:r w:rsidR="2C954E8E">
              <w:t xml:space="preserve">oblasti digitální transformace </w:t>
            </w:r>
          </w:p>
        </w:tc>
      </w:tr>
      <w:bookmarkEnd w:id="5"/>
      <w:tr w:rsidR="00C70EE4" w:rsidRPr="00393D5E" w14:paraId="4762D39B" w14:textId="77777777" w:rsidTr="1E39CB1F">
        <w:tc>
          <w:tcPr>
            <w:tcW w:w="4673" w:type="dxa"/>
          </w:tcPr>
          <w:p w14:paraId="7772EF2B" w14:textId="23EEC102" w:rsidR="00C70EE4" w:rsidRPr="00393D5E" w:rsidRDefault="00C70EE4" w:rsidP="00316A1B">
            <w:pPr>
              <w:spacing w:line="276" w:lineRule="auto"/>
              <w:jc w:val="both"/>
              <w:rPr>
                <w:rFonts w:cstheme="minorHAnsi"/>
              </w:rPr>
            </w:pPr>
            <w:r w:rsidRPr="00393D5E">
              <w:rPr>
                <w:rFonts w:cstheme="minorHAnsi"/>
              </w:rPr>
              <w:t>Inteligentní a</w:t>
            </w:r>
            <w:r w:rsidR="0003053E">
              <w:rPr>
                <w:rFonts w:cstheme="minorHAnsi"/>
              </w:rPr>
              <w:t> </w:t>
            </w:r>
            <w:r w:rsidRPr="00393D5E">
              <w:rPr>
                <w:rFonts w:cstheme="minorHAnsi"/>
              </w:rPr>
              <w:t xml:space="preserve">udržitelný růst podporující začlenění, včetně hospodářské soudržnosti, </w:t>
            </w:r>
            <w:r w:rsidRPr="00393D5E">
              <w:rPr>
                <w:rFonts w:cstheme="minorHAnsi"/>
              </w:rPr>
              <w:br/>
              <w:t>pracovních míst,</w:t>
            </w:r>
            <w:r w:rsidRPr="00393D5E">
              <w:rPr>
                <w:rFonts w:cstheme="minorHAnsi"/>
              </w:rPr>
              <w:br/>
            </w:r>
            <w:r w:rsidRPr="00393D5E">
              <w:rPr>
                <w:rFonts w:cstheme="minorHAnsi"/>
              </w:rPr>
              <w:lastRenderedPageBreak/>
              <w:t>produktivity,</w:t>
            </w:r>
            <w:r w:rsidRPr="00393D5E">
              <w:rPr>
                <w:rFonts w:cstheme="minorHAnsi"/>
              </w:rPr>
              <w:br/>
              <w:t>konkurenceschopnosti,</w:t>
            </w:r>
            <w:r w:rsidRPr="00393D5E">
              <w:rPr>
                <w:rFonts w:cstheme="minorHAnsi"/>
              </w:rPr>
              <w:br/>
              <w:t>výzkumu, vývoje a</w:t>
            </w:r>
            <w:r w:rsidR="0003053E">
              <w:rPr>
                <w:rFonts w:cstheme="minorHAnsi"/>
              </w:rPr>
              <w:t> </w:t>
            </w:r>
            <w:r w:rsidRPr="00393D5E">
              <w:rPr>
                <w:rFonts w:cstheme="minorHAnsi"/>
              </w:rPr>
              <w:t xml:space="preserve">inovací </w:t>
            </w:r>
            <w:r w:rsidRPr="00393D5E">
              <w:rPr>
                <w:rFonts w:cstheme="minorHAnsi"/>
              </w:rPr>
              <w:br/>
              <w:t>a dobře fungujícího vnitřního trhu se silnými malými a</w:t>
            </w:r>
            <w:r w:rsidR="0003053E">
              <w:rPr>
                <w:rFonts w:cstheme="minorHAnsi"/>
              </w:rPr>
              <w:t> </w:t>
            </w:r>
            <w:r w:rsidRPr="00393D5E">
              <w:rPr>
                <w:rFonts w:cstheme="minorHAnsi"/>
              </w:rPr>
              <w:t>středními podniky</w:t>
            </w:r>
          </w:p>
        </w:tc>
        <w:tc>
          <w:tcPr>
            <w:tcW w:w="4815" w:type="dxa"/>
          </w:tcPr>
          <w:p w14:paraId="0F4E3C0F" w14:textId="187A9006" w:rsidR="00C70EE4" w:rsidRPr="00393D5E" w:rsidRDefault="00C70EE4" w:rsidP="00316A1B">
            <w:pPr>
              <w:spacing w:line="276" w:lineRule="auto"/>
              <w:rPr>
                <w:rFonts w:cstheme="minorHAnsi"/>
              </w:rPr>
            </w:pPr>
            <w:r w:rsidRPr="00393D5E">
              <w:rPr>
                <w:rFonts w:cstheme="minorHAnsi"/>
              </w:rPr>
              <w:lastRenderedPageBreak/>
              <w:t>Opatření pilíře 1, 2, 3, 4, 5</w:t>
            </w:r>
            <w:r w:rsidR="009A2FAB" w:rsidRPr="00393D5E">
              <w:rPr>
                <w:rFonts w:cstheme="minorHAnsi"/>
              </w:rPr>
              <w:t>, 7</w:t>
            </w:r>
            <w:r w:rsidRPr="00393D5E">
              <w:rPr>
                <w:rFonts w:cstheme="minorHAnsi"/>
              </w:rPr>
              <w:br/>
              <w:t>Opatření pilíře 1, 2</w:t>
            </w:r>
            <w:r w:rsidR="009A2FAB" w:rsidRPr="00393D5E">
              <w:rPr>
                <w:rFonts w:cstheme="minorHAnsi"/>
              </w:rPr>
              <w:t>, 7</w:t>
            </w:r>
            <w:r w:rsidRPr="00393D5E">
              <w:rPr>
                <w:rFonts w:cstheme="minorHAnsi"/>
              </w:rPr>
              <w:br/>
              <w:t>Opatření pilíře 3</w:t>
            </w:r>
            <w:r w:rsidR="009A2FAB" w:rsidRPr="00393D5E">
              <w:rPr>
                <w:rFonts w:cstheme="minorHAnsi"/>
              </w:rPr>
              <w:t>, 7</w:t>
            </w:r>
            <w:r w:rsidRPr="00393D5E">
              <w:rPr>
                <w:rFonts w:cstheme="minorHAnsi"/>
              </w:rPr>
              <w:br/>
            </w:r>
            <w:r w:rsidRPr="00393D5E">
              <w:rPr>
                <w:rFonts w:cstheme="minorHAnsi"/>
              </w:rPr>
              <w:lastRenderedPageBreak/>
              <w:t>Opatření pilíře 1, 2, 3, 4, 5, 6</w:t>
            </w:r>
            <w:r w:rsidR="009A2FAB" w:rsidRPr="00393D5E">
              <w:rPr>
                <w:rFonts w:cstheme="minorHAnsi"/>
              </w:rPr>
              <w:t>, 7</w:t>
            </w:r>
            <w:r w:rsidRPr="00393D5E">
              <w:rPr>
                <w:rFonts w:cstheme="minorHAnsi"/>
              </w:rPr>
              <w:t xml:space="preserve"> </w:t>
            </w:r>
            <w:r w:rsidRPr="00393D5E">
              <w:rPr>
                <w:rFonts w:cstheme="minorHAnsi"/>
              </w:rPr>
              <w:br/>
              <w:t>Opatření pilíře 1, 2, 3, 4, 5, 6</w:t>
            </w:r>
            <w:r w:rsidRPr="00393D5E">
              <w:rPr>
                <w:rFonts w:cstheme="minorHAnsi"/>
              </w:rPr>
              <w:br/>
              <w:t>Opatření pilíře 4.</w:t>
            </w:r>
            <w:r w:rsidR="009A2FAB" w:rsidRPr="00393D5E">
              <w:rPr>
                <w:rFonts w:cstheme="minorHAnsi"/>
              </w:rPr>
              <w:t xml:space="preserve"> </w:t>
            </w:r>
            <w:r w:rsidRPr="00393D5E">
              <w:rPr>
                <w:rFonts w:cstheme="minorHAnsi"/>
              </w:rPr>
              <w:t>5</w:t>
            </w:r>
            <w:r w:rsidRPr="00393D5E">
              <w:rPr>
                <w:rFonts w:cstheme="minorHAnsi"/>
              </w:rPr>
              <w:br/>
              <w:t>Opatření pilíře 1, 2, 4, 5</w:t>
            </w:r>
          </w:p>
        </w:tc>
      </w:tr>
      <w:tr w:rsidR="00C70EE4" w:rsidRPr="00393D5E" w14:paraId="67E19631" w14:textId="77777777" w:rsidTr="1E39CB1F">
        <w:tc>
          <w:tcPr>
            <w:tcW w:w="4673" w:type="dxa"/>
          </w:tcPr>
          <w:p w14:paraId="355CB814" w14:textId="5AE1F5F8" w:rsidR="00C70EE4" w:rsidRPr="00393D5E" w:rsidRDefault="00C70EE4" w:rsidP="00316A1B">
            <w:pPr>
              <w:spacing w:line="276" w:lineRule="auto"/>
              <w:jc w:val="both"/>
              <w:rPr>
                <w:rFonts w:cstheme="minorHAnsi"/>
              </w:rPr>
            </w:pPr>
            <w:r w:rsidRPr="00393D5E">
              <w:rPr>
                <w:rFonts w:cstheme="minorHAnsi"/>
              </w:rPr>
              <w:lastRenderedPageBreak/>
              <w:t>Sociální a</w:t>
            </w:r>
            <w:r w:rsidR="0003053E">
              <w:rPr>
                <w:rFonts w:cstheme="minorHAnsi"/>
              </w:rPr>
              <w:t> </w:t>
            </w:r>
            <w:r w:rsidRPr="00393D5E">
              <w:rPr>
                <w:rFonts w:cstheme="minorHAnsi"/>
              </w:rPr>
              <w:t>územní soudržnost</w:t>
            </w:r>
          </w:p>
        </w:tc>
        <w:tc>
          <w:tcPr>
            <w:tcW w:w="4815" w:type="dxa"/>
          </w:tcPr>
          <w:p w14:paraId="410E97C7" w14:textId="062A72B3" w:rsidR="00C70EE4" w:rsidRPr="00393D5E" w:rsidRDefault="6D9BEE1B" w:rsidP="00316A1B">
            <w:pPr>
              <w:spacing w:line="276" w:lineRule="auto"/>
              <w:rPr>
                <w:rFonts w:cstheme="minorHAnsi"/>
              </w:rPr>
            </w:pPr>
            <w:r w:rsidRPr="00393D5E">
              <w:t>Opatření pilíře 1, 2.5, 3</w:t>
            </w:r>
            <w:r w:rsidR="5AC64FDB" w:rsidRPr="00393D5E">
              <w:t>, 7</w:t>
            </w:r>
            <w:r w:rsidR="00C70EE4" w:rsidRPr="00393D5E">
              <w:rPr>
                <w:rFonts w:cstheme="minorHAnsi"/>
              </w:rPr>
              <w:br/>
            </w:r>
            <w:r w:rsidRPr="00393D5E">
              <w:t>Opatření pilíře 2.1, 2.4, 4.1, 4.5</w:t>
            </w:r>
            <w:r w:rsidR="1153F014" w:rsidRPr="00393D5E">
              <w:t xml:space="preserve"> </w:t>
            </w:r>
            <w:r w:rsidR="002D62AD" w:rsidRPr="00393D5E">
              <w:rPr>
                <w:rStyle w:val="Znakapoznpodarou"/>
              </w:rPr>
              <w:footnoteReference w:id="3"/>
            </w:r>
            <w:r w:rsidR="5AC64FDB" w:rsidRPr="00393D5E">
              <w:t xml:space="preserve"> </w:t>
            </w:r>
          </w:p>
        </w:tc>
      </w:tr>
      <w:tr w:rsidR="00C70EE4" w:rsidRPr="00393D5E" w14:paraId="1F186806" w14:textId="77777777" w:rsidTr="1E39CB1F">
        <w:trPr>
          <w:trHeight w:val="1410"/>
        </w:trPr>
        <w:tc>
          <w:tcPr>
            <w:tcW w:w="4673" w:type="dxa"/>
          </w:tcPr>
          <w:p w14:paraId="544BBB07" w14:textId="5AE86604" w:rsidR="00C70EE4" w:rsidRPr="00393D5E" w:rsidRDefault="2E5CBF4C" w:rsidP="5981CE5D">
            <w:pPr>
              <w:spacing w:line="276" w:lineRule="auto"/>
              <w:jc w:val="both"/>
              <w:rPr>
                <w:highlight w:val="yellow"/>
              </w:rPr>
            </w:pPr>
            <w:r w:rsidRPr="00393D5E">
              <w:t>Zdravotnictví a</w:t>
            </w:r>
            <w:r w:rsidR="0003053E">
              <w:t> </w:t>
            </w:r>
            <w:r w:rsidRPr="00393D5E">
              <w:t>hospodářská, sociální a</w:t>
            </w:r>
            <w:r w:rsidR="0003053E">
              <w:t> </w:t>
            </w:r>
            <w:r w:rsidRPr="00393D5E">
              <w:t>institucionální odolnost, s</w:t>
            </w:r>
            <w:r w:rsidR="0003053E">
              <w:t> </w:t>
            </w:r>
            <w:r w:rsidRPr="00393D5E">
              <w:t>cílem mimo jiné zvyšovat připravenost a</w:t>
            </w:r>
            <w:r w:rsidR="0003053E">
              <w:t> </w:t>
            </w:r>
            <w:r w:rsidRPr="00393D5E">
              <w:t>schopnost reakce na krize</w:t>
            </w:r>
          </w:p>
        </w:tc>
        <w:tc>
          <w:tcPr>
            <w:tcW w:w="4815" w:type="dxa"/>
          </w:tcPr>
          <w:p w14:paraId="7852E497" w14:textId="77777777" w:rsidR="00C70EE4" w:rsidRPr="00393D5E" w:rsidRDefault="00C70EE4" w:rsidP="00316A1B">
            <w:pPr>
              <w:spacing w:line="276" w:lineRule="auto"/>
              <w:jc w:val="both"/>
              <w:rPr>
                <w:rFonts w:cstheme="minorHAnsi"/>
              </w:rPr>
            </w:pPr>
            <w:r w:rsidRPr="00393D5E">
              <w:rPr>
                <w:rFonts w:cstheme="minorHAnsi"/>
              </w:rPr>
              <w:t>Opatření pilíře 1, 6</w:t>
            </w:r>
          </w:p>
        </w:tc>
      </w:tr>
      <w:tr w:rsidR="00C70EE4" w:rsidRPr="00393D5E" w14:paraId="6CE02380" w14:textId="77777777" w:rsidTr="1E39CB1F">
        <w:trPr>
          <w:trHeight w:val="302"/>
        </w:trPr>
        <w:tc>
          <w:tcPr>
            <w:tcW w:w="4673" w:type="dxa"/>
          </w:tcPr>
          <w:p w14:paraId="065B68B4" w14:textId="013D2B37" w:rsidR="00C70EE4" w:rsidRPr="00393D5E" w:rsidRDefault="00C70EE4" w:rsidP="00316A1B">
            <w:pPr>
              <w:spacing w:line="276" w:lineRule="auto"/>
              <w:jc w:val="both"/>
              <w:rPr>
                <w:rFonts w:cstheme="minorHAnsi"/>
              </w:rPr>
            </w:pPr>
            <w:r w:rsidRPr="00393D5E">
              <w:rPr>
                <w:rFonts w:cstheme="minorHAnsi"/>
              </w:rPr>
              <w:t>Politiky pro příští generaci, děti a</w:t>
            </w:r>
            <w:r w:rsidR="0003053E">
              <w:rPr>
                <w:rFonts w:cstheme="minorHAnsi"/>
              </w:rPr>
              <w:t> </w:t>
            </w:r>
            <w:r w:rsidRPr="00393D5E">
              <w:rPr>
                <w:rFonts w:cstheme="minorHAnsi"/>
              </w:rPr>
              <w:t>mládež, jako je vzdělávání a</w:t>
            </w:r>
            <w:r w:rsidR="0003053E">
              <w:rPr>
                <w:rFonts w:cstheme="minorHAnsi"/>
              </w:rPr>
              <w:t> </w:t>
            </w:r>
            <w:r w:rsidRPr="00393D5E">
              <w:rPr>
                <w:rFonts w:cstheme="minorHAnsi"/>
              </w:rPr>
              <w:t>rozvoj dovedností</w:t>
            </w:r>
          </w:p>
        </w:tc>
        <w:tc>
          <w:tcPr>
            <w:tcW w:w="4815" w:type="dxa"/>
          </w:tcPr>
          <w:p w14:paraId="7BCC6F8B" w14:textId="77777777" w:rsidR="00C70EE4" w:rsidRPr="00393D5E" w:rsidRDefault="00C70EE4" w:rsidP="00316A1B">
            <w:pPr>
              <w:spacing w:line="276" w:lineRule="auto"/>
              <w:jc w:val="both"/>
              <w:rPr>
                <w:rFonts w:cstheme="minorHAnsi"/>
              </w:rPr>
            </w:pPr>
            <w:r w:rsidRPr="00393D5E">
              <w:rPr>
                <w:rFonts w:cstheme="minorHAnsi"/>
              </w:rPr>
              <w:t>Opatření pilíře 3</w:t>
            </w:r>
          </w:p>
        </w:tc>
      </w:tr>
    </w:tbl>
    <w:p w14:paraId="6DBED704" w14:textId="4FED7C86" w:rsidR="00C70EE4" w:rsidRPr="00393D5E" w:rsidRDefault="2C954E8E" w:rsidP="00316A1B">
      <w:pPr>
        <w:pStyle w:val="Titulek"/>
        <w:spacing w:line="276" w:lineRule="auto"/>
        <w:rPr>
          <w:noProof w:val="0"/>
        </w:rPr>
      </w:pPr>
      <w:bookmarkStart w:id="6" w:name="_Toc151444586"/>
      <w:r w:rsidRPr="00393D5E">
        <w:rPr>
          <w:noProof w:val="0"/>
        </w:rPr>
        <w:t xml:space="preserve">Tabulka </w:t>
      </w:r>
      <w:r w:rsidR="00D371D0" w:rsidRPr="00393D5E">
        <w:rPr>
          <w:noProof w:val="0"/>
        </w:rPr>
        <w:fldChar w:fldCharType="begin"/>
      </w:r>
      <w:r w:rsidR="00D371D0" w:rsidRPr="00393D5E">
        <w:rPr>
          <w:noProof w:val="0"/>
        </w:rPr>
        <w:instrText xml:space="preserve"> SEQ Tabulka \* ARABIC </w:instrText>
      </w:r>
      <w:r w:rsidR="00D371D0" w:rsidRPr="00393D5E">
        <w:rPr>
          <w:noProof w:val="0"/>
        </w:rPr>
        <w:fldChar w:fldCharType="separate"/>
      </w:r>
      <w:r w:rsidR="00E25A73">
        <w:t>1</w:t>
      </w:r>
      <w:r w:rsidR="00D371D0" w:rsidRPr="00393D5E">
        <w:rPr>
          <w:noProof w:val="0"/>
        </w:rPr>
        <w:fldChar w:fldCharType="end"/>
      </w:r>
      <w:r w:rsidR="00E25A73">
        <w:rPr>
          <w:noProof w:val="0"/>
        </w:rPr>
        <w:t>:</w:t>
      </w:r>
      <w:r w:rsidRPr="00393D5E">
        <w:rPr>
          <w:noProof w:val="0"/>
        </w:rPr>
        <w:t xml:space="preserve"> Plnění průř</w:t>
      </w:r>
      <w:r w:rsidR="57912B8A" w:rsidRPr="00393D5E">
        <w:rPr>
          <w:noProof w:val="0"/>
        </w:rPr>
        <w:t>e</w:t>
      </w:r>
      <w:r w:rsidRPr="00393D5E">
        <w:rPr>
          <w:noProof w:val="0"/>
        </w:rPr>
        <w:t>zových kritérií</w:t>
      </w:r>
      <w:bookmarkEnd w:id="6"/>
    </w:p>
    <w:p w14:paraId="4D4B957C" w14:textId="33AEF700" w:rsidR="00B4450A" w:rsidRPr="00393D5E" w:rsidRDefault="001F0914" w:rsidP="00316A1B">
      <w:pPr>
        <w:spacing w:line="276" w:lineRule="auto"/>
        <w:jc w:val="both"/>
      </w:pPr>
      <w:r w:rsidRPr="00393D5E">
        <w:t>Jak je uvedeno výše, aktuální zásadní výzvou pro EU jako celek a</w:t>
      </w:r>
      <w:r w:rsidR="0003053E">
        <w:t> </w:t>
      </w:r>
      <w:r w:rsidRPr="00393D5E">
        <w:t xml:space="preserve">pro </w:t>
      </w:r>
      <w:r w:rsidR="00B4450A" w:rsidRPr="00393D5E">
        <w:t xml:space="preserve">ČR </w:t>
      </w:r>
      <w:r w:rsidRPr="00393D5E">
        <w:t>zvláště představuje energetická bezpečnost a</w:t>
      </w:r>
      <w:r w:rsidR="0003053E">
        <w:t> </w:t>
      </w:r>
      <w:r w:rsidRPr="00393D5E">
        <w:t xml:space="preserve">plnění cílů plánu REPowerEU. Proto ČR zamýšlí </w:t>
      </w:r>
      <w:r w:rsidR="00B4450A" w:rsidRPr="00393D5E">
        <w:t xml:space="preserve">dodatečné prostředky </w:t>
      </w:r>
      <w:r w:rsidRPr="00393D5E">
        <w:t>z</w:t>
      </w:r>
      <w:r w:rsidR="0003053E">
        <w:t> </w:t>
      </w:r>
      <w:r w:rsidR="000338B5" w:rsidRPr="00393D5E">
        <w:t>RRF</w:t>
      </w:r>
      <w:r w:rsidRPr="00393D5E">
        <w:t xml:space="preserve"> využít mj. </w:t>
      </w:r>
      <w:r w:rsidR="00B4450A" w:rsidRPr="00393D5E">
        <w:t>k</w:t>
      </w:r>
      <w:r w:rsidR="0003053E">
        <w:t> </w:t>
      </w:r>
      <w:r w:rsidR="00B4450A" w:rsidRPr="00393D5E">
        <w:t>diverzifikaci dodávek energie, k</w:t>
      </w:r>
      <w:r w:rsidR="0003053E">
        <w:t> </w:t>
      </w:r>
      <w:r w:rsidR="00B4450A" w:rsidRPr="00393D5E">
        <w:t>většímu využívání obnovitelných zdrojů energie a</w:t>
      </w:r>
      <w:r w:rsidR="0003053E">
        <w:t> </w:t>
      </w:r>
      <w:r w:rsidR="00B4450A" w:rsidRPr="00393D5E">
        <w:t xml:space="preserve">energetické účinnosti, </w:t>
      </w:r>
      <w:r w:rsidR="00971D5A" w:rsidRPr="00393D5E">
        <w:t>k</w:t>
      </w:r>
      <w:r w:rsidR="0003053E">
        <w:t> </w:t>
      </w:r>
      <w:r w:rsidR="00971D5A" w:rsidRPr="00393D5E">
        <w:t>dekarbonizaci dopravy</w:t>
      </w:r>
      <w:r w:rsidR="00B4450A" w:rsidRPr="00393D5E">
        <w:t xml:space="preserve"> a</w:t>
      </w:r>
      <w:r w:rsidR="0003053E">
        <w:t> </w:t>
      </w:r>
      <w:r w:rsidR="00B4450A" w:rsidRPr="00393D5E">
        <w:t xml:space="preserve">potřebnému snížení závislosti na fosilních palivech do roku 2030. </w:t>
      </w:r>
    </w:p>
    <w:p w14:paraId="67B29893" w14:textId="011161DD" w:rsidR="00971D5A" w:rsidRPr="00393D5E" w:rsidRDefault="001F0914" w:rsidP="00316A1B">
      <w:pPr>
        <w:spacing w:line="276" w:lineRule="auto"/>
        <w:jc w:val="both"/>
        <w:rPr>
          <w:rFonts w:cstheme="minorHAnsi"/>
        </w:rPr>
      </w:pPr>
      <w:r w:rsidRPr="00393D5E">
        <w:rPr>
          <w:rFonts w:cstheme="minorHAnsi"/>
        </w:rPr>
        <w:t>Opatření zahrnutá v</w:t>
      </w:r>
      <w:r w:rsidR="0003053E">
        <w:rPr>
          <w:rFonts w:cstheme="minorHAnsi"/>
        </w:rPr>
        <w:t> </w:t>
      </w:r>
      <w:r w:rsidRPr="00393D5E">
        <w:rPr>
          <w:rFonts w:cstheme="minorHAnsi"/>
        </w:rPr>
        <w:t>NPO (2021) přispívají k</w:t>
      </w:r>
      <w:r w:rsidR="0003053E">
        <w:rPr>
          <w:rFonts w:cstheme="minorHAnsi"/>
        </w:rPr>
        <w:t> </w:t>
      </w:r>
      <w:r w:rsidRPr="00393D5E">
        <w:rPr>
          <w:rFonts w:cstheme="minorHAnsi"/>
        </w:rPr>
        <w:t>plnění specifických doporučení Rady EU adresovaných ČR</w:t>
      </w:r>
      <w:r w:rsidR="00B4450A" w:rsidRPr="00393D5E">
        <w:rPr>
          <w:rFonts w:cstheme="minorHAnsi"/>
        </w:rPr>
        <w:t xml:space="preserve"> z</w:t>
      </w:r>
      <w:r w:rsidR="0003053E">
        <w:rPr>
          <w:rFonts w:cstheme="minorHAnsi"/>
        </w:rPr>
        <w:t> </w:t>
      </w:r>
      <w:r w:rsidR="00B4450A" w:rsidRPr="00393D5E">
        <w:rPr>
          <w:rFonts w:cstheme="minorHAnsi"/>
        </w:rPr>
        <w:t>let 2019 a</w:t>
      </w:r>
      <w:r w:rsidR="0003053E">
        <w:rPr>
          <w:rFonts w:cstheme="minorHAnsi"/>
        </w:rPr>
        <w:t> </w:t>
      </w:r>
      <w:r w:rsidR="00B4450A" w:rsidRPr="00393D5E">
        <w:rPr>
          <w:rFonts w:cstheme="minorHAnsi"/>
        </w:rPr>
        <w:t>2020</w:t>
      </w:r>
      <w:r w:rsidRPr="00393D5E">
        <w:rPr>
          <w:rFonts w:cstheme="minorHAnsi"/>
        </w:rPr>
        <w:t>, přijatých v</w:t>
      </w:r>
      <w:r w:rsidR="0003053E">
        <w:rPr>
          <w:rFonts w:cstheme="minorHAnsi"/>
        </w:rPr>
        <w:t> </w:t>
      </w:r>
      <w:r w:rsidRPr="00393D5E">
        <w:rPr>
          <w:rFonts w:cstheme="minorHAnsi"/>
        </w:rPr>
        <w:t>rámci evropského semestru.</w:t>
      </w:r>
      <w:r w:rsidR="00B4450A" w:rsidRPr="00393D5E">
        <w:rPr>
          <w:rFonts w:cstheme="minorHAnsi"/>
        </w:rPr>
        <w:t xml:space="preserve"> </w:t>
      </w:r>
      <w:r w:rsidRPr="00393D5E">
        <w:rPr>
          <w:rFonts w:cstheme="minorHAnsi"/>
        </w:rPr>
        <w:t>Dodatek k</w:t>
      </w:r>
      <w:r w:rsidR="0003053E">
        <w:rPr>
          <w:rFonts w:cstheme="minorHAnsi"/>
        </w:rPr>
        <w:t> </w:t>
      </w:r>
      <w:r w:rsidRPr="00393D5E">
        <w:rPr>
          <w:rFonts w:cstheme="minorHAnsi"/>
        </w:rPr>
        <w:t>NPO zohledňuje mj.</w:t>
      </w:r>
      <w:r w:rsidR="00B4450A" w:rsidRPr="00393D5E">
        <w:rPr>
          <w:rFonts w:cstheme="minorHAnsi"/>
        </w:rPr>
        <w:t xml:space="preserve"> </w:t>
      </w:r>
      <w:r w:rsidRPr="00393D5E">
        <w:rPr>
          <w:rFonts w:cstheme="minorHAnsi"/>
        </w:rPr>
        <w:t xml:space="preserve">aktuální </w:t>
      </w:r>
      <w:r w:rsidR="00B4450A" w:rsidRPr="00393D5E">
        <w:rPr>
          <w:rFonts w:cstheme="minorHAnsi"/>
        </w:rPr>
        <w:t xml:space="preserve">doporučení </w:t>
      </w:r>
      <w:r w:rsidRPr="00393D5E">
        <w:rPr>
          <w:rFonts w:cstheme="minorHAnsi"/>
        </w:rPr>
        <w:t>Rady EU pro ČR</w:t>
      </w:r>
      <w:r w:rsidR="00D729CC" w:rsidRPr="00393D5E">
        <w:rPr>
          <w:rFonts w:cstheme="minorHAnsi"/>
        </w:rPr>
        <w:t xml:space="preserve"> (</w:t>
      </w:r>
      <w:r w:rsidR="00D729CC" w:rsidRPr="00393D5E">
        <w:rPr>
          <w:rFonts w:cstheme="minorHAnsi"/>
          <w:i/>
        </w:rPr>
        <w:t>Country Specific Recommendations</w:t>
      </w:r>
      <w:r w:rsidR="00D729CC" w:rsidRPr="00393D5E">
        <w:rPr>
          <w:rFonts w:cstheme="minorHAnsi"/>
        </w:rPr>
        <w:t>, CSRs)</w:t>
      </w:r>
      <w:r w:rsidRPr="00393D5E">
        <w:rPr>
          <w:rFonts w:cstheme="minorHAnsi"/>
        </w:rPr>
        <w:t xml:space="preserve"> z</w:t>
      </w:r>
      <w:r w:rsidR="0003053E">
        <w:rPr>
          <w:rFonts w:cstheme="minorHAnsi"/>
        </w:rPr>
        <w:t> </w:t>
      </w:r>
      <w:r w:rsidR="00B4450A" w:rsidRPr="00393D5E">
        <w:rPr>
          <w:rFonts w:cstheme="minorHAnsi"/>
        </w:rPr>
        <w:t>rok</w:t>
      </w:r>
      <w:r w:rsidRPr="00393D5E">
        <w:rPr>
          <w:rFonts w:cstheme="minorHAnsi"/>
        </w:rPr>
        <w:t>u</w:t>
      </w:r>
      <w:r w:rsidR="00B4450A" w:rsidRPr="00393D5E">
        <w:rPr>
          <w:rFonts w:cstheme="minorHAnsi"/>
        </w:rPr>
        <w:t xml:space="preserve"> 202</w:t>
      </w:r>
      <w:r w:rsidRPr="00393D5E">
        <w:rPr>
          <w:rFonts w:cstheme="minorHAnsi"/>
        </w:rPr>
        <w:t>2 a</w:t>
      </w:r>
      <w:r w:rsidR="0003053E">
        <w:rPr>
          <w:rFonts w:cstheme="minorHAnsi"/>
        </w:rPr>
        <w:t> </w:t>
      </w:r>
      <w:r w:rsidRPr="00393D5E">
        <w:rPr>
          <w:rFonts w:cstheme="minorHAnsi"/>
        </w:rPr>
        <w:t>to konkrétně</w:t>
      </w:r>
      <w:r w:rsidR="00971D5A" w:rsidRPr="00393D5E">
        <w:rPr>
          <w:rFonts w:cstheme="minorHAnsi"/>
        </w:rPr>
        <w:t xml:space="preserve">: </w:t>
      </w:r>
    </w:p>
    <w:p w14:paraId="3AA1FCB5" w14:textId="02D58051" w:rsidR="00A774F7" w:rsidRPr="00393D5E" w:rsidRDefault="19CBBFBA" w:rsidP="00CE14E6">
      <w:pPr>
        <w:pStyle w:val="Odstavecseseznamem"/>
        <w:widowControl w:val="0"/>
        <w:numPr>
          <w:ilvl w:val="0"/>
          <w:numId w:val="13"/>
        </w:numPr>
        <w:tabs>
          <w:tab w:val="left" w:pos="965"/>
          <w:tab w:val="left" w:pos="966"/>
        </w:tabs>
        <w:autoSpaceDE w:val="0"/>
        <w:autoSpaceDN w:val="0"/>
        <w:spacing w:before="120" w:after="0" w:line="276" w:lineRule="auto"/>
        <w:ind w:right="117"/>
        <w:jc w:val="both"/>
      </w:pPr>
      <w:r w:rsidRPr="00393D5E">
        <w:rPr>
          <w:b/>
          <w:bCs/>
        </w:rPr>
        <w:t>Doporučení č. 1</w:t>
      </w:r>
      <w:r w:rsidRPr="00393D5E">
        <w:t>:</w:t>
      </w:r>
      <w:r w:rsidR="247C32AB" w:rsidRPr="00393D5E">
        <w:t xml:space="preserve"> </w:t>
      </w:r>
      <w:r w:rsidR="247C32AB" w:rsidRPr="00393D5E">
        <w:rPr>
          <w:i/>
          <w:iCs/>
        </w:rPr>
        <w:t>V</w:t>
      </w:r>
      <w:r w:rsidR="0003053E">
        <w:rPr>
          <w:i/>
          <w:iCs/>
        </w:rPr>
        <w:t> </w:t>
      </w:r>
      <w:r w:rsidR="247C32AB" w:rsidRPr="00393D5E">
        <w:rPr>
          <w:i/>
          <w:iCs/>
        </w:rPr>
        <w:t>roce 2023 zajistit, aby byl růst běžných výdajů financovaných z</w:t>
      </w:r>
      <w:r w:rsidR="0003053E">
        <w:rPr>
          <w:i/>
          <w:iCs/>
        </w:rPr>
        <w:t> </w:t>
      </w:r>
      <w:r w:rsidR="247C32AB" w:rsidRPr="00393D5E">
        <w:rPr>
          <w:i/>
          <w:iCs/>
        </w:rPr>
        <w:t>vnitrostátních</w:t>
      </w:r>
      <w:r w:rsidR="247C32AB" w:rsidRPr="00393D5E">
        <w:rPr>
          <w:i/>
          <w:iCs/>
          <w:spacing w:val="1"/>
        </w:rPr>
        <w:t xml:space="preserve"> </w:t>
      </w:r>
      <w:r w:rsidR="247C32AB" w:rsidRPr="00393D5E">
        <w:rPr>
          <w:i/>
          <w:iCs/>
        </w:rPr>
        <w:t>zdrojů v</w:t>
      </w:r>
      <w:r w:rsidR="0003053E">
        <w:rPr>
          <w:i/>
          <w:iCs/>
        </w:rPr>
        <w:t> </w:t>
      </w:r>
      <w:r w:rsidR="247C32AB" w:rsidRPr="00393D5E">
        <w:rPr>
          <w:i/>
          <w:iCs/>
        </w:rPr>
        <w:t>souladu s</w:t>
      </w:r>
      <w:r w:rsidR="0003053E">
        <w:rPr>
          <w:i/>
          <w:iCs/>
        </w:rPr>
        <w:t> </w:t>
      </w:r>
      <w:r w:rsidR="247C32AB" w:rsidRPr="00393D5E">
        <w:rPr>
          <w:i/>
          <w:iCs/>
        </w:rPr>
        <w:t>celkově neutrálním nastavením fiskální politiky, a</w:t>
      </w:r>
      <w:r w:rsidR="0003053E">
        <w:rPr>
          <w:i/>
          <w:iCs/>
        </w:rPr>
        <w:t> </w:t>
      </w:r>
      <w:r w:rsidR="247C32AB" w:rsidRPr="00393D5E">
        <w:rPr>
          <w:i/>
          <w:iCs/>
        </w:rPr>
        <w:t>brát přitom v</w:t>
      </w:r>
      <w:r w:rsidR="0003053E">
        <w:rPr>
          <w:i/>
          <w:iCs/>
          <w:spacing w:val="1"/>
        </w:rPr>
        <w:t> </w:t>
      </w:r>
      <w:r w:rsidR="247C32AB" w:rsidRPr="00393D5E">
        <w:rPr>
          <w:i/>
          <w:iCs/>
        </w:rPr>
        <w:t>potaz</w:t>
      </w:r>
      <w:r w:rsidR="247C32AB" w:rsidRPr="00393D5E">
        <w:rPr>
          <w:i/>
          <w:iCs/>
          <w:spacing w:val="1"/>
        </w:rPr>
        <w:t xml:space="preserve"> </w:t>
      </w:r>
      <w:r w:rsidR="247C32AB" w:rsidRPr="00393D5E">
        <w:rPr>
          <w:i/>
          <w:iCs/>
        </w:rPr>
        <w:t>pokračující dočasnou a</w:t>
      </w:r>
      <w:r w:rsidR="0003053E">
        <w:rPr>
          <w:i/>
          <w:iCs/>
        </w:rPr>
        <w:t> </w:t>
      </w:r>
      <w:r w:rsidR="247C32AB" w:rsidRPr="00393D5E">
        <w:rPr>
          <w:i/>
          <w:iCs/>
        </w:rPr>
        <w:t>cílenou podporu domácností a</w:t>
      </w:r>
      <w:r w:rsidR="0003053E">
        <w:rPr>
          <w:i/>
          <w:iCs/>
        </w:rPr>
        <w:t> </w:t>
      </w:r>
      <w:r w:rsidR="247C32AB" w:rsidRPr="00393D5E">
        <w:rPr>
          <w:i/>
          <w:iCs/>
        </w:rPr>
        <w:t>podniků, které jsou</w:t>
      </w:r>
      <w:r w:rsidR="247C32AB" w:rsidRPr="00393D5E">
        <w:rPr>
          <w:i/>
          <w:iCs/>
          <w:spacing w:val="1"/>
        </w:rPr>
        <w:t xml:space="preserve"> </w:t>
      </w:r>
      <w:r w:rsidR="247C32AB" w:rsidRPr="00393D5E">
        <w:rPr>
          <w:i/>
          <w:iCs/>
        </w:rPr>
        <w:t>nejzranitelnější vůči prudkým nárůstům cen energií, a</w:t>
      </w:r>
      <w:r w:rsidR="0003053E">
        <w:rPr>
          <w:i/>
          <w:iCs/>
        </w:rPr>
        <w:t> </w:t>
      </w:r>
      <w:r w:rsidR="247C32AB" w:rsidRPr="00393D5E">
        <w:rPr>
          <w:i/>
          <w:iCs/>
        </w:rPr>
        <w:t>osob prchajících z</w:t>
      </w:r>
      <w:r w:rsidR="0003053E">
        <w:rPr>
          <w:i/>
          <w:iCs/>
        </w:rPr>
        <w:t> </w:t>
      </w:r>
      <w:r w:rsidR="247C32AB" w:rsidRPr="00393D5E">
        <w:rPr>
          <w:i/>
          <w:iCs/>
        </w:rPr>
        <w:t>Ukrajiny.</w:t>
      </w:r>
      <w:r w:rsidR="247C32AB" w:rsidRPr="00393D5E">
        <w:rPr>
          <w:i/>
          <w:iCs/>
          <w:spacing w:val="1"/>
        </w:rPr>
        <w:t xml:space="preserve"> </w:t>
      </w:r>
      <w:r w:rsidR="247C32AB" w:rsidRPr="00393D5E">
        <w:rPr>
          <w:i/>
          <w:iCs/>
        </w:rPr>
        <w:t>Být</w:t>
      </w:r>
      <w:r w:rsidR="247C32AB" w:rsidRPr="00393D5E">
        <w:rPr>
          <w:i/>
          <w:iCs/>
          <w:spacing w:val="1"/>
        </w:rPr>
        <w:t xml:space="preserve"> </w:t>
      </w:r>
      <w:r w:rsidR="247C32AB" w:rsidRPr="00393D5E">
        <w:rPr>
          <w:i/>
          <w:iCs/>
        </w:rPr>
        <w:t>připraven</w:t>
      </w:r>
      <w:r w:rsidR="56D20DDE" w:rsidRPr="00393D5E">
        <w:rPr>
          <w:i/>
          <w:iCs/>
        </w:rPr>
        <w:t>i</w:t>
      </w:r>
      <w:r w:rsidR="247C32AB" w:rsidRPr="00393D5E">
        <w:rPr>
          <w:i/>
          <w:iCs/>
          <w:spacing w:val="1"/>
        </w:rPr>
        <w:t xml:space="preserve"> </w:t>
      </w:r>
      <w:r w:rsidR="247C32AB" w:rsidRPr="00393D5E">
        <w:rPr>
          <w:i/>
          <w:iCs/>
        </w:rPr>
        <w:t>přizpůsobit</w:t>
      </w:r>
      <w:r w:rsidR="247C32AB" w:rsidRPr="00393D5E">
        <w:rPr>
          <w:i/>
          <w:iCs/>
          <w:spacing w:val="1"/>
        </w:rPr>
        <w:t xml:space="preserve"> </w:t>
      </w:r>
      <w:r w:rsidR="247C32AB" w:rsidRPr="00393D5E">
        <w:rPr>
          <w:i/>
          <w:iCs/>
        </w:rPr>
        <w:t>běžné</w:t>
      </w:r>
      <w:r w:rsidR="247C32AB" w:rsidRPr="00393D5E">
        <w:rPr>
          <w:i/>
          <w:iCs/>
          <w:spacing w:val="1"/>
        </w:rPr>
        <w:t xml:space="preserve"> </w:t>
      </w:r>
      <w:r w:rsidR="247C32AB" w:rsidRPr="00393D5E">
        <w:rPr>
          <w:i/>
          <w:iCs/>
        </w:rPr>
        <w:t>výdaje</w:t>
      </w:r>
      <w:r w:rsidR="247C32AB" w:rsidRPr="00393D5E">
        <w:rPr>
          <w:i/>
          <w:iCs/>
          <w:spacing w:val="1"/>
        </w:rPr>
        <w:t xml:space="preserve"> </w:t>
      </w:r>
      <w:r w:rsidR="247C32AB" w:rsidRPr="00393D5E">
        <w:rPr>
          <w:i/>
          <w:iCs/>
        </w:rPr>
        <w:t>vyvíjející</w:t>
      </w:r>
      <w:r w:rsidR="247C32AB" w:rsidRPr="00393D5E">
        <w:rPr>
          <w:i/>
          <w:iCs/>
          <w:spacing w:val="1"/>
        </w:rPr>
        <w:t xml:space="preserve"> </w:t>
      </w:r>
      <w:r w:rsidR="247C32AB" w:rsidRPr="00393D5E">
        <w:rPr>
          <w:i/>
          <w:iCs/>
        </w:rPr>
        <w:t>se</w:t>
      </w:r>
      <w:r w:rsidR="247C32AB" w:rsidRPr="00393D5E">
        <w:rPr>
          <w:i/>
          <w:iCs/>
          <w:spacing w:val="1"/>
        </w:rPr>
        <w:t xml:space="preserve"> </w:t>
      </w:r>
      <w:r w:rsidR="247C32AB" w:rsidRPr="00393D5E">
        <w:rPr>
          <w:i/>
          <w:iCs/>
        </w:rPr>
        <w:t>situaci.</w:t>
      </w:r>
      <w:r w:rsidR="247C32AB" w:rsidRPr="00393D5E">
        <w:rPr>
          <w:i/>
          <w:iCs/>
          <w:spacing w:val="1"/>
        </w:rPr>
        <w:t xml:space="preserve"> </w:t>
      </w:r>
      <w:r w:rsidR="247C32AB" w:rsidRPr="00393D5E">
        <w:rPr>
          <w:i/>
          <w:iCs/>
        </w:rPr>
        <w:t>Rozšířit</w:t>
      </w:r>
      <w:r w:rsidR="247C32AB" w:rsidRPr="00393D5E">
        <w:rPr>
          <w:i/>
          <w:iCs/>
          <w:spacing w:val="1"/>
        </w:rPr>
        <w:t xml:space="preserve"> </w:t>
      </w:r>
      <w:r w:rsidR="247C32AB" w:rsidRPr="00393D5E">
        <w:rPr>
          <w:i/>
          <w:iCs/>
        </w:rPr>
        <w:t>veřejné</w:t>
      </w:r>
      <w:r w:rsidR="247C32AB" w:rsidRPr="00393D5E">
        <w:rPr>
          <w:i/>
          <w:iCs/>
          <w:spacing w:val="1"/>
        </w:rPr>
        <w:t xml:space="preserve"> </w:t>
      </w:r>
      <w:r w:rsidR="247C32AB" w:rsidRPr="00393D5E">
        <w:rPr>
          <w:i/>
          <w:iCs/>
        </w:rPr>
        <w:t>investice do zelené a</w:t>
      </w:r>
      <w:r w:rsidR="0003053E">
        <w:rPr>
          <w:i/>
          <w:iCs/>
        </w:rPr>
        <w:t> </w:t>
      </w:r>
      <w:r w:rsidR="247C32AB" w:rsidRPr="00393D5E">
        <w:rPr>
          <w:i/>
          <w:iCs/>
        </w:rPr>
        <w:t>digitální transformace a</w:t>
      </w:r>
      <w:r w:rsidR="0003053E">
        <w:rPr>
          <w:i/>
          <w:iCs/>
        </w:rPr>
        <w:t> </w:t>
      </w:r>
      <w:r w:rsidR="247C32AB" w:rsidRPr="00393D5E">
        <w:rPr>
          <w:i/>
          <w:iCs/>
        </w:rPr>
        <w:t>energetické bezpečnosti, mimo jiné s</w:t>
      </w:r>
      <w:r w:rsidR="0003053E">
        <w:rPr>
          <w:i/>
          <w:iCs/>
          <w:spacing w:val="1"/>
        </w:rPr>
        <w:t> </w:t>
      </w:r>
      <w:r w:rsidR="247C32AB" w:rsidRPr="00393D5E">
        <w:rPr>
          <w:i/>
          <w:iCs/>
        </w:rPr>
        <w:t>využitím Nástroje pro oživení a</w:t>
      </w:r>
      <w:r w:rsidR="0003053E">
        <w:rPr>
          <w:i/>
          <w:iCs/>
        </w:rPr>
        <w:t> </w:t>
      </w:r>
      <w:r w:rsidR="247C32AB" w:rsidRPr="00393D5E">
        <w:rPr>
          <w:i/>
          <w:iCs/>
        </w:rPr>
        <w:t>odolnost, plánu RePowerEU a</w:t>
      </w:r>
      <w:r w:rsidR="0003053E">
        <w:rPr>
          <w:i/>
          <w:iCs/>
        </w:rPr>
        <w:t> </w:t>
      </w:r>
      <w:r w:rsidR="247C32AB" w:rsidRPr="00393D5E">
        <w:rPr>
          <w:i/>
          <w:iCs/>
        </w:rPr>
        <w:t>dalších fondů EU. V</w:t>
      </w:r>
      <w:r w:rsidR="0003053E">
        <w:rPr>
          <w:i/>
          <w:iCs/>
          <w:spacing w:val="1"/>
        </w:rPr>
        <w:t> </w:t>
      </w:r>
      <w:r w:rsidR="247C32AB" w:rsidRPr="00393D5E">
        <w:rPr>
          <w:i/>
          <w:iCs/>
        </w:rPr>
        <w:t>období po roce 2023 provádět fiskální politiku zaměřenou na dosažení obezřetných</w:t>
      </w:r>
      <w:r w:rsidR="247C32AB" w:rsidRPr="00393D5E">
        <w:rPr>
          <w:i/>
          <w:iCs/>
          <w:spacing w:val="1"/>
        </w:rPr>
        <w:t xml:space="preserve"> </w:t>
      </w:r>
      <w:r w:rsidR="247C32AB" w:rsidRPr="00393D5E">
        <w:rPr>
          <w:i/>
          <w:iCs/>
        </w:rPr>
        <w:t>střednědobých fiskálních pozic. Přijmout opatření k</w:t>
      </w:r>
      <w:r w:rsidR="0003053E">
        <w:rPr>
          <w:i/>
          <w:iCs/>
        </w:rPr>
        <w:t> </w:t>
      </w:r>
      <w:r w:rsidR="247C32AB" w:rsidRPr="00393D5E">
        <w:rPr>
          <w:i/>
          <w:iCs/>
        </w:rPr>
        <w:t>zajištění dlouhodobé fiskální</w:t>
      </w:r>
      <w:r w:rsidR="247C32AB" w:rsidRPr="00393D5E">
        <w:rPr>
          <w:i/>
          <w:iCs/>
          <w:spacing w:val="1"/>
        </w:rPr>
        <w:t xml:space="preserve"> </w:t>
      </w:r>
      <w:r w:rsidR="247C32AB" w:rsidRPr="00393D5E">
        <w:rPr>
          <w:i/>
          <w:iCs/>
        </w:rPr>
        <w:t>udržitelnosti</w:t>
      </w:r>
      <w:r w:rsidR="247C32AB" w:rsidRPr="00393D5E">
        <w:rPr>
          <w:i/>
          <w:iCs/>
          <w:spacing w:val="-1"/>
        </w:rPr>
        <w:t xml:space="preserve"> </w:t>
      </w:r>
      <w:r w:rsidR="247C32AB" w:rsidRPr="00393D5E">
        <w:rPr>
          <w:i/>
          <w:iCs/>
        </w:rPr>
        <w:t>veřejných</w:t>
      </w:r>
      <w:r w:rsidR="247C32AB" w:rsidRPr="00393D5E">
        <w:rPr>
          <w:i/>
          <w:iCs/>
          <w:spacing w:val="1"/>
        </w:rPr>
        <w:t xml:space="preserve"> </w:t>
      </w:r>
      <w:r w:rsidR="247C32AB" w:rsidRPr="00393D5E">
        <w:rPr>
          <w:i/>
          <w:iCs/>
        </w:rPr>
        <w:t>financí včetně</w:t>
      </w:r>
      <w:r w:rsidR="247C32AB" w:rsidRPr="00393D5E">
        <w:rPr>
          <w:i/>
          <w:iCs/>
          <w:spacing w:val="-2"/>
        </w:rPr>
        <w:t xml:space="preserve"> </w:t>
      </w:r>
      <w:r w:rsidR="247C32AB" w:rsidRPr="00393D5E">
        <w:rPr>
          <w:i/>
          <w:iCs/>
        </w:rPr>
        <w:t>udržitelnosti</w:t>
      </w:r>
      <w:r w:rsidR="247C32AB" w:rsidRPr="00393D5E">
        <w:rPr>
          <w:i/>
          <w:iCs/>
          <w:spacing w:val="-1"/>
        </w:rPr>
        <w:t xml:space="preserve"> </w:t>
      </w:r>
      <w:r w:rsidR="247C32AB" w:rsidRPr="00393D5E">
        <w:rPr>
          <w:i/>
          <w:iCs/>
        </w:rPr>
        <w:t>důchodového systému</w:t>
      </w:r>
      <w:r w:rsidR="247C32AB" w:rsidRPr="00393D5E">
        <w:t xml:space="preserve">: </w:t>
      </w:r>
    </w:p>
    <w:p w14:paraId="4D6D685C" w14:textId="7349E069" w:rsidR="00A86F24" w:rsidRPr="00393D5E" w:rsidRDefault="00A34B62" w:rsidP="00CD6144">
      <w:pPr>
        <w:pStyle w:val="Odstavecseseznamem"/>
        <w:widowControl w:val="0"/>
        <w:tabs>
          <w:tab w:val="left" w:pos="965"/>
          <w:tab w:val="left" w:pos="966"/>
        </w:tabs>
        <w:autoSpaceDE w:val="0"/>
        <w:autoSpaceDN w:val="0"/>
        <w:spacing w:before="120" w:after="0" w:line="276" w:lineRule="auto"/>
        <w:ind w:left="966" w:right="117"/>
        <w:contextualSpacing w:val="0"/>
        <w:jc w:val="both"/>
      </w:pPr>
      <w:r w:rsidRPr="00393D5E">
        <w:t>Vláda podniká kroky ke snížení deficitu státního rozpočtu. Konkrétní opatření ozdravného plánu pro veřejné finance představila vlád</w:t>
      </w:r>
      <w:r w:rsidR="00A774F7" w:rsidRPr="00393D5E">
        <w:t>ní koalice</w:t>
      </w:r>
      <w:r w:rsidRPr="00393D5E">
        <w:t xml:space="preserve"> dne 11. 5. 2023. Zároveň ke konsolidaci veřejných financí dílčím způsobem přispějí </w:t>
      </w:r>
      <w:r w:rsidR="00A774F7" w:rsidRPr="00393D5E">
        <w:t>také investice a</w:t>
      </w:r>
      <w:r w:rsidR="0003053E">
        <w:t> </w:t>
      </w:r>
      <w:r w:rsidR="00A774F7" w:rsidRPr="00393D5E">
        <w:t>reformy podpořené z</w:t>
      </w:r>
      <w:r w:rsidR="0003053E">
        <w:t> </w:t>
      </w:r>
      <w:r w:rsidRPr="00393D5E">
        <w:t>evropsk</w:t>
      </w:r>
      <w:r w:rsidR="00A774F7" w:rsidRPr="00393D5E">
        <w:t>ých</w:t>
      </w:r>
      <w:r w:rsidRPr="00393D5E">
        <w:t xml:space="preserve"> </w:t>
      </w:r>
      <w:r w:rsidR="00A774F7" w:rsidRPr="00393D5E">
        <w:t>programů a</w:t>
      </w:r>
      <w:r w:rsidR="0003053E">
        <w:t> </w:t>
      </w:r>
      <w:r w:rsidR="00A774F7" w:rsidRPr="00393D5E">
        <w:t>fondů. Jejich významnou složkou budou dodatečné grantové prostředky a</w:t>
      </w:r>
      <w:r w:rsidR="0003053E">
        <w:t> </w:t>
      </w:r>
      <w:r w:rsidR="00A774F7" w:rsidRPr="00393D5E">
        <w:t>prostředky z</w:t>
      </w:r>
      <w:r w:rsidR="0003053E">
        <w:t> </w:t>
      </w:r>
      <w:r w:rsidR="00A774F7" w:rsidRPr="00393D5E">
        <w:t>půjčky z</w:t>
      </w:r>
      <w:r w:rsidR="0003053E">
        <w:t> </w:t>
      </w:r>
      <w:r w:rsidR="000338B5" w:rsidRPr="00393D5E">
        <w:t>RRF, o</w:t>
      </w:r>
      <w:r w:rsidR="0003053E">
        <w:t> </w:t>
      </w:r>
      <w:r w:rsidR="000338B5" w:rsidRPr="00393D5E">
        <w:t>které ČR žádá prostřednictvím tohoto Dodatku</w:t>
      </w:r>
      <w:r w:rsidRPr="00393D5E">
        <w:t xml:space="preserve"> </w:t>
      </w:r>
      <w:r w:rsidR="000338B5" w:rsidRPr="00393D5E">
        <w:t>k</w:t>
      </w:r>
      <w:r w:rsidR="0003053E">
        <w:t> </w:t>
      </w:r>
      <w:r w:rsidRPr="00393D5E">
        <w:t xml:space="preserve">NPO. </w:t>
      </w:r>
    </w:p>
    <w:p w14:paraId="35EEAEE0" w14:textId="001E5AA0" w:rsidR="000338B5" w:rsidRPr="00393D5E" w:rsidRDefault="00A86F24" w:rsidP="00CE14E6">
      <w:pPr>
        <w:pStyle w:val="Odstavecseseznamem"/>
        <w:widowControl w:val="0"/>
        <w:numPr>
          <w:ilvl w:val="0"/>
          <w:numId w:val="13"/>
        </w:numPr>
        <w:tabs>
          <w:tab w:val="left" w:pos="965"/>
          <w:tab w:val="left" w:pos="966"/>
        </w:tabs>
        <w:autoSpaceDE w:val="0"/>
        <w:autoSpaceDN w:val="0"/>
        <w:spacing w:before="121" w:after="0" w:line="276" w:lineRule="auto"/>
        <w:ind w:right="116"/>
        <w:contextualSpacing w:val="0"/>
        <w:jc w:val="both"/>
      </w:pPr>
      <w:r w:rsidRPr="00393D5E">
        <w:rPr>
          <w:b/>
          <w:bCs/>
        </w:rPr>
        <w:t>Doporučení č. 2</w:t>
      </w:r>
      <w:r w:rsidRPr="00393D5E">
        <w:t>:</w:t>
      </w:r>
      <w:r w:rsidR="00A34B62" w:rsidRPr="00393D5E">
        <w:t xml:space="preserve"> </w:t>
      </w:r>
      <w:r w:rsidR="00A34B62" w:rsidRPr="00393D5E">
        <w:rPr>
          <w:i/>
          <w:iCs/>
        </w:rPr>
        <w:t>Pokračovat v</w:t>
      </w:r>
      <w:r w:rsidR="0003053E">
        <w:rPr>
          <w:i/>
          <w:iCs/>
        </w:rPr>
        <w:t> </w:t>
      </w:r>
      <w:r w:rsidR="00A34B62" w:rsidRPr="00393D5E">
        <w:rPr>
          <w:i/>
          <w:iCs/>
        </w:rPr>
        <w:t>provádění svého plánu pro oživení a</w:t>
      </w:r>
      <w:r w:rsidR="0003053E">
        <w:rPr>
          <w:i/>
          <w:iCs/>
        </w:rPr>
        <w:t> </w:t>
      </w:r>
      <w:r w:rsidR="00A34B62" w:rsidRPr="00393D5E">
        <w:rPr>
          <w:i/>
          <w:iCs/>
        </w:rPr>
        <w:t>odolnost v</w:t>
      </w:r>
      <w:r w:rsidR="0003053E">
        <w:rPr>
          <w:i/>
          <w:iCs/>
        </w:rPr>
        <w:t> </w:t>
      </w:r>
      <w:r w:rsidR="00A34B62" w:rsidRPr="00393D5E">
        <w:rPr>
          <w:i/>
          <w:iCs/>
        </w:rPr>
        <w:t>souladu s</w:t>
      </w:r>
      <w:r w:rsidR="0003053E">
        <w:rPr>
          <w:i/>
          <w:iCs/>
        </w:rPr>
        <w:t> </w:t>
      </w:r>
      <w:r w:rsidR="00A34B62" w:rsidRPr="00393D5E">
        <w:rPr>
          <w:i/>
          <w:iCs/>
        </w:rPr>
        <w:t>milníky a</w:t>
      </w:r>
      <w:r w:rsidR="0003053E">
        <w:rPr>
          <w:i/>
          <w:iCs/>
        </w:rPr>
        <w:t> </w:t>
      </w:r>
      <w:r w:rsidR="00A34B62" w:rsidRPr="00393D5E">
        <w:rPr>
          <w:i/>
          <w:iCs/>
        </w:rPr>
        <w:t>cíli uvedenými v</w:t>
      </w:r>
      <w:r w:rsidR="0003053E">
        <w:rPr>
          <w:i/>
          <w:iCs/>
        </w:rPr>
        <w:t> </w:t>
      </w:r>
      <w:r w:rsidR="00A34B62" w:rsidRPr="00393D5E">
        <w:rPr>
          <w:i/>
          <w:iCs/>
        </w:rPr>
        <w:t>prováděcím rozhodnutí Rady ze dne 8. září 2021. Rychle dokončit jednání s</w:t>
      </w:r>
      <w:r w:rsidR="0003053E">
        <w:rPr>
          <w:i/>
          <w:iCs/>
        </w:rPr>
        <w:t> </w:t>
      </w:r>
      <w:r w:rsidR="00A34B62" w:rsidRPr="00393D5E">
        <w:rPr>
          <w:i/>
          <w:iCs/>
        </w:rPr>
        <w:t>Komisí o</w:t>
      </w:r>
      <w:r w:rsidR="0003053E">
        <w:rPr>
          <w:i/>
          <w:iCs/>
        </w:rPr>
        <w:t> </w:t>
      </w:r>
      <w:r w:rsidR="00A34B62" w:rsidRPr="00393D5E">
        <w:rPr>
          <w:i/>
          <w:iCs/>
        </w:rPr>
        <w:t>programových dokumentech v</w:t>
      </w:r>
      <w:r w:rsidR="0003053E">
        <w:rPr>
          <w:i/>
          <w:iCs/>
        </w:rPr>
        <w:t> </w:t>
      </w:r>
      <w:r w:rsidR="00A34B62" w:rsidRPr="00393D5E">
        <w:rPr>
          <w:i/>
          <w:iCs/>
        </w:rPr>
        <w:t xml:space="preserve">rámci politiky soudržnosti na období 2021–2027, aby </w:t>
      </w:r>
      <w:r w:rsidR="00A34B62" w:rsidRPr="00393D5E">
        <w:rPr>
          <w:i/>
          <w:iCs/>
        </w:rPr>
        <w:lastRenderedPageBreak/>
        <w:t xml:space="preserve">mohlo započít jejich provádění: </w:t>
      </w:r>
    </w:p>
    <w:p w14:paraId="1930AE01" w14:textId="0F1DCC1D" w:rsidR="00A34B62" w:rsidRPr="00393D5E" w:rsidRDefault="000D32FC" w:rsidP="00CD6144">
      <w:pPr>
        <w:pStyle w:val="Odstavecseseznamem"/>
        <w:widowControl w:val="0"/>
        <w:tabs>
          <w:tab w:val="left" w:pos="965"/>
          <w:tab w:val="left" w:pos="966"/>
        </w:tabs>
        <w:autoSpaceDE w:val="0"/>
        <w:autoSpaceDN w:val="0"/>
        <w:spacing w:before="121" w:after="0" w:line="276" w:lineRule="auto"/>
        <w:ind w:left="966" w:right="116"/>
        <w:contextualSpacing w:val="0"/>
        <w:jc w:val="both"/>
      </w:pPr>
      <w:r w:rsidRPr="00393D5E">
        <w:t xml:space="preserve">Implementaci NPO považuje vláda za jednu ze svých klíčových priorit. </w:t>
      </w:r>
      <w:r w:rsidR="00062913" w:rsidRPr="00393D5E">
        <w:t>K</w:t>
      </w:r>
      <w:r w:rsidR="0003053E">
        <w:t> </w:t>
      </w:r>
      <w:r w:rsidR="00062913" w:rsidRPr="00393D5E">
        <w:t xml:space="preserve">úspěšnému provádění plánu by mělo přispět mj. plánované posílení kapacit </w:t>
      </w:r>
      <w:r w:rsidR="000338B5" w:rsidRPr="00393D5E">
        <w:t xml:space="preserve">státní správy </w:t>
      </w:r>
      <w:r w:rsidR="00062913" w:rsidRPr="00393D5E">
        <w:t xml:space="preserve">pro jeho implementaci. </w:t>
      </w:r>
    </w:p>
    <w:p w14:paraId="153277CD" w14:textId="52837BC9" w:rsidR="00A86F24" w:rsidRPr="00393D5E" w:rsidRDefault="00A86F24" w:rsidP="00316A1B">
      <w:pPr>
        <w:pStyle w:val="Odstavecseseznamem"/>
        <w:widowControl w:val="0"/>
        <w:tabs>
          <w:tab w:val="left" w:pos="965"/>
          <w:tab w:val="left" w:pos="966"/>
        </w:tabs>
        <w:autoSpaceDE w:val="0"/>
        <w:autoSpaceDN w:val="0"/>
        <w:spacing w:before="120" w:after="0" w:line="276" w:lineRule="auto"/>
        <w:ind w:left="966" w:right="117"/>
        <w:contextualSpacing w:val="0"/>
        <w:jc w:val="both"/>
      </w:pPr>
    </w:p>
    <w:p w14:paraId="7146B7F9" w14:textId="4B03A708" w:rsidR="000338B5" w:rsidRPr="00393D5E" w:rsidRDefault="40C683E8" w:rsidP="00CE14E6">
      <w:pPr>
        <w:pStyle w:val="Odstavecseseznamem"/>
        <w:widowControl w:val="0"/>
        <w:numPr>
          <w:ilvl w:val="0"/>
          <w:numId w:val="13"/>
        </w:numPr>
        <w:tabs>
          <w:tab w:val="left" w:pos="965"/>
          <w:tab w:val="left" w:pos="966"/>
        </w:tabs>
        <w:autoSpaceDE w:val="0"/>
        <w:autoSpaceDN w:val="0"/>
        <w:spacing w:before="120" w:after="0" w:line="276" w:lineRule="auto"/>
        <w:ind w:right="117"/>
        <w:jc w:val="both"/>
      </w:pPr>
      <w:r w:rsidRPr="00393D5E">
        <w:rPr>
          <w:b/>
          <w:bCs/>
        </w:rPr>
        <w:t>Doporučení č. 3</w:t>
      </w:r>
      <w:r w:rsidRPr="00393D5E">
        <w:t xml:space="preserve">: </w:t>
      </w:r>
      <w:r w:rsidR="3F68D33E" w:rsidRPr="00393D5E">
        <w:rPr>
          <w:i/>
          <w:iCs/>
        </w:rPr>
        <w:t>Posílit</w:t>
      </w:r>
      <w:r w:rsidR="3F68D33E" w:rsidRPr="00393D5E">
        <w:rPr>
          <w:i/>
          <w:iCs/>
          <w:spacing w:val="1"/>
        </w:rPr>
        <w:t xml:space="preserve"> </w:t>
      </w:r>
      <w:r w:rsidR="3F68D33E" w:rsidRPr="00393D5E">
        <w:rPr>
          <w:i/>
          <w:iCs/>
        </w:rPr>
        <w:t>poskytování</w:t>
      </w:r>
      <w:r w:rsidR="3F68D33E" w:rsidRPr="00393D5E">
        <w:rPr>
          <w:i/>
          <w:iCs/>
          <w:spacing w:val="1"/>
        </w:rPr>
        <w:t xml:space="preserve"> </w:t>
      </w:r>
      <w:r w:rsidR="3F68D33E" w:rsidRPr="00393D5E">
        <w:rPr>
          <w:i/>
          <w:iCs/>
        </w:rPr>
        <w:t>sociálního</w:t>
      </w:r>
      <w:r w:rsidR="3F68D33E" w:rsidRPr="00393D5E">
        <w:rPr>
          <w:i/>
          <w:iCs/>
          <w:spacing w:val="1"/>
        </w:rPr>
        <w:t xml:space="preserve"> </w:t>
      </w:r>
      <w:r w:rsidR="3F68D33E" w:rsidRPr="00393D5E">
        <w:rPr>
          <w:i/>
          <w:iCs/>
        </w:rPr>
        <w:t>a</w:t>
      </w:r>
      <w:r w:rsidR="0003053E">
        <w:rPr>
          <w:i/>
          <w:iCs/>
          <w:spacing w:val="1"/>
        </w:rPr>
        <w:t> </w:t>
      </w:r>
      <w:r w:rsidR="3F68D33E" w:rsidRPr="00393D5E">
        <w:rPr>
          <w:i/>
          <w:iCs/>
        </w:rPr>
        <w:t>cenově</w:t>
      </w:r>
      <w:r w:rsidR="3F68D33E" w:rsidRPr="00393D5E">
        <w:rPr>
          <w:i/>
          <w:iCs/>
          <w:spacing w:val="1"/>
        </w:rPr>
        <w:t xml:space="preserve"> </w:t>
      </w:r>
      <w:r w:rsidR="3F68D33E" w:rsidRPr="00393D5E">
        <w:rPr>
          <w:i/>
          <w:iCs/>
        </w:rPr>
        <w:t>dostupného</w:t>
      </w:r>
      <w:r w:rsidR="3F68D33E" w:rsidRPr="00393D5E">
        <w:rPr>
          <w:i/>
          <w:iCs/>
          <w:spacing w:val="1"/>
        </w:rPr>
        <w:t xml:space="preserve"> </w:t>
      </w:r>
      <w:r w:rsidR="3F68D33E" w:rsidRPr="00393D5E">
        <w:rPr>
          <w:i/>
          <w:iCs/>
        </w:rPr>
        <w:t>bydlení,</w:t>
      </w:r>
      <w:r w:rsidR="3F68D33E" w:rsidRPr="00393D5E">
        <w:rPr>
          <w:i/>
          <w:iCs/>
          <w:spacing w:val="1"/>
        </w:rPr>
        <w:t xml:space="preserve"> </w:t>
      </w:r>
      <w:r w:rsidR="3F68D33E" w:rsidRPr="00393D5E">
        <w:rPr>
          <w:i/>
          <w:iCs/>
        </w:rPr>
        <w:t>mimo</w:t>
      </w:r>
      <w:r w:rsidR="3F68D33E" w:rsidRPr="00393D5E">
        <w:rPr>
          <w:i/>
          <w:iCs/>
          <w:spacing w:val="1"/>
        </w:rPr>
        <w:t xml:space="preserve"> </w:t>
      </w:r>
      <w:r w:rsidR="3F68D33E" w:rsidRPr="00393D5E">
        <w:rPr>
          <w:i/>
          <w:iCs/>
        </w:rPr>
        <w:t>jiné</w:t>
      </w:r>
      <w:r w:rsidR="3F68D33E" w:rsidRPr="00393D5E">
        <w:rPr>
          <w:i/>
          <w:iCs/>
          <w:spacing w:val="1"/>
        </w:rPr>
        <w:t xml:space="preserve"> </w:t>
      </w:r>
      <w:r w:rsidR="3F68D33E" w:rsidRPr="00393D5E">
        <w:rPr>
          <w:i/>
          <w:iCs/>
        </w:rPr>
        <w:t>přijetím</w:t>
      </w:r>
      <w:r w:rsidR="3F68D33E" w:rsidRPr="00393D5E">
        <w:rPr>
          <w:i/>
          <w:iCs/>
          <w:spacing w:val="-57"/>
        </w:rPr>
        <w:t xml:space="preserve"> </w:t>
      </w:r>
      <w:r w:rsidR="3F68D33E" w:rsidRPr="00393D5E">
        <w:rPr>
          <w:i/>
          <w:iCs/>
        </w:rPr>
        <w:t>zvláštního legislativního rámce pro sociální bydlení a</w:t>
      </w:r>
      <w:r w:rsidR="0003053E">
        <w:rPr>
          <w:i/>
          <w:iCs/>
        </w:rPr>
        <w:t> </w:t>
      </w:r>
      <w:r w:rsidR="3F68D33E" w:rsidRPr="00393D5E">
        <w:rPr>
          <w:i/>
          <w:iCs/>
        </w:rPr>
        <w:t>lepší koordinac</w:t>
      </w:r>
      <w:r w:rsidR="65BC00BD" w:rsidRPr="00393D5E">
        <w:rPr>
          <w:i/>
          <w:iCs/>
        </w:rPr>
        <w:t>i</w:t>
      </w:r>
      <w:r w:rsidR="3F68D33E" w:rsidRPr="00393D5E">
        <w:rPr>
          <w:i/>
          <w:iCs/>
        </w:rPr>
        <w:t xml:space="preserve"> jednotlivých</w:t>
      </w:r>
      <w:r w:rsidR="3F68D33E" w:rsidRPr="00393D5E">
        <w:rPr>
          <w:i/>
          <w:iCs/>
          <w:spacing w:val="1"/>
        </w:rPr>
        <w:t xml:space="preserve"> </w:t>
      </w:r>
      <w:r w:rsidR="3F68D33E" w:rsidRPr="00393D5E">
        <w:rPr>
          <w:i/>
          <w:iCs/>
        </w:rPr>
        <w:t>veřejných</w:t>
      </w:r>
      <w:r w:rsidR="3F68D33E" w:rsidRPr="00393D5E">
        <w:rPr>
          <w:i/>
          <w:iCs/>
          <w:spacing w:val="-1"/>
        </w:rPr>
        <w:t xml:space="preserve"> </w:t>
      </w:r>
      <w:r w:rsidR="3F68D33E" w:rsidRPr="00393D5E">
        <w:rPr>
          <w:i/>
          <w:iCs/>
        </w:rPr>
        <w:t>subjektů</w:t>
      </w:r>
      <w:r w:rsidRPr="00393D5E">
        <w:t xml:space="preserve">: </w:t>
      </w:r>
    </w:p>
    <w:p w14:paraId="3C005A5C" w14:textId="3BAC417E" w:rsidR="000338B5" w:rsidRPr="00393D5E" w:rsidRDefault="08F65D55" w:rsidP="00CD6144">
      <w:pPr>
        <w:pStyle w:val="Odstavecseseznamem"/>
        <w:widowControl w:val="0"/>
        <w:tabs>
          <w:tab w:val="left" w:pos="965"/>
          <w:tab w:val="left" w:pos="966"/>
        </w:tabs>
        <w:autoSpaceDE w:val="0"/>
        <w:autoSpaceDN w:val="0"/>
        <w:spacing w:before="120" w:after="0" w:line="276" w:lineRule="auto"/>
        <w:ind w:left="966" w:right="117"/>
        <w:jc w:val="both"/>
      </w:pPr>
      <w:r w:rsidRPr="00393D5E">
        <w:t xml:space="preserve">V rámci dodatku NPO je plánována komponenta </w:t>
      </w:r>
      <w:r w:rsidR="00FB0EFA">
        <w:rPr>
          <w:b/>
          <w:bCs/>
          <w:i/>
          <w:iCs/>
        </w:rPr>
        <w:t>Dostupné bydlení</w:t>
      </w:r>
      <w:r w:rsidRPr="00393D5E">
        <w:t>, jejímž primárním cílem je zlepšit dostupnost bydlení, a</w:t>
      </w:r>
      <w:r w:rsidR="0003053E">
        <w:t> </w:t>
      </w:r>
      <w:r w:rsidRPr="00393D5E">
        <w:t>to jak systémovou reformou (schválení zákona o</w:t>
      </w:r>
      <w:r w:rsidR="0003053E">
        <w:t> </w:t>
      </w:r>
      <w:r w:rsidRPr="00393D5E">
        <w:t>podpoře v</w:t>
      </w:r>
      <w:r w:rsidR="0003053E">
        <w:t> </w:t>
      </w:r>
      <w:r w:rsidRPr="00393D5E">
        <w:t>bydlení, nastavení metodické podpory</w:t>
      </w:r>
      <w:r w:rsidR="51162E18" w:rsidRPr="00393D5E">
        <w:t xml:space="preserve">, </w:t>
      </w:r>
      <w:r w:rsidRPr="00393D5E">
        <w:t>řízení a</w:t>
      </w:r>
      <w:r w:rsidR="0003053E">
        <w:t> </w:t>
      </w:r>
      <w:r w:rsidRPr="00393D5E">
        <w:t>správy bytového fondu ve veřejném vlastnictví), tak prostřednictvím investic do výstavby dostupného nájemního bydlení.</w:t>
      </w:r>
      <w:r w:rsidR="52AE5679" w:rsidRPr="00393D5E">
        <w:t xml:space="preserve"> </w:t>
      </w:r>
      <w:r w:rsidR="59E1E256" w:rsidRPr="00393D5E">
        <w:t>Sekundárním cílem komponenty je přispět k</w:t>
      </w:r>
      <w:r w:rsidR="0003053E">
        <w:t> </w:t>
      </w:r>
      <w:r w:rsidR="59E1E256" w:rsidRPr="00393D5E">
        <w:t>řešení energetické chudoby skrze zvyšování energetické účinnosti bydlení určeného především pro skupiny obyvatelstva s</w:t>
      </w:r>
      <w:r w:rsidR="0003053E">
        <w:t> </w:t>
      </w:r>
      <w:r w:rsidR="59E1E256" w:rsidRPr="00393D5E">
        <w:t>nižšími příjmy.</w:t>
      </w:r>
    </w:p>
    <w:p w14:paraId="0673D503" w14:textId="664CCFA9" w:rsidR="5BC52D6A" w:rsidRPr="00393D5E" w:rsidRDefault="5BC52D6A" w:rsidP="5BC52D6A">
      <w:pPr>
        <w:widowControl w:val="0"/>
        <w:tabs>
          <w:tab w:val="left" w:pos="965"/>
          <w:tab w:val="left" w:pos="966"/>
        </w:tabs>
        <w:spacing w:before="120" w:after="0" w:line="276" w:lineRule="auto"/>
        <w:ind w:right="117"/>
        <w:jc w:val="both"/>
      </w:pPr>
    </w:p>
    <w:p w14:paraId="1F674CC0" w14:textId="302516A8" w:rsidR="000338B5" w:rsidRPr="00393D5E" w:rsidRDefault="58BF2C42" w:rsidP="00CE14E6">
      <w:pPr>
        <w:pStyle w:val="Odstavecseseznamem"/>
        <w:widowControl w:val="0"/>
        <w:numPr>
          <w:ilvl w:val="0"/>
          <w:numId w:val="13"/>
        </w:numPr>
        <w:tabs>
          <w:tab w:val="left" w:pos="965"/>
          <w:tab w:val="left" w:pos="966"/>
        </w:tabs>
        <w:autoSpaceDE w:val="0"/>
        <w:autoSpaceDN w:val="0"/>
        <w:spacing w:before="120" w:after="0" w:line="276" w:lineRule="auto"/>
        <w:ind w:right="117"/>
        <w:jc w:val="both"/>
        <w:rPr>
          <w:i/>
          <w:iCs/>
        </w:rPr>
      </w:pPr>
      <w:r w:rsidRPr="00393D5E">
        <w:rPr>
          <w:b/>
          <w:bCs/>
        </w:rPr>
        <w:t>Doporučení č. 4</w:t>
      </w:r>
      <w:r w:rsidRPr="00393D5E">
        <w:t xml:space="preserve">: </w:t>
      </w:r>
      <w:r w:rsidR="03ABD8AF" w:rsidRPr="00393D5E">
        <w:rPr>
          <w:i/>
          <w:iCs/>
        </w:rPr>
        <w:t>Snížit celkovou závislost na fosilních palivech a</w:t>
      </w:r>
      <w:r w:rsidR="0003053E">
        <w:rPr>
          <w:i/>
          <w:iCs/>
        </w:rPr>
        <w:t> </w:t>
      </w:r>
      <w:r w:rsidR="03ABD8AF" w:rsidRPr="00393D5E">
        <w:rPr>
          <w:i/>
          <w:iCs/>
        </w:rPr>
        <w:t>diverzifikovat dovoz fosilních paliv</w:t>
      </w:r>
      <w:r w:rsidRPr="00393D5E">
        <w:t>:</w:t>
      </w:r>
      <w:r w:rsidR="5E876BD7" w:rsidRPr="00393D5E">
        <w:t xml:space="preserve"> </w:t>
      </w:r>
    </w:p>
    <w:p w14:paraId="3A57D7E0" w14:textId="1DC8483A" w:rsidR="5E876BD7" w:rsidRPr="00393D5E" w:rsidRDefault="6848CFED" w:rsidP="00CD6144">
      <w:pPr>
        <w:pStyle w:val="Odstavecseseznamem"/>
        <w:widowControl w:val="0"/>
        <w:tabs>
          <w:tab w:val="left" w:pos="965"/>
          <w:tab w:val="left" w:pos="966"/>
        </w:tabs>
        <w:spacing w:before="120" w:after="0" w:line="276" w:lineRule="auto"/>
        <w:ind w:left="966" w:right="117"/>
        <w:jc w:val="both"/>
      </w:pPr>
      <w:r>
        <w:t xml:space="preserve">Opatření budou realizována </w:t>
      </w:r>
      <w:r w:rsidR="60F2CCF9">
        <w:t xml:space="preserve">prostřednictvím </w:t>
      </w:r>
      <w:r w:rsidR="2CE42832">
        <w:t xml:space="preserve">několika komponent, které </w:t>
      </w:r>
      <w:r w:rsidR="09AB29C5">
        <w:t>směřují ke snížení spotřeby energií, nahrazování fosilních paliv obnovitelnými zdroji energie a</w:t>
      </w:r>
      <w:r w:rsidR="0003053E">
        <w:t> </w:t>
      </w:r>
      <w:r w:rsidR="09AB29C5">
        <w:t>dekarbonizaci dopravy. Jedná se zejména o</w:t>
      </w:r>
      <w:r w:rsidR="0003053E">
        <w:t> </w:t>
      </w:r>
      <w:r w:rsidR="09AB29C5">
        <w:t>komponenty</w:t>
      </w:r>
      <w:r w:rsidR="4EA70F22">
        <w:t xml:space="preserve"> v</w:t>
      </w:r>
      <w:r w:rsidR="0003053E">
        <w:t> </w:t>
      </w:r>
      <w:r w:rsidR="4EA70F22">
        <w:t>kapitole RE</w:t>
      </w:r>
      <w:r w:rsidR="4E91B641">
        <w:t>P</w:t>
      </w:r>
      <w:r w:rsidR="4EA70F22">
        <w:t>owerEU</w:t>
      </w:r>
      <w:r w:rsidR="09AB29C5">
        <w:t xml:space="preserve"> </w:t>
      </w:r>
      <w:r w:rsidR="6D4EC5AE">
        <w:t>(</w:t>
      </w:r>
      <w:r w:rsidR="743E73C4" w:rsidRPr="35187188">
        <w:rPr>
          <w:rFonts w:ascii="Calibri" w:eastAsia="Calibri" w:hAnsi="Calibri" w:cs="Calibri"/>
          <w:i/>
          <w:iCs/>
        </w:rPr>
        <w:t>Posílení distribučních sítí a</w:t>
      </w:r>
      <w:r w:rsidR="0003053E">
        <w:rPr>
          <w:rFonts w:ascii="Calibri" w:eastAsia="Calibri" w:hAnsi="Calibri" w:cs="Calibri"/>
          <w:i/>
          <w:iCs/>
        </w:rPr>
        <w:t> </w:t>
      </w:r>
      <w:r w:rsidR="743E73C4" w:rsidRPr="35187188">
        <w:rPr>
          <w:rFonts w:ascii="Calibri" w:eastAsia="Calibri" w:hAnsi="Calibri" w:cs="Calibri"/>
          <w:i/>
          <w:iCs/>
        </w:rPr>
        <w:t>navýšení jejich připojitelného výkonu v</w:t>
      </w:r>
      <w:r w:rsidR="0003053E">
        <w:rPr>
          <w:rFonts w:ascii="Calibri" w:eastAsia="Calibri" w:hAnsi="Calibri" w:cs="Calibri"/>
          <w:i/>
          <w:iCs/>
        </w:rPr>
        <w:t> </w:t>
      </w:r>
      <w:r w:rsidR="743E73C4" w:rsidRPr="35187188">
        <w:rPr>
          <w:rFonts w:ascii="Calibri" w:eastAsia="Calibri" w:hAnsi="Calibri" w:cs="Calibri"/>
          <w:i/>
          <w:iCs/>
        </w:rPr>
        <w:t>souvislosti s</w:t>
      </w:r>
      <w:r w:rsidR="0003053E">
        <w:rPr>
          <w:rFonts w:ascii="Calibri" w:eastAsia="Calibri" w:hAnsi="Calibri" w:cs="Calibri"/>
          <w:i/>
          <w:iCs/>
        </w:rPr>
        <w:t> </w:t>
      </w:r>
      <w:r w:rsidR="743E73C4" w:rsidRPr="35187188">
        <w:rPr>
          <w:rFonts w:ascii="Calibri" w:eastAsia="Calibri" w:hAnsi="Calibri" w:cs="Calibri"/>
          <w:i/>
          <w:iCs/>
        </w:rPr>
        <w:t>rozvojem obnovitelných zdrojů v</w:t>
      </w:r>
      <w:r w:rsidR="0003053E">
        <w:rPr>
          <w:rFonts w:ascii="Calibri" w:eastAsia="Calibri" w:hAnsi="Calibri" w:cs="Calibri"/>
          <w:i/>
          <w:iCs/>
        </w:rPr>
        <w:t> </w:t>
      </w:r>
      <w:r w:rsidR="743E73C4" w:rsidRPr="35187188">
        <w:rPr>
          <w:rFonts w:ascii="Calibri" w:eastAsia="Calibri" w:hAnsi="Calibri" w:cs="Calibri"/>
          <w:i/>
          <w:iCs/>
        </w:rPr>
        <w:t>ČR,</w:t>
      </w:r>
      <w:r w:rsidR="743E73C4">
        <w:t xml:space="preserve"> </w:t>
      </w:r>
      <w:r w:rsidR="743E73C4" w:rsidRPr="35187188">
        <w:rPr>
          <w:i/>
          <w:iCs/>
        </w:rPr>
        <w:t>Podpora decentralizace a</w:t>
      </w:r>
      <w:r w:rsidR="0003053E">
        <w:rPr>
          <w:i/>
          <w:iCs/>
        </w:rPr>
        <w:t> </w:t>
      </w:r>
      <w:r w:rsidR="743E73C4" w:rsidRPr="35187188">
        <w:rPr>
          <w:i/>
          <w:iCs/>
        </w:rPr>
        <w:t xml:space="preserve">digitalizace energetiky, </w:t>
      </w:r>
      <w:r w:rsidR="07299CB9" w:rsidRPr="35187188">
        <w:rPr>
          <w:i/>
          <w:iCs/>
        </w:rPr>
        <w:t xml:space="preserve">Komplexní reforma poradenství pro </w:t>
      </w:r>
      <w:r w:rsidR="1FF26AAA" w:rsidRPr="35187188">
        <w:rPr>
          <w:i/>
          <w:iCs/>
        </w:rPr>
        <w:t>týkajícího se renovační vlny v</w:t>
      </w:r>
      <w:r w:rsidR="0003053E">
        <w:rPr>
          <w:i/>
          <w:iCs/>
        </w:rPr>
        <w:t> </w:t>
      </w:r>
      <w:r w:rsidR="1FF26AAA" w:rsidRPr="35187188">
        <w:rPr>
          <w:i/>
          <w:iCs/>
        </w:rPr>
        <w:t>ČR</w:t>
      </w:r>
      <w:r w:rsidR="00A64DAB" w:rsidRPr="35187188">
        <w:rPr>
          <w:i/>
          <w:iCs/>
        </w:rPr>
        <w:t>,</w:t>
      </w:r>
      <w:r w:rsidR="07299CB9" w:rsidRPr="35187188">
        <w:rPr>
          <w:i/>
          <w:iCs/>
        </w:rPr>
        <w:t xml:space="preserve"> Dekarbonizace dopravy</w:t>
      </w:r>
      <w:r w:rsidR="3E9C39E0" w:rsidRPr="35187188">
        <w:rPr>
          <w:i/>
          <w:iCs/>
        </w:rPr>
        <w:t xml:space="preserve">, </w:t>
      </w:r>
      <w:r w:rsidR="07299CB9" w:rsidRPr="35187188">
        <w:rPr>
          <w:i/>
          <w:iCs/>
        </w:rPr>
        <w:t>Elektrizace železni</w:t>
      </w:r>
      <w:r w:rsidR="000921D1" w:rsidRPr="35187188">
        <w:rPr>
          <w:i/>
          <w:iCs/>
        </w:rPr>
        <w:t>ční dopravy</w:t>
      </w:r>
      <w:r w:rsidR="4E539224" w:rsidRPr="35187188">
        <w:rPr>
          <w:i/>
          <w:iCs/>
        </w:rPr>
        <w:t>) a</w:t>
      </w:r>
      <w:r w:rsidR="0003053E">
        <w:rPr>
          <w:i/>
          <w:iCs/>
        </w:rPr>
        <w:t> </w:t>
      </w:r>
      <w:r w:rsidR="4E539224" w:rsidRPr="35187188">
        <w:rPr>
          <w:i/>
          <w:iCs/>
        </w:rPr>
        <w:t xml:space="preserve">dále navýšení některých investic ve stávajícím NPO (např. </w:t>
      </w:r>
      <w:r w:rsidR="09EB029C" w:rsidRPr="35187188">
        <w:rPr>
          <w:i/>
          <w:iCs/>
        </w:rPr>
        <w:t>Podpora výměny nevyhovujících zdrojů tepla a</w:t>
      </w:r>
      <w:r w:rsidR="0003053E">
        <w:rPr>
          <w:i/>
          <w:iCs/>
        </w:rPr>
        <w:t> </w:t>
      </w:r>
      <w:r w:rsidR="09EB029C" w:rsidRPr="35187188">
        <w:rPr>
          <w:i/>
          <w:iCs/>
        </w:rPr>
        <w:t>instalace nových obnovitelných zdrojů energie)</w:t>
      </w:r>
      <w:r w:rsidR="3DD9C4F1" w:rsidRPr="35187188">
        <w:rPr>
          <w:i/>
          <w:iCs/>
        </w:rPr>
        <w:t>.</w:t>
      </w:r>
      <w:r w:rsidR="3DD9C4F1">
        <w:t xml:space="preserve"> </w:t>
      </w:r>
      <w:r w:rsidR="7C814A06">
        <w:t xml:space="preserve"> Plánované projekty zaměřené n</w:t>
      </w:r>
      <w:r w:rsidR="2F811B17">
        <w:t xml:space="preserve">a </w:t>
      </w:r>
      <w:r w:rsidR="7C814A06">
        <w:t>diverzifikaci dovozu fosilních paliv z</w:t>
      </w:r>
      <w:r w:rsidR="0003053E">
        <w:t> </w:t>
      </w:r>
      <w:r w:rsidR="7C814A06">
        <w:t xml:space="preserve">Ruské federace </w:t>
      </w:r>
      <w:r w:rsidR="2E10A042">
        <w:t>(rozšíření ropovodu TAL a</w:t>
      </w:r>
      <w:r w:rsidR="0003053E">
        <w:t> </w:t>
      </w:r>
      <w:r w:rsidR="2E10A042">
        <w:t>napojení plynovodu STORK na polskou přenosovou síť</w:t>
      </w:r>
      <w:r w:rsidR="586AE590">
        <w:t>) budou financovány z</w:t>
      </w:r>
      <w:r w:rsidR="0003053E">
        <w:t> </w:t>
      </w:r>
      <w:r w:rsidR="586AE590">
        <w:t xml:space="preserve">národních zdrojů. </w:t>
      </w:r>
      <w:r w:rsidR="2E10A042">
        <w:t xml:space="preserve"> </w:t>
      </w:r>
    </w:p>
    <w:p w14:paraId="2B863BC3" w14:textId="14C5414C" w:rsidR="62A00635" w:rsidRPr="00393D5E" w:rsidRDefault="62A00635" w:rsidP="00316A1B">
      <w:pPr>
        <w:widowControl w:val="0"/>
        <w:tabs>
          <w:tab w:val="left" w:pos="965"/>
          <w:tab w:val="left" w:pos="966"/>
        </w:tabs>
        <w:spacing w:before="120" w:after="0" w:line="276" w:lineRule="auto"/>
        <w:ind w:right="117"/>
        <w:jc w:val="both"/>
      </w:pPr>
    </w:p>
    <w:p w14:paraId="1C8DE724" w14:textId="57F13221" w:rsidR="00CD6144" w:rsidRPr="00393D5E" w:rsidRDefault="5AA374D0" w:rsidP="00CE14E6">
      <w:pPr>
        <w:pStyle w:val="Odstavecseseznamem"/>
        <w:widowControl w:val="0"/>
        <w:numPr>
          <w:ilvl w:val="0"/>
          <w:numId w:val="13"/>
        </w:numPr>
        <w:tabs>
          <w:tab w:val="left" w:pos="965"/>
          <w:tab w:val="left" w:pos="966"/>
        </w:tabs>
        <w:autoSpaceDE w:val="0"/>
        <w:autoSpaceDN w:val="0"/>
        <w:spacing w:before="68" w:after="0" w:line="276" w:lineRule="auto"/>
        <w:ind w:right="118"/>
        <w:jc w:val="both"/>
        <w:rPr>
          <w:sz w:val="20"/>
          <w:szCs w:val="20"/>
        </w:rPr>
      </w:pPr>
      <w:r w:rsidRPr="00393D5E">
        <w:rPr>
          <w:b/>
          <w:bCs/>
        </w:rPr>
        <w:t xml:space="preserve">Doporučení č. </w:t>
      </w:r>
      <w:r w:rsidR="44BFABDF" w:rsidRPr="00393D5E">
        <w:rPr>
          <w:b/>
          <w:bCs/>
        </w:rPr>
        <w:t>5</w:t>
      </w:r>
      <w:r w:rsidRPr="00393D5E">
        <w:t xml:space="preserve">: </w:t>
      </w:r>
      <w:r w:rsidR="171BA0ED" w:rsidRPr="00393D5E">
        <w:rPr>
          <w:i/>
          <w:iCs/>
        </w:rPr>
        <w:t>Urychlit zavádění obnovitelných zdrojů energie, zefektivnit povolovací postupy a</w:t>
      </w:r>
      <w:r w:rsidR="0003053E">
        <w:rPr>
          <w:i/>
          <w:iCs/>
          <w:spacing w:val="1"/>
        </w:rPr>
        <w:t> </w:t>
      </w:r>
      <w:r w:rsidR="171BA0ED" w:rsidRPr="00393D5E">
        <w:rPr>
          <w:i/>
          <w:iCs/>
        </w:rPr>
        <w:t>usnadnit přístup k</w:t>
      </w:r>
      <w:r w:rsidR="0003053E">
        <w:rPr>
          <w:i/>
          <w:iCs/>
        </w:rPr>
        <w:t> </w:t>
      </w:r>
      <w:r w:rsidR="171BA0ED" w:rsidRPr="00393D5E">
        <w:rPr>
          <w:i/>
          <w:iCs/>
        </w:rPr>
        <w:t>síti</w:t>
      </w:r>
      <w:r w:rsidR="053597A2" w:rsidRPr="00393D5E">
        <w:t xml:space="preserve">. </w:t>
      </w:r>
      <w:r w:rsidR="053597A2" w:rsidRPr="00393D5E">
        <w:rPr>
          <w:i/>
          <w:iCs/>
        </w:rPr>
        <w:t>Zvýšit energetickou účinnost fondu budov pobídkami k</w:t>
      </w:r>
      <w:r w:rsidR="0003053E">
        <w:rPr>
          <w:i/>
          <w:iCs/>
        </w:rPr>
        <w:t> </w:t>
      </w:r>
      <w:r w:rsidR="053597A2" w:rsidRPr="00393D5E">
        <w:rPr>
          <w:i/>
          <w:iCs/>
        </w:rPr>
        <w:t>rozsáhlým renovacím a</w:t>
      </w:r>
      <w:r w:rsidR="0003053E">
        <w:rPr>
          <w:i/>
          <w:iCs/>
        </w:rPr>
        <w:t> </w:t>
      </w:r>
      <w:r w:rsidR="053597A2" w:rsidRPr="00393D5E">
        <w:rPr>
          <w:i/>
          <w:iCs/>
        </w:rPr>
        <w:t>k využívání obnovitelných zdrojů</w:t>
      </w:r>
      <w:r w:rsidR="053597A2" w:rsidRPr="00393D5E">
        <w:rPr>
          <w:i/>
          <w:iCs/>
          <w:spacing w:val="1"/>
        </w:rPr>
        <w:t xml:space="preserve"> </w:t>
      </w:r>
      <w:r w:rsidR="053597A2" w:rsidRPr="00393D5E">
        <w:rPr>
          <w:i/>
          <w:iCs/>
        </w:rPr>
        <w:t>tepla</w:t>
      </w:r>
      <w:r w:rsidR="053597A2" w:rsidRPr="00393D5E">
        <w:t xml:space="preserve">: </w:t>
      </w:r>
    </w:p>
    <w:p w14:paraId="469078F2" w14:textId="005A5FD9" w:rsidR="00E83CFE" w:rsidRDefault="71EBEDC2" w:rsidP="00CD6144">
      <w:pPr>
        <w:pStyle w:val="Odstavecseseznamem"/>
        <w:widowControl w:val="0"/>
        <w:tabs>
          <w:tab w:val="left" w:pos="965"/>
          <w:tab w:val="left" w:pos="966"/>
        </w:tabs>
        <w:autoSpaceDE w:val="0"/>
        <w:autoSpaceDN w:val="0"/>
        <w:spacing w:before="68" w:after="0" w:line="276" w:lineRule="auto"/>
        <w:ind w:left="966" w:right="118"/>
        <w:jc w:val="both"/>
      </w:pPr>
      <w:r w:rsidRPr="00393D5E">
        <w:rPr>
          <w:rFonts w:ascii="Calibri" w:eastAsia="Calibri" w:hAnsi="Calibri" w:cs="Calibri"/>
        </w:rPr>
        <w:t>Dodatek NPO počítá s</w:t>
      </w:r>
      <w:r w:rsidR="0003053E">
        <w:rPr>
          <w:rFonts w:ascii="Calibri" w:eastAsia="Calibri" w:hAnsi="Calibri" w:cs="Calibri"/>
        </w:rPr>
        <w:t> </w:t>
      </w:r>
      <w:r w:rsidRPr="00393D5E">
        <w:rPr>
          <w:rFonts w:ascii="Calibri" w:eastAsia="Calibri" w:hAnsi="Calibri" w:cs="Calibri"/>
        </w:rPr>
        <w:t>komponentou s</w:t>
      </w:r>
      <w:r w:rsidR="0003053E">
        <w:rPr>
          <w:rFonts w:ascii="Calibri" w:eastAsia="Calibri" w:hAnsi="Calibri" w:cs="Calibri"/>
        </w:rPr>
        <w:t> </w:t>
      </w:r>
      <w:r w:rsidRPr="00393D5E">
        <w:rPr>
          <w:rFonts w:ascii="Calibri" w:eastAsia="Calibri" w:hAnsi="Calibri" w:cs="Calibri"/>
        </w:rPr>
        <w:t xml:space="preserve">názvem </w:t>
      </w:r>
      <w:r w:rsidRPr="00393D5E">
        <w:rPr>
          <w:rFonts w:ascii="Calibri" w:eastAsia="Calibri" w:hAnsi="Calibri" w:cs="Calibri"/>
          <w:i/>
          <w:iCs/>
        </w:rPr>
        <w:t>Posílení distribučních sítí a</w:t>
      </w:r>
      <w:r w:rsidR="0003053E">
        <w:rPr>
          <w:rFonts w:ascii="Calibri" w:eastAsia="Calibri" w:hAnsi="Calibri" w:cs="Calibri"/>
          <w:i/>
          <w:iCs/>
        </w:rPr>
        <w:t> </w:t>
      </w:r>
      <w:r w:rsidRPr="00393D5E">
        <w:rPr>
          <w:rFonts w:ascii="Calibri" w:eastAsia="Calibri" w:hAnsi="Calibri" w:cs="Calibri"/>
          <w:i/>
          <w:iCs/>
        </w:rPr>
        <w:t>navýšení jejich připojitelného výkonu v</w:t>
      </w:r>
      <w:r w:rsidR="0003053E">
        <w:rPr>
          <w:rFonts w:ascii="Calibri" w:eastAsia="Calibri" w:hAnsi="Calibri" w:cs="Calibri"/>
          <w:i/>
          <w:iCs/>
        </w:rPr>
        <w:t> </w:t>
      </w:r>
      <w:r w:rsidRPr="00393D5E">
        <w:rPr>
          <w:rFonts w:ascii="Calibri" w:eastAsia="Calibri" w:hAnsi="Calibri" w:cs="Calibri"/>
          <w:i/>
          <w:iCs/>
        </w:rPr>
        <w:t>souvislosti s</w:t>
      </w:r>
      <w:r w:rsidR="0003053E">
        <w:rPr>
          <w:rFonts w:ascii="Calibri" w:eastAsia="Calibri" w:hAnsi="Calibri" w:cs="Calibri"/>
          <w:i/>
          <w:iCs/>
        </w:rPr>
        <w:t> </w:t>
      </w:r>
      <w:r w:rsidRPr="00393D5E">
        <w:rPr>
          <w:rFonts w:ascii="Calibri" w:eastAsia="Calibri" w:hAnsi="Calibri" w:cs="Calibri"/>
          <w:i/>
          <w:iCs/>
        </w:rPr>
        <w:t>rozvojem obnovitelných zdrojů v</w:t>
      </w:r>
      <w:r w:rsidR="0003053E">
        <w:rPr>
          <w:rFonts w:ascii="Calibri" w:eastAsia="Calibri" w:hAnsi="Calibri" w:cs="Calibri"/>
          <w:i/>
          <w:iCs/>
        </w:rPr>
        <w:t> </w:t>
      </w:r>
      <w:r w:rsidRPr="00393D5E">
        <w:rPr>
          <w:rFonts w:ascii="Calibri" w:eastAsia="Calibri" w:hAnsi="Calibri" w:cs="Calibri"/>
          <w:i/>
          <w:iCs/>
        </w:rPr>
        <w:t>ČR, a</w:t>
      </w:r>
      <w:r w:rsidR="0003053E">
        <w:rPr>
          <w:rFonts w:ascii="Calibri" w:eastAsia="Calibri" w:hAnsi="Calibri" w:cs="Calibri"/>
          <w:i/>
          <w:iCs/>
        </w:rPr>
        <w:t> </w:t>
      </w:r>
      <w:r w:rsidRPr="00393D5E">
        <w:rPr>
          <w:rFonts w:ascii="Calibri" w:eastAsia="Calibri" w:hAnsi="Calibri" w:cs="Calibri"/>
          <w:i/>
          <w:iCs/>
        </w:rPr>
        <w:t>další rozvoj fotovoltaických zdrojů</w:t>
      </w:r>
      <w:r w:rsidRPr="00393D5E">
        <w:rPr>
          <w:rFonts w:ascii="Calibri" w:eastAsia="Calibri" w:hAnsi="Calibri" w:cs="Calibri"/>
        </w:rPr>
        <w:t>. Cílem je zajistit dostatečný a</w:t>
      </w:r>
      <w:r w:rsidR="0003053E">
        <w:rPr>
          <w:rFonts w:ascii="Calibri" w:eastAsia="Calibri" w:hAnsi="Calibri" w:cs="Calibri"/>
        </w:rPr>
        <w:t> </w:t>
      </w:r>
      <w:r w:rsidRPr="00393D5E">
        <w:rPr>
          <w:rFonts w:ascii="Calibri" w:eastAsia="Calibri" w:hAnsi="Calibri" w:cs="Calibri"/>
        </w:rPr>
        <w:t>rychlý rozvoj distribučních sítí umožňující bezpečný provoz elektrizační soustavy při uspokojení vysokých nároků na připojování obnovitelných zdrojů energie a</w:t>
      </w:r>
      <w:r w:rsidR="0003053E">
        <w:rPr>
          <w:rFonts w:ascii="Calibri" w:eastAsia="Calibri" w:hAnsi="Calibri" w:cs="Calibri"/>
        </w:rPr>
        <w:t> </w:t>
      </w:r>
      <w:r w:rsidRPr="00393D5E">
        <w:rPr>
          <w:rFonts w:ascii="Calibri" w:eastAsia="Calibri" w:hAnsi="Calibri" w:cs="Calibri"/>
        </w:rPr>
        <w:t>zajištění distribuce energie pro nová dobíjecí zařízení. V</w:t>
      </w:r>
      <w:r w:rsidR="0003053E">
        <w:rPr>
          <w:rFonts w:ascii="Calibri" w:eastAsia="Calibri" w:hAnsi="Calibri" w:cs="Calibri"/>
        </w:rPr>
        <w:t> </w:t>
      </w:r>
      <w:r w:rsidRPr="00393D5E">
        <w:rPr>
          <w:rFonts w:ascii="Calibri" w:eastAsia="Calibri" w:hAnsi="Calibri" w:cs="Calibri"/>
        </w:rPr>
        <w:t>návaznosti na tyto skutečnosti pak může být souběžně podpořeno posílení rozvoje fotovoltaických zdrojů. Dále je v</w:t>
      </w:r>
      <w:r w:rsidR="0003053E">
        <w:rPr>
          <w:rFonts w:ascii="Calibri" w:eastAsia="Calibri" w:hAnsi="Calibri" w:cs="Calibri"/>
        </w:rPr>
        <w:t> </w:t>
      </w:r>
      <w:r w:rsidRPr="00393D5E">
        <w:rPr>
          <w:rFonts w:ascii="Calibri" w:eastAsia="Calibri" w:hAnsi="Calibri" w:cs="Calibri"/>
        </w:rPr>
        <w:t xml:space="preserve">rámci komponenty </w:t>
      </w:r>
      <w:r w:rsidRPr="00393D5E">
        <w:rPr>
          <w:rFonts w:ascii="Calibri" w:eastAsia="Calibri" w:hAnsi="Calibri" w:cs="Calibri"/>
          <w:b/>
          <w:bCs/>
          <w:i/>
          <w:iCs/>
        </w:rPr>
        <w:t>Podpora decentralizace a</w:t>
      </w:r>
      <w:r w:rsidR="0003053E">
        <w:rPr>
          <w:rFonts w:ascii="Calibri" w:eastAsia="Calibri" w:hAnsi="Calibri" w:cs="Calibri"/>
          <w:b/>
          <w:bCs/>
          <w:i/>
          <w:iCs/>
        </w:rPr>
        <w:t> </w:t>
      </w:r>
      <w:r w:rsidRPr="00393D5E">
        <w:rPr>
          <w:rFonts w:ascii="Calibri" w:eastAsia="Calibri" w:hAnsi="Calibri" w:cs="Calibri"/>
          <w:b/>
          <w:bCs/>
          <w:i/>
          <w:iCs/>
        </w:rPr>
        <w:t>digitalizace energetiky</w:t>
      </w:r>
      <w:r w:rsidRPr="00393D5E">
        <w:rPr>
          <w:rFonts w:ascii="Calibri" w:eastAsia="Calibri" w:hAnsi="Calibri" w:cs="Calibri"/>
        </w:rPr>
        <w:t xml:space="preserve"> plánována realizace investičního projektu tvorby, realizace a</w:t>
      </w:r>
      <w:r w:rsidR="0003053E">
        <w:rPr>
          <w:rFonts w:ascii="Calibri" w:eastAsia="Calibri" w:hAnsi="Calibri" w:cs="Calibri"/>
        </w:rPr>
        <w:t> </w:t>
      </w:r>
      <w:r w:rsidRPr="00393D5E">
        <w:rPr>
          <w:rFonts w:ascii="Calibri" w:eastAsia="Calibri" w:hAnsi="Calibri" w:cs="Calibri"/>
        </w:rPr>
        <w:t>implementace Elektroenergetického datového centra.</w:t>
      </w:r>
      <w:r w:rsidR="72DED62E" w:rsidRPr="00393D5E">
        <w:t xml:space="preserve"> Hlavním cílem komponenty je umožnit úspěšnou a</w:t>
      </w:r>
      <w:r w:rsidR="0003053E">
        <w:t> </w:t>
      </w:r>
      <w:r w:rsidR="72DED62E" w:rsidRPr="00393D5E">
        <w:t>efektivní transformaci trhu s</w:t>
      </w:r>
      <w:r w:rsidR="0003053E">
        <w:t> </w:t>
      </w:r>
      <w:r w:rsidR="72DED62E" w:rsidRPr="00393D5E">
        <w:t>energiemi v</w:t>
      </w:r>
      <w:r w:rsidR="0003053E">
        <w:t> </w:t>
      </w:r>
      <w:r w:rsidR="72DED62E" w:rsidRPr="00393D5E">
        <w:t>České republice a</w:t>
      </w:r>
      <w:r w:rsidR="0003053E">
        <w:t> </w:t>
      </w:r>
      <w:r w:rsidR="72DED62E" w:rsidRPr="00393D5E">
        <w:t>zajistit datové výměny mezi provozovateli sítí a</w:t>
      </w:r>
      <w:r w:rsidR="0003053E">
        <w:t> </w:t>
      </w:r>
      <w:r w:rsidR="72DED62E" w:rsidRPr="00393D5E">
        <w:t>významnými účastníky trhu s</w:t>
      </w:r>
      <w:r w:rsidR="0003053E">
        <w:t> </w:t>
      </w:r>
      <w:r w:rsidR="72DED62E" w:rsidRPr="00393D5E">
        <w:t>cílem podpořit rozvoj agregace flexibility a</w:t>
      </w:r>
      <w:r w:rsidR="0003053E">
        <w:t> </w:t>
      </w:r>
      <w:r w:rsidR="72DED62E" w:rsidRPr="00393D5E">
        <w:t>energetických společenství a</w:t>
      </w:r>
      <w:r w:rsidR="0003053E">
        <w:t> </w:t>
      </w:r>
      <w:r w:rsidR="72DED62E" w:rsidRPr="00393D5E">
        <w:t>současně zajistit prostředí pro bezpečný a</w:t>
      </w:r>
      <w:r w:rsidR="0003053E">
        <w:t> </w:t>
      </w:r>
      <w:r w:rsidR="72DED62E" w:rsidRPr="00393D5E">
        <w:t xml:space="preserve">spolehlivý provoz </w:t>
      </w:r>
      <w:r w:rsidR="72DED62E" w:rsidRPr="00393D5E">
        <w:lastRenderedPageBreak/>
        <w:t>energetické soustavy a</w:t>
      </w:r>
      <w:r w:rsidR="0003053E">
        <w:t> </w:t>
      </w:r>
      <w:r w:rsidR="72DED62E" w:rsidRPr="00393D5E">
        <w:t>spolupráci mezi provozovateli sítí (přenosové a</w:t>
      </w:r>
      <w:r w:rsidR="0003053E">
        <w:t> </w:t>
      </w:r>
      <w:r w:rsidR="72DED62E" w:rsidRPr="00393D5E">
        <w:t>distribuční).</w:t>
      </w:r>
    </w:p>
    <w:p w14:paraId="395705AA" w14:textId="0C4D7441" w:rsidR="00FA10F0" w:rsidRPr="00393D5E" w:rsidRDefault="00FA10F0" w:rsidP="00CD6144">
      <w:pPr>
        <w:pStyle w:val="Odstavecseseznamem"/>
        <w:widowControl w:val="0"/>
        <w:tabs>
          <w:tab w:val="left" w:pos="965"/>
          <w:tab w:val="left" w:pos="966"/>
        </w:tabs>
        <w:autoSpaceDE w:val="0"/>
        <w:autoSpaceDN w:val="0"/>
        <w:spacing w:before="68" w:after="0" w:line="276" w:lineRule="auto"/>
        <w:ind w:left="966" w:right="118"/>
        <w:jc w:val="both"/>
        <w:rPr>
          <w:sz w:val="20"/>
          <w:szCs w:val="20"/>
        </w:rPr>
      </w:pPr>
    </w:p>
    <w:p w14:paraId="5A811CA7" w14:textId="77777777" w:rsidR="00B834B4" w:rsidRPr="00393D5E" w:rsidRDefault="07F06DE2" w:rsidP="00316A1B">
      <w:pPr>
        <w:pStyle w:val="Nadpis2"/>
        <w:spacing w:line="276" w:lineRule="auto"/>
      </w:pPr>
      <w:bookmarkStart w:id="7" w:name="_Toc151444337"/>
      <w:r>
        <w:t>Odůvodnění dodatku</w:t>
      </w:r>
      <w:bookmarkEnd w:id="7"/>
    </w:p>
    <w:p w14:paraId="3D5EE682" w14:textId="34CA3CF2" w:rsidR="34C8622E" w:rsidRPr="00393D5E" w:rsidRDefault="34C8622E" w:rsidP="2A4FC0D2">
      <w:pPr>
        <w:spacing w:after="0" w:line="276" w:lineRule="auto"/>
        <w:jc w:val="both"/>
      </w:pPr>
      <w:r w:rsidRPr="00393D5E">
        <w:rPr>
          <w:rFonts w:ascii="Calibri" w:eastAsia="Calibri" w:hAnsi="Calibri" w:cs="Calibri"/>
        </w:rPr>
        <w:t>Dodatek k</w:t>
      </w:r>
      <w:r w:rsidR="0003053E">
        <w:rPr>
          <w:rFonts w:ascii="Calibri" w:eastAsia="Calibri" w:hAnsi="Calibri" w:cs="Calibri"/>
        </w:rPr>
        <w:t> </w:t>
      </w:r>
      <w:r w:rsidRPr="00393D5E">
        <w:rPr>
          <w:rFonts w:ascii="Calibri" w:eastAsia="Calibri" w:hAnsi="Calibri" w:cs="Calibri"/>
        </w:rPr>
        <w:t>NPO představuje plán na komplexní posílení pozitivních dopadů implementace RRF v</w:t>
      </w:r>
      <w:r w:rsidR="0003053E">
        <w:rPr>
          <w:rFonts w:ascii="Calibri" w:eastAsia="Calibri" w:hAnsi="Calibri" w:cs="Calibri"/>
        </w:rPr>
        <w:t> </w:t>
      </w:r>
      <w:r w:rsidRPr="00393D5E">
        <w:rPr>
          <w:rFonts w:ascii="Calibri" w:eastAsia="Calibri" w:hAnsi="Calibri" w:cs="Calibri"/>
        </w:rPr>
        <w:t>ČR. S</w:t>
      </w:r>
      <w:r w:rsidR="0003053E">
        <w:rPr>
          <w:rFonts w:ascii="Calibri" w:eastAsia="Calibri" w:hAnsi="Calibri" w:cs="Calibri"/>
        </w:rPr>
        <w:t> </w:t>
      </w:r>
      <w:r w:rsidRPr="00393D5E">
        <w:rPr>
          <w:rFonts w:ascii="Calibri" w:eastAsia="Calibri" w:hAnsi="Calibri" w:cs="Calibri"/>
        </w:rPr>
        <w:t>cílem co nejvyšší efektivity při přípravě a</w:t>
      </w:r>
      <w:r w:rsidR="0003053E">
        <w:rPr>
          <w:rFonts w:ascii="Calibri" w:eastAsia="Calibri" w:hAnsi="Calibri" w:cs="Calibri"/>
        </w:rPr>
        <w:t> </w:t>
      </w:r>
      <w:r w:rsidRPr="00393D5E">
        <w:rPr>
          <w:rFonts w:ascii="Calibri" w:eastAsia="Calibri" w:hAnsi="Calibri" w:cs="Calibri"/>
        </w:rPr>
        <w:t>projednávání upraveného příslušného Prováděcího rozhodnutí Rady, ČR prostřednictvím Dodatku k</w:t>
      </w:r>
      <w:r w:rsidR="0003053E">
        <w:rPr>
          <w:rFonts w:ascii="Calibri" w:eastAsia="Calibri" w:hAnsi="Calibri" w:cs="Calibri"/>
        </w:rPr>
        <w:t> </w:t>
      </w:r>
      <w:r w:rsidRPr="00393D5E">
        <w:rPr>
          <w:rFonts w:ascii="Calibri" w:eastAsia="Calibri" w:hAnsi="Calibri" w:cs="Calibri"/>
        </w:rPr>
        <w:t>NPO uplatňuje zároveň všechna níže uvedená ustanovení Nařízení</w:t>
      </w:r>
      <w:r w:rsidRPr="00393D5E">
        <w:rPr>
          <w:rFonts w:ascii="Calibri" w:eastAsia="Calibri" w:hAnsi="Calibri" w:cs="Calibri"/>
          <w:sz w:val="17"/>
          <w:szCs w:val="17"/>
          <w:vertAlign w:val="superscript"/>
        </w:rPr>
        <w:t>5</w:t>
      </w:r>
      <w:r w:rsidRPr="00393D5E">
        <w:rPr>
          <w:rFonts w:ascii="Calibri" w:eastAsia="Calibri" w:hAnsi="Calibri" w:cs="Calibri"/>
        </w:rPr>
        <w:t xml:space="preserve">: </w:t>
      </w:r>
    </w:p>
    <w:p w14:paraId="12F3A724" w14:textId="08A50A6B" w:rsidR="34C8622E" w:rsidRPr="00393D5E" w:rsidRDefault="34C8622E" w:rsidP="2A4FC0D2">
      <w:pPr>
        <w:spacing w:after="0" w:line="276" w:lineRule="auto"/>
        <w:jc w:val="both"/>
      </w:pPr>
      <w:r w:rsidRPr="00393D5E">
        <w:rPr>
          <w:rFonts w:ascii="Segoe UI" w:eastAsia="Segoe UI" w:hAnsi="Segoe UI" w:cs="Segoe UI"/>
          <w:sz w:val="18"/>
          <w:szCs w:val="18"/>
        </w:rPr>
        <w:t xml:space="preserve"> </w:t>
      </w:r>
    </w:p>
    <w:p w14:paraId="33DCB730" w14:textId="324688B6" w:rsidR="34C8622E" w:rsidRPr="00393D5E" w:rsidRDefault="34C8622E" w:rsidP="2A4FC0D2">
      <w:pPr>
        <w:spacing w:after="0" w:line="276" w:lineRule="auto"/>
        <w:jc w:val="both"/>
      </w:pPr>
      <w:r w:rsidRPr="6562A966">
        <w:rPr>
          <w:rFonts w:ascii="Calibri" w:eastAsia="Calibri" w:hAnsi="Calibri" w:cs="Calibri"/>
        </w:rPr>
        <w:t>― čl. 14 odst. 2, tedy žádost o</w:t>
      </w:r>
      <w:r w:rsidR="0003053E">
        <w:rPr>
          <w:rFonts w:ascii="Calibri" w:eastAsia="Calibri" w:hAnsi="Calibri" w:cs="Calibri"/>
        </w:rPr>
        <w:t> </w:t>
      </w:r>
      <w:r w:rsidRPr="6562A966">
        <w:rPr>
          <w:rFonts w:ascii="Calibri" w:eastAsia="Calibri" w:hAnsi="Calibri" w:cs="Calibri"/>
        </w:rPr>
        <w:t>půjčku z</w:t>
      </w:r>
      <w:r w:rsidR="0003053E">
        <w:rPr>
          <w:rFonts w:ascii="Calibri" w:eastAsia="Calibri" w:hAnsi="Calibri" w:cs="Calibri"/>
        </w:rPr>
        <w:t> </w:t>
      </w:r>
      <w:r w:rsidRPr="6562A966">
        <w:rPr>
          <w:rFonts w:ascii="Calibri" w:eastAsia="Calibri" w:hAnsi="Calibri" w:cs="Calibri"/>
        </w:rPr>
        <w:t>RRF, a</w:t>
      </w:r>
      <w:r w:rsidR="0003053E">
        <w:rPr>
          <w:rFonts w:ascii="Calibri" w:eastAsia="Calibri" w:hAnsi="Calibri" w:cs="Calibri"/>
        </w:rPr>
        <w:t> </w:t>
      </w:r>
      <w:r w:rsidRPr="6562A966">
        <w:rPr>
          <w:rFonts w:ascii="Calibri" w:eastAsia="Calibri" w:hAnsi="Calibri" w:cs="Calibri"/>
        </w:rPr>
        <w:t>to na vybraná nová opatření (viz příslušná část kapitoly II.1 Nové komponenty a</w:t>
      </w:r>
      <w:r w:rsidR="0003053E">
        <w:rPr>
          <w:rFonts w:ascii="Calibri" w:eastAsia="Calibri" w:hAnsi="Calibri" w:cs="Calibri"/>
        </w:rPr>
        <w:t> </w:t>
      </w:r>
      <w:r w:rsidRPr="6562A966">
        <w:rPr>
          <w:rFonts w:ascii="Calibri" w:eastAsia="Calibri" w:hAnsi="Calibri" w:cs="Calibri"/>
        </w:rPr>
        <w:t xml:space="preserve">příslušná část kapitoly </w:t>
      </w:r>
      <w:r w:rsidR="008A11C2" w:rsidRPr="6562A966">
        <w:rPr>
          <w:rFonts w:ascii="Calibri" w:eastAsia="Calibri" w:hAnsi="Calibri" w:cs="Calibri"/>
        </w:rPr>
        <w:t>II.2)</w:t>
      </w:r>
      <w:r w:rsidRPr="6562A966">
        <w:rPr>
          <w:rFonts w:ascii="Calibri" w:eastAsia="Calibri" w:hAnsi="Calibri" w:cs="Calibri"/>
        </w:rPr>
        <w:t xml:space="preserve">; </w:t>
      </w:r>
    </w:p>
    <w:p w14:paraId="03729515" w14:textId="52E93E9B" w:rsidR="34C8622E" w:rsidRPr="00393D5E" w:rsidRDefault="34C8622E" w:rsidP="6562A966">
      <w:pPr>
        <w:spacing w:after="0" w:line="276" w:lineRule="auto"/>
        <w:jc w:val="both"/>
        <w:rPr>
          <w:rFonts w:ascii="Calibri" w:eastAsia="Calibri" w:hAnsi="Calibri" w:cs="Calibri"/>
        </w:rPr>
      </w:pPr>
      <w:r w:rsidRPr="6562A966">
        <w:rPr>
          <w:rFonts w:ascii="Calibri" w:eastAsia="Calibri" w:hAnsi="Calibri" w:cs="Calibri"/>
        </w:rPr>
        <w:t>― čl. 18 odst. 2, tedy aktualizace plánu z</w:t>
      </w:r>
      <w:r w:rsidR="0003053E">
        <w:rPr>
          <w:rFonts w:ascii="Calibri" w:eastAsia="Calibri" w:hAnsi="Calibri" w:cs="Calibri"/>
        </w:rPr>
        <w:t> </w:t>
      </w:r>
      <w:r w:rsidRPr="6562A966">
        <w:rPr>
          <w:rFonts w:ascii="Calibri" w:eastAsia="Calibri" w:hAnsi="Calibri" w:cs="Calibri"/>
        </w:rPr>
        <w:t>důvodu navýšení grantové alokace pro ČR (viz příslušná část kapitoly II.1 Nové komponenty a</w:t>
      </w:r>
      <w:r w:rsidR="0003053E">
        <w:rPr>
          <w:rFonts w:ascii="Calibri" w:eastAsia="Calibri" w:hAnsi="Calibri" w:cs="Calibri"/>
        </w:rPr>
        <w:t> </w:t>
      </w:r>
      <w:r w:rsidRPr="6562A966">
        <w:rPr>
          <w:rFonts w:ascii="Calibri" w:eastAsia="Calibri" w:hAnsi="Calibri" w:cs="Calibri"/>
        </w:rPr>
        <w:t>příslušná část kapitoly II.3 Pozměněné komponenty</w:t>
      </w:r>
      <w:r w:rsidR="634EC961" w:rsidRPr="6562A966">
        <w:rPr>
          <w:rFonts w:ascii="Calibri" w:eastAsia="Calibri" w:hAnsi="Calibri" w:cs="Calibri"/>
        </w:rPr>
        <w:t xml:space="preserve"> a</w:t>
      </w:r>
      <w:r w:rsidR="0003053E">
        <w:rPr>
          <w:rFonts w:ascii="Calibri" w:eastAsia="Calibri" w:hAnsi="Calibri" w:cs="Calibri"/>
        </w:rPr>
        <w:t> </w:t>
      </w:r>
      <w:r w:rsidR="634EC961" w:rsidRPr="6562A966">
        <w:rPr>
          <w:rFonts w:ascii="Calibri" w:eastAsia="Calibri" w:hAnsi="Calibri" w:cs="Calibri"/>
        </w:rPr>
        <w:t>dále pilíř č. 7 - REPowerEU</w:t>
      </w:r>
      <w:r w:rsidRPr="6562A966">
        <w:rPr>
          <w:rFonts w:ascii="Calibri" w:eastAsia="Calibri" w:hAnsi="Calibri" w:cs="Calibri"/>
        </w:rPr>
        <w:t xml:space="preserve">); </w:t>
      </w:r>
    </w:p>
    <w:p w14:paraId="48AA814F" w14:textId="6271B9EE" w:rsidR="34C8622E" w:rsidRPr="00393D5E" w:rsidRDefault="34C8622E" w:rsidP="2A4FC0D2">
      <w:pPr>
        <w:spacing w:after="0" w:line="276" w:lineRule="auto"/>
        <w:jc w:val="both"/>
      </w:pPr>
      <w:r w:rsidRPr="00393D5E">
        <w:rPr>
          <w:rFonts w:ascii="Calibri" w:eastAsia="Calibri" w:hAnsi="Calibri" w:cs="Calibri"/>
        </w:rPr>
        <w:t>― čl. 21, tedy změnu plánu z</w:t>
      </w:r>
      <w:r w:rsidR="0003053E">
        <w:rPr>
          <w:rFonts w:ascii="Calibri" w:eastAsia="Calibri" w:hAnsi="Calibri" w:cs="Calibri"/>
        </w:rPr>
        <w:t> </w:t>
      </w:r>
      <w:r w:rsidRPr="00393D5E">
        <w:rPr>
          <w:rFonts w:ascii="Calibri" w:eastAsia="Calibri" w:hAnsi="Calibri" w:cs="Calibri"/>
        </w:rPr>
        <w:t xml:space="preserve">důvodu objektivních příčin (viz příslušná část kapitoly II.3 Pozměněné komponenty); </w:t>
      </w:r>
    </w:p>
    <w:p w14:paraId="39EE1ED1" w14:textId="77CDA987" w:rsidR="34C8622E" w:rsidRPr="00393D5E" w:rsidRDefault="34C8622E" w:rsidP="2A4FC0D2">
      <w:pPr>
        <w:spacing w:after="0" w:line="276" w:lineRule="auto"/>
        <w:jc w:val="both"/>
      </w:pPr>
      <w:r w:rsidRPr="00393D5E">
        <w:rPr>
          <w:rFonts w:ascii="Calibri" w:eastAsia="Calibri" w:hAnsi="Calibri" w:cs="Calibri"/>
        </w:rPr>
        <w:t>― čl. 21a a</w:t>
      </w:r>
      <w:r w:rsidR="0003053E">
        <w:rPr>
          <w:rFonts w:ascii="Calibri" w:eastAsia="Calibri" w:hAnsi="Calibri" w:cs="Calibri"/>
        </w:rPr>
        <w:t> </w:t>
      </w:r>
      <w:r w:rsidRPr="00393D5E">
        <w:rPr>
          <w:rFonts w:ascii="Calibri" w:eastAsia="Calibri" w:hAnsi="Calibri" w:cs="Calibri"/>
        </w:rPr>
        <w:t xml:space="preserve">čl. 21b, tedy předložení kapitoly REPowerEU (viz kapitola II.2 Pilíř č. 7 – REPowerEU). </w:t>
      </w:r>
    </w:p>
    <w:p w14:paraId="4511564E" w14:textId="583A4A7E" w:rsidR="34C8622E" w:rsidRPr="00393D5E" w:rsidRDefault="34C8622E" w:rsidP="2A4FC0D2">
      <w:pPr>
        <w:spacing w:after="0" w:line="276" w:lineRule="auto"/>
        <w:jc w:val="both"/>
      </w:pPr>
      <w:r w:rsidRPr="00393D5E">
        <w:rPr>
          <w:rFonts w:ascii="Calibri" w:eastAsia="Calibri" w:hAnsi="Calibri" w:cs="Calibri"/>
        </w:rPr>
        <w:t>Konkrétní zdůvodnění pro uplatnění výše uvedených článků Nařízení je uvedeno v</w:t>
      </w:r>
      <w:r w:rsidR="0003053E">
        <w:rPr>
          <w:rFonts w:ascii="Calibri" w:eastAsia="Calibri" w:hAnsi="Calibri" w:cs="Calibri"/>
        </w:rPr>
        <w:t> </w:t>
      </w:r>
      <w:r w:rsidRPr="00393D5E">
        <w:rPr>
          <w:rFonts w:ascii="Calibri" w:eastAsia="Calibri" w:hAnsi="Calibri" w:cs="Calibri"/>
        </w:rPr>
        <w:t>příslušných kapitolách a</w:t>
      </w:r>
      <w:r w:rsidR="0003053E">
        <w:rPr>
          <w:rFonts w:ascii="Calibri" w:eastAsia="Calibri" w:hAnsi="Calibri" w:cs="Calibri"/>
        </w:rPr>
        <w:t> </w:t>
      </w:r>
      <w:r w:rsidRPr="00393D5E">
        <w:rPr>
          <w:rFonts w:ascii="Calibri" w:eastAsia="Calibri" w:hAnsi="Calibri" w:cs="Calibri"/>
        </w:rPr>
        <w:t>v popisu konkrétních upravených opatření a</w:t>
      </w:r>
      <w:r w:rsidR="0003053E">
        <w:rPr>
          <w:rFonts w:ascii="Calibri" w:eastAsia="Calibri" w:hAnsi="Calibri" w:cs="Calibri"/>
        </w:rPr>
        <w:t> </w:t>
      </w:r>
      <w:r w:rsidRPr="00393D5E">
        <w:rPr>
          <w:rFonts w:ascii="Calibri" w:eastAsia="Calibri" w:hAnsi="Calibri" w:cs="Calibri"/>
        </w:rPr>
        <w:t xml:space="preserve">nově přidaných opatření. </w:t>
      </w:r>
    </w:p>
    <w:p w14:paraId="6BFFD653" w14:textId="5798EEAE" w:rsidR="34C8622E" w:rsidRPr="00393D5E" w:rsidRDefault="34C8622E" w:rsidP="2A4FC0D2">
      <w:pPr>
        <w:spacing w:after="0" w:line="276" w:lineRule="auto"/>
        <w:jc w:val="both"/>
      </w:pPr>
      <w:r w:rsidRPr="00393D5E">
        <w:rPr>
          <w:rFonts w:ascii="Arial" w:eastAsia="Arial" w:hAnsi="Arial" w:cs="Arial"/>
          <w:color w:val="000000" w:themeColor="text1"/>
          <w:sz w:val="24"/>
          <w:szCs w:val="24"/>
        </w:rPr>
        <w:t xml:space="preserve"> </w:t>
      </w:r>
    </w:p>
    <w:p w14:paraId="6269EAA8" w14:textId="3B64425F" w:rsidR="34C8622E" w:rsidRPr="00393D5E" w:rsidRDefault="34C8622E" w:rsidP="2A4FC0D2">
      <w:pPr>
        <w:spacing w:after="0" w:line="276" w:lineRule="auto"/>
        <w:jc w:val="both"/>
      </w:pPr>
      <w:r w:rsidRPr="00393D5E">
        <w:rPr>
          <w:rFonts w:ascii="Calibri" w:eastAsia="Calibri" w:hAnsi="Calibri" w:cs="Calibri"/>
          <w:color w:val="000000" w:themeColor="text1"/>
        </w:rPr>
        <w:t>Veškeré změny v</w:t>
      </w:r>
      <w:r w:rsidR="0003053E">
        <w:rPr>
          <w:rFonts w:ascii="Calibri" w:eastAsia="Calibri" w:hAnsi="Calibri" w:cs="Calibri"/>
          <w:color w:val="000000" w:themeColor="text1"/>
        </w:rPr>
        <w:t> </w:t>
      </w:r>
      <w:r w:rsidRPr="00393D5E">
        <w:rPr>
          <w:rFonts w:ascii="Calibri" w:eastAsia="Calibri" w:hAnsi="Calibri" w:cs="Calibri"/>
          <w:color w:val="000000" w:themeColor="text1"/>
        </w:rPr>
        <w:t>upraveném NPO reflektují výše popsané legislativní možnosti, určené Nařízením (EU) 2021/241 a</w:t>
      </w:r>
      <w:r w:rsidR="0003053E">
        <w:rPr>
          <w:rFonts w:ascii="Calibri" w:eastAsia="Calibri" w:hAnsi="Calibri" w:cs="Calibri"/>
          <w:color w:val="000000" w:themeColor="text1"/>
        </w:rPr>
        <w:t> </w:t>
      </w:r>
      <w:r w:rsidRPr="00393D5E">
        <w:rPr>
          <w:rFonts w:ascii="Calibri" w:eastAsia="Calibri" w:hAnsi="Calibri" w:cs="Calibri"/>
          <w:color w:val="000000" w:themeColor="text1"/>
        </w:rPr>
        <w:t>v případě kapitoly REPowerEU vychází z</w:t>
      </w:r>
      <w:r w:rsidR="0003053E">
        <w:rPr>
          <w:rFonts w:ascii="Calibri" w:eastAsia="Calibri" w:hAnsi="Calibri" w:cs="Calibri"/>
          <w:color w:val="000000" w:themeColor="text1"/>
        </w:rPr>
        <w:t> </w:t>
      </w:r>
      <w:r w:rsidRPr="00393D5E">
        <w:rPr>
          <w:rFonts w:ascii="Calibri" w:eastAsia="Calibri" w:hAnsi="Calibri" w:cs="Calibri"/>
          <w:color w:val="000000" w:themeColor="text1"/>
        </w:rPr>
        <w:t xml:space="preserve">Nařízení (EU) 2023/435, kterým se mění Nařízení (EU) 2021/241.  </w:t>
      </w:r>
    </w:p>
    <w:p w14:paraId="52401F43" w14:textId="28D64C89" w:rsidR="34C8622E" w:rsidRPr="00393D5E" w:rsidRDefault="34C8622E" w:rsidP="2A4FC0D2">
      <w:pPr>
        <w:spacing w:after="200" w:line="276" w:lineRule="auto"/>
        <w:jc w:val="both"/>
      </w:pPr>
      <w:r w:rsidRPr="00393D5E">
        <w:rPr>
          <w:rFonts w:ascii="Calibri" w:eastAsia="Calibri" w:hAnsi="Calibri" w:cs="Calibri"/>
          <w:b/>
          <w:bCs/>
          <w:color w:val="000000" w:themeColor="text1"/>
        </w:rPr>
        <w:t xml:space="preserve"> </w:t>
      </w:r>
    </w:p>
    <w:p w14:paraId="69F4B548" w14:textId="5CE966E7" w:rsidR="34C8622E" w:rsidRPr="00393D5E" w:rsidRDefault="34C8622E" w:rsidP="2A4FC0D2">
      <w:pPr>
        <w:rPr>
          <w:rFonts w:ascii="Calibri" w:eastAsia="Calibri" w:hAnsi="Calibri" w:cs="Calibri"/>
          <w:b/>
          <w:bCs/>
          <w:color w:val="000000" w:themeColor="text1"/>
          <w:u w:val="single"/>
        </w:rPr>
      </w:pPr>
      <w:r w:rsidRPr="00393D5E">
        <w:rPr>
          <w:b/>
          <w:bCs/>
          <w:u w:val="single"/>
        </w:rPr>
        <w:t>Revize stávajícího NPO, zohledňující objektivní okolnosti, vztah k</w:t>
      </w:r>
      <w:r w:rsidR="0003053E">
        <w:rPr>
          <w:b/>
          <w:bCs/>
          <w:u w:val="single"/>
        </w:rPr>
        <w:t> </w:t>
      </w:r>
      <w:r w:rsidRPr="00393D5E">
        <w:rPr>
          <w:b/>
          <w:bCs/>
          <w:u w:val="single"/>
        </w:rPr>
        <w:t>inflaci</w:t>
      </w:r>
    </w:p>
    <w:p w14:paraId="557D2C2C" w14:textId="3136C0DA" w:rsidR="34C8622E" w:rsidRPr="00393D5E" w:rsidRDefault="34C8622E" w:rsidP="2A4FC0D2">
      <w:pPr>
        <w:spacing w:line="293" w:lineRule="auto"/>
        <w:jc w:val="both"/>
      </w:pPr>
      <w:r w:rsidRPr="00393D5E">
        <w:rPr>
          <w:rFonts w:ascii="Calibri" w:eastAsia="Calibri" w:hAnsi="Calibri" w:cs="Calibri"/>
          <w:color w:val="000000" w:themeColor="text1"/>
        </w:rPr>
        <w:t xml:space="preserve"> Původně schválený NPO bylo potřeba revidovat na základě nově vzniklých objektivních okolností, kvůli nimž nebylo možné některé části NPO zrealizovat v</w:t>
      </w:r>
      <w:r w:rsidR="0003053E">
        <w:rPr>
          <w:rFonts w:ascii="Calibri" w:eastAsia="Calibri" w:hAnsi="Calibri" w:cs="Calibri"/>
          <w:color w:val="000000" w:themeColor="text1"/>
        </w:rPr>
        <w:t> </w:t>
      </w:r>
      <w:r w:rsidRPr="00393D5E">
        <w:rPr>
          <w:rFonts w:ascii="Calibri" w:eastAsia="Calibri" w:hAnsi="Calibri" w:cs="Calibri"/>
          <w:color w:val="000000" w:themeColor="text1"/>
        </w:rPr>
        <w:t>původně plánovaném rozsahu. Touto objektivní okolností byla bezprecedentní inflace vyjádřená například nárůstem cen komodit, energií, stavebních materiálů a</w:t>
      </w:r>
      <w:r w:rsidR="0003053E">
        <w:rPr>
          <w:rFonts w:ascii="Calibri" w:eastAsia="Calibri" w:hAnsi="Calibri" w:cs="Calibri"/>
          <w:color w:val="000000" w:themeColor="text1"/>
        </w:rPr>
        <w:t> </w:t>
      </w:r>
      <w:r w:rsidRPr="00393D5E">
        <w:rPr>
          <w:rFonts w:ascii="Calibri" w:eastAsia="Calibri" w:hAnsi="Calibri" w:cs="Calibri"/>
          <w:color w:val="000000" w:themeColor="text1"/>
        </w:rPr>
        <w:t>také narušení dodavatelských řetězců. Tyto důsledky vojenské agrese Ruské federace na Ukrajině byly nepředvídané a</w:t>
      </w:r>
      <w:r w:rsidR="0003053E">
        <w:rPr>
          <w:rFonts w:ascii="Calibri" w:eastAsia="Calibri" w:hAnsi="Calibri" w:cs="Calibri"/>
          <w:color w:val="000000" w:themeColor="text1"/>
        </w:rPr>
        <w:t> </w:t>
      </w:r>
      <w:r w:rsidRPr="00393D5E">
        <w:rPr>
          <w:rFonts w:ascii="Calibri" w:eastAsia="Calibri" w:hAnsi="Calibri" w:cs="Calibri"/>
          <w:color w:val="000000" w:themeColor="text1"/>
        </w:rPr>
        <w:t>v kombinaci s</w:t>
      </w:r>
      <w:r w:rsidR="0003053E">
        <w:rPr>
          <w:rFonts w:ascii="Calibri" w:eastAsia="Calibri" w:hAnsi="Calibri" w:cs="Calibri"/>
          <w:color w:val="000000" w:themeColor="text1"/>
        </w:rPr>
        <w:t> </w:t>
      </w:r>
      <w:r w:rsidRPr="00393D5E">
        <w:rPr>
          <w:rFonts w:ascii="Calibri" w:eastAsia="Calibri" w:hAnsi="Calibri" w:cs="Calibri"/>
          <w:color w:val="000000" w:themeColor="text1"/>
        </w:rPr>
        <w:t>krizí na energetických trzích byl jejich dopad na ekonomiku enormní.</w:t>
      </w:r>
    </w:p>
    <w:p w14:paraId="6DC38DC0" w14:textId="6D9A28E2" w:rsidR="34C8622E" w:rsidRPr="00393D5E" w:rsidRDefault="34C8622E" w:rsidP="2A4FC0D2">
      <w:pPr>
        <w:spacing w:after="0" w:line="276" w:lineRule="auto"/>
        <w:jc w:val="both"/>
      </w:pPr>
      <w:r w:rsidRPr="00393D5E">
        <w:rPr>
          <w:rFonts w:ascii="Calibri" w:eastAsia="Calibri" w:hAnsi="Calibri" w:cs="Calibri"/>
          <w:color w:val="000000" w:themeColor="text1"/>
        </w:rPr>
        <w:t>NPO je silně proinvestičně orientovaný a</w:t>
      </w:r>
      <w:r w:rsidR="0003053E">
        <w:rPr>
          <w:rFonts w:ascii="Calibri" w:eastAsia="Calibri" w:hAnsi="Calibri" w:cs="Calibri"/>
          <w:color w:val="000000" w:themeColor="text1"/>
        </w:rPr>
        <w:t> </w:t>
      </w:r>
      <w:r w:rsidRPr="00393D5E">
        <w:rPr>
          <w:rFonts w:ascii="Calibri" w:eastAsia="Calibri" w:hAnsi="Calibri" w:cs="Calibri"/>
          <w:color w:val="000000" w:themeColor="text1"/>
        </w:rPr>
        <w:t>celá řada jeho komponent a</w:t>
      </w:r>
      <w:r w:rsidR="0003053E">
        <w:rPr>
          <w:rFonts w:ascii="Calibri" w:eastAsia="Calibri" w:hAnsi="Calibri" w:cs="Calibri"/>
          <w:color w:val="000000" w:themeColor="text1"/>
        </w:rPr>
        <w:t> </w:t>
      </w:r>
      <w:r w:rsidRPr="00393D5E">
        <w:rPr>
          <w:rFonts w:ascii="Calibri" w:eastAsia="Calibri" w:hAnsi="Calibri" w:cs="Calibri"/>
          <w:color w:val="000000" w:themeColor="text1"/>
        </w:rPr>
        <w:t xml:space="preserve">cílů obsahuje stavební projekty, které si plán vytyčil zrealizovat. </w:t>
      </w:r>
    </w:p>
    <w:p w14:paraId="1BDE928C" w14:textId="4EC9A91A" w:rsidR="34C8622E" w:rsidRPr="00393D5E" w:rsidRDefault="34C8622E" w:rsidP="2A4FC0D2">
      <w:pPr>
        <w:spacing w:after="0" w:line="276" w:lineRule="auto"/>
        <w:jc w:val="both"/>
      </w:pPr>
      <w:r w:rsidRPr="00393D5E">
        <w:rPr>
          <w:rFonts w:ascii="Calibri" w:eastAsia="Calibri" w:hAnsi="Calibri" w:cs="Calibri"/>
          <w:color w:val="000000" w:themeColor="text1"/>
        </w:rPr>
        <w:t xml:space="preserve"> </w:t>
      </w:r>
    </w:p>
    <w:p w14:paraId="10B630F2" w14:textId="596E83CA" w:rsidR="34C8622E" w:rsidRPr="00393D5E" w:rsidRDefault="34C8622E" w:rsidP="2A4FC0D2">
      <w:pPr>
        <w:spacing w:after="0" w:line="276" w:lineRule="auto"/>
        <w:jc w:val="both"/>
      </w:pPr>
      <w:r w:rsidRPr="00393D5E">
        <w:rPr>
          <w:rFonts w:ascii="Calibri" w:eastAsia="Calibri" w:hAnsi="Calibri" w:cs="Calibri"/>
          <w:color w:val="000000" w:themeColor="text1"/>
        </w:rPr>
        <w:t>Potřeby revidovat některá opatření a</w:t>
      </w:r>
      <w:r w:rsidR="0003053E">
        <w:rPr>
          <w:rFonts w:ascii="Calibri" w:eastAsia="Calibri" w:hAnsi="Calibri" w:cs="Calibri"/>
          <w:color w:val="000000" w:themeColor="text1"/>
        </w:rPr>
        <w:t> </w:t>
      </w:r>
      <w:r w:rsidRPr="00393D5E">
        <w:rPr>
          <w:rFonts w:ascii="Calibri" w:eastAsia="Calibri" w:hAnsi="Calibri" w:cs="Calibri"/>
          <w:color w:val="000000" w:themeColor="text1"/>
        </w:rPr>
        <w:t>konkrétní propočty navýšení alokací nebo snížení cílů vychází z</w:t>
      </w:r>
      <w:r w:rsidR="0003053E">
        <w:rPr>
          <w:rFonts w:ascii="Calibri" w:eastAsia="Calibri" w:hAnsi="Calibri" w:cs="Calibri"/>
          <w:color w:val="000000" w:themeColor="text1"/>
        </w:rPr>
        <w:t> </w:t>
      </w:r>
      <w:r w:rsidRPr="00393D5E">
        <w:rPr>
          <w:rFonts w:ascii="Calibri" w:eastAsia="Calibri" w:hAnsi="Calibri" w:cs="Calibri"/>
          <w:color w:val="000000" w:themeColor="text1"/>
        </w:rPr>
        <w:t>roční míry inflace (HICP) měřené EUROSTATem a</w:t>
      </w:r>
      <w:r w:rsidR="0003053E">
        <w:rPr>
          <w:rFonts w:ascii="Calibri" w:eastAsia="Calibri" w:hAnsi="Calibri" w:cs="Calibri"/>
          <w:color w:val="000000" w:themeColor="text1"/>
        </w:rPr>
        <w:t> </w:t>
      </w:r>
      <w:r w:rsidRPr="00393D5E">
        <w:rPr>
          <w:rFonts w:ascii="Calibri" w:eastAsia="Calibri" w:hAnsi="Calibri" w:cs="Calibri"/>
          <w:color w:val="000000" w:themeColor="text1"/>
        </w:rPr>
        <w:t>jejího výhledu do roku 2024 (3,3 % v</w:t>
      </w:r>
      <w:r w:rsidR="0003053E">
        <w:rPr>
          <w:rFonts w:ascii="Calibri" w:eastAsia="Calibri" w:hAnsi="Calibri" w:cs="Calibri"/>
          <w:color w:val="000000" w:themeColor="text1"/>
        </w:rPr>
        <w:t> </w:t>
      </w:r>
      <w:r w:rsidRPr="00393D5E">
        <w:rPr>
          <w:rFonts w:ascii="Calibri" w:eastAsia="Calibri" w:hAnsi="Calibri" w:cs="Calibri"/>
          <w:color w:val="000000" w:themeColor="text1"/>
        </w:rPr>
        <w:t>roce 2021, 14,8 % v</w:t>
      </w:r>
      <w:r w:rsidR="0003053E">
        <w:rPr>
          <w:rFonts w:ascii="Calibri" w:eastAsia="Calibri" w:hAnsi="Calibri" w:cs="Calibri"/>
          <w:color w:val="000000" w:themeColor="text1"/>
        </w:rPr>
        <w:t> </w:t>
      </w:r>
      <w:r w:rsidRPr="00393D5E">
        <w:rPr>
          <w:rFonts w:ascii="Calibri" w:eastAsia="Calibri" w:hAnsi="Calibri" w:cs="Calibri"/>
          <w:color w:val="000000" w:themeColor="text1"/>
        </w:rPr>
        <w:t>roce 2022, 9,3 % predikce pro rok 2023 a</w:t>
      </w:r>
      <w:r w:rsidR="0003053E">
        <w:rPr>
          <w:rFonts w:ascii="Calibri" w:eastAsia="Calibri" w:hAnsi="Calibri" w:cs="Calibri"/>
          <w:color w:val="000000" w:themeColor="text1"/>
        </w:rPr>
        <w:t> </w:t>
      </w:r>
      <w:r w:rsidRPr="00393D5E">
        <w:rPr>
          <w:rFonts w:ascii="Calibri" w:eastAsia="Calibri" w:hAnsi="Calibri" w:cs="Calibri"/>
          <w:color w:val="000000" w:themeColor="text1"/>
        </w:rPr>
        <w:t>3,5 % predikce pro rok 2024 při snížení standardní míry inflace o</w:t>
      </w:r>
      <w:r w:rsidR="0003053E">
        <w:rPr>
          <w:rFonts w:ascii="Calibri" w:eastAsia="Calibri" w:hAnsi="Calibri" w:cs="Calibri"/>
          <w:color w:val="000000" w:themeColor="text1"/>
        </w:rPr>
        <w:t> </w:t>
      </w:r>
      <w:r w:rsidRPr="00393D5E">
        <w:rPr>
          <w:rFonts w:ascii="Calibri" w:eastAsia="Calibri" w:hAnsi="Calibri" w:cs="Calibri"/>
          <w:color w:val="000000" w:themeColor="text1"/>
        </w:rPr>
        <w:t>2 %), což odpovídá také ekonomickým prognózám Evropské komise. Toto je základní informace, s</w:t>
      </w:r>
      <w:r w:rsidR="0003053E">
        <w:rPr>
          <w:rFonts w:ascii="Calibri" w:eastAsia="Calibri" w:hAnsi="Calibri" w:cs="Calibri"/>
          <w:color w:val="000000" w:themeColor="text1"/>
        </w:rPr>
        <w:t> </w:t>
      </w:r>
      <w:r w:rsidRPr="00393D5E">
        <w:rPr>
          <w:rFonts w:ascii="Calibri" w:eastAsia="Calibri" w:hAnsi="Calibri" w:cs="Calibri"/>
          <w:color w:val="000000" w:themeColor="text1"/>
        </w:rPr>
        <w:t>níž pracují všichni vlastníci komponent.</w:t>
      </w:r>
    </w:p>
    <w:p w14:paraId="356E7F64" w14:textId="22717135" w:rsidR="34C8622E" w:rsidRPr="00393D5E" w:rsidRDefault="34C8622E" w:rsidP="2A4FC0D2">
      <w:pPr>
        <w:spacing w:after="0" w:line="276" w:lineRule="auto"/>
        <w:jc w:val="both"/>
      </w:pPr>
      <w:r w:rsidRPr="00393D5E">
        <w:rPr>
          <w:rFonts w:ascii="Calibri" w:eastAsia="Calibri" w:hAnsi="Calibri" w:cs="Calibri"/>
          <w:color w:val="000000" w:themeColor="text1"/>
        </w:rPr>
        <w:t xml:space="preserve"> </w:t>
      </w:r>
    </w:p>
    <w:p w14:paraId="46B6880D" w14:textId="5A84C099" w:rsidR="00AB4978" w:rsidRPr="00393D5E" w:rsidRDefault="34C8622E" w:rsidP="2A4FC0D2">
      <w:pPr>
        <w:spacing w:after="0" w:line="276" w:lineRule="auto"/>
        <w:jc w:val="both"/>
        <w:rPr>
          <w:rFonts w:ascii="Calibri" w:eastAsia="Calibri" w:hAnsi="Calibri" w:cs="Calibri"/>
          <w:color w:val="000000" w:themeColor="text1"/>
        </w:rPr>
      </w:pPr>
      <w:r w:rsidRPr="00393D5E">
        <w:rPr>
          <w:rFonts w:ascii="Calibri" w:eastAsia="Calibri" w:hAnsi="Calibri" w:cs="Calibri"/>
          <w:color w:val="000000" w:themeColor="text1"/>
        </w:rPr>
        <w:t>Převis poptávky nad nabídkou na trhu stavebních prací vedla v</w:t>
      </w:r>
      <w:r w:rsidR="0003053E">
        <w:rPr>
          <w:rFonts w:ascii="Calibri" w:eastAsia="Calibri" w:hAnsi="Calibri" w:cs="Calibri"/>
          <w:color w:val="000000" w:themeColor="text1"/>
        </w:rPr>
        <w:t> </w:t>
      </w:r>
      <w:r w:rsidRPr="00393D5E">
        <w:rPr>
          <w:rFonts w:ascii="Calibri" w:eastAsia="Calibri" w:hAnsi="Calibri" w:cs="Calibri"/>
          <w:color w:val="000000" w:themeColor="text1"/>
        </w:rPr>
        <w:t>ČR k</w:t>
      </w:r>
      <w:r w:rsidR="0003053E">
        <w:rPr>
          <w:rFonts w:ascii="Calibri" w:eastAsia="Calibri" w:hAnsi="Calibri" w:cs="Calibri"/>
          <w:color w:val="000000" w:themeColor="text1"/>
        </w:rPr>
        <w:t> </w:t>
      </w:r>
      <w:r w:rsidRPr="00393D5E">
        <w:rPr>
          <w:rFonts w:ascii="Calibri" w:eastAsia="Calibri" w:hAnsi="Calibri" w:cs="Calibri"/>
          <w:color w:val="000000" w:themeColor="text1"/>
        </w:rPr>
        <w:t>většímu růstu cen stavebních prací, než jsou hodnoty průměrné inflace dle indexu HICP, což je zohledněno ve výraznějším navýšení alokací na příklad v</w:t>
      </w:r>
      <w:r w:rsidR="0003053E">
        <w:rPr>
          <w:rFonts w:ascii="Calibri" w:eastAsia="Calibri" w:hAnsi="Calibri" w:cs="Calibri"/>
          <w:color w:val="000000" w:themeColor="text1"/>
        </w:rPr>
        <w:t> </w:t>
      </w:r>
      <w:r w:rsidRPr="00393D5E">
        <w:rPr>
          <w:rFonts w:ascii="Calibri" w:eastAsia="Calibri" w:hAnsi="Calibri" w:cs="Calibri"/>
          <w:color w:val="000000" w:themeColor="text1"/>
        </w:rPr>
        <w:t xml:space="preserve">komponentách 1.3 či 3.3. </w:t>
      </w:r>
      <w:r w:rsidR="00AB4978" w:rsidRPr="00393D5E">
        <w:rPr>
          <w:rFonts w:ascii="Calibri" w:eastAsia="Calibri" w:hAnsi="Calibri" w:cs="Calibri"/>
          <w:color w:val="000000" w:themeColor="text1"/>
        </w:rPr>
        <w:t xml:space="preserve"> </w:t>
      </w:r>
    </w:p>
    <w:p w14:paraId="43CE5253" w14:textId="329C6EFE" w:rsidR="34C8622E" w:rsidRPr="00393D5E" w:rsidRDefault="34C8622E" w:rsidP="2A4FC0D2">
      <w:pPr>
        <w:spacing w:after="0" w:line="276" w:lineRule="auto"/>
        <w:jc w:val="both"/>
        <w:rPr>
          <w:rFonts w:ascii="Calibri" w:eastAsia="Calibri" w:hAnsi="Calibri" w:cs="Calibri"/>
          <w:color w:val="000000" w:themeColor="text1"/>
        </w:rPr>
      </w:pPr>
      <w:r w:rsidRPr="00393D5E">
        <w:lastRenderedPageBreak/>
        <w:br/>
      </w:r>
      <w:r w:rsidRPr="00393D5E">
        <w:rPr>
          <w:rFonts w:ascii="Calibri" w:eastAsia="Calibri" w:hAnsi="Calibri" w:cs="Calibri"/>
          <w:color w:val="000000" w:themeColor="text1"/>
        </w:rPr>
        <w:t>Výše popsané dopady zapříčiněné inflací a</w:t>
      </w:r>
      <w:r w:rsidR="0003053E">
        <w:rPr>
          <w:rFonts w:ascii="Calibri" w:eastAsia="Calibri" w:hAnsi="Calibri" w:cs="Calibri"/>
          <w:color w:val="000000" w:themeColor="text1"/>
        </w:rPr>
        <w:t> </w:t>
      </w:r>
      <w:r w:rsidRPr="00393D5E">
        <w:rPr>
          <w:rFonts w:ascii="Calibri" w:eastAsia="Calibri" w:hAnsi="Calibri" w:cs="Calibri"/>
          <w:color w:val="000000" w:themeColor="text1"/>
        </w:rPr>
        <w:t>narušením dodavatelských řetězců bylo nutné analyzovat, vyčíslit, a</w:t>
      </w:r>
      <w:r w:rsidR="0003053E">
        <w:rPr>
          <w:rFonts w:ascii="Calibri" w:eastAsia="Calibri" w:hAnsi="Calibri" w:cs="Calibri"/>
          <w:color w:val="000000" w:themeColor="text1"/>
        </w:rPr>
        <w:t> </w:t>
      </w:r>
      <w:r w:rsidRPr="00393D5E">
        <w:rPr>
          <w:rFonts w:ascii="Calibri" w:eastAsia="Calibri" w:hAnsi="Calibri" w:cs="Calibri"/>
          <w:color w:val="000000" w:themeColor="text1"/>
        </w:rPr>
        <w:t>na tomto základě také navrhnou změny v</w:t>
      </w:r>
      <w:r w:rsidR="0003053E">
        <w:rPr>
          <w:rFonts w:ascii="Calibri" w:eastAsia="Calibri" w:hAnsi="Calibri" w:cs="Calibri"/>
          <w:color w:val="000000" w:themeColor="text1"/>
        </w:rPr>
        <w:t> </w:t>
      </w:r>
      <w:r w:rsidRPr="00393D5E">
        <w:rPr>
          <w:rFonts w:ascii="Calibri" w:eastAsia="Calibri" w:hAnsi="Calibri" w:cs="Calibri"/>
          <w:color w:val="000000" w:themeColor="text1"/>
        </w:rPr>
        <w:t>dotčených komponentách.</w:t>
      </w:r>
    </w:p>
    <w:p w14:paraId="280AA153" w14:textId="60D7E192" w:rsidR="34C8622E" w:rsidRPr="00393D5E" w:rsidRDefault="34C8622E" w:rsidP="2A4FC0D2">
      <w:pPr>
        <w:spacing w:after="0" w:line="276" w:lineRule="auto"/>
        <w:jc w:val="both"/>
      </w:pPr>
      <w:r w:rsidRPr="00393D5E">
        <w:rPr>
          <w:rFonts w:ascii="Calibri" w:eastAsia="Calibri" w:hAnsi="Calibri" w:cs="Calibri"/>
          <w:color w:val="000000" w:themeColor="text1"/>
        </w:rPr>
        <w:t xml:space="preserve"> </w:t>
      </w:r>
    </w:p>
    <w:p w14:paraId="5386C680" w14:textId="07B96620" w:rsidR="34C8622E" w:rsidRPr="00393D5E" w:rsidRDefault="34C8622E" w:rsidP="2A4FC0D2">
      <w:pPr>
        <w:spacing w:after="0" w:line="276" w:lineRule="auto"/>
        <w:jc w:val="both"/>
      </w:pPr>
      <w:r w:rsidRPr="00393D5E">
        <w:rPr>
          <w:rFonts w:ascii="Calibri" w:eastAsia="Calibri" w:hAnsi="Calibri" w:cs="Calibri"/>
          <w:color w:val="000000" w:themeColor="text1"/>
        </w:rPr>
        <w:t>Na základě analýzy byly identifikovány tři typy revizí NPO, které vedou ke snížení rizika nesplnění vytyčených cílů NPO a</w:t>
      </w:r>
      <w:r w:rsidR="0003053E">
        <w:rPr>
          <w:rFonts w:ascii="Calibri" w:eastAsia="Calibri" w:hAnsi="Calibri" w:cs="Calibri"/>
          <w:color w:val="000000" w:themeColor="text1"/>
        </w:rPr>
        <w:t> </w:t>
      </w:r>
      <w:r w:rsidRPr="00393D5E">
        <w:rPr>
          <w:rFonts w:ascii="Calibri" w:eastAsia="Calibri" w:hAnsi="Calibri" w:cs="Calibri"/>
          <w:color w:val="000000" w:themeColor="text1"/>
        </w:rPr>
        <w:t>to především, nikoliv však výlučně, v</w:t>
      </w:r>
      <w:r w:rsidR="0003053E">
        <w:rPr>
          <w:rFonts w:ascii="Calibri" w:eastAsia="Calibri" w:hAnsi="Calibri" w:cs="Calibri"/>
          <w:color w:val="000000" w:themeColor="text1"/>
        </w:rPr>
        <w:t> </w:t>
      </w:r>
      <w:r w:rsidRPr="00393D5E">
        <w:rPr>
          <w:rFonts w:ascii="Calibri" w:eastAsia="Calibri" w:hAnsi="Calibri" w:cs="Calibri"/>
          <w:color w:val="000000" w:themeColor="text1"/>
        </w:rPr>
        <w:t>souvislosti se stavebními projekty.</w:t>
      </w:r>
    </w:p>
    <w:p w14:paraId="3AFE8A87" w14:textId="5550D050" w:rsidR="34C8622E" w:rsidRPr="00393D5E" w:rsidRDefault="34C8622E" w:rsidP="00CE14E6">
      <w:pPr>
        <w:pStyle w:val="Odstavecseseznamem"/>
        <w:numPr>
          <w:ilvl w:val="0"/>
          <w:numId w:val="1"/>
        </w:numPr>
        <w:spacing w:after="0" w:line="276" w:lineRule="auto"/>
        <w:jc w:val="both"/>
        <w:rPr>
          <w:rFonts w:ascii="Calibri" w:eastAsia="Calibri" w:hAnsi="Calibri" w:cs="Calibri"/>
        </w:rPr>
      </w:pPr>
      <w:r w:rsidRPr="00393D5E">
        <w:rPr>
          <w:rFonts w:ascii="Calibri" w:eastAsia="Calibri" w:hAnsi="Calibri" w:cs="Calibri"/>
        </w:rPr>
        <w:t>Nárůst cen komodit, prací, energií bylo u</w:t>
      </w:r>
      <w:r w:rsidR="0003053E">
        <w:rPr>
          <w:rFonts w:ascii="Calibri" w:eastAsia="Calibri" w:hAnsi="Calibri" w:cs="Calibri"/>
        </w:rPr>
        <w:t> </w:t>
      </w:r>
      <w:r w:rsidRPr="00393D5E">
        <w:rPr>
          <w:rFonts w:ascii="Calibri" w:eastAsia="Calibri" w:hAnsi="Calibri" w:cs="Calibri"/>
        </w:rPr>
        <w:t xml:space="preserve">vybraných opatření NPO nutné </w:t>
      </w:r>
      <w:r w:rsidRPr="00393D5E">
        <w:rPr>
          <w:rFonts w:ascii="Calibri" w:eastAsia="Calibri" w:hAnsi="Calibri" w:cs="Calibri"/>
          <w:b/>
          <w:bCs/>
          <w:u w:val="single"/>
        </w:rPr>
        <w:t>dokrýt navýšením alokací</w:t>
      </w:r>
      <w:r w:rsidRPr="00393D5E">
        <w:rPr>
          <w:rFonts w:ascii="Calibri" w:eastAsia="Calibri" w:hAnsi="Calibri" w:cs="Calibri"/>
        </w:rPr>
        <w:t xml:space="preserve"> tak, aby mohli být zachovány dílčí cíle a</w:t>
      </w:r>
      <w:r w:rsidR="0003053E">
        <w:rPr>
          <w:rFonts w:ascii="Calibri" w:eastAsia="Calibri" w:hAnsi="Calibri" w:cs="Calibri"/>
        </w:rPr>
        <w:t> </w:t>
      </w:r>
      <w:r w:rsidRPr="00393D5E">
        <w:rPr>
          <w:rFonts w:ascii="Calibri" w:eastAsia="Calibri" w:hAnsi="Calibri" w:cs="Calibri"/>
        </w:rPr>
        <w:t>plánované dopady.</w:t>
      </w:r>
    </w:p>
    <w:p w14:paraId="53381F43" w14:textId="1752A637" w:rsidR="34C8622E" w:rsidRPr="00393D5E" w:rsidRDefault="34C8622E" w:rsidP="00CE14E6">
      <w:pPr>
        <w:pStyle w:val="Odstavecseseznamem"/>
        <w:numPr>
          <w:ilvl w:val="0"/>
          <w:numId w:val="1"/>
        </w:numPr>
        <w:spacing w:after="0" w:line="276" w:lineRule="auto"/>
        <w:jc w:val="both"/>
        <w:rPr>
          <w:rFonts w:ascii="Calibri" w:eastAsia="Calibri" w:hAnsi="Calibri" w:cs="Calibri"/>
        </w:rPr>
      </w:pPr>
      <w:r w:rsidRPr="00393D5E">
        <w:rPr>
          <w:rFonts w:ascii="Calibri" w:eastAsia="Calibri" w:hAnsi="Calibri" w:cs="Calibri"/>
        </w:rPr>
        <w:t>Narušení dodavatelských řetězců v</w:t>
      </w:r>
      <w:r w:rsidR="0003053E">
        <w:rPr>
          <w:rFonts w:ascii="Calibri" w:eastAsia="Calibri" w:hAnsi="Calibri" w:cs="Calibri"/>
        </w:rPr>
        <w:t> </w:t>
      </w:r>
      <w:r w:rsidRPr="00393D5E">
        <w:rPr>
          <w:rFonts w:ascii="Calibri" w:eastAsia="Calibri" w:hAnsi="Calibri" w:cs="Calibri"/>
        </w:rPr>
        <w:t>kombinaci s</w:t>
      </w:r>
      <w:r w:rsidR="0003053E">
        <w:rPr>
          <w:rFonts w:ascii="Calibri" w:eastAsia="Calibri" w:hAnsi="Calibri" w:cs="Calibri"/>
        </w:rPr>
        <w:t> </w:t>
      </w:r>
      <w:r w:rsidRPr="00393D5E">
        <w:rPr>
          <w:rFonts w:ascii="Calibri" w:eastAsia="Calibri" w:hAnsi="Calibri" w:cs="Calibri"/>
        </w:rPr>
        <w:t>nárůstem cen bylo u</w:t>
      </w:r>
      <w:r w:rsidR="0003053E">
        <w:rPr>
          <w:rFonts w:ascii="Calibri" w:eastAsia="Calibri" w:hAnsi="Calibri" w:cs="Calibri"/>
        </w:rPr>
        <w:t> </w:t>
      </w:r>
      <w:r w:rsidRPr="00393D5E">
        <w:rPr>
          <w:rFonts w:ascii="Calibri" w:eastAsia="Calibri" w:hAnsi="Calibri" w:cs="Calibri"/>
        </w:rPr>
        <w:t>vybraných opatření nutno zohlednit v</w:t>
      </w:r>
      <w:r w:rsidR="0003053E">
        <w:rPr>
          <w:rFonts w:ascii="Calibri" w:eastAsia="Calibri" w:hAnsi="Calibri" w:cs="Calibri"/>
        </w:rPr>
        <w:t> </w:t>
      </w:r>
      <w:r w:rsidRPr="00393D5E">
        <w:rPr>
          <w:rFonts w:ascii="Calibri" w:eastAsia="Calibri" w:hAnsi="Calibri" w:cs="Calibri"/>
          <w:b/>
          <w:bCs/>
          <w:u w:val="single"/>
        </w:rPr>
        <w:t>posunu termínu plnění</w:t>
      </w:r>
      <w:r w:rsidRPr="00393D5E">
        <w:rPr>
          <w:rFonts w:ascii="Calibri" w:eastAsia="Calibri" w:hAnsi="Calibri" w:cs="Calibri"/>
        </w:rPr>
        <w:t xml:space="preserve"> těchto cílů a</w:t>
      </w:r>
      <w:r w:rsidR="0003053E">
        <w:rPr>
          <w:rFonts w:ascii="Calibri" w:eastAsia="Calibri" w:hAnsi="Calibri" w:cs="Calibri"/>
        </w:rPr>
        <w:t> </w:t>
      </w:r>
      <w:r w:rsidRPr="00393D5E">
        <w:rPr>
          <w:rFonts w:ascii="Calibri" w:eastAsia="Calibri" w:hAnsi="Calibri" w:cs="Calibri"/>
        </w:rPr>
        <w:t>plánovaných dopadů.</w:t>
      </w:r>
    </w:p>
    <w:p w14:paraId="6649F7BA" w14:textId="72143B2B" w:rsidR="34C8622E" w:rsidRPr="00393D5E" w:rsidRDefault="34C8622E" w:rsidP="00CE14E6">
      <w:pPr>
        <w:pStyle w:val="Odstavecseseznamem"/>
        <w:numPr>
          <w:ilvl w:val="0"/>
          <w:numId w:val="1"/>
        </w:numPr>
        <w:spacing w:after="0" w:line="276" w:lineRule="auto"/>
        <w:jc w:val="both"/>
        <w:rPr>
          <w:rFonts w:ascii="Calibri" w:eastAsia="Calibri" w:hAnsi="Calibri" w:cs="Calibri"/>
        </w:rPr>
      </w:pPr>
      <w:r w:rsidRPr="00393D5E">
        <w:rPr>
          <w:rFonts w:ascii="Calibri" w:eastAsia="Calibri" w:hAnsi="Calibri" w:cs="Calibri"/>
        </w:rPr>
        <w:t>Narušení dodavatelských řetězců v</w:t>
      </w:r>
      <w:r w:rsidR="0003053E">
        <w:rPr>
          <w:rFonts w:ascii="Calibri" w:eastAsia="Calibri" w:hAnsi="Calibri" w:cs="Calibri"/>
        </w:rPr>
        <w:t> </w:t>
      </w:r>
      <w:r w:rsidRPr="00393D5E">
        <w:rPr>
          <w:rFonts w:ascii="Calibri" w:eastAsia="Calibri" w:hAnsi="Calibri" w:cs="Calibri"/>
        </w:rPr>
        <w:t>kombinaci s</w:t>
      </w:r>
      <w:r w:rsidR="0003053E">
        <w:rPr>
          <w:rFonts w:ascii="Calibri" w:eastAsia="Calibri" w:hAnsi="Calibri" w:cs="Calibri"/>
        </w:rPr>
        <w:t> </w:t>
      </w:r>
      <w:r w:rsidRPr="00393D5E">
        <w:rPr>
          <w:rFonts w:ascii="Calibri" w:eastAsia="Calibri" w:hAnsi="Calibri" w:cs="Calibri"/>
        </w:rPr>
        <w:t>nárůstem cen bylo u</w:t>
      </w:r>
      <w:r w:rsidR="0003053E">
        <w:rPr>
          <w:rFonts w:ascii="Calibri" w:eastAsia="Calibri" w:hAnsi="Calibri" w:cs="Calibri"/>
        </w:rPr>
        <w:t> </w:t>
      </w:r>
      <w:r w:rsidRPr="00393D5E">
        <w:rPr>
          <w:rFonts w:ascii="Calibri" w:eastAsia="Calibri" w:hAnsi="Calibri" w:cs="Calibri"/>
        </w:rPr>
        <w:t xml:space="preserve">vybraných opatření nutno zohlednit ve </w:t>
      </w:r>
      <w:r w:rsidRPr="00393D5E">
        <w:rPr>
          <w:rFonts w:ascii="Calibri" w:eastAsia="Calibri" w:hAnsi="Calibri" w:cs="Calibri"/>
          <w:b/>
          <w:bCs/>
          <w:u w:val="single"/>
        </w:rPr>
        <w:t>snížení dílčích cílů</w:t>
      </w:r>
      <w:r w:rsidRPr="00393D5E">
        <w:rPr>
          <w:rFonts w:ascii="Calibri" w:eastAsia="Calibri" w:hAnsi="Calibri" w:cs="Calibri"/>
        </w:rPr>
        <w:t xml:space="preserve"> a</w:t>
      </w:r>
      <w:r w:rsidR="0003053E">
        <w:rPr>
          <w:rFonts w:ascii="Calibri" w:eastAsia="Calibri" w:hAnsi="Calibri" w:cs="Calibri"/>
        </w:rPr>
        <w:t> </w:t>
      </w:r>
      <w:r w:rsidRPr="00393D5E">
        <w:rPr>
          <w:rFonts w:ascii="Calibri" w:eastAsia="Calibri" w:hAnsi="Calibri" w:cs="Calibri"/>
        </w:rPr>
        <w:t>plánovaných dopadů.</w:t>
      </w:r>
    </w:p>
    <w:p w14:paraId="6FE48B69" w14:textId="2344AD1D" w:rsidR="34C8622E" w:rsidRPr="00393D5E" w:rsidRDefault="34C8622E" w:rsidP="2A4FC0D2">
      <w:pPr>
        <w:spacing w:after="0" w:line="276" w:lineRule="auto"/>
        <w:jc w:val="both"/>
      </w:pPr>
      <w:r w:rsidRPr="00393D5E">
        <w:rPr>
          <w:rFonts w:ascii="Calibri" w:eastAsia="Calibri" w:hAnsi="Calibri" w:cs="Calibri"/>
          <w:color w:val="000000" w:themeColor="text1"/>
        </w:rPr>
        <w:t xml:space="preserve"> </w:t>
      </w:r>
    </w:p>
    <w:p w14:paraId="741CC9EA" w14:textId="0F1268C8" w:rsidR="34C8622E" w:rsidRDefault="34C8622E" w:rsidP="2A4FC0D2">
      <w:pPr>
        <w:spacing w:after="0" w:line="276" w:lineRule="auto"/>
        <w:jc w:val="both"/>
        <w:rPr>
          <w:rFonts w:ascii="Calibri" w:eastAsia="Calibri" w:hAnsi="Calibri" w:cs="Calibri"/>
          <w:color w:val="000000" w:themeColor="text1"/>
        </w:rPr>
      </w:pPr>
      <w:r w:rsidRPr="00393D5E">
        <w:rPr>
          <w:rFonts w:ascii="Calibri" w:eastAsia="Calibri" w:hAnsi="Calibri" w:cs="Calibri"/>
          <w:color w:val="000000" w:themeColor="text1"/>
        </w:rPr>
        <w:t>Výsledkem jsou revize dílčích částí NPO spojených se stavebními pracemi nebo s</w:t>
      </w:r>
      <w:r w:rsidR="0003053E">
        <w:rPr>
          <w:rFonts w:ascii="Calibri" w:eastAsia="Calibri" w:hAnsi="Calibri" w:cs="Calibri"/>
          <w:color w:val="000000" w:themeColor="text1"/>
        </w:rPr>
        <w:t> </w:t>
      </w:r>
      <w:r w:rsidRPr="00393D5E">
        <w:rPr>
          <w:rFonts w:ascii="Calibri" w:eastAsia="Calibri" w:hAnsi="Calibri" w:cs="Calibri"/>
          <w:color w:val="000000" w:themeColor="text1"/>
        </w:rPr>
        <w:t>pořizováním specifických technologií jako např. bezemisních vozidel, které reflektují výše popsaný vliv inflace na realizovatelnost daných investic a</w:t>
      </w:r>
      <w:r w:rsidR="0003053E">
        <w:rPr>
          <w:rFonts w:ascii="Calibri" w:eastAsia="Calibri" w:hAnsi="Calibri" w:cs="Calibri"/>
          <w:color w:val="000000" w:themeColor="text1"/>
        </w:rPr>
        <w:t> </w:t>
      </w:r>
      <w:r w:rsidRPr="00393D5E">
        <w:rPr>
          <w:rFonts w:ascii="Calibri" w:eastAsia="Calibri" w:hAnsi="Calibri" w:cs="Calibri"/>
          <w:color w:val="000000" w:themeColor="text1"/>
        </w:rPr>
        <w:t>splnění stanovených cílů. Navržené navyšování alokací či snižování cílových ukazatelů koresponduje horizontálně s</w:t>
      </w:r>
      <w:r w:rsidR="0003053E">
        <w:rPr>
          <w:rFonts w:ascii="Calibri" w:eastAsia="Calibri" w:hAnsi="Calibri" w:cs="Calibri"/>
          <w:color w:val="000000" w:themeColor="text1"/>
        </w:rPr>
        <w:t> </w:t>
      </w:r>
      <w:r w:rsidRPr="00393D5E">
        <w:rPr>
          <w:rFonts w:ascii="Calibri" w:eastAsia="Calibri" w:hAnsi="Calibri" w:cs="Calibri"/>
          <w:color w:val="000000" w:themeColor="text1"/>
        </w:rPr>
        <w:t>procenty inflace a</w:t>
      </w:r>
      <w:r w:rsidR="0003053E">
        <w:rPr>
          <w:rFonts w:ascii="Calibri" w:eastAsia="Calibri" w:hAnsi="Calibri" w:cs="Calibri"/>
          <w:color w:val="000000" w:themeColor="text1"/>
        </w:rPr>
        <w:t> </w:t>
      </w:r>
      <w:r w:rsidRPr="00393D5E">
        <w:rPr>
          <w:rFonts w:ascii="Calibri" w:eastAsia="Calibri" w:hAnsi="Calibri" w:cs="Calibri"/>
          <w:color w:val="000000" w:themeColor="text1"/>
        </w:rPr>
        <w:t>rozložením investic v</w:t>
      </w:r>
      <w:r w:rsidR="0003053E">
        <w:rPr>
          <w:rFonts w:ascii="Calibri" w:eastAsia="Calibri" w:hAnsi="Calibri" w:cs="Calibri"/>
          <w:color w:val="000000" w:themeColor="text1"/>
        </w:rPr>
        <w:t> </w:t>
      </w:r>
      <w:r w:rsidRPr="00393D5E">
        <w:rPr>
          <w:rFonts w:ascii="Calibri" w:eastAsia="Calibri" w:hAnsi="Calibri" w:cs="Calibri"/>
          <w:color w:val="000000" w:themeColor="text1"/>
        </w:rPr>
        <w:t>jednotlivých letech. Ve specifických případech bylo potřeba revidovat jak alokaci, tak cíle a</w:t>
      </w:r>
      <w:r w:rsidR="0003053E">
        <w:rPr>
          <w:rFonts w:ascii="Calibri" w:eastAsia="Calibri" w:hAnsi="Calibri" w:cs="Calibri"/>
          <w:color w:val="000000" w:themeColor="text1"/>
        </w:rPr>
        <w:t> </w:t>
      </w:r>
      <w:r w:rsidRPr="00393D5E">
        <w:rPr>
          <w:rFonts w:ascii="Calibri" w:eastAsia="Calibri" w:hAnsi="Calibri" w:cs="Calibri"/>
          <w:color w:val="000000" w:themeColor="text1"/>
        </w:rPr>
        <w:t>revidovány byly také termíny plnění těchto cílů. Především u</w:t>
      </w:r>
      <w:r w:rsidR="0003053E">
        <w:rPr>
          <w:rFonts w:ascii="Calibri" w:eastAsia="Calibri" w:hAnsi="Calibri" w:cs="Calibri"/>
          <w:color w:val="000000" w:themeColor="text1"/>
        </w:rPr>
        <w:t> </w:t>
      </w:r>
      <w:r w:rsidRPr="00393D5E">
        <w:rPr>
          <w:rFonts w:ascii="Calibri" w:eastAsia="Calibri" w:hAnsi="Calibri" w:cs="Calibri"/>
          <w:color w:val="000000" w:themeColor="text1"/>
        </w:rPr>
        <w:t>opatření jejichž obsahem je výstavba nebo rekonstrukce přetrvává vysoké riziko prodlužování stavebních projektů, jejich prodražování a</w:t>
      </w:r>
      <w:r w:rsidR="0003053E">
        <w:rPr>
          <w:rFonts w:ascii="Calibri" w:eastAsia="Calibri" w:hAnsi="Calibri" w:cs="Calibri"/>
          <w:color w:val="000000" w:themeColor="text1"/>
        </w:rPr>
        <w:t> </w:t>
      </w:r>
      <w:r w:rsidRPr="00393D5E">
        <w:rPr>
          <w:rFonts w:ascii="Calibri" w:eastAsia="Calibri" w:hAnsi="Calibri" w:cs="Calibri"/>
          <w:color w:val="000000" w:themeColor="text1"/>
        </w:rPr>
        <w:t>vyloučeno není ani rušení dílčích projektů, pro jejich nerealizovatelnost ať s</w:t>
      </w:r>
      <w:r w:rsidR="0003053E">
        <w:rPr>
          <w:rFonts w:ascii="Calibri" w:eastAsia="Calibri" w:hAnsi="Calibri" w:cs="Calibri"/>
          <w:color w:val="000000" w:themeColor="text1"/>
        </w:rPr>
        <w:t> </w:t>
      </w:r>
      <w:r w:rsidRPr="00393D5E">
        <w:rPr>
          <w:rFonts w:ascii="Calibri" w:eastAsia="Calibri" w:hAnsi="Calibri" w:cs="Calibri"/>
          <w:color w:val="000000" w:themeColor="text1"/>
        </w:rPr>
        <w:t>ohledem na čas nebo na míru podpory. Veškeré revize byly navrženy jako kompromis mezi potřebami realizátorů a</w:t>
      </w:r>
      <w:r w:rsidR="0003053E">
        <w:rPr>
          <w:rFonts w:ascii="Calibri" w:eastAsia="Calibri" w:hAnsi="Calibri" w:cs="Calibri"/>
          <w:color w:val="000000" w:themeColor="text1"/>
        </w:rPr>
        <w:t> </w:t>
      </w:r>
      <w:r w:rsidRPr="00393D5E">
        <w:rPr>
          <w:rFonts w:ascii="Calibri" w:eastAsia="Calibri" w:hAnsi="Calibri" w:cs="Calibri"/>
          <w:color w:val="000000" w:themeColor="text1"/>
        </w:rPr>
        <w:t>omezenými finančními a</w:t>
      </w:r>
      <w:r w:rsidR="0003053E">
        <w:rPr>
          <w:rFonts w:ascii="Calibri" w:eastAsia="Calibri" w:hAnsi="Calibri" w:cs="Calibri"/>
          <w:color w:val="000000" w:themeColor="text1"/>
        </w:rPr>
        <w:t> </w:t>
      </w:r>
      <w:r w:rsidRPr="00393D5E">
        <w:rPr>
          <w:rFonts w:ascii="Calibri" w:eastAsia="Calibri" w:hAnsi="Calibri" w:cs="Calibri"/>
          <w:color w:val="000000" w:themeColor="text1"/>
        </w:rPr>
        <w:t>časovými možnostmi NPO.</w:t>
      </w:r>
    </w:p>
    <w:p w14:paraId="14829845" w14:textId="77777777" w:rsidR="000531BF" w:rsidRPr="00393D5E" w:rsidRDefault="000531BF" w:rsidP="2A4FC0D2">
      <w:pPr>
        <w:spacing w:after="0" w:line="276" w:lineRule="auto"/>
        <w:jc w:val="both"/>
      </w:pPr>
    </w:p>
    <w:p w14:paraId="06030A88" w14:textId="22581F56" w:rsidR="34C8622E" w:rsidRPr="00393D5E" w:rsidRDefault="34C8622E" w:rsidP="2A4FC0D2">
      <w:pPr>
        <w:spacing w:after="0" w:line="276" w:lineRule="auto"/>
        <w:jc w:val="both"/>
      </w:pPr>
      <w:r w:rsidRPr="00393D5E">
        <w:rPr>
          <w:rFonts w:ascii="Calibri" w:eastAsia="Calibri" w:hAnsi="Calibri" w:cs="Calibri"/>
          <w:color w:val="000000" w:themeColor="text1"/>
        </w:rPr>
        <w:t>I přes dílčí revize, byla zachována celková ambice cílů NPO a</w:t>
      </w:r>
      <w:r w:rsidR="0003053E">
        <w:rPr>
          <w:rFonts w:ascii="Calibri" w:eastAsia="Calibri" w:hAnsi="Calibri" w:cs="Calibri"/>
          <w:color w:val="000000" w:themeColor="text1"/>
        </w:rPr>
        <w:t> </w:t>
      </w:r>
      <w:r w:rsidRPr="00393D5E">
        <w:rPr>
          <w:rFonts w:ascii="Calibri" w:eastAsia="Calibri" w:hAnsi="Calibri" w:cs="Calibri"/>
          <w:color w:val="000000" w:themeColor="text1"/>
        </w:rPr>
        <w:t>jejich dopadů na zelenou a</w:t>
      </w:r>
      <w:r w:rsidR="0003053E">
        <w:rPr>
          <w:rFonts w:ascii="Calibri" w:eastAsia="Calibri" w:hAnsi="Calibri" w:cs="Calibri"/>
          <w:color w:val="000000" w:themeColor="text1"/>
        </w:rPr>
        <w:t> </w:t>
      </w:r>
      <w:r w:rsidRPr="00393D5E">
        <w:rPr>
          <w:rFonts w:ascii="Calibri" w:eastAsia="Calibri" w:hAnsi="Calibri" w:cs="Calibri"/>
          <w:color w:val="000000" w:themeColor="text1"/>
        </w:rPr>
        <w:t>digitální transformaci i</w:t>
      </w:r>
      <w:r w:rsidR="0003053E">
        <w:rPr>
          <w:rFonts w:ascii="Calibri" w:eastAsia="Calibri" w:hAnsi="Calibri" w:cs="Calibri"/>
          <w:color w:val="000000" w:themeColor="text1"/>
        </w:rPr>
        <w:t> </w:t>
      </w:r>
      <w:r w:rsidRPr="00393D5E">
        <w:rPr>
          <w:rFonts w:ascii="Calibri" w:eastAsia="Calibri" w:hAnsi="Calibri" w:cs="Calibri"/>
          <w:color w:val="000000" w:themeColor="text1"/>
        </w:rPr>
        <w:t>na samotné zaměření plánu na zvýšení odolnosti České republiky. Výčet konkrétních změn je obsahem kapitoly 5.</w:t>
      </w:r>
    </w:p>
    <w:p w14:paraId="2A0EF40A" w14:textId="56983077" w:rsidR="2A4FC0D2" w:rsidRPr="00393D5E" w:rsidRDefault="2A4FC0D2" w:rsidP="2A4FC0D2">
      <w:pPr>
        <w:rPr>
          <w:b/>
          <w:bCs/>
          <w:u w:val="single"/>
        </w:rPr>
      </w:pPr>
    </w:p>
    <w:p w14:paraId="278F2EC8" w14:textId="69C7D71D" w:rsidR="34C8622E" w:rsidRPr="00393D5E" w:rsidRDefault="34C8622E" w:rsidP="2A4FC0D2">
      <w:pPr>
        <w:rPr>
          <w:rFonts w:ascii="Calibri" w:eastAsia="Calibri" w:hAnsi="Calibri" w:cs="Calibri"/>
          <w:b/>
          <w:bCs/>
          <w:color w:val="000000" w:themeColor="text1"/>
          <w:u w:val="single"/>
        </w:rPr>
      </w:pPr>
      <w:r w:rsidRPr="00393D5E">
        <w:rPr>
          <w:b/>
          <w:bCs/>
          <w:u w:val="single"/>
        </w:rPr>
        <w:t>Revize stávajícího NPO z</w:t>
      </w:r>
      <w:r w:rsidR="0003053E">
        <w:rPr>
          <w:b/>
          <w:bCs/>
          <w:u w:val="single"/>
        </w:rPr>
        <w:t> </w:t>
      </w:r>
      <w:r w:rsidRPr="00393D5E">
        <w:rPr>
          <w:b/>
          <w:bCs/>
          <w:u w:val="single"/>
        </w:rPr>
        <w:t>důvodu oprav administrativních chyb</w:t>
      </w:r>
    </w:p>
    <w:p w14:paraId="3EE35945" w14:textId="058EFC64" w:rsidR="34C8622E" w:rsidRDefault="34C8622E" w:rsidP="2A4FC0D2">
      <w:pPr>
        <w:spacing w:after="0" w:line="276" w:lineRule="auto"/>
        <w:jc w:val="both"/>
        <w:rPr>
          <w:rFonts w:ascii="Calibri" w:eastAsia="Calibri" w:hAnsi="Calibri" w:cs="Calibri"/>
          <w:color w:val="000000" w:themeColor="text1"/>
        </w:rPr>
      </w:pPr>
      <w:r w:rsidRPr="00393D5E">
        <w:rPr>
          <w:rFonts w:ascii="Calibri" w:eastAsia="Calibri" w:hAnsi="Calibri" w:cs="Calibri"/>
          <w:color w:val="000000" w:themeColor="text1"/>
        </w:rPr>
        <w:t>Tento typ představuje revize, které opravují administrativní nebo písařské chyby, aby se předešlo možným nedorozuměním a</w:t>
      </w:r>
      <w:r w:rsidR="0003053E">
        <w:rPr>
          <w:rFonts w:ascii="Calibri" w:eastAsia="Calibri" w:hAnsi="Calibri" w:cs="Calibri"/>
          <w:color w:val="000000" w:themeColor="text1"/>
        </w:rPr>
        <w:t> </w:t>
      </w:r>
      <w:r w:rsidRPr="00393D5E">
        <w:rPr>
          <w:rFonts w:ascii="Calibri" w:eastAsia="Calibri" w:hAnsi="Calibri" w:cs="Calibri"/>
          <w:color w:val="000000" w:themeColor="text1"/>
        </w:rPr>
        <w:t>komplikacím při provádění a</w:t>
      </w:r>
      <w:r w:rsidR="0003053E">
        <w:rPr>
          <w:rFonts w:ascii="Calibri" w:eastAsia="Calibri" w:hAnsi="Calibri" w:cs="Calibri"/>
          <w:color w:val="000000" w:themeColor="text1"/>
        </w:rPr>
        <w:t> </w:t>
      </w:r>
      <w:r w:rsidRPr="00393D5E">
        <w:rPr>
          <w:rFonts w:ascii="Calibri" w:eastAsia="Calibri" w:hAnsi="Calibri" w:cs="Calibri"/>
          <w:color w:val="000000" w:themeColor="text1"/>
        </w:rPr>
        <w:t>následném hodnocení plnění jednotlivých milníků a</w:t>
      </w:r>
      <w:r w:rsidR="0003053E">
        <w:rPr>
          <w:rFonts w:ascii="Calibri" w:eastAsia="Calibri" w:hAnsi="Calibri" w:cs="Calibri"/>
          <w:color w:val="000000" w:themeColor="text1"/>
        </w:rPr>
        <w:t> </w:t>
      </w:r>
      <w:r w:rsidRPr="00393D5E">
        <w:rPr>
          <w:rFonts w:ascii="Calibri" w:eastAsia="Calibri" w:hAnsi="Calibri" w:cs="Calibri"/>
          <w:color w:val="000000" w:themeColor="text1"/>
        </w:rPr>
        <w:t>cílů Evropskou komisí v</w:t>
      </w:r>
      <w:r w:rsidR="0003053E">
        <w:rPr>
          <w:rFonts w:ascii="Calibri" w:eastAsia="Calibri" w:hAnsi="Calibri" w:cs="Calibri"/>
          <w:color w:val="000000" w:themeColor="text1"/>
        </w:rPr>
        <w:t> </w:t>
      </w:r>
      <w:r w:rsidRPr="00393D5E">
        <w:rPr>
          <w:rFonts w:ascii="Calibri" w:eastAsia="Calibri" w:hAnsi="Calibri" w:cs="Calibri"/>
          <w:color w:val="000000" w:themeColor="text1"/>
        </w:rPr>
        <w:t>budoucnu. Tyto změny v</w:t>
      </w:r>
      <w:r w:rsidR="0003053E">
        <w:rPr>
          <w:rFonts w:ascii="Calibri" w:eastAsia="Calibri" w:hAnsi="Calibri" w:cs="Calibri"/>
          <w:color w:val="000000" w:themeColor="text1"/>
        </w:rPr>
        <w:t> </w:t>
      </w:r>
      <w:r w:rsidRPr="00393D5E">
        <w:rPr>
          <w:rFonts w:ascii="Calibri" w:eastAsia="Calibri" w:hAnsi="Calibri" w:cs="Calibri"/>
          <w:color w:val="000000" w:themeColor="text1"/>
        </w:rPr>
        <w:t>žádném případě nemají vliv na ambicióznost jednotlivých opatření, složek nebo samotné NPO, ani neovlivňují jeho soudržnost. Opravou těchto chyb dochází k</w:t>
      </w:r>
      <w:r w:rsidR="0003053E">
        <w:rPr>
          <w:rFonts w:ascii="Calibri" w:eastAsia="Calibri" w:hAnsi="Calibri" w:cs="Calibri"/>
          <w:color w:val="000000" w:themeColor="text1"/>
        </w:rPr>
        <w:t> </w:t>
      </w:r>
      <w:r w:rsidRPr="00393D5E">
        <w:rPr>
          <w:rFonts w:ascii="Calibri" w:eastAsia="Calibri" w:hAnsi="Calibri" w:cs="Calibri"/>
          <w:color w:val="000000" w:themeColor="text1"/>
        </w:rPr>
        <w:t>narovnání podmínek mezi jednotlivými částmi plánu a</w:t>
      </w:r>
      <w:r w:rsidR="0003053E">
        <w:rPr>
          <w:rFonts w:ascii="Calibri" w:eastAsia="Calibri" w:hAnsi="Calibri" w:cs="Calibri"/>
          <w:color w:val="000000" w:themeColor="text1"/>
        </w:rPr>
        <w:t> </w:t>
      </w:r>
      <w:r w:rsidRPr="00393D5E">
        <w:rPr>
          <w:rFonts w:ascii="Calibri" w:eastAsia="Calibri" w:hAnsi="Calibri" w:cs="Calibri"/>
          <w:color w:val="000000" w:themeColor="text1"/>
        </w:rPr>
        <w:t>také k</w:t>
      </w:r>
      <w:r w:rsidR="0003053E">
        <w:rPr>
          <w:rFonts w:ascii="Calibri" w:eastAsia="Calibri" w:hAnsi="Calibri" w:cs="Calibri"/>
          <w:color w:val="000000" w:themeColor="text1"/>
        </w:rPr>
        <w:t> </w:t>
      </w:r>
      <w:r w:rsidRPr="00393D5E">
        <w:rPr>
          <w:rFonts w:ascii="Calibri" w:eastAsia="Calibri" w:hAnsi="Calibri" w:cs="Calibri"/>
          <w:color w:val="000000" w:themeColor="text1"/>
        </w:rPr>
        <w:t xml:space="preserve">jejich vyjasnění. </w:t>
      </w:r>
    </w:p>
    <w:p w14:paraId="4EA0336C" w14:textId="77777777" w:rsidR="000531BF" w:rsidRPr="00393D5E" w:rsidRDefault="000531BF" w:rsidP="2A4FC0D2">
      <w:pPr>
        <w:spacing w:after="0" w:line="276" w:lineRule="auto"/>
        <w:jc w:val="both"/>
      </w:pPr>
    </w:p>
    <w:p w14:paraId="0B310524" w14:textId="3330E749" w:rsidR="34C8622E" w:rsidRPr="00393D5E" w:rsidRDefault="34C8622E" w:rsidP="2A4FC0D2">
      <w:pPr>
        <w:spacing w:after="0" w:line="276" w:lineRule="auto"/>
        <w:jc w:val="both"/>
      </w:pPr>
      <w:r w:rsidRPr="00393D5E">
        <w:rPr>
          <w:rFonts w:ascii="Calibri" w:eastAsia="Calibri" w:hAnsi="Calibri" w:cs="Calibri"/>
          <w:color w:val="000000" w:themeColor="text1"/>
        </w:rPr>
        <w:t>Výčet všech konkrétních změn je obsahem kapitoly 5.</w:t>
      </w:r>
    </w:p>
    <w:p w14:paraId="5A2ED896" w14:textId="16A18234" w:rsidR="34C8622E" w:rsidRPr="00393D5E" w:rsidRDefault="34C8622E" w:rsidP="2A4FC0D2">
      <w:pPr>
        <w:spacing w:after="0"/>
        <w:jc w:val="both"/>
      </w:pPr>
      <w:r w:rsidRPr="00393D5E">
        <w:rPr>
          <w:rFonts w:ascii="Arial" w:eastAsia="Arial" w:hAnsi="Arial" w:cs="Arial"/>
          <w:b/>
          <w:bCs/>
          <w:i/>
          <w:iCs/>
          <w:color w:val="000000" w:themeColor="text1"/>
        </w:rPr>
        <w:t xml:space="preserve"> </w:t>
      </w:r>
    </w:p>
    <w:p w14:paraId="621C0A39" w14:textId="7DDF7250" w:rsidR="2A4FC0D2" w:rsidRPr="00393D5E" w:rsidRDefault="2A4FC0D2" w:rsidP="2A4FC0D2">
      <w:pPr>
        <w:spacing w:after="0"/>
        <w:jc w:val="both"/>
        <w:rPr>
          <w:rFonts w:ascii="Arial" w:eastAsia="Arial" w:hAnsi="Arial" w:cs="Arial"/>
          <w:color w:val="000000" w:themeColor="text1"/>
          <w:sz w:val="24"/>
          <w:szCs w:val="24"/>
        </w:rPr>
      </w:pPr>
    </w:p>
    <w:p w14:paraId="274AC587" w14:textId="763D37FE" w:rsidR="2A4FC0D2" w:rsidRPr="00393D5E" w:rsidRDefault="2A4FC0D2" w:rsidP="2A4FC0D2">
      <w:pPr>
        <w:spacing w:line="276" w:lineRule="auto"/>
        <w:jc w:val="both"/>
      </w:pPr>
    </w:p>
    <w:p w14:paraId="4FB77FA3" w14:textId="77777777" w:rsidR="0027512E" w:rsidRPr="00393D5E" w:rsidRDefault="0027512E" w:rsidP="00316A1B">
      <w:pPr>
        <w:spacing w:line="276" w:lineRule="auto"/>
        <w:jc w:val="both"/>
        <w:rPr>
          <w:sz w:val="20"/>
          <w:szCs w:val="20"/>
        </w:rPr>
      </w:pPr>
    </w:p>
    <w:p w14:paraId="4DA8609D" w14:textId="77777777" w:rsidR="00B834B4" w:rsidRPr="00393D5E" w:rsidRDefault="00B834B4" w:rsidP="00316A1B">
      <w:pPr>
        <w:spacing w:line="276" w:lineRule="auto"/>
        <w:jc w:val="both"/>
        <w:rPr>
          <w:sz w:val="20"/>
          <w:szCs w:val="20"/>
        </w:rPr>
      </w:pPr>
      <w:r w:rsidRPr="00393D5E">
        <w:rPr>
          <w:sz w:val="20"/>
          <w:szCs w:val="20"/>
        </w:rPr>
        <w:br w:type="page"/>
      </w:r>
    </w:p>
    <w:p w14:paraId="4F8F3D0D" w14:textId="60C56204" w:rsidR="00B834B4" w:rsidRPr="00393D5E" w:rsidRDefault="07F06DE2" w:rsidP="3E0D70EE">
      <w:pPr>
        <w:pStyle w:val="Nadpis1"/>
        <w:numPr>
          <w:ilvl w:val="0"/>
          <w:numId w:val="0"/>
        </w:numPr>
        <w:spacing w:line="276" w:lineRule="auto"/>
        <w:rPr>
          <w:rStyle w:val="normaltextrun"/>
          <w:rFonts w:asciiTheme="minorHAnsi" w:hAnsiTheme="minorHAnsi" w:cstheme="minorBidi"/>
        </w:rPr>
      </w:pPr>
      <w:bookmarkStart w:id="8" w:name="_Toc151444338"/>
      <w:r w:rsidRPr="3E0D70EE">
        <w:rPr>
          <w:rFonts w:asciiTheme="minorHAnsi" w:hAnsiTheme="minorHAnsi" w:cstheme="minorBidi"/>
        </w:rPr>
        <w:lastRenderedPageBreak/>
        <w:t>Část II. Popis dodatečných a</w:t>
      </w:r>
      <w:r w:rsidR="0003053E">
        <w:rPr>
          <w:rFonts w:asciiTheme="minorHAnsi" w:hAnsiTheme="minorHAnsi" w:cstheme="minorBidi"/>
        </w:rPr>
        <w:t> </w:t>
      </w:r>
      <w:r w:rsidRPr="3E0D70EE">
        <w:rPr>
          <w:rFonts w:asciiTheme="minorHAnsi" w:hAnsiTheme="minorHAnsi" w:cstheme="minorBidi"/>
        </w:rPr>
        <w:t>pozměněných reforem a</w:t>
      </w:r>
      <w:r w:rsidR="0003053E">
        <w:rPr>
          <w:rFonts w:asciiTheme="minorHAnsi" w:hAnsiTheme="minorHAnsi" w:cstheme="minorBidi"/>
        </w:rPr>
        <w:t> </w:t>
      </w:r>
      <w:r w:rsidRPr="3E0D70EE">
        <w:rPr>
          <w:rFonts w:asciiTheme="minorHAnsi" w:hAnsiTheme="minorHAnsi" w:cstheme="minorBidi"/>
        </w:rPr>
        <w:t>investic</w:t>
      </w:r>
      <w:bookmarkEnd w:id="8"/>
    </w:p>
    <w:p w14:paraId="452609A4" w14:textId="77777777" w:rsidR="00B834B4" w:rsidRPr="00393D5E" w:rsidRDefault="00B834B4" w:rsidP="00316A1B">
      <w:pPr>
        <w:spacing w:line="276" w:lineRule="auto"/>
        <w:jc w:val="both"/>
      </w:pPr>
    </w:p>
    <w:p w14:paraId="5F4CC453" w14:textId="77777777" w:rsidR="00B834B4" w:rsidRPr="00393D5E" w:rsidRDefault="00B834B4" w:rsidP="00316A1B">
      <w:pPr>
        <w:spacing w:line="276" w:lineRule="auto"/>
        <w:jc w:val="both"/>
      </w:pPr>
      <w:r w:rsidRPr="00393D5E">
        <w:br w:type="page"/>
      </w:r>
    </w:p>
    <w:p w14:paraId="1F1485A3" w14:textId="4055486F" w:rsidR="00B834B4" w:rsidRPr="00393D5E" w:rsidRDefault="07F06DE2" w:rsidP="00316A1B">
      <w:pPr>
        <w:pStyle w:val="Nadpis2"/>
        <w:spacing w:line="276" w:lineRule="auto"/>
      </w:pPr>
      <w:bookmarkStart w:id="9" w:name="_Toc151444339"/>
      <w:r>
        <w:lastRenderedPageBreak/>
        <w:t xml:space="preserve">Nové </w:t>
      </w:r>
      <w:r w:rsidR="7C8B0547">
        <w:t>investice a</w:t>
      </w:r>
      <w:r w:rsidR="0003053E">
        <w:t> </w:t>
      </w:r>
      <w:r w:rsidR="7C8B0547">
        <w:t>reformy</w:t>
      </w:r>
      <w:bookmarkEnd w:id="9"/>
    </w:p>
    <w:p w14:paraId="516D49C1" w14:textId="2DB2B5DE" w:rsidR="6355489F" w:rsidRPr="00393D5E" w:rsidRDefault="6355489F" w:rsidP="0AFA31E3">
      <w:pPr>
        <w:pStyle w:val="Odrka"/>
        <w:numPr>
          <w:ilvl w:val="0"/>
          <w:numId w:val="0"/>
        </w:numPr>
        <w:spacing w:line="276" w:lineRule="auto"/>
        <w:rPr>
          <w:rFonts w:ascii="Calibri" w:eastAsia="Calibri" w:hAnsi="Calibri" w:cs="Calibri"/>
          <w:sz w:val="22"/>
        </w:rPr>
      </w:pPr>
      <w:r w:rsidRPr="00393D5E">
        <w:rPr>
          <w:rFonts w:ascii="Calibri" w:eastAsia="Calibri" w:hAnsi="Calibri" w:cs="Calibri"/>
          <w:sz w:val="22"/>
        </w:rPr>
        <w:t>Nové investice a</w:t>
      </w:r>
      <w:r w:rsidR="0003053E">
        <w:rPr>
          <w:rFonts w:ascii="Calibri" w:eastAsia="Calibri" w:hAnsi="Calibri" w:cs="Calibri"/>
          <w:sz w:val="22"/>
        </w:rPr>
        <w:t> </w:t>
      </w:r>
      <w:r w:rsidRPr="00393D5E">
        <w:rPr>
          <w:rFonts w:ascii="Calibri" w:eastAsia="Calibri" w:hAnsi="Calibri" w:cs="Calibri"/>
          <w:sz w:val="22"/>
        </w:rPr>
        <w:t>reformy jsou v</w:t>
      </w:r>
      <w:r w:rsidR="0003053E">
        <w:rPr>
          <w:rFonts w:ascii="Calibri" w:eastAsia="Calibri" w:hAnsi="Calibri" w:cs="Calibri"/>
          <w:sz w:val="22"/>
        </w:rPr>
        <w:t> </w:t>
      </w:r>
      <w:r w:rsidRPr="00393D5E">
        <w:rPr>
          <w:rFonts w:ascii="Calibri" w:eastAsia="Calibri" w:hAnsi="Calibri" w:cs="Calibri"/>
          <w:sz w:val="22"/>
        </w:rPr>
        <w:t>samostatné příloze k</w:t>
      </w:r>
      <w:r w:rsidR="0003053E">
        <w:rPr>
          <w:rFonts w:ascii="Calibri" w:eastAsia="Calibri" w:hAnsi="Calibri" w:cs="Calibri"/>
          <w:sz w:val="22"/>
        </w:rPr>
        <w:t> </w:t>
      </w:r>
      <w:r w:rsidRPr="00393D5E">
        <w:rPr>
          <w:rFonts w:ascii="Calibri" w:eastAsia="Calibri" w:hAnsi="Calibri" w:cs="Calibri"/>
          <w:sz w:val="22"/>
        </w:rPr>
        <w:t xml:space="preserve">materiálu. </w:t>
      </w:r>
      <w:r w:rsidR="00ED126D" w:rsidRPr="00393D5E">
        <w:rPr>
          <w:rFonts w:ascii="Calibri" w:eastAsia="Calibri" w:hAnsi="Calibri" w:cs="Calibri"/>
          <w:sz w:val="22"/>
        </w:rPr>
        <w:t>Indikativní výčet nových aktivit je uveden níže.</w:t>
      </w:r>
    </w:p>
    <w:p w14:paraId="26DECB5E" w14:textId="77777777" w:rsidR="00846C5F" w:rsidRPr="00393D5E" w:rsidRDefault="00846C5F" w:rsidP="0AFA31E3">
      <w:pPr>
        <w:pStyle w:val="Odrka"/>
        <w:numPr>
          <w:ilvl w:val="0"/>
          <w:numId w:val="0"/>
        </w:numPr>
        <w:spacing w:line="276" w:lineRule="auto"/>
        <w:rPr>
          <w:rFonts w:eastAsiaTheme="minorEastAsia"/>
          <w:sz w:val="22"/>
        </w:rPr>
      </w:pPr>
    </w:p>
    <w:p w14:paraId="3F821704" w14:textId="2D292866" w:rsidR="6355489F" w:rsidRPr="00393D5E" w:rsidRDefault="6355489F" w:rsidP="0AFA31E3">
      <w:pPr>
        <w:spacing w:line="276" w:lineRule="auto"/>
        <w:jc w:val="both"/>
        <w:rPr>
          <w:rFonts w:asciiTheme="majorHAnsi" w:eastAsia="Calibri" w:hAnsiTheme="majorHAnsi" w:cstheme="majorHAnsi"/>
          <w:b/>
          <w:bCs/>
          <w:sz w:val="26"/>
          <w:szCs w:val="26"/>
        </w:rPr>
      </w:pPr>
      <w:r w:rsidRPr="00393D5E">
        <w:rPr>
          <w:rFonts w:asciiTheme="majorHAnsi" w:eastAsia="Calibri" w:hAnsiTheme="majorHAnsi" w:cstheme="majorHAnsi"/>
          <w:sz w:val="26"/>
          <w:szCs w:val="26"/>
        </w:rPr>
        <w:t xml:space="preserve"> Komponenta 1.1 </w:t>
      </w:r>
      <w:r w:rsidR="00846C5F" w:rsidRPr="00393D5E">
        <w:rPr>
          <w:rFonts w:asciiTheme="majorHAnsi" w:eastAsia="Calibri" w:hAnsiTheme="majorHAnsi" w:cstheme="majorHAnsi"/>
          <w:b/>
          <w:bCs/>
          <w:sz w:val="26"/>
          <w:szCs w:val="26"/>
        </w:rPr>
        <w:t>DIGITÁLNÍ SLUŽBY OBČANŮM A</w:t>
      </w:r>
      <w:r w:rsidR="0003053E">
        <w:rPr>
          <w:rFonts w:asciiTheme="majorHAnsi" w:eastAsia="Calibri" w:hAnsiTheme="majorHAnsi" w:cstheme="majorHAnsi"/>
          <w:b/>
          <w:bCs/>
          <w:sz w:val="26"/>
          <w:szCs w:val="26"/>
        </w:rPr>
        <w:t> </w:t>
      </w:r>
      <w:r w:rsidR="00846C5F" w:rsidRPr="00393D5E">
        <w:rPr>
          <w:rFonts w:asciiTheme="majorHAnsi" w:eastAsia="Calibri" w:hAnsiTheme="majorHAnsi" w:cstheme="majorHAnsi"/>
          <w:b/>
          <w:bCs/>
          <w:sz w:val="26"/>
          <w:szCs w:val="26"/>
        </w:rPr>
        <w:t>FIRMÁM</w:t>
      </w:r>
    </w:p>
    <w:p w14:paraId="49078165" w14:textId="4C9A5AEC" w:rsidR="6355489F" w:rsidRPr="00393D5E" w:rsidRDefault="6355489F" w:rsidP="0AFA31E3">
      <w:pPr>
        <w:spacing w:line="276" w:lineRule="auto"/>
        <w:ind w:firstLine="708"/>
        <w:jc w:val="both"/>
        <w:rPr>
          <w:rFonts w:ascii="Calibri" w:eastAsia="Calibri" w:hAnsi="Calibri" w:cs="Calibri"/>
          <w:color w:val="000000" w:themeColor="text1"/>
        </w:rPr>
      </w:pPr>
      <w:r w:rsidRPr="00393D5E">
        <w:rPr>
          <w:rFonts w:ascii="Calibri" w:eastAsia="Calibri" w:hAnsi="Calibri" w:cs="Calibri"/>
        </w:rPr>
        <w:t xml:space="preserve">Investice </w:t>
      </w:r>
      <w:r w:rsidRPr="00393D5E">
        <w:rPr>
          <w:rFonts w:ascii="Calibri" w:eastAsia="Calibri" w:hAnsi="Calibri" w:cs="Calibri"/>
          <w:color w:val="000000" w:themeColor="text1"/>
        </w:rPr>
        <w:t>Digitální služby pro koncové uživatele v</w:t>
      </w:r>
      <w:r w:rsidR="0003053E">
        <w:rPr>
          <w:rFonts w:ascii="Calibri" w:eastAsia="Calibri" w:hAnsi="Calibri" w:cs="Calibri"/>
          <w:color w:val="000000" w:themeColor="text1"/>
        </w:rPr>
        <w:t> </w:t>
      </w:r>
      <w:r w:rsidRPr="00393D5E">
        <w:rPr>
          <w:rFonts w:ascii="Calibri" w:eastAsia="Calibri" w:hAnsi="Calibri" w:cs="Calibri"/>
          <w:color w:val="000000" w:themeColor="text1"/>
        </w:rPr>
        <w:t xml:space="preserve">sociální oblasti </w:t>
      </w:r>
    </w:p>
    <w:p w14:paraId="68C09766" w14:textId="77777777" w:rsidR="00846C5F" w:rsidRPr="00393D5E" w:rsidRDefault="00846C5F" w:rsidP="0AFA31E3">
      <w:pPr>
        <w:spacing w:line="276" w:lineRule="auto"/>
        <w:ind w:firstLine="708"/>
        <w:jc w:val="both"/>
        <w:rPr>
          <w:rFonts w:ascii="Calibri" w:eastAsia="Calibri" w:hAnsi="Calibri" w:cs="Calibri"/>
          <w:color w:val="000000" w:themeColor="text1"/>
        </w:rPr>
      </w:pPr>
    </w:p>
    <w:p w14:paraId="503C2F9C" w14:textId="42269ACB" w:rsidR="6355489F" w:rsidRPr="00393D5E" w:rsidRDefault="6355489F" w:rsidP="0AFA31E3">
      <w:pPr>
        <w:spacing w:line="276" w:lineRule="auto"/>
        <w:jc w:val="both"/>
        <w:rPr>
          <w:rFonts w:asciiTheme="majorHAnsi" w:eastAsia="Calibri" w:hAnsiTheme="majorHAnsi" w:cstheme="majorHAnsi"/>
          <w:b/>
          <w:bCs/>
          <w:sz w:val="26"/>
          <w:szCs w:val="26"/>
        </w:rPr>
      </w:pPr>
      <w:r w:rsidRPr="00393D5E">
        <w:rPr>
          <w:rFonts w:asciiTheme="majorHAnsi" w:eastAsia="Calibri" w:hAnsiTheme="majorHAnsi" w:cstheme="majorHAnsi"/>
          <w:sz w:val="26"/>
          <w:szCs w:val="26"/>
        </w:rPr>
        <w:t xml:space="preserve"> Komponenta 1.2 </w:t>
      </w:r>
      <w:r w:rsidR="00393D5E" w:rsidRPr="00393D5E">
        <w:rPr>
          <w:rFonts w:asciiTheme="majorHAnsi" w:eastAsia="Calibri" w:hAnsiTheme="majorHAnsi" w:cstheme="majorHAnsi"/>
          <w:b/>
          <w:bCs/>
          <w:sz w:val="26"/>
          <w:szCs w:val="26"/>
        </w:rPr>
        <w:t>DIGITÁLNÍ SYSTÉMY VEŘEJNÉ SPRÁVY</w:t>
      </w:r>
    </w:p>
    <w:p w14:paraId="6BE61F46" w14:textId="62D28551" w:rsidR="00696A65" w:rsidRPr="00696A65" w:rsidRDefault="6355489F" w:rsidP="00696A65">
      <w:pPr>
        <w:pStyle w:val="Odstavecseseznamem"/>
        <w:jc w:val="both"/>
        <w:rPr>
          <w:rFonts w:cstheme="minorHAnsi"/>
        </w:rPr>
      </w:pPr>
      <w:r w:rsidRPr="00696A65">
        <w:rPr>
          <w:rFonts w:eastAsia="Calibri" w:cstheme="minorHAnsi"/>
          <w:color w:val="000000" w:themeColor="text1"/>
        </w:rPr>
        <w:t xml:space="preserve">Investice </w:t>
      </w:r>
      <w:r w:rsidR="00696A65" w:rsidRPr="00696A65">
        <w:rPr>
          <w:rFonts w:cstheme="minorHAnsi"/>
        </w:rPr>
        <w:t>Vývoj informačních systémů v</w:t>
      </w:r>
      <w:r w:rsidR="0003053E">
        <w:rPr>
          <w:rFonts w:cstheme="minorHAnsi"/>
        </w:rPr>
        <w:t> </w:t>
      </w:r>
      <w:r w:rsidR="00696A65" w:rsidRPr="00696A65">
        <w:rPr>
          <w:rFonts w:cstheme="minorHAnsi"/>
        </w:rPr>
        <w:t>sociální oblasti</w:t>
      </w:r>
    </w:p>
    <w:p w14:paraId="167AB255" w14:textId="0B2A69B7" w:rsidR="6355489F" w:rsidRPr="00696A65" w:rsidRDefault="00FB0EFA" w:rsidP="0AFA31E3">
      <w:pPr>
        <w:spacing w:line="276" w:lineRule="auto"/>
        <w:ind w:firstLine="708"/>
        <w:jc w:val="both"/>
        <w:rPr>
          <w:rFonts w:eastAsia="Calibri" w:cstheme="minorHAnsi"/>
          <w:color w:val="000000" w:themeColor="text1"/>
        </w:rPr>
      </w:pPr>
      <w:r w:rsidRPr="00696A65">
        <w:rPr>
          <w:rFonts w:cstheme="minorHAnsi"/>
        </w:rPr>
        <w:t>I</w:t>
      </w:r>
      <w:r w:rsidR="00937BC2" w:rsidRPr="00696A65">
        <w:rPr>
          <w:rStyle w:val="normaltextrun"/>
          <w:rFonts w:cstheme="minorHAnsi"/>
          <w:color w:val="000000" w:themeColor="text1"/>
          <w:shd w:val="clear" w:color="auto" w:fill="FFFFFF"/>
        </w:rPr>
        <w:t xml:space="preserve">nvestice </w:t>
      </w:r>
      <w:r w:rsidR="00781D1F" w:rsidRPr="00696A65">
        <w:rPr>
          <w:rFonts w:cstheme="minorHAnsi"/>
        </w:rPr>
        <w:t>Navýšení investic do kybernetické bezpečnosti</w:t>
      </w:r>
      <w:r w:rsidR="6355489F" w:rsidRPr="00696A65">
        <w:rPr>
          <w:rFonts w:eastAsia="Calibri" w:cstheme="minorHAnsi"/>
          <w:color w:val="000000" w:themeColor="text1"/>
        </w:rPr>
        <w:t xml:space="preserve"> </w:t>
      </w:r>
    </w:p>
    <w:p w14:paraId="39BBC274" w14:textId="77777777" w:rsidR="00393D5E" w:rsidRPr="00393D5E" w:rsidRDefault="00393D5E" w:rsidP="0AFA31E3">
      <w:pPr>
        <w:spacing w:line="276" w:lineRule="auto"/>
        <w:ind w:firstLine="708"/>
        <w:jc w:val="both"/>
        <w:rPr>
          <w:rFonts w:ascii="Calibri" w:eastAsia="Calibri" w:hAnsi="Calibri" w:cs="Calibri"/>
          <w:color w:val="000000" w:themeColor="text1"/>
        </w:rPr>
      </w:pPr>
    </w:p>
    <w:p w14:paraId="3E35155A" w14:textId="5A8D8355" w:rsidR="6355489F" w:rsidRPr="00393D5E" w:rsidRDefault="6355489F" w:rsidP="0AFA31E3">
      <w:pPr>
        <w:spacing w:line="276" w:lineRule="auto"/>
        <w:jc w:val="both"/>
        <w:rPr>
          <w:rFonts w:asciiTheme="majorHAnsi" w:eastAsia="Calibri" w:hAnsiTheme="majorHAnsi" w:cstheme="majorHAnsi"/>
          <w:b/>
          <w:bCs/>
          <w:sz w:val="26"/>
          <w:szCs w:val="26"/>
        </w:rPr>
      </w:pPr>
      <w:r w:rsidRPr="00393D5E">
        <w:rPr>
          <w:rFonts w:asciiTheme="majorHAnsi" w:eastAsia="Calibri" w:hAnsiTheme="majorHAnsi" w:cstheme="majorHAnsi"/>
          <w:sz w:val="26"/>
          <w:szCs w:val="26"/>
        </w:rPr>
        <w:t xml:space="preserve">Komponenta 1.4 </w:t>
      </w:r>
      <w:r w:rsidR="00846C5F" w:rsidRPr="00393D5E">
        <w:rPr>
          <w:rFonts w:asciiTheme="majorHAnsi" w:eastAsia="Calibri" w:hAnsiTheme="majorHAnsi" w:cstheme="majorHAnsi"/>
          <w:b/>
          <w:bCs/>
          <w:sz w:val="26"/>
          <w:szCs w:val="26"/>
        </w:rPr>
        <w:t>DIGITÁLNÍ EKONOMIKA A</w:t>
      </w:r>
      <w:r w:rsidR="0003053E">
        <w:rPr>
          <w:rFonts w:asciiTheme="majorHAnsi" w:eastAsia="Calibri" w:hAnsiTheme="majorHAnsi" w:cstheme="majorHAnsi"/>
          <w:b/>
          <w:bCs/>
          <w:sz w:val="26"/>
          <w:szCs w:val="26"/>
        </w:rPr>
        <w:t> </w:t>
      </w:r>
      <w:r w:rsidR="00846C5F" w:rsidRPr="00393D5E">
        <w:rPr>
          <w:rFonts w:asciiTheme="majorHAnsi" w:eastAsia="Calibri" w:hAnsiTheme="majorHAnsi" w:cstheme="majorHAnsi"/>
          <w:b/>
          <w:bCs/>
          <w:sz w:val="26"/>
          <w:szCs w:val="26"/>
        </w:rPr>
        <w:t>SPOLEČNOST, INOVATIVNÍ START-UPY A</w:t>
      </w:r>
      <w:r w:rsidR="0003053E">
        <w:rPr>
          <w:rFonts w:asciiTheme="majorHAnsi" w:eastAsia="Calibri" w:hAnsiTheme="majorHAnsi" w:cstheme="majorHAnsi"/>
          <w:b/>
          <w:bCs/>
          <w:sz w:val="26"/>
          <w:szCs w:val="26"/>
        </w:rPr>
        <w:t> </w:t>
      </w:r>
      <w:r w:rsidR="00846C5F" w:rsidRPr="00393D5E">
        <w:rPr>
          <w:rFonts w:asciiTheme="majorHAnsi" w:eastAsia="Calibri" w:hAnsiTheme="majorHAnsi" w:cstheme="majorHAnsi"/>
          <w:b/>
          <w:bCs/>
          <w:sz w:val="26"/>
          <w:szCs w:val="26"/>
        </w:rPr>
        <w:t>NOVÉ TECHNOLOGIE</w:t>
      </w:r>
    </w:p>
    <w:p w14:paraId="53A6A447" w14:textId="0FA6D6CD" w:rsidR="6355489F" w:rsidRPr="00393D5E" w:rsidRDefault="6355489F" w:rsidP="0AFA31E3">
      <w:pPr>
        <w:spacing w:before="120" w:after="120" w:line="276" w:lineRule="auto"/>
        <w:ind w:firstLine="708"/>
        <w:jc w:val="both"/>
        <w:rPr>
          <w:rFonts w:ascii="Calibri" w:eastAsia="Calibri" w:hAnsi="Calibri" w:cs="Calibri"/>
          <w:color w:val="212121"/>
        </w:rPr>
      </w:pPr>
      <w:r w:rsidRPr="00393D5E">
        <w:rPr>
          <w:rFonts w:ascii="Calibri" w:eastAsia="Calibri" w:hAnsi="Calibri" w:cs="Calibri"/>
          <w:color w:val="212121"/>
        </w:rPr>
        <w:t xml:space="preserve">Investice </w:t>
      </w:r>
      <w:r w:rsidR="00FB0EFA">
        <w:rPr>
          <w:rFonts w:ascii="Calibri" w:eastAsia="Calibri" w:hAnsi="Calibri" w:cs="Calibri"/>
          <w:color w:val="212121"/>
        </w:rPr>
        <w:t>Fondy</w:t>
      </w:r>
      <w:r w:rsidRPr="00393D5E">
        <w:rPr>
          <w:rFonts w:ascii="Calibri" w:eastAsia="Calibri" w:hAnsi="Calibri" w:cs="Calibri"/>
          <w:color w:val="212121"/>
        </w:rPr>
        <w:t xml:space="preserve"> </w:t>
      </w:r>
      <w:r w:rsidR="00FA403F">
        <w:rPr>
          <w:rFonts w:ascii="Calibri" w:eastAsia="Calibri" w:hAnsi="Calibri" w:cs="Calibri"/>
          <w:color w:val="212121"/>
        </w:rPr>
        <w:t>na vývoj</w:t>
      </w:r>
      <w:r w:rsidRPr="00393D5E">
        <w:rPr>
          <w:rFonts w:ascii="Calibri" w:eastAsia="Calibri" w:hAnsi="Calibri" w:cs="Calibri"/>
          <w:color w:val="212121"/>
        </w:rPr>
        <w:t xml:space="preserve"> strategických technologií </w:t>
      </w:r>
    </w:p>
    <w:p w14:paraId="1E2A93BB" w14:textId="1F5663CE" w:rsidR="6355489F" w:rsidRPr="00393D5E" w:rsidRDefault="6355489F" w:rsidP="0AFA31E3">
      <w:pPr>
        <w:spacing w:line="276" w:lineRule="auto"/>
        <w:jc w:val="both"/>
        <w:rPr>
          <w:rFonts w:ascii="Calibri" w:eastAsia="Calibri" w:hAnsi="Calibri" w:cs="Calibri"/>
        </w:rPr>
      </w:pPr>
      <w:r w:rsidRPr="00393D5E">
        <w:rPr>
          <w:rFonts w:ascii="Calibri" w:eastAsia="Calibri" w:hAnsi="Calibri" w:cs="Calibri"/>
        </w:rPr>
        <w:t xml:space="preserve"> </w:t>
      </w:r>
    </w:p>
    <w:p w14:paraId="0A0CD92E" w14:textId="761E6537" w:rsidR="6355489F" w:rsidRPr="00393D5E" w:rsidRDefault="6355489F" w:rsidP="0AFA31E3">
      <w:pPr>
        <w:spacing w:line="276" w:lineRule="auto"/>
        <w:jc w:val="both"/>
        <w:rPr>
          <w:rFonts w:asciiTheme="majorHAnsi" w:eastAsia="Calibri" w:hAnsiTheme="majorHAnsi" w:cstheme="majorHAnsi"/>
          <w:b/>
          <w:bCs/>
          <w:sz w:val="26"/>
          <w:szCs w:val="26"/>
        </w:rPr>
      </w:pPr>
      <w:r w:rsidRPr="00393D5E">
        <w:rPr>
          <w:rFonts w:asciiTheme="majorHAnsi" w:eastAsia="Calibri" w:hAnsiTheme="majorHAnsi" w:cstheme="majorHAnsi"/>
          <w:sz w:val="26"/>
          <w:szCs w:val="26"/>
        </w:rPr>
        <w:t xml:space="preserve">Komponenta 1.5 </w:t>
      </w:r>
      <w:r w:rsidR="00846C5F" w:rsidRPr="00393D5E">
        <w:rPr>
          <w:rFonts w:asciiTheme="majorHAnsi" w:eastAsia="Calibri" w:hAnsiTheme="majorHAnsi" w:cstheme="majorHAnsi"/>
          <w:b/>
          <w:bCs/>
          <w:sz w:val="26"/>
          <w:szCs w:val="26"/>
        </w:rPr>
        <w:t>DIGITÁLNÍ TRANSFORMACE PODNIKŮ</w:t>
      </w:r>
    </w:p>
    <w:p w14:paraId="141DE74B" w14:textId="68E205D5" w:rsidR="6355489F" w:rsidRPr="00393D5E" w:rsidRDefault="6355489F" w:rsidP="0AFA31E3">
      <w:pPr>
        <w:ind w:firstLine="708"/>
      </w:pPr>
      <w:r w:rsidRPr="00393D5E">
        <w:t>Investice IPCEI v</w:t>
      </w:r>
      <w:r w:rsidR="0003053E">
        <w:t> </w:t>
      </w:r>
      <w:r w:rsidRPr="00393D5E">
        <w:t>oblasti Mikroelektronika a</w:t>
      </w:r>
      <w:r w:rsidR="0003053E">
        <w:t> </w:t>
      </w:r>
      <w:r w:rsidRPr="00393D5E">
        <w:t>komunikační technologie</w:t>
      </w:r>
    </w:p>
    <w:p w14:paraId="209866C0" w14:textId="77777777" w:rsidR="00393D5E" w:rsidRPr="00393D5E" w:rsidRDefault="00393D5E" w:rsidP="0AFA31E3">
      <w:pPr>
        <w:ind w:firstLine="708"/>
        <w:rPr>
          <w:rFonts w:ascii="Calibri" w:eastAsia="Calibri" w:hAnsi="Calibri" w:cs="Calibri"/>
          <w:color w:val="212121"/>
        </w:rPr>
      </w:pPr>
    </w:p>
    <w:p w14:paraId="7769774F" w14:textId="04D87C3A" w:rsidR="6355489F" w:rsidRPr="00393D5E" w:rsidRDefault="6355489F" w:rsidP="0AFA31E3">
      <w:pPr>
        <w:rPr>
          <w:rFonts w:asciiTheme="majorHAnsi" w:eastAsia="Calibri" w:hAnsiTheme="majorHAnsi" w:cstheme="majorHAnsi"/>
          <w:b/>
          <w:bCs/>
          <w:sz w:val="26"/>
          <w:szCs w:val="26"/>
        </w:rPr>
      </w:pPr>
      <w:r w:rsidRPr="00393D5E">
        <w:rPr>
          <w:rFonts w:asciiTheme="majorHAnsi" w:hAnsiTheme="majorHAnsi" w:cstheme="majorHAnsi"/>
          <w:sz w:val="26"/>
          <w:szCs w:val="26"/>
        </w:rPr>
        <w:t xml:space="preserve">Komponenta 1.7 </w:t>
      </w:r>
      <w:r w:rsidR="00846C5F" w:rsidRPr="00393D5E">
        <w:rPr>
          <w:rFonts w:asciiTheme="majorHAnsi" w:hAnsiTheme="majorHAnsi" w:cstheme="majorHAnsi"/>
          <w:b/>
          <w:bCs/>
          <w:sz w:val="26"/>
          <w:szCs w:val="26"/>
        </w:rPr>
        <w:t xml:space="preserve">DIGITÁLNÍ TRANSFORMACE VEŘEJNÉ </w:t>
      </w:r>
      <w:r w:rsidR="00846C5F" w:rsidRPr="00393D5E">
        <w:rPr>
          <w:rFonts w:asciiTheme="majorHAnsi" w:hAnsiTheme="majorHAnsi" w:cstheme="majorHAnsi"/>
          <w:b/>
          <w:sz w:val="26"/>
          <w:szCs w:val="26"/>
        </w:rPr>
        <w:t>SPRÁVY</w:t>
      </w:r>
    </w:p>
    <w:p w14:paraId="09E34E9C" w14:textId="70284F30" w:rsidR="6355489F" w:rsidRPr="00393D5E" w:rsidRDefault="6355489F" w:rsidP="0AFA31E3">
      <w:pPr>
        <w:ind w:firstLine="708"/>
        <w:rPr>
          <w:rFonts w:ascii="Calibri" w:eastAsia="Calibri" w:hAnsi="Calibri" w:cs="Calibri"/>
          <w:color w:val="000000" w:themeColor="text1"/>
        </w:rPr>
      </w:pPr>
      <w:r w:rsidRPr="00393D5E">
        <w:t>Reforma Sjednocení vizuální identity a</w:t>
      </w:r>
      <w:r w:rsidR="0003053E">
        <w:t> </w:t>
      </w:r>
      <w:r w:rsidRPr="00393D5E">
        <w:t xml:space="preserve">internetových domén informačních systémů ústředních </w:t>
      </w:r>
      <w:r w:rsidRPr="00393D5E">
        <w:tab/>
      </w:r>
      <w:r w:rsidRPr="00393D5E">
        <w:tab/>
        <w:t>orgánů a</w:t>
      </w:r>
      <w:r w:rsidR="0003053E">
        <w:t> </w:t>
      </w:r>
      <w:r w:rsidRPr="00393D5E">
        <w:t>státní správy a</w:t>
      </w:r>
      <w:r w:rsidR="0003053E">
        <w:t> </w:t>
      </w:r>
      <w:r w:rsidRPr="00393D5E">
        <w:t xml:space="preserve">vytvoření platformy vzdělávání </w:t>
      </w:r>
    </w:p>
    <w:p w14:paraId="10A94FA2" w14:textId="4C8FF552" w:rsidR="6355489F" w:rsidRPr="00393D5E" w:rsidRDefault="6355489F" w:rsidP="0AFA31E3">
      <w:pPr>
        <w:ind w:firstLine="708"/>
        <w:rPr>
          <w:rFonts w:ascii="Calibri" w:eastAsia="Calibri" w:hAnsi="Calibri" w:cs="Calibri"/>
          <w:color w:val="000000" w:themeColor="text1"/>
        </w:rPr>
      </w:pPr>
      <w:r w:rsidRPr="00393D5E">
        <w:t>Reforma Platforma pro optimalizaci, implementaci a</w:t>
      </w:r>
      <w:r w:rsidR="0003053E">
        <w:t> </w:t>
      </w:r>
      <w:r w:rsidRPr="00393D5E">
        <w:t xml:space="preserve">metodické řízení digitalizovaných služeb vč. </w:t>
      </w:r>
      <w:r w:rsidRPr="00393D5E">
        <w:tab/>
        <w:t>jejich kapacitního plánování a</w:t>
      </w:r>
      <w:r w:rsidR="0003053E">
        <w:t> </w:t>
      </w:r>
      <w:r w:rsidRPr="00393D5E">
        <w:t xml:space="preserve">komunikaci informací klientům veřejné správy </w:t>
      </w:r>
    </w:p>
    <w:p w14:paraId="1A79A82A" w14:textId="3F2CF3C7" w:rsidR="6355489F" w:rsidRPr="00393D5E" w:rsidRDefault="6355489F" w:rsidP="0AFA31E3">
      <w:pPr>
        <w:ind w:firstLine="708"/>
        <w:rPr>
          <w:rFonts w:ascii="Calibri" w:eastAsia="Calibri" w:hAnsi="Calibri" w:cs="Calibri"/>
          <w:color w:val="000000" w:themeColor="text1"/>
        </w:rPr>
      </w:pPr>
      <w:r w:rsidRPr="00393D5E">
        <w:t xml:space="preserve">Reforma </w:t>
      </w:r>
      <w:r w:rsidR="00FB0EFA">
        <w:t>Vytvoření kontaktního centra ve</w:t>
      </w:r>
      <w:r w:rsidRPr="00393D5E">
        <w:t xml:space="preserve">řejné správy  </w:t>
      </w:r>
    </w:p>
    <w:p w14:paraId="6DECA324" w14:textId="5E1EE922" w:rsidR="6355489F" w:rsidRPr="00393D5E" w:rsidRDefault="6355489F" w:rsidP="0AFA31E3">
      <w:pPr>
        <w:ind w:firstLine="708"/>
      </w:pPr>
      <w:r>
        <w:t>Reforma Vytvoření centrální infrastruktury pro práci s</w:t>
      </w:r>
      <w:r w:rsidR="0003053E">
        <w:t> </w:t>
      </w:r>
      <w:r>
        <w:t xml:space="preserve">daty  </w:t>
      </w:r>
    </w:p>
    <w:p w14:paraId="2C6F8E48" w14:textId="27C80342" w:rsidR="6355489F" w:rsidRPr="00393D5E" w:rsidRDefault="6355489F" w:rsidP="0AFA31E3">
      <w:pPr>
        <w:rPr>
          <w:rFonts w:ascii="Calibri" w:eastAsia="Calibri" w:hAnsi="Calibri" w:cs="Calibri"/>
          <w:color w:val="212121"/>
        </w:rPr>
      </w:pPr>
      <w:r w:rsidRPr="00393D5E">
        <w:t xml:space="preserve"> </w:t>
      </w:r>
    </w:p>
    <w:p w14:paraId="22D1D2CC" w14:textId="2C728615" w:rsidR="6355489F" w:rsidRPr="00393D5E" w:rsidRDefault="6355489F" w:rsidP="0AFA31E3">
      <w:pPr>
        <w:rPr>
          <w:rFonts w:asciiTheme="majorHAnsi" w:eastAsia="Calibri" w:hAnsiTheme="majorHAnsi" w:cstheme="majorHAnsi"/>
          <w:b/>
          <w:bCs/>
          <w:color w:val="212121"/>
          <w:sz w:val="26"/>
          <w:szCs w:val="26"/>
        </w:rPr>
      </w:pPr>
      <w:r w:rsidRPr="00393D5E">
        <w:rPr>
          <w:rFonts w:asciiTheme="majorHAnsi" w:hAnsiTheme="majorHAnsi" w:cstheme="majorHAnsi"/>
          <w:sz w:val="26"/>
          <w:szCs w:val="26"/>
        </w:rPr>
        <w:t xml:space="preserve">Komponenta 2.9 </w:t>
      </w:r>
      <w:r w:rsidR="00846C5F" w:rsidRPr="00393D5E">
        <w:rPr>
          <w:rFonts w:asciiTheme="majorHAnsi" w:hAnsiTheme="majorHAnsi" w:cstheme="majorHAnsi"/>
          <w:b/>
          <w:bCs/>
          <w:sz w:val="26"/>
          <w:szCs w:val="26"/>
        </w:rPr>
        <w:t>PODPORA BIODIVERZITY A</w:t>
      </w:r>
      <w:r w:rsidR="0003053E">
        <w:rPr>
          <w:rFonts w:asciiTheme="majorHAnsi" w:hAnsiTheme="majorHAnsi" w:cstheme="majorHAnsi"/>
          <w:b/>
          <w:bCs/>
          <w:sz w:val="26"/>
          <w:szCs w:val="26"/>
        </w:rPr>
        <w:t> </w:t>
      </w:r>
      <w:r w:rsidR="00846C5F" w:rsidRPr="00393D5E">
        <w:rPr>
          <w:rFonts w:asciiTheme="majorHAnsi" w:hAnsiTheme="majorHAnsi" w:cstheme="majorHAnsi"/>
          <w:b/>
          <w:bCs/>
          <w:sz w:val="26"/>
          <w:szCs w:val="26"/>
        </w:rPr>
        <w:t>BOJ SE SUCHEM</w:t>
      </w:r>
    </w:p>
    <w:p w14:paraId="6D7BA2CB" w14:textId="3B291735" w:rsidR="6355489F" w:rsidRDefault="6355489F" w:rsidP="0AFA31E3">
      <w:pPr>
        <w:ind w:firstLine="708"/>
      </w:pPr>
      <w:r w:rsidRPr="00393D5E">
        <w:t xml:space="preserve">Reforma </w:t>
      </w:r>
      <w:r w:rsidR="008208C9">
        <w:t>Stanovení</w:t>
      </w:r>
      <w:r w:rsidRPr="00393D5E">
        <w:t xml:space="preserve"> politiky krajiny a</w:t>
      </w:r>
      <w:r w:rsidR="0003053E">
        <w:t> </w:t>
      </w:r>
      <w:r w:rsidRPr="00393D5E">
        <w:t xml:space="preserve">krajinného plánování </w:t>
      </w:r>
      <w:r w:rsidR="008208C9">
        <w:t xml:space="preserve"> </w:t>
      </w:r>
      <w:r w:rsidRPr="00393D5E">
        <w:t xml:space="preserve"> </w:t>
      </w:r>
    </w:p>
    <w:p w14:paraId="60CC69ED" w14:textId="1D089140" w:rsidR="002F1580" w:rsidRDefault="002F1580" w:rsidP="0AFA31E3">
      <w:pPr>
        <w:ind w:firstLine="708"/>
      </w:pPr>
    </w:p>
    <w:p w14:paraId="08F6741E" w14:textId="160BB859" w:rsidR="002F1580" w:rsidRPr="00393D5E" w:rsidRDefault="002F1580" w:rsidP="002F1580">
      <w:pPr>
        <w:rPr>
          <w:rFonts w:asciiTheme="majorHAnsi" w:eastAsia="Calibri" w:hAnsiTheme="majorHAnsi" w:cstheme="majorHAnsi"/>
          <w:b/>
          <w:bCs/>
          <w:color w:val="212121"/>
          <w:sz w:val="26"/>
          <w:szCs w:val="26"/>
        </w:rPr>
      </w:pPr>
      <w:r w:rsidRPr="00393D5E">
        <w:rPr>
          <w:rFonts w:asciiTheme="majorHAnsi" w:hAnsiTheme="majorHAnsi" w:cstheme="majorHAnsi"/>
          <w:sz w:val="26"/>
          <w:szCs w:val="26"/>
        </w:rPr>
        <w:t>Komponenta 2.</w:t>
      </w:r>
      <w:r>
        <w:rPr>
          <w:rFonts w:asciiTheme="majorHAnsi" w:hAnsiTheme="majorHAnsi" w:cstheme="majorHAnsi"/>
          <w:sz w:val="26"/>
          <w:szCs w:val="26"/>
        </w:rPr>
        <w:t>10</w:t>
      </w:r>
      <w:r w:rsidRPr="00393D5E">
        <w:rPr>
          <w:rFonts w:asciiTheme="majorHAnsi" w:hAnsiTheme="majorHAnsi" w:cstheme="majorHAnsi"/>
          <w:sz w:val="26"/>
          <w:szCs w:val="26"/>
        </w:rPr>
        <w:t xml:space="preserve"> </w:t>
      </w:r>
      <w:r>
        <w:rPr>
          <w:rFonts w:asciiTheme="majorHAnsi" w:hAnsiTheme="majorHAnsi" w:cstheme="majorHAnsi"/>
          <w:b/>
          <w:bCs/>
          <w:sz w:val="26"/>
          <w:szCs w:val="26"/>
        </w:rPr>
        <w:t>DOSTUPNÉ BYDLENÍ</w:t>
      </w:r>
    </w:p>
    <w:p w14:paraId="1E01BFE0" w14:textId="3C12705B" w:rsidR="002F1580" w:rsidRPr="002F1580" w:rsidRDefault="002F1580" w:rsidP="002F1580">
      <w:pPr>
        <w:spacing w:line="240" w:lineRule="auto"/>
        <w:ind w:left="360" w:firstLine="348"/>
        <w:jc w:val="both"/>
        <w:textAlignment w:val="baseline"/>
        <w:rPr>
          <w:rFonts w:ascii="Calibri" w:eastAsia="Times New Roman" w:hAnsi="Calibri" w:cs="Calibri"/>
          <w:lang w:eastAsia="cs-CZ"/>
        </w:rPr>
      </w:pPr>
      <w:r w:rsidRPr="002F1580">
        <w:rPr>
          <w:rFonts w:ascii="Calibri" w:eastAsia="Times New Roman" w:hAnsi="Calibri" w:cs="Calibri"/>
          <w:lang w:eastAsia="cs-CZ"/>
        </w:rPr>
        <w:t xml:space="preserve">Reforma </w:t>
      </w:r>
      <w:r w:rsidR="008208C9">
        <w:rPr>
          <w:rFonts w:ascii="Calibri" w:eastAsia="Times New Roman" w:hAnsi="Calibri" w:cs="Calibri"/>
          <w:lang w:eastAsia="cs-CZ"/>
        </w:rPr>
        <w:t>Zákon o</w:t>
      </w:r>
      <w:r w:rsidR="0003053E">
        <w:rPr>
          <w:rFonts w:ascii="Calibri" w:eastAsia="Times New Roman" w:hAnsi="Calibri" w:cs="Calibri"/>
          <w:lang w:eastAsia="cs-CZ"/>
        </w:rPr>
        <w:t> </w:t>
      </w:r>
      <w:r w:rsidR="008208C9">
        <w:rPr>
          <w:rFonts w:ascii="Calibri" w:eastAsia="Times New Roman" w:hAnsi="Calibri" w:cs="Calibri"/>
          <w:lang w:eastAsia="cs-CZ"/>
        </w:rPr>
        <w:t>podpoře v</w:t>
      </w:r>
      <w:r w:rsidR="0003053E">
        <w:rPr>
          <w:rFonts w:ascii="Calibri" w:eastAsia="Times New Roman" w:hAnsi="Calibri" w:cs="Calibri"/>
          <w:lang w:eastAsia="cs-CZ"/>
        </w:rPr>
        <w:t> </w:t>
      </w:r>
      <w:r w:rsidRPr="002F1580">
        <w:rPr>
          <w:rFonts w:ascii="Calibri" w:eastAsia="Times New Roman" w:hAnsi="Calibri" w:cs="Calibri"/>
          <w:lang w:eastAsia="cs-CZ"/>
        </w:rPr>
        <w:t>bydlení</w:t>
      </w:r>
    </w:p>
    <w:p w14:paraId="442ABDF5" w14:textId="38270A54" w:rsidR="002F1580" w:rsidRPr="002F1580" w:rsidRDefault="002F1580" w:rsidP="002F1580">
      <w:pPr>
        <w:spacing w:line="240" w:lineRule="auto"/>
        <w:ind w:left="708"/>
        <w:jc w:val="both"/>
        <w:textAlignment w:val="baseline"/>
        <w:rPr>
          <w:rFonts w:ascii="Calibri" w:eastAsia="Times New Roman" w:hAnsi="Calibri" w:cs="Calibri"/>
          <w:lang w:eastAsia="cs-CZ"/>
        </w:rPr>
      </w:pPr>
      <w:r w:rsidRPr="002F1580">
        <w:rPr>
          <w:rFonts w:ascii="Calibri" w:eastAsia="Times New Roman" w:hAnsi="Calibri" w:cs="Calibri"/>
          <w:lang w:eastAsia="cs-CZ"/>
        </w:rPr>
        <w:lastRenderedPageBreak/>
        <w:t>Investi</w:t>
      </w:r>
      <w:r w:rsidR="008208C9">
        <w:rPr>
          <w:rFonts w:ascii="Calibri" w:eastAsia="Times New Roman" w:hAnsi="Calibri" w:cs="Calibri"/>
          <w:lang w:eastAsia="cs-CZ"/>
        </w:rPr>
        <w:t>ce Vytvoření podpůrných kapacit k</w:t>
      </w:r>
      <w:r w:rsidR="0003053E">
        <w:rPr>
          <w:rFonts w:ascii="Calibri" w:eastAsia="Times New Roman" w:hAnsi="Calibri" w:cs="Calibri"/>
          <w:lang w:eastAsia="cs-CZ"/>
        </w:rPr>
        <w:t> </w:t>
      </w:r>
      <w:r w:rsidR="008208C9">
        <w:rPr>
          <w:rFonts w:ascii="Calibri" w:eastAsia="Times New Roman" w:hAnsi="Calibri" w:cs="Calibri"/>
          <w:lang w:eastAsia="cs-CZ"/>
        </w:rPr>
        <w:t>realizaci investic: Housing Investment Advisory Huba regionální centra pro podporu investic do bydlení</w:t>
      </w:r>
    </w:p>
    <w:p w14:paraId="36C638B8" w14:textId="4D5AC500" w:rsidR="002F1580" w:rsidRPr="002F1580" w:rsidRDefault="008208C9" w:rsidP="002F1580">
      <w:pPr>
        <w:spacing w:after="0" w:line="240" w:lineRule="auto"/>
        <w:ind w:left="360" w:firstLine="348"/>
        <w:jc w:val="both"/>
        <w:textAlignment w:val="baseline"/>
        <w:rPr>
          <w:rFonts w:ascii="Calibri" w:eastAsia="Times New Roman" w:hAnsi="Calibri" w:cs="Calibri"/>
          <w:lang w:eastAsia="cs-CZ"/>
        </w:rPr>
      </w:pPr>
      <w:r>
        <w:rPr>
          <w:rFonts w:ascii="Calibri" w:eastAsia="Times New Roman" w:hAnsi="Calibri" w:cs="Calibri"/>
          <w:lang w:eastAsia="cs-CZ"/>
        </w:rPr>
        <w:t>Investice Program pro zvýšení dostupnosti bydlení</w:t>
      </w:r>
    </w:p>
    <w:p w14:paraId="33883A3C" w14:textId="71FB8702" w:rsidR="00393D5E" w:rsidRDefault="00393D5E" w:rsidP="0AFA31E3">
      <w:pPr>
        <w:ind w:firstLine="708"/>
        <w:rPr>
          <w:rFonts w:ascii="Calibri" w:eastAsia="Calibri" w:hAnsi="Calibri" w:cs="Calibri"/>
          <w:color w:val="000000" w:themeColor="text1"/>
        </w:rPr>
      </w:pPr>
    </w:p>
    <w:p w14:paraId="5D26EFF6" w14:textId="15E7A26D" w:rsidR="6355489F" w:rsidRPr="00393D5E" w:rsidRDefault="6355489F" w:rsidP="0AFA31E3">
      <w:pPr>
        <w:rPr>
          <w:rFonts w:asciiTheme="majorHAnsi" w:hAnsiTheme="majorHAnsi" w:cstheme="majorHAnsi"/>
          <w:b/>
          <w:bCs/>
          <w:sz w:val="26"/>
          <w:szCs w:val="26"/>
        </w:rPr>
      </w:pPr>
      <w:r w:rsidRPr="00393D5E">
        <w:rPr>
          <w:rFonts w:asciiTheme="majorHAnsi" w:hAnsiTheme="majorHAnsi" w:cstheme="majorHAnsi"/>
          <w:sz w:val="26"/>
          <w:szCs w:val="26"/>
        </w:rPr>
        <w:t xml:space="preserve">Komponenta 3.3 </w:t>
      </w:r>
      <w:r w:rsidR="00846C5F" w:rsidRPr="00393D5E">
        <w:rPr>
          <w:rFonts w:asciiTheme="majorHAnsi" w:hAnsiTheme="majorHAnsi" w:cstheme="majorHAnsi"/>
          <w:b/>
          <w:bCs/>
          <w:sz w:val="26"/>
          <w:szCs w:val="26"/>
        </w:rPr>
        <w:t>MODERNIZACE SLUŽEB ZAMĚSTNANOSTI A</w:t>
      </w:r>
      <w:r w:rsidR="0003053E">
        <w:rPr>
          <w:rFonts w:asciiTheme="majorHAnsi" w:hAnsiTheme="majorHAnsi" w:cstheme="majorHAnsi"/>
          <w:b/>
          <w:bCs/>
          <w:sz w:val="26"/>
          <w:szCs w:val="26"/>
        </w:rPr>
        <w:t> </w:t>
      </w:r>
      <w:r w:rsidR="00846C5F" w:rsidRPr="00393D5E">
        <w:rPr>
          <w:rFonts w:asciiTheme="majorHAnsi" w:hAnsiTheme="majorHAnsi" w:cstheme="majorHAnsi"/>
          <w:b/>
          <w:bCs/>
          <w:sz w:val="26"/>
          <w:szCs w:val="26"/>
        </w:rPr>
        <w:t>ROZVOJ TRHU PRÁCE</w:t>
      </w:r>
    </w:p>
    <w:p w14:paraId="75C772BF" w14:textId="5B13376A" w:rsidR="00FB6EF0" w:rsidRPr="00393D5E" w:rsidRDefault="00FB6EF0" w:rsidP="0AFA31E3">
      <w:pPr>
        <w:rPr>
          <w:rFonts w:ascii="Calibri" w:eastAsia="Calibri" w:hAnsi="Calibri" w:cs="Calibri"/>
          <w:b/>
          <w:bCs/>
          <w:color w:val="000000" w:themeColor="text1"/>
        </w:rPr>
      </w:pPr>
      <w:r w:rsidRPr="00393D5E">
        <w:rPr>
          <w:rFonts w:ascii="Calibri" w:eastAsia="Calibri" w:hAnsi="Calibri" w:cs="Calibri"/>
          <w:b/>
          <w:bCs/>
          <w:color w:val="212121"/>
        </w:rPr>
        <w:tab/>
      </w:r>
      <w:r w:rsidR="00391155" w:rsidRPr="00393D5E">
        <w:rPr>
          <w:rStyle w:val="eop"/>
          <w:rFonts w:ascii="Calibri" w:hAnsi="Calibri" w:cs="Calibri"/>
          <w:color w:val="000000" w:themeColor="text1"/>
          <w:shd w:val="clear" w:color="auto" w:fill="FFFFFF"/>
        </w:rPr>
        <w:t>Reforma péče o</w:t>
      </w:r>
      <w:r w:rsidR="0003053E">
        <w:rPr>
          <w:rStyle w:val="eop"/>
          <w:rFonts w:ascii="Calibri" w:hAnsi="Calibri" w:cs="Calibri"/>
          <w:color w:val="000000" w:themeColor="text1"/>
          <w:shd w:val="clear" w:color="auto" w:fill="FFFFFF"/>
        </w:rPr>
        <w:t> </w:t>
      </w:r>
      <w:r w:rsidR="00391155" w:rsidRPr="00393D5E">
        <w:rPr>
          <w:rStyle w:val="eop"/>
          <w:rFonts w:ascii="Calibri" w:hAnsi="Calibri" w:cs="Calibri"/>
          <w:color w:val="000000" w:themeColor="text1"/>
          <w:shd w:val="clear" w:color="auto" w:fill="FFFFFF"/>
        </w:rPr>
        <w:t>ohrožené děti</w:t>
      </w:r>
    </w:p>
    <w:p w14:paraId="6AAE045D" w14:textId="72F5A512" w:rsidR="6355489F" w:rsidRPr="00393D5E" w:rsidRDefault="6355489F" w:rsidP="0AFA31E3">
      <w:pPr>
        <w:ind w:firstLine="708"/>
        <w:rPr>
          <w:rFonts w:ascii="Calibri" w:eastAsia="Calibri" w:hAnsi="Calibri" w:cs="Calibri"/>
          <w:color w:val="000000" w:themeColor="text1"/>
        </w:rPr>
      </w:pPr>
      <w:r w:rsidRPr="7308FC03">
        <w:rPr>
          <w:color w:val="000000" w:themeColor="text1"/>
        </w:rPr>
        <w:t>Investice Rozvoj a</w:t>
      </w:r>
      <w:r w:rsidR="0003053E">
        <w:rPr>
          <w:color w:val="000000" w:themeColor="text1"/>
        </w:rPr>
        <w:t> </w:t>
      </w:r>
      <w:r w:rsidRPr="7308FC03">
        <w:rPr>
          <w:color w:val="000000" w:themeColor="text1"/>
        </w:rPr>
        <w:t>modernizace služeb komunitního typu pro ohrožené děti</w:t>
      </w:r>
    </w:p>
    <w:p w14:paraId="35D22C1C" w14:textId="4DD16F9C" w:rsidR="6355489F" w:rsidRPr="00393D5E" w:rsidRDefault="6355489F" w:rsidP="05AB2BC1">
      <w:pPr>
        <w:spacing w:before="120" w:after="120" w:line="276" w:lineRule="auto"/>
        <w:rPr>
          <w:rFonts w:ascii="Calibri" w:eastAsia="Calibri" w:hAnsi="Calibri" w:cs="Calibri"/>
          <w:color w:val="212121"/>
        </w:rPr>
      </w:pPr>
      <w:r w:rsidRPr="05AB2BC1">
        <w:rPr>
          <w:rFonts w:ascii="Calibri" w:eastAsia="Calibri" w:hAnsi="Calibri" w:cs="Calibri"/>
          <w:color w:val="212121"/>
        </w:rPr>
        <w:t xml:space="preserve"> </w:t>
      </w:r>
    </w:p>
    <w:p w14:paraId="501DDF0A" w14:textId="0284AA15" w:rsidR="6355489F" w:rsidRPr="00393D5E" w:rsidRDefault="6355489F" w:rsidP="0AFA31E3">
      <w:pPr>
        <w:spacing w:line="276" w:lineRule="auto"/>
        <w:jc w:val="both"/>
        <w:rPr>
          <w:rFonts w:asciiTheme="majorHAnsi" w:eastAsia="Calibri" w:hAnsiTheme="majorHAnsi" w:cstheme="majorHAnsi"/>
          <w:b/>
          <w:bCs/>
          <w:sz w:val="26"/>
          <w:szCs w:val="26"/>
        </w:rPr>
      </w:pPr>
      <w:r w:rsidRPr="00393D5E">
        <w:rPr>
          <w:rFonts w:asciiTheme="majorHAnsi" w:eastAsia="Calibri" w:hAnsiTheme="majorHAnsi" w:cstheme="majorHAnsi"/>
          <w:sz w:val="26"/>
          <w:szCs w:val="26"/>
        </w:rPr>
        <w:t xml:space="preserve">Komponenta 4.1 </w:t>
      </w:r>
      <w:r w:rsidR="00846C5F" w:rsidRPr="00393D5E">
        <w:rPr>
          <w:rFonts w:asciiTheme="majorHAnsi" w:eastAsia="Calibri" w:hAnsiTheme="majorHAnsi" w:cstheme="majorHAnsi"/>
          <w:b/>
          <w:bCs/>
          <w:sz w:val="26"/>
          <w:szCs w:val="26"/>
        </w:rPr>
        <w:t>SYSTÉMOVÁ PODPORA VEŘEJNÝCH INVESTIC</w:t>
      </w:r>
    </w:p>
    <w:p w14:paraId="2FD33E24" w14:textId="7B49552A" w:rsidR="6355489F" w:rsidRPr="00393D5E" w:rsidRDefault="6355489F" w:rsidP="0AFA31E3">
      <w:pPr>
        <w:spacing w:before="120" w:after="120" w:line="276" w:lineRule="auto"/>
        <w:ind w:firstLine="708"/>
        <w:jc w:val="both"/>
        <w:rPr>
          <w:rFonts w:ascii="Calibri" w:eastAsia="Calibri" w:hAnsi="Calibri" w:cs="Calibri"/>
          <w:color w:val="212121"/>
        </w:rPr>
      </w:pPr>
      <w:r w:rsidRPr="00393D5E">
        <w:rPr>
          <w:rFonts w:ascii="Calibri" w:eastAsia="Calibri" w:hAnsi="Calibri" w:cs="Calibri"/>
          <w:color w:val="212121"/>
        </w:rPr>
        <w:t>Reforma Metodická podpora přípravy projektů souladných s</w:t>
      </w:r>
      <w:r w:rsidR="0003053E">
        <w:rPr>
          <w:rFonts w:ascii="Calibri" w:eastAsia="Calibri" w:hAnsi="Calibri" w:cs="Calibri"/>
          <w:color w:val="212121"/>
        </w:rPr>
        <w:t> </w:t>
      </w:r>
      <w:r w:rsidRPr="00393D5E">
        <w:rPr>
          <w:rFonts w:ascii="Calibri" w:eastAsia="Calibri" w:hAnsi="Calibri" w:cs="Calibri"/>
          <w:color w:val="212121"/>
        </w:rPr>
        <w:t xml:space="preserve">cíli EU </w:t>
      </w:r>
    </w:p>
    <w:p w14:paraId="1805378B" w14:textId="2B3849CA" w:rsidR="6355489F" w:rsidRPr="00393D5E" w:rsidRDefault="6355489F" w:rsidP="0AFA31E3">
      <w:pPr>
        <w:spacing w:before="120" w:after="120" w:line="276" w:lineRule="auto"/>
        <w:ind w:firstLine="708"/>
        <w:jc w:val="both"/>
        <w:rPr>
          <w:rFonts w:ascii="Calibri" w:eastAsia="Calibri" w:hAnsi="Calibri" w:cs="Calibri"/>
          <w:color w:val="212121"/>
        </w:rPr>
      </w:pPr>
      <w:r w:rsidRPr="00393D5E">
        <w:rPr>
          <w:rFonts w:ascii="Calibri" w:eastAsia="Calibri" w:hAnsi="Calibri" w:cs="Calibri"/>
          <w:color w:val="212121"/>
        </w:rPr>
        <w:t>Reforma Metodická podpora a</w:t>
      </w:r>
      <w:r w:rsidR="0003053E">
        <w:rPr>
          <w:rFonts w:ascii="Calibri" w:eastAsia="Calibri" w:hAnsi="Calibri" w:cs="Calibri"/>
          <w:color w:val="212121"/>
        </w:rPr>
        <w:t> </w:t>
      </w:r>
      <w:r w:rsidRPr="00393D5E">
        <w:rPr>
          <w:rFonts w:ascii="Calibri" w:eastAsia="Calibri" w:hAnsi="Calibri" w:cs="Calibri"/>
          <w:color w:val="212121"/>
        </w:rPr>
        <w:t xml:space="preserve">modernizace veřejného zadávání </w:t>
      </w:r>
    </w:p>
    <w:p w14:paraId="2C72B802" w14:textId="510EB74E" w:rsidR="6355489F" w:rsidRPr="00393D5E" w:rsidRDefault="6355489F" w:rsidP="0AFA31E3">
      <w:pPr>
        <w:spacing w:before="120" w:after="120" w:line="276" w:lineRule="auto"/>
        <w:ind w:firstLine="708"/>
        <w:jc w:val="both"/>
        <w:rPr>
          <w:rStyle w:val="normaltextrun"/>
          <w:rFonts w:ascii="Calibri" w:hAnsi="Calibri" w:cs="Calibri"/>
          <w:color w:val="FF0000"/>
          <w:shd w:val="clear" w:color="auto" w:fill="FFFFFF"/>
        </w:rPr>
      </w:pPr>
      <w:r w:rsidRPr="00393D5E">
        <w:rPr>
          <w:rFonts w:ascii="Calibri" w:eastAsia="Calibri" w:hAnsi="Calibri" w:cs="Calibri"/>
          <w:color w:val="212121"/>
        </w:rPr>
        <w:t>Reforma Finanční podpora přípravy projektů souladných s</w:t>
      </w:r>
      <w:r w:rsidR="0003053E">
        <w:rPr>
          <w:rFonts w:ascii="Calibri" w:eastAsia="Calibri" w:hAnsi="Calibri" w:cs="Calibri"/>
          <w:color w:val="212121"/>
        </w:rPr>
        <w:t> </w:t>
      </w:r>
      <w:r w:rsidRPr="00393D5E">
        <w:rPr>
          <w:rFonts w:ascii="Calibri" w:eastAsia="Calibri" w:hAnsi="Calibri" w:cs="Calibri"/>
          <w:color w:val="212121"/>
        </w:rPr>
        <w:t xml:space="preserve">cíli EU </w:t>
      </w:r>
    </w:p>
    <w:p w14:paraId="4D21D098" w14:textId="23FCABAF" w:rsidR="6355489F" w:rsidRPr="00393D5E" w:rsidRDefault="6355489F" w:rsidP="0AFA31E3">
      <w:pPr>
        <w:spacing w:before="120" w:after="120" w:line="276" w:lineRule="auto"/>
        <w:ind w:firstLine="708"/>
        <w:jc w:val="both"/>
        <w:rPr>
          <w:rFonts w:ascii="Calibri" w:eastAsia="Calibri" w:hAnsi="Calibri" w:cs="Calibri"/>
          <w:color w:val="212121"/>
        </w:rPr>
      </w:pPr>
      <w:r w:rsidRPr="00393D5E">
        <w:rPr>
          <w:rFonts w:ascii="Calibri" w:eastAsia="Calibri" w:hAnsi="Calibri" w:cs="Calibri"/>
          <w:color w:val="212121"/>
        </w:rPr>
        <w:t>Reforma Zefektivnění a</w:t>
      </w:r>
      <w:r w:rsidR="0003053E">
        <w:rPr>
          <w:rFonts w:ascii="Calibri" w:eastAsia="Calibri" w:hAnsi="Calibri" w:cs="Calibri"/>
          <w:color w:val="212121"/>
        </w:rPr>
        <w:t> </w:t>
      </w:r>
      <w:r w:rsidRPr="00393D5E">
        <w:rPr>
          <w:rFonts w:ascii="Calibri" w:eastAsia="Calibri" w:hAnsi="Calibri" w:cs="Calibri"/>
          <w:color w:val="212121"/>
        </w:rPr>
        <w:t xml:space="preserve">posílení implementace Národního plánu obnovy  </w:t>
      </w:r>
    </w:p>
    <w:p w14:paraId="1D0AF83A" w14:textId="12C2C230" w:rsidR="6355489F" w:rsidRPr="00393D5E" w:rsidRDefault="6355489F" w:rsidP="0AFA31E3">
      <w:pPr>
        <w:spacing w:before="120" w:after="120" w:line="276" w:lineRule="auto"/>
        <w:ind w:firstLine="708"/>
        <w:jc w:val="both"/>
        <w:rPr>
          <w:rFonts w:ascii="Calibri" w:eastAsia="Calibri" w:hAnsi="Calibri" w:cs="Calibri"/>
          <w:color w:val="212121"/>
        </w:rPr>
      </w:pPr>
      <w:r w:rsidRPr="00393D5E">
        <w:rPr>
          <w:rFonts w:ascii="Calibri" w:eastAsia="Calibri" w:hAnsi="Calibri" w:cs="Calibri"/>
          <w:color w:val="212121"/>
        </w:rPr>
        <w:t xml:space="preserve"> </w:t>
      </w:r>
    </w:p>
    <w:p w14:paraId="62CA05BA" w14:textId="5A1EAA45" w:rsidR="00393D5E" w:rsidRPr="00393D5E" w:rsidRDefault="00393D5E" w:rsidP="05AB2BC1">
      <w:pPr>
        <w:spacing w:before="120" w:after="120" w:line="276" w:lineRule="auto"/>
        <w:jc w:val="both"/>
        <w:rPr>
          <w:rFonts w:asciiTheme="majorHAnsi" w:eastAsia="Calibri" w:hAnsiTheme="majorHAnsi" w:cstheme="majorBidi"/>
          <w:b/>
          <w:bCs/>
          <w:color w:val="000000" w:themeColor="text1"/>
          <w:sz w:val="26"/>
          <w:szCs w:val="26"/>
          <w:highlight w:val="yellow"/>
        </w:rPr>
      </w:pPr>
    </w:p>
    <w:p w14:paraId="40AFCF10" w14:textId="55DAF18F" w:rsidR="6355489F" w:rsidRPr="00393D5E" w:rsidRDefault="6355489F" w:rsidP="0AFA31E3">
      <w:pPr>
        <w:spacing w:line="276" w:lineRule="auto"/>
        <w:jc w:val="both"/>
        <w:rPr>
          <w:rFonts w:asciiTheme="majorHAnsi" w:eastAsia="Calibri" w:hAnsiTheme="majorHAnsi" w:cstheme="majorHAnsi"/>
          <w:b/>
          <w:bCs/>
          <w:color w:val="000000" w:themeColor="text1"/>
          <w:sz w:val="26"/>
          <w:szCs w:val="26"/>
        </w:rPr>
      </w:pPr>
      <w:r w:rsidRPr="00393D5E">
        <w:rPr>
          <w:rFonts w:asciiTheme="majorHAnsi" w:eastAsia="Calibri" w:hAnsiTheme="majorHAnsi" w:cstheme="majorHAnsi"/>
          <w:color w:val="000000" w:themeColor="text1"/>
          <w:sz w:val="26"/>
          <w:szCs w:val="26"/>
        </w:rPr>
        <w:t>Komponenta 5.2</w:t>
      </w:r>
      <w:r w:rsidR="00846C5F" w:rsidRPr="00393D5E">
        <w:rPr>
          <w:rFonts w:asciiTheme="majorHAnsi" w:eastAsia="Calibri" w:hAnsiTheme="majorHAnsi" w:cstheme="majorHAnsi"/>
          <w:color w:val="000000" w:themeColor="text1"/>
          <w:sz w:val="26"/>
          <w:szCs w:val="26"/>
        </w:rPr>
        <w:t xml:space="preserve"> </w:t>
      </w:r>
      <w:r w:rsidR="00846C5F" w:rsidRPr="00393D5E">
        <w:rPr>
          <w:rFonts w:asciiTheme="majorHAnsi" w:eastAsia="Calibri" w:hAnsiTheme="majorHAnsi" w:cstheme="majorHAnsi"/>
          <w:b/>
          <w:bCs/>
          <w:color w:val="000000" w:themeColor="text1"/>
          <w:sz w:val="26"/>
          <w:szCs w:val="26"/>
        </w:rPr>
        <w:t>PODPORA VÝZKUMU A</w:t>
      </w:r>
      <w:r w:rsidR="0003053E">
        <w:rPr>
          <w:rFonts w:asciiTheme="majorHAnsi" w:eastAsia="Calibri" w:hAnsiTheme="majorHAnsi" w:cstheme="majorHAnsi"/>
          <w:b/>
          <w:bCs/>
          <w:color w:val="000000" w:themeColor="text1"/>
          <w:sz w:val="26"/>
          <w:szCs w:val="26"/>
        </w:rPr>
        <w:t> </w:t>
      </w:r>
      <w:r w:rsidR="00846C5F" w:rsidRPr="00393D5E">
        <w:rPr>
          <w:rFonts w:asciiTheme="majorHAnsi" w:eastAsia="Calibri" w:hAnsiTheme="majorHAnsi" w:cstheme="majorHAnsi"/>
          <w:b/>
          <w:bCs/>
          <w:color w:val="000000" w:themeColor="text1"/>
          <w:sz w:val="26"/>
          <w:szCs w:val="26"/>
        </w:rPr>
        <w:t>VÝVOJE V</w:t>
      </w:r>
      <w:r w:rsidR="0003053E">
        <w:rPr>
          <w:rFonts w:asciiTheme="majorHAnsi" w:eastAsia="Calibri" w:hAnsiTheme="majorHAnsi" w:cstheme="majorHAnsi"/>
          <w:b/>
          <w:bCs/>
          <w:color w:val="000000" w:themeColor="text1"/>
          <w:sz w:val="26"/>
          <w:szCs w:val="26"/>
        </w:rPr>
        <w:t> </w:t>
      </w:r>
      <w:r w:rsidR="00846C5F" w:rsidRPr="00393D5E">
        <w:rPr>
          <w:rFonts w:asciiTheme="majorHAnsi" w:eastAsia="Calibri" w:hAnsiTheme="majorHAnsi" w:cstheme="majorHAnsi"/>
          <w:b/>
          <w:bCs/>
          <w:color w:val="000000" w:themeColor="text1"/>
          <w:sz w:val="26"/>
          <w:szCs w:val="26"/>
        </w:rPr>
        <w:t>PODNICÍCH A</w:t>
      </w:r>
      <w:r w:rsidR="0003053E">
        <w:rPr>
          <w:rFonts w:asciiTheme="majorHAnsi" w:eastAsia="Calibri" w:hAnsiTheme="majorHAnsi" w:cstheme="majorHAnsi"/>
          <w:b/>
          <w:bCs/>
          <w:color w:val="000000" w:themeColor="text1"/>
          <w:sz w:val="26"/>
          <w:szCs w:val="26"/>
        </w:rPr>
        <w:t> </w:t>
      </w:r>
      <w:r w:rsidR="00846C5F" w:rsidRPr="00393D5E">
        <w:rPr>
          <w:rFonts w:asciiTheme="majorHAnsi" w:eastAsia="Calibri" w:hAnsiTheme="majorHAnsi" w:cstheme="majorHAnsi"/>
          <w:b/>
          <w:bCs/>
          <w:color w:val="000000" w:themeColor="text1"/>
          <w:sz w:val="26"/>
          <w:szCs w:val="26"/>
        </w:rPr>
        <w:t>ZAVÁDĚNÍ INOVACÍ DO PODNIKOVÉ PRAXE</w:t>
      </w:r>
    </w:p>
    <w:p w14:paraId="74EBE7C5" w14:textId="5B98E19D" w:rsidR="00306962" w:rsidRPr="00393D5E" w:rsidRDefault="00DE0B75" w:rsidP="05AB2BC1">
      <w:pPr>
        <w:spacing w:before="120" w:after="120" w:line="276" w:lineRule="auto"/>
        <w:ind w:left="708"/>
        <w:jc w:val="both"/>
        <w:rPr>
          <w:rFonts w:ascii="Calibri" w:eastAsia="Calibri" w:hAnsi="Calibri" w:cs="Calibri"/>
          <w:color w:val="000000" w:themeColor="text1"/>
        </w:rPr>
      </w:pPr>
      <w:r w:rsidRPr="05AB2BC1">
        <w:rPr>
          <w:rFonts w:ascii="Calibri" w:eastAsia="Calibri" w:hAnsi="Calibri" w:cs="Calibri"/>
          <w:color w:val="000000" w:themeColor="text1"/>
        </w:rPr>
        <w:t xml:space="preserve">Reforma </w:t>
      </w:r>
      <w:r w:rsidR="00306962" w:rsidRPr="05AB2BC1">
        <w:rPr>
          <w:rFonts w:ascii="Calibri" w:eastAsia="Calibri" w:hAnsi="Calibri" w:cs="Calibri"/>
          <w:color w:val="000000" w:themeColor="text1"/>
        </w:rPr>
        <w:t>Posílení cílené podpory priorit RIS3 strategie </w:t>
      </w:r>
    </w:p>
    <w:p w14:paraId="42876B64" w14:textId="06599A72" w:rsidR="00306962" w:rsidRPr="00393D5E" w:rsidRDefault="00DE0B75" w:rsidP="05AB2BC1">
      <w:pPr>
        <w:spacing w:before="120" w:after="120" w:line="276" w:lineRule="auto"/>
        <w:ind w:firstLine="708"/>
        <w:jc w:val="both"/>
        <w:rPr>
          <w:rFonts w:ascii="Calibri" w:eastAsia="Calibri" w:hAnsi="Calibri" w:cs="Calibri"/>
          <w:color w:val="000000" w:themeColor="text1"/>
        </w:rPr>
      </w:pPr>
      <w:r w:rsidRPr="05AB2BC1">
        <w:rPr>
          <w:rFonts w:ascii="Calibri" w:eastAsia="Calibri" w:hAnsi="Calibri" w:cs="Calibri"/>
          <w:color w:val="000000" w:themeColor="text1"/>
        </w:rPr>
        <w:t xml:space="preserve">Investice </w:t>
      </w:r>
      <w:r w:rsidR="00306962" w:rsidRPr="05AB2BC1">
        <w:rPr>
          <w:rFonts w:ascii="Calibri" w:eastAsia="Calibri" w:hAnsi="Calibri" w:cs="Calibri"/>
          <w:color w:val="000000" w:themeColor="text1"/>
        </w:rPr>
        <w:t>Podpora výzkumu a</w:t>
      </w:r>
      <w:r w:rsidR="0003053E">
        <w:rPr>
          <w:rFonts w:ascii="Calibri" w:eastAsia="Calibri" w:hAnsi="Calibri" w:cs="Calibri"/>
          <w:color w:val="000000" w:themeColor="text1"/>
        </w:rPr>
        <w:t> </w:t>
      </w:r>
      <w:r w:rsidR="00306962" w:rsidRPr="05AB2BC1">
        <w:rPr>
          <w:rFonts w:ascii="Calibri" w:eastAsia="Calibri" w:hAnsi="Calibri" w:cs="Calibri"/>
          <w:color w:val="000000" w:themeColor="text1"/>
        </w:rPr>
        <w:t>vývoje v</w:t>
      </w:r>
      <w:r w:rsidR="0003053E">
        <w:rPr>
          <w:rFonts w:ascii="Calibri" w:eastAsia="Calibri" w:hAnsi="Calibri" w:cs="Calibri"/>
          <w:color w:val="000000" w:themeColor="text1"/>
        </w:rPr>
        <w:t> </w:t>
      </w:r>
      <w:r w:rsidR="00306962" w:rsidRPr="05AB2BC1">
        <w:rPr>
          <w:rFonts w:ascii="Calibri" w:eastAsia="Calibri" w:hAnsi="Calibri" w:cs="Calibri"/>
          <w:color w:val="000000" w:themeColor="text1"/>
        </w:rPr>
        <w:t>podnicích plně v</w:t>
      </w:r>
      <w:r w:rsidR="0003053E">
        <w:rPr>
          <w:rFonts w:ascii="Calibri" w:eastAsia="Calibri" w:hAnsi="Calibri" w:cs="Calibri"/>
          <w:color w:val="000000" w:themeColor="text1"/>
        </w:rPr>
        <w:t> </w:t>
      </w:r>
      <w:r w:rsidR="00306962" w:rsidRPr="05AB2BC1">
        <w:rPr>
          <w:rFonts w:ascii="Calibri" w:eastAsia="Calibri" w:hAnsi="Calibri" w:cs="Calibri"/>
          <w:color w:val="000000" w:themeColor="text1"/>
        </w:rPr>
        <w:t>souladu s</w:t>
      </w:r>
      <w:r w:rsidR="0003053E">
        <w:rPr>
          <w:rFonts w:ascii="Calibri" w:eastAsia="Calibri" w:hAnsi="Calibri" w:cs="Calibri"/>
          <w:color w:val="000000" w:themeColor="text1"/>
        </w:rPr>
        <w:t> </w:t>
      </w:r>
      <w:r w:rsidR="00306962" w:rsidRPr="05AB2BC1">
        <w:rPr>
          <w:rFonts w:ascii="Calibri" w:eastAsia="Calibri" w:hAnsi="Calibri" w:cs="Calibri"/>
          <w:color w:val="000000" w:themeColor="text1"/>
        </w:rPr>
        <w:t>Národní RIS3 strategií </w:t>
      </w:r>
    </w:p>
    <w:p w14:paraId="602FC281" w14:textId="11D2B5E6" w:rsidR="00306962" w:rsidRPr="00393D5E" w:rsidRDefault="00DE0B75" w:rsidP="00DE0B75">
      <w:pPr>
        <w:spacing w:before="120" w:after="120" w:line="276" w:lineRule="auto"/>
        <w:ind w:firstLine="708"/>
        <w:jc w:val="both"/>
        <w:rPr>
          <w:rFonts w:ascii="Calibri" w:eastAsia="Calibri" w:hAnsi="Calibri" w:cs="Calibri"/>
          <w:color w:val="000000" w:themeColor="text1"/>
        </w:rPr>
      </w:pPr>
      <w:r w:rsidRPr="00393D5E">
        <w:rPr>
          <w:rFonts w:ascii="Calibri" w:eastAsia="Calibri" w:hAnsi="Calibri" w:cs="Calibri"/>
          <w:color w:val="000000" w:themeColor="text1"/>
        </w:rPr>
        <w:t xml:space="preserve">Investice </w:t>
      </w:r>
      <w:r w:rsidR="00306962" w:rsidRPr="00393D5E">
        <w:rPr>
          <w:rFonts w:ascii="Calibri" w:eastAsia="Calibri" w:hAnsi="Calibri" w:cs="Calibri"/>
          <w:color w:val="000000" w:themeColor="text1"/>
        </w:rPr>
        <w:t>Podpora výzkumu a vývoje v oblasti dopravy </w:t>
      </w:r>
    </w:p>
    <w:p w14:paraId="3972AEE2" w14:textId="4B31D164" w:rsidR="00306962" w:rsidRPr="00393D5E" w:rsidRDefault="3774ABC6" w:rsidP="05AB2BC1">
      <w:pPr>
        <w:spacing w:before="120" w:after="120" w:line="276" w:lineRule="auto"/>
        <w:ind w:firstLine="708"/>
        <w:jc w:val="both"/>
        <w:rPr>
          <w:rFonts w:ascii="Calibri" w:eastAsia="Calibri" w:hAnsi="Calibri" w:cs="Calibri"/>
          <w:color w:val="000000" w:themeColor="text1"/>
        </w:rPr>
      </w:pPr>
      <w:r w:rsidRPr="05AB2BC1">
        <w:rPr>
          <w:rFonts w:ascii="Calibri" w:eastAsia="Calibri" w:hAnsi="Calibri" w:cs="Calibri"/>
          <w:color w:val="000000" w:themeColor="text1"/>
        </w:rPr>
        <w:t xml:space="preserve">Investice </w:t>
      </w:r>
      <w:r w:rsidR="0AAE1893" w:rsidRPr="05AB2BC1">
        <w:rPr>
          <w:rFonts w:ascii="Calibri" w:eastAsia="Calibri" w:hAnsi="Calibri" w:cs="Calibri"/>
          <w:color w:val="000000" w:themeColor="text1"/>
        </w:rPr>
        <w:t>Podpora výzkumu a</w:t>
      </w:r>
      <w:r w:rsidR="0003053E">
        <w:rPr>
          <w:rFonts w:ascii="Calibri" w:eastAsia="Calibri" w:hAnsi="Calibri" w:cs="Calibri"/>
          <w:color w:val="000000" w:themeColor="text1"/>
        </w:rPr>
        <w:t> </w:t>
      </w:r>
      <w:r w:rsidR="0AAE1893" w:rsidRPr="05AB2BC1">
        <w:rPr>
          <w:rFonts w:ascii="Calibri" w:eastAsia="Calibri" w:hAnsi="Calibri" w:cs="Calibri"/>
          <w:color w:val="000000" w:themeColor="text1"/>
        </w:rPr>
        <w:t>vývoje v</w:t>
      </w:r>
      <w:r w:rsidR="0003053E">
        <w:rPr>
          <w:rFonts w:ascii="Calibri" w:eastAsia="Calibri" w:hAnsi="Calibri" w:cs="Calibri"/>
          <w:color w:val="000000" w:themeColor="text1"/>
        </w:rPr>
        <w:t> </w:t>
      </w:r>
      <w:r w:rsidR="0AAE1893" w:rsidRPr="05AB2BC1">
        <w:rPr>
          <w:rFonts w:ascii="Calibri" w:eastAsia="Calibri" w:hAnsi="Calibri" w:cs="Calibri"/>
          <w:color w:val="000000" w:themeColor="text1"/>
        </w:rPr>
        <w:t xml:space="preserve">oblasti životního prostředí </w:t>
      </w:r>
    </w:p>
    <w:p w14:paraId="5D738195" w14:textId="68DA0FD3" w:rsidR="6355489F" w:rsidRPr="00393D5E" w:rsidRDefault="6355489F" w:rsidP="0AFA31E3">
      <w:pPr>
        <w:spacing w:before="120" w:line="276" w:lineRule="auto"/>
        <w:jc w:val="both"/>
        <w:rPr>
          <w:rFonts w:ascii="Calibri" w:eastAsia="Calibri" w:hAnsi="Calibri" w:cs="Calibri"/>
          <w:b/>
          <w:bCs/>
        </w:rPr>
      </w:pPr>
      <w:r w:rsidRPr="00393D5E">
        <w:rPr>
          <w:rFonts w:ascii="Calibri" w:eastAsia="Calibri" w:hAnsi="Calibri" w:cs="Calibri"/>
          <w:b/>
          <w:bCs/>
        </w:rPr>
        <w:t xml:space="preserve"> </w:t>
      </w:r>
    </w:p>
    <w:p w14:paraId="30467FB8" w14:textId="7DF7C090" w:rsidR="6355489F" w:rsidRPr="00393D5E" w:rsidRDefault="6355489F" w:rsidP="0AFA31E3">
      <w:pPr>
        <w:spacing w:before="120" w:line="276" w:lineRule="auto"/>
        <w:jc w:val="both"/>
        <w:rPr>
          <w:rFonts w:asciiTheme="majorHAnsi" w:eastAsia="Calibri" w:hAnsiTheme="majorHAnsi" w:cstheme="majorHAnsi"/>
          <w:b/>
          <w:bCs/>
          <w:sz w:val="26"/>
          <w:szCs w:val="26"/>
        </w:rPr>
      </w:pPr>
      <w:r w:rsidRPr="00393D5E">
        <w:rPr>
          <w:rFonts w:asciiTheme="majorHAnsi" w:eastAsia="Calibri" w:hAnsiTheme="majorHAnsi" w:cstheme="majorHAnsi"/>
          <w:sz w:val="26"/>
          <w:szCs w:val="26"/>
        </w:rPr>
        <w:t xml:space="preserve">Komponenta 5.3 </w:t>
      </w:r>
      <w:r w:rsidR="00846C5F" w:rsidRPr="00393D5E">
        <w:rPr>
          <w:rFonts w:asciiTheme="majorHAnsi" w:eastAsia="Calibri" w:hAnsiTheme="majorHAnsi" w:cstheme="majorHAnsi"/>
          <w:b/>
          <w:bCs/>
          <w:sz w:val="26"/>
          <w:szCs w:val="26"/>
        </w:rPr>
        <w:t>STRATEGICKY ŘÍZENÝ A</w:t>
      </w:r>
      <w:r w:rsidR="0003053E">
        <w:rPr>
          <w:rFonts w:asciiTheme="majorHAnsi" w:eastAsia="Calibri" w:hAnsiTheme="majorHAnsi" w:cstheme="majorHAnsi"/>
          <w:b/>
          <w:bCs/>
          <w:sz w:val="26"/>
          <w:szCs w:val="26"/>
        </w:rPr>
        <w:t> </w:t>
      </w:r>
      <w:r w:rsidR="00846C5F" w:rsidRPr="00393D5E">
        <w:rPr>
          <w:rFonts w:asciiTheme="majorHAnsi" w:eastAsia="Calibri" w:hAnsiTheme="majorHAnsi" w:cstheme="majorHAnsi"/>
          <w:b/>
          <w:bCs/>
          <w:sz w:val="26"/>
          <w:szCs w:val="26"/>
        </w:rPr>
        <w:t>MEZINÁRODNĚ KONKURENCESCHOPNÝ EKOSYSTÉM VÝZKUMU, VÝVOJE A</w:t>
      </w:r>
      <w:r w:rsidR="0003053E">
        <w:rPr>
          <w:rFonts w:asciiTheme="majorHAnsi" w:eastAsia="Calibri" w:hAnsiTheme="majorHAnsi" w:cstheme="majorHAnsi"/>
          <w:b/>
          <w:bCs/>
          <w:sz w:val="26"/>
          <w:szCs w:val="26"/>
        </w:rPr>
        <w:t> </w:t>
      </w:r>
      <w:r w:rsidR="00846C5F" w:rsidRPr="00393D5E">
        <w:rPr>
          <w:rFonts w:asciiTheme="majorHAnsi" w:eastAsia="Calibri" w:hAnsiTheme="majorHAnsi" w:cstheme="majorHAnsi"/>
          <w:b/>
          <w:bCs/>
          <w:sz w:val="26"/>
          <w:szCs w:val="26"/>
        </w:rPr>
        <w:t>INOVACÍ</w:t>
      </w:r>
    </w:p>
    <w:p w14:paraId="24325539" w14:textId="259B43FB" w:rsidR="6355489F" w:rsidRPr="00C37D39" w:rsidRDefault="6355489F" w:rsidP="00C37D39">
      <w:pPr>
        <w:spacing w:before="120" w:after="120" w:line="276" w:lineRule="auto"/>
        <w:ind w:left="709" w:hanging="1"/>
        <w:jc w:val="both"/>
        <w:rPr>
          <w:rFonts w:ascii="Calibri" w:eastAsia="Calibri" w:hAnsi="Calibri" w:cs="Calibri"/>
        </w:rPr>
      </w:pPr>
      <w:r w:rsidRPr="00C37D39">
        <w:rPr>
          <w:rFonts w:ascii="Calibri" w:eastAsia="Calibri" w:hAnsi="Calibri" w:cs="Calibri"/>
        </w:rPr>
        <w:t xml:space="preserve">Reforma </w:t>
      </w:r>
      <w:r w:rsidR="008208C9">
        <w:rPr>
          <w:rFonts w:ascii="Calibri" w:eastAsia="Calibri" w:hAnsi="Calibri" w:cs="Calibri"/>
        </w:rPr>
        <w:t>Strategicky řízení a</w:t>
      </w:r>
      <w:r w:rsidR="0003053E">
        <w:rPr>
          <w:rFonts w:ascii="Calibri" w:eastAsia="Calibri" w:hAnsi="Calibri" w:cs="Calibri"/>
        </w:rPr>
        <w:t> </w:t>
      </w:r>
      <w:r w:rsidR="008208C9">
        <w:rPr>
          <w:rFonts w:ascii="Calibri" w:eastAsia="Calibri" w:hAnsi="Calibri" w:cs="Calibri"/>
        </w:rPr>
        <w:t>mezinárodně konkurenceschopný ekosystém VaVaI</w:t>
      </w:r>
    </w:p>
    <w:p w14:paraId="69B28A82" w14:textId="3344E926" w:rsidR="00B3365A" w:rsidRPr="00C37D39" w:rsidRDefault="00B3365A" w:rsidP="00C37D39">
      <w:pPr>
        <w:spacing w:before="120" w:after="120" w:line="276" w:lineRule="auto"/>
        <w:ind w:left="708"/>
        <w:jc w:val="both"/>
        <w:rPr>
          <w:rFonts w:ascii="Calibri" w:eastAsia="Calibri" w:hAnsi="Calibri" w:cs="Calibri"/>
          <w:color w:val="000000" w:themeColor="text1"/>
        </w:rPr>
      </w:pPr>
    </w:p>
    <w:p w14:paraId="554611B0" w14:textId="00BD9E46" w:rsidR="6355489F" w:rsidRPr="00393D5E" w:rsidRDefault="6355489F" w:rsidP="00C37D39">
      <w:pPr>
        <w:spacing w:line="276" w:lineRule="auto"/>
        <w:jc w:val="both"/>
        <w:rPr>
          <w:rFonts w:ascii="Calibri" w:eastAsia="Calibri" w:hAnsi="Calibri" w:cs="Calibri"/>
        </w:rPr>
      </w:pPr>
      <w:r w:rsidRPr="00393D5E">
        <w:rPr>
          <w:rFonts w:ascii="Calibri" w:eastAsia="Calibri" w:hAnsi="Calibri" w:cs="Calibri"/>
          <w:color w:val="000000" w:themeColor="text1"/>
        </w:rPr>
        <w:t>Vedle nových reforem a</w:t>
      </w:r>
      <w:r w:rsidR="0003053E">
        <w:rPr>
          <w:rFonts w:ascii="Calibri" w:eastAsia="Calibri" w:hAnsi="Calibri" w:cs="Calibri"/>
          <w:color w:val="000000" w:themeColor="text1"/>
        </w:rPr>
        <w:t> </w:t>
      </w:r>
      <w:r w:rsidRPr="00393D5E">
        <w:rPr>
          <w:rFonts w:ascii="Calibri" w:eastAsia="Calibri" w:hAnsi="Calibri" w:cs="Calibri"/>
          <w:color w:val="000000" w:themeColor="text1"/>
        </w:rPr>
        <w:t xml:space="preserve">investic dochází také ke změnám ve vlastnictví komponent dle </w:t>
      </w:r>
      <w:r w:rsidRPr="00393D5E">
        <w:tab/>
      </w:r>
      <w:r w:rsidRPr="00393D5E">
        <w:rPr>
          <w:rFonts w:ascii="Calibri" w:eastAsia="Calibri" w:hAnsi="Calibri" w:cs="Calibri"/>
          <w:color w:val="000000" w:themeColor="text1"/>
        </w:rPr>
        <w:t>následujícího rozdělení v</w:t>
      </w:r>
      <w:r w:rsidR="0003053E">
        <w:rPr>
          <w:rFonts w:ascii="Calibri" w:eastAsia="Calibri" w:hAnsi="Calibri" w:cs="Calibri"/>
          <w:color w:val="000000" w:themeColor="text1"/>
        </w:rPr>
        <w:t> </w:t>
      </w:r>
      <w:r w:rsidRPr="00393D5E">
        <w:rPr>
          <w:rFonts w:ascii="Calibri" w:eastAsia="Calibri" w:hAnsi="Calibri" w:cs="Calibri"/>
          <w:color w:val="000000" w:themeColor="text1"/>
        </w:rPr>
        <w:t>tabulce.</w:t>
      </w:r>
    </w:p>
    <w:p w14:paraId="198ADFE6" w14:textId="77777777" w:rsidR="00EA4162" w:rsidRPr="00393D5E" w:rsidRDefault="00EA4162" w:rsidP="00316A1B">
      <w:pPr>
        <w:spacing w:line="276" w:lineRule="auto"/>
        <w:rPr>
          <w:rFonts w:eastAsiaTheme="minorEastAsia" w:cstheme="minorHAnsi"/>
          <w:b/>
          <w:bCs/>
          <w:color w:val="000000" w:themeColor="text1"/>
          <w:u w:val="single"/>
        </w:rPr>
      </w:pPr>
      <w:bookmarkStart w:id="10" w:name="_Hlk134020624"/>
      <w:r w:rsidRPr="00393D5E">
        <w:rPr>
          <w:rFonts w:eastAsiaTheme="minorEastAsia" w:cstheme="minorHAnsi"/>
          <w:b/>
          <w:u w:val="single"/>
        </w:rPr>
        <w:br w:type="page"/>
      </w:r>
    </w:p>
    <w:p w14:paraId="4677A11D" w14:textId="6B000464" w:rsidR="008F3336" w:rsidRPr="00393D5E" w:rsidRDefault="008F3336" w:rsidP="00316A1B">
      <w:pPr>
        <w:pStyle w:val="Odrka"/>
        <w:numPr>
          <w:ilvl w:val="0"/>
          <w:numId w:val="0"/>
        </w:numPr>
        <w:spacing w:line="276" w:lineRule="auto"/>
        <w:ind w:left="426"/>
        <w:rPr>
          <w:rFonts w:eastAsiaTheme="minorEastAsia" w:cstheme="minorHAnsi"/>
          <w:b/>
          <w:sz w:val="22"/>
          <w:u w:val="single"/>
        </w:rPr>
      </w:pP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13"/>
        <w:gridCol w:w="3600"/>
        <w:gridCol w:w="3683"/>
      </w:tblGrid>
      <w:tr w:rsidR="0AFA31E3" w:rsidRPr="00393D5E" w14:paraId="3FF348F4" w14:textId="77777777" w:rsidTr="00FA403F">
        <w:trPr>
          <w:trHeight w:val="870"/>
        </w:trPr>
        <w:tc>
          <w:tcPr>
            <w:tcW w:w="2213" w:type="dxa"/>
            <w:shd w:val="clear" w:color="auto" w:fill="D9D9D9" w:themeFill="background1" w:themeFillShade="D9"/>
            <w:tcMar>
              <w:top w:w="15" w:type="dxa"/>
              <w:left w:w="70" w:type="dxa"/>
              <w:bottom w:w="15" w:type="dxa"/>
              <w:right w:w="70" w:type="dxa"/>
            </w:tcMar>
            <w:vAlign w:val="center"/>
          </w:tcPr>
          <w:p w14:paraId="7BDD6B6F" w14:textId="672B16E8" w:rsidR="0AFA31E3" w:rsidRPr="00393D5E" w:rsidRDefault="0AFA31E3" w:rsidP="0AFA31E3">
            <w:pPr>
              <w:spacing w:after="200" w:line="276" w:lineRule="auto"/>
              <w:jc w:val="both"/>
              <w:rPr>
                <w:rFonts w:cstheme="minorHAnsi"/>
              </w:rPr>
            </w:pPr>
            <w:r w:rsidRPr="00393D5E">
              <w:rPr>
                <w:rFonts w:eastAsia="Calibri" w:cstheme="minorHAnsi"/>
                <w:b/>
                <w:bCs/>
                <w:color w:val="000000" w:themeColor="text1"/>
              </w:rPr>
              <w:t>Pilíř</w:t>
            </w:r>
          </w:p>
        </w:tc>
        <w:tc>
          <w:tcPr>
            <w:tcW w:w="3600" w:type="dxa"/>
            <w:shd w:val="clear" w:color="auto" w:fill="D9D9D9" w:themeFill="background1" w:themeFillShade="D9"/>
            <w:tcMar>
              <w:top w:w="15" w:type="dxa"/>
              <w:left w:w="70" w:type="dxa"/>
              <w:bottom w:w="15" w:type="dxa"/>
              <w:right w:w="70" w:type="dxa"/>
            </w:tcMar>
            <w:vAlign w:val="center"/>
          </w:tcPr>
          <w:p w14:paraId="1A8EEE66" w14:textId="1D1FE8C6" w:rsidR="0AFA31E3" w:rsidRPr="00393D5E" w:rsidRDefault="0AFA31E3" w:rsidP="0AFA31E3">
            <w:pPr>
              <w:spacing w:after="200" w:line="276" w:lineRule="auto"/>
              <w:jc w:val="both"/>
              <w:rPr>
                <w:rFonts w:cstheme="minorHAnsi"/>
              </w:rPr>
            </w:pPr>
            <w:r w:rsidRPr="00393D5E">
              <w:rPr>
                <w:rFonts w:eastAsia="Calibri" w:cstheme="minorHAnsi"/>
                <w:b/>
                <w:bCs/>
                <w:color w:val="000000" w:themeColor="text1"/>
              </w:rPr>
              <w:t>Komponenta</w:t>
            </w:r>
          </w:p>
        </w:tc>
        <w:tc>
          <w:tcPr>
            <w:tcW w:w="3683" w:type="dxa"/>
            <w:shd w:val="clear" w:color="auto" w:fill="D9D9D9" w:themeFill="background1" w:themeFillShade="D9"/>
            <w:tcMar>
              <w:top w:w="15" w:type="dxa"/>
              <w:left w:w="70" w:type="dxa"/>
              <w:bottom w:w="15" w:type="dxa"/>
              <w:right w:w="70" w:type="dxa"/>
            </w:tcMar>
            <w:vAlign w:val="center"/>
          </w:tcPr>
          <w:p w14:paraId="17375A54" w14:textId="08E1196F" w:rsidR="0AFA31E3" w:rsidRPr="00393D5E" w:rsidRDefault="0AFA31E3" w:rsidP="0AFA31E3">
            <w:pPr>
              <w:spacing w:after="200" w:line="276" w:lineRule="auto"/>
              <w:jc w:val="both"/>
              <w:rPr>
                <w:rFonts w:cstheme="minorHAnsi"/>
              </w:rPr>
            </w:pPr>
            <w:r w:rsidRPr="00393D5E">
              <w:rPr>
                <w:rFonts w:eastAsia="Calibri" w:cstheme="minorHAnsi"/>
                <w:b/>
                <w:bCs/>
                <w:color w:val="000000" w:themeColor="text1"/>
              </w:rPr>
              <w:t>Vlastník</w:t>
            </w:r>
          </w:p>
        </w:tc>
      </w:tr>
      <w:tr w:rsidR="0AFA31E3" w:rsidRPr="00393D5E" w14:paraId="75C11411" w14:textId="77777777" w:rsidTr="00FA403F">
        <w:trPr>
          <w:trHeight w:val="165"/>
        </w:trPr>
        <w:tc>
          <w:tcPr>
            <w:tcW w:w="2213" w:type="dxa"/>
            <w:vMerge w:val="restart"/>
            <w:shd w:val="clear" w:color="auto" w:fill="FFFFFF" w:themeFill="background1"/>
            <w:tcMar>
              <w:top w:w="15" w:type="dxa"/>
              <w:left w:w="70" w:type="dxa"/>
              <w:bottom w:w="15" w:type="dxa"/>
              <w:right w:w="70" w:type="dxa"/>
            </w:tcMar>
            <w:vAlign w:val="center"/>
          </w:tcPr>
          <w:p w14:paraId="527C8D7D" w14:textId="4C796A60" w:rsidR="0AFA31E3" w:rsidRPr="00393D5E" w:rsidRDefault="0AFA31E3" w:rsidP="0AFA31E3">
            <w:pPr>
              <w:spacing w:after="200" w:line="276" w:lineRule="auto"/>
              <w:rPr>
                <w:rFonts w:cstheme="minorHAnsi"/>
              </w:rPr>
            </w:pPr>
            <w:r w:rsidRPr="00393D5E">
              <w:rPr>
                <w:rFonts w:eastAsia="Calibri" w:cstheme="minorHAnsi"/>
                <w:color w:val="000000" w:themeColor="text1"/>
              </w:rPr>
              <w:t>1. Digitální transformace</w:t>
            </w:r>
          </w:p>
        </w:tc>
        <w:tc>
          <w:tcPr>
            <w:tcW w:w="3600" w:type="dxa"/>
            <w:shd w:val="clear" w:color="auto" w:fill="FFFFFF" w:themeFill="background1"/>
            <w:tcMar>
              <w:top w:w="15" w:type="dxa"/>
              <w:left w:w="70" w:type="dxa"/>
              <w:bottom w:w="15" w:type="dxa"/>
              <w:right w:w="70" w:type="dxa"/>
            </w:tcMar>
            <w:vAlign w:val="center"/>
          </w:tcPr>
          <w:p w14:paraId="2BBF4680" w14:textId="595FA726" w:rsidR="0AFA31E3" w:rsidRPr="00393D5E" w:rsidRDefault="0AFA31E3" w:rsidP="00C37D39">
            <w:pPr>
              <w:spacing w:after="200" w:line="276" w:lineRule="auto"/>
              <w:rPr>
                <w:rFonts w:cstheme="minorHAnsi"/>
              </w:rPr>
            </w:pPr>
            <w:r w:rsidRPr="00393D5E">
              <w:rPr>
                <w:rFonts w:eastAsia="Calibri" w:cstheme="minorHAnsi"/>
                <w:color w:val="000000" w:themeColor="text1"/>
              </w:rPr>
              <w:t>1.1 Digitální služby občanům a</w:t>
            </w:r>
            <w:r w:rsidR="0003053E">
              <w:rPr>
                <w:rFonts w:eastAsia="Calibri" w:cstheme="minorHAnsi"/>
                <w:color w:val="000000" w:themeColor="text1"/>
              </w:rPr>
              <w:t> </w:t>
            </w:r>
            <w:r w:rsidRPr="00393D5E">
              <w:rPr>
                <w:rFonts w:eastAsia="Calibri" w:cstheme="minorHAnsi"/>
                <w:color w:val="000000" w:themeColor="text1"/>
              </w:rPr>
              <w:t>firmám</w:t>
            </w:r>
          </w:p>
        </w:tc>
        <w:tc>
          <w:tcPr>
            <w:tcW w:w="3683" w:type="dxa"/>
            <w:shd w:val="clear" w:color="auto" w:fill="FFFFFF" w:themeFill="background1"/>
            <w:tcMar>
              <w:top w:w="15" w:type="dxa"/>
              <w:left w:w="70" w:type="dxa"/>
              <w:bottom w:w="15" w:type="dxa"/>
              <w:right w:w="70" w:type="dxa"/>
            </w:tcMar>
            <w:vAlign w:val="center"/>
          </w:tcPr>
          <w:p w14:paraId="7A054B81" w14:textId="007733D7" w:rsidR="0AFA31E3" w:rsidRPr="00393D5E" w:rsidRDefault="0AFA31E3" w:rsidP="00C37D39">
            <w:pPr>
              <w:spacing w:after="200" w:line="276" w:lineRule="auto"/>
              <w:rPr>
                <w:rFonts w:cstheme="minorHAnsi"/>
              </w:rPr>
            </w:pPr>
            <w:r w:rsidRPr="00393D5E">
              <w:rPr>
                <w:rFonts w:eastAsia="Calibri" w:cstheme="minorHAnsi"/>
                <w:color w:val="000000" w:themeColor="text1"/>
              </w:rPr>
              <w:t>Ministerstvo vnitra</w:t>
            </w:r>
          </w:p>
        </w:tc>
      </w:tr>
      <w:tr w:rsidR="0AFA31E3" w:rsidRPr="00393D5E" w14:paraId="1D2D96AF" w14:textId="77777777" w:rsidTr="00FA403F">
        <w:trPr>
          <w:trHeight w:val="165"/>
        </w:trPr>
        <w:tc>
          <w:tcPr>
            <w:tcW w:w="2213" w:type="dxa"/>
            <w:vMerge/>
            <w:vAlign w:val="center"/>
          </w:tcPr>
          <w:p w14:paraId="63590A6B" w14:textId="77777777" w:rsidR="00AF2E07" w:rsidRPr="00393D5E" w:rsidRDefault="00AF2E07">
            <w:pPr>
              <w:rPr>
                <w:rFonts w:cstheme="minorHAnsi"/>
              </w:rPr>
            </w:pPr>
          </w:p>
        </w:tc>
        <w:tc>
          <w:tcPr>
            <w:tcW w:w="3600" w:type="dxa"/>
            <w:shd w:val="clear" w:color="auto" w:fill="FFFFFF" w:themeFill="background1"/>
            <w:tcMar>
              <w:top w:w="15" w:type="dxa"/>
              <w:left w:w="70" w:type="dxa"/>
              <w:bottom w:w="15" w:type="dxa"/>
              <w:right w:w="70" w:type="dxa"/>
            </w:tcMar>
            <w:vAlign w:val="center"/>
          </w:tcPr>
          <w:p w14:paraId="59E1843F" w14:textId="0D2647FF" w:rsidR="0AFA31E3" w:rsidRPr="00393D5E" w:rsidRDefault="0AFA31E3" w:rsidP="00C37D39">
            <w:pPr>
              <w:spacing w:after="200" w:line="276" w:lineRule="auto"/>
              <w:rPr>
                <w:rFonts w:cstheme="minorHAnsi"/>
              </w:rPr>
            </w:pPr>
            <w:r w:rsidRPr="00393D5E">
              <w:rPr>
                <w:rFonts w:eastAsia="Calibri" w:cstheme="minorHAnsi"/>
                <w:color w:val="000000" w:themeColor="text1"/>
              </w:rPr>
              <w:t>1.2 Digitální systémy veřejné správy</w:t>
            </w:r>
          </w:p>
        </w:tc>
        <w:tc>
          <w:tcPr>
            <w:tcW w:w="3683" w:type="dxa"/>
            <w:shd w:val="clear" w:color="auto" w:fill="FFFFFF" w:themeFill="background1"/>
            <w:tcMar>
              <w:top w:w="15" w:type="dxa"/>
              <w:left w:w="70" w:type="dxa"/>
              <w:bottom w:w="15" w:type="dxa"/>
              <w:right w:w="70" w:type="dxa"/>
            </w:tcMar>
            <w:vAlign w:val="center"/>
          </w:tcPr>
          <w:p w14:paraId="767A057E" w14:textId="074FC83C" w:rsidR="0AFA31E3" w:rsidRPr="00393D5E" w:rsidRDefault="0AFA31E3" w:rsidP="00C37D39">
            <w:pPr>
              <w:spacing w:after="200" w:line="276" w:lineRule="auto"/>
              <w:rPr>
                <w:rFonts w:cstheme="minorHAnsi"/>
              </w:rPr>
            </w:pPr>
            <w:r w:rsidRPr="00393D5E">
              <w:rPr>
                <w:rFonts w:eastAsia="Calibri" w:cstheme="minorHAnsi"/>
                <w:color w:val="000000" w:themeColor="text1"/>
              </w:rPr>
              <w:t>Ministerstvo vnitra</w:t>
            </w:r>
          </w:p>
        </w:tc>
      </w:tr>
      <w:tr w:rsidR="0AFA31E3" w:rsidRPr="00393D5E" w14:paraId="12AA2EF5" w14:textId="77777777" w:rsidTr="00FA403F">
        <w:trPr>
          <w:trHeight w:val="165"/>
        </w:trPr>
        <w:tc>
          <w:tcPr>
            <w:tcW w:w="2213" w:type="dxa"/>
            <w:vMerge/>
            <w:vAlign w:val="center"/>
          </w:tcPr>
          <w:p w14:paraId="08647E2B" w14:textId="77777777" w:rsidR="00AF2E07" w:rsidRPr="00393D5E" w:rsidRDefault="00AF2E07">
            <w:pPr>
              <w:rPr>
                <w:rFonts w:cstheme="minorHAnsi"/>
              </w:rPr>
            </w:pPr>
          </w:p>
        </w:tc>
        <w:tc>
          <w:tcPr>
            <w:tcW w:w="3600" w:type="dxa"/>
            <w:shd w:val="clear" w:color="auto" w:fill="FFFFFF" w:themeFill="background1"/>
            <w:tcMar>
              <w:top w:w="15" w:type="dxa"/>
              <w:left w:w="70" w:type="dxa"/>
              <w:bottom w:w="15" w:type="dxa"/>
              <w:right w:w="70" w:type="dxa"/>
            </w:tcMar>
            <w:vAlign w:val="center"/>
          </w:tcPr>
          <w:p w14:paraId="6D14DC7A" w14:textId="34797C0A" w:rsidR="0AFA31E3" w:rsidRPr="00393D5E" w:rsidRDefault="0AFA31E3" w:rsidP="00C37D39">
            <w:pPr>
              <w:spacing w:after="200" w:line="276" w:lineRule="auto"/>
              <w:rPr>
                <w:rFonts w:cstheme="minorHAnsi"/>
              </w:rPr>
            </w:pPr>
            <w:r w:rsidRPr="00393D5E">
              <w:rPr>
                <w:rFonts w:eastAsia="Calibri" w:cstheme="minorHAnsi"/>
                <w:color w:val="000000" w:themeColor="text1"/>
              </w:rPr>
              <w:t xml:space="preserve">1.3 Digitální vysokokapacitní sítě </w:t>
            </w:r>
          </w:p>
        </w:tc>
        <w:tc>
          <w:tcPr>
            <w:tcW w:w="3683" w:type="dxa"/>
            <w:shd w:val="clear" w:color="auto" w:fill="FFFFFF" w:themeFill="background1"/>
            <w:tcMar>
              <w:top w:w="15" w:type="dxa"/>
              <w:left w:w="70" w:type="dxa"/>
              <w:bottom w:w="15" w:type="dxa"/>
              <w:right w:w="70" w:type="dxa"/>
            </w:tcMar>
            <w:vAlign w:val="center"/>
          </w:tcPr>
          <w:p w14:paraId="384F14C6" w14:textId="18AA8063" w:rsidR="0AFA31E3" w:rsidRPr="00393D5E" w:rsidRDefault="0AFA31E3" w:rsidP="00C37D39">
            <w:pPr>
              <w:spacing w:after="200" w:line="276" w:lineRule="auto"/>
              <w:rPr>
                <w:rFonts w:cstheme="minorHAnsi"/>
              </w:rPr>
            </w:pPr>
            <w:r w:rsidRPr="00393D5E">
              <w:rPr>
                <w:rFonts w:eastAsia="Calibri" w:cstheme="minorHAnsi"/>
                <w:color w:val="000000" w:themeColor="text1"/>
              </w:rPr>
              <w:t>Ministerstvo průmyslu a</w:t>
            </w:r>
            <w:r w:rsidR="0003053E">
              <w:rPr>
                <w:rFonts w:eastAsia="Calibri" w:cstheme="minorHAnsi"/>
                <w:color w:val="000000" w:themeColor="text1"/>
              </w:rPr>
              <w:t> </w:t>
            </w:r>
            <w:r w:rsidRPr="00393D5E">
              <w:rPr>
                <w:rFonts w:eastAsia="Calibri" w:cstheme="minorHAnsi"/>
                <w:color w:val="000000" w:themeColor="text1"/>
              </w:rPr>
              <w:t>obchodu</w:t>
            </w:r>
          </w:p>
        </w:tc>
      </w:tr>
      <w:tr w:rsidR="0AFA31E3" w:rsidRPr="00393D5E" w14:paraId="2C232A47" w14:textId="77777777" w:rsidTr="00FA403F">
        <w:trPr>
          <w:trHeight w:val="165"/>
        </w:trPr>
        <w:tc>
          <w:tcPr>
            <w:tcW w:w="2213" w:type="dxa"/>
            <w:vMerge/>
            <w:vAlign w:val="center"/>
          </w:tcPr>
          <w:p w14:paraId="1A84554D" w14:textId="77777777" w:rsidR="00AF2E07" w:rsidRPr="00393D5E" w:rsidRDefault="00AF2E07">
            <w:pPr>
              <w:rPr>
                <w:rFonts w:cstheme="minorHAnsi"/>
              </w:rPr>
            </w:pPr>
          </w:p>
        </w:tc>
        <w:tc>
          <w:tcPr>
            <w:tcW w:w="3600" w:type="dxa"/>
            <w:shd w:val="clear" w:color="auto" w:fill="FFFFFF" w:themeFill="background1"/>
            <w:tcMar>
              <w:top w:w="15" w:type="dxa"/>
              <w:left w:w="70" w:type="dxa"/>
              <w:bottom w:w="15" w:type="dxa"/>
              <w:right w:w="70" w:type="dxa"/>
            </w:tcMar>
            <w:vAlign w:val="center"/>
          </w:tcPr>
          <w:p w14:paraId="7AAD2FF5" w14:textId="476C0316" w:rsidR="0AFA31E3" w:rsidRPr="00393D5E" w:rsidRDefault="0AFA31E3" w:rsidP="00C37D39">
            <w:pPr>
              <w:spacing w:after="200" w:line="276" w:lineRule="auto"/>
              <w:rPr>
                <w:rFonts w:cstheme="minorHAnsi"/>
              </w:rPr>
            </w:pPr>
            <w:r w:rsidRPr="00393D5E">
              <w:rPr>
                <w:rFonts w:eastAsia="Calibri" w:cstheme="minorHAnsi"/>
                <w:color w:val="000000" w:themeColor="text1"/>
              </w:rPr>
              <w:t>1.4 Digitální ekonomika a</w:t>
            </w:r>
            <w:r w:rsidR="0003053E">
              <w:rPr>
                <w:rFonts w:eastAsia="Calibri" w:cstheme="minorHAnsi"/>
                <w:color w:val="000000" w:themeColor="text1"/>
              </w:rPr>
              <w:t> </w:t>
            </w:r>
            <w:r w:rsidRPr="00393D5E">
              <w:rPr>
                <w:rFonts w:eastAsia="Calibri" w:cstheme="minorHAnsi"/>
                <w:color w:val="000000" w:themeColor="text1"/>
              </w:rPr>
              <w:t>společnost, inovativní start-upy a</w:t>
            </w:r>
            <w:r w:rsidR="0003053E">
              <w:rPr>
                <w:rFonts w:eastAsia="Calibri" w:cstheme="minorHAnsi"/>
                <w:color w:val="000000" w:themeColor="text1"/>
              </w:rPr>
              <w:t> </w:t>
            </w:r>
            <w:r w:rsidRPr="00393D5E">
              <w:rPr>
                <w:rFonts w:eastAsia="Calibri" w:cstheme="minorHAnsi"/>
                <w:color w:val="000000" w:themeColor="text1"/>
              </w:rPr>
              <w:t>nové technologie</w:t>
            </w:r>
          </w:p>
        </w:tc>
        <w:tc>
          <w:tcPr>
            <w:tcW w:w="3683" w:type="dxa"/>
            <w:shd w:val="clear" w:color="auto" w:fill="FFFFFF" w:themeFill="background1"/>
            <w:tcMar>
              <w:top w:w="15" w:type="dxa"/>
              <w:left w:w="70" w:type="dxa"/>
              <w:bottom w:w="15" w:type="dxa"/>
              <w:right w:w="70" w:type="dxa"/>
            </w:tcMar>
            <w:vAlign w:val="center"/>
          </w:tcPr>
          <w:p w14:paraId="7356D8F5" w14:textId="61E167D4" w:rsidR="0AFA31E3" w:rsidRPr="00393D5E" w:rsidRDefault="0AFA31E3" w:rsidP="00C37D39">
            <w:pPr>
              <w:spacing w:after="200" w:line="276" w:lineRule="auto"/>
              <w:rPr>
                <w:rFonts w:cstheme="minorHAnsi"/>
              </w:rPr>
            </w:pPr>
            <w:r w:rsidRPr="00393D5E">
              <w:rPr>
                <w:rFonts w:eastAsia="Calibri" w:cstheme="minorHAnsi"/>
                <w:color w:val="000000" w:themeColor="text1"/>
              </w:rPr>
              <w:t>Ministerstvo průmyslu a</w:t>
            </w:r>
            <w:r w:rsidR="0003053E">
              <w:rPr>
                <w:rFonts w:eastAsia="Calibri" w:cstheme="minorHAnsi"/>
                <w:color w:val="000000" w:themeColor="text1"/>
              </w:rPr>
              <w:t> </w:t>
            </w:r>
            <w:r w:rsidRPr="00393D5E">
              <w:rPr>
                <w:rFonts w:eastAsia="Calibri" w:cstheme="minorHAnsi"/>
                <w:color w:val="000000" w:themeColor="text1"/>
              </w:rPr>
              <w:t>obchodu</w:t>
            </w:r>
          </w:p>
        </w:tc>
      </w:tr>
      <w:tr w:rsidR="0AFA31E3" w:rsidRPr="00393D5E" w14:paraId="1CD18C45" w14:textId="77777777" w:rsidTr="00FA403F">
        <w:trPr>
          <w:trHeight w:val="165"/>
        </w:trPr>
        <w:tc>
          <w:tcPr>
            <w:tcW w:w="2213" w:type="dxa"/>
            <w:vMerge/>
            <w:vAlign w:val="center"/>
          </w:tcPr>
          <w:p w14:paraId="3BC86535" w14:textId="77777777" w:rsidR="00AF2E07" w:rsidRPr="00393D5E" w:rsidRDefault="00AF2E07">
            <w:pPr>
              <w:rPr>
                <w:rFonts w:cstheme="minorHAnsi"/>
              </w:rPr>
            </w:pPr>
          </w:p>
        </w:tc>
        <w:tc>
          <w:tcPr>
            <w:tcW w:w="3600" w:type="dxa"/>
            <w:shd w:val="clear" w:color="auto" w:fill="FFFFFF" w:themeFill="background1"/>
            <w:tcMar>
              <w:top w:w="15" w:type="dxa"/>
              <w:left w:w="70" w:type="dxa"/>
              <w:bottom w:w="15" w:type="dxa"/>
              <w:right w:w="70" w:type="dxa"/>
            </w:tcMar>
            <w:vAlign w:val="center"/>
          </w:tcPr>
          <w:p w14:paraId="6B28E139" w14:textId="0690E05C" w:rsidR="0AFA31E3" w:rsidRPr="00393D5E" w:rsidRDefault="0AFA31E3" w:rsidP="00C37D39">
            <w:pPr>
              <w:spacing w:after="200" w:line="276" w:lineRule="auto"/>
              <w:rPr>
                <w:rFonts w:cstheme="minorHAnsi"/>
              </w:rPr>
            </w:pPr>
            <w:r w:rsidRPr="00393D5E">
              <w:rPr>
                <w:rFonts w:eastAsia="Calibri" w:cstheme="minorHAnsi"/>
                <w:color w:val="000000" w:themeColor="text1"/>
              </w:rPr>
              <w:t>1.5 Digitální transformace podniků</w:t>
            </w:r>
          </w:p>
        </w:tc>
        <w:tc>
          <w:tcPr>
            <w:tcW w:w="3683" w:type="dxa"/>
            <w:shd w:val="clear" w:color="auto" w:fill="FFFFFF" w:themeFill="background1"/>
            <w:tcMar>
              <w:top w:w="15" w:type="dxa"/>
              <w:left w:w="70" w:type="dxa"/>
              <w:bottom w:w="15" w:type="dxa"/>
              <w:right w:w="70" w:type="dxa"/>
            </w:tcMar>
            <w:vAlign w:val="center"/>
          </w:tcPr>
          <w:p w14:paraId="65A76FCF" w14:textId="390C4381" w:rsidR="0AFA31E3" w:rsidRPr="00393D5E" w:rsidRDefault="0AFA31E3" w:rsidP="00C37D39">
            <w:pPr>
              <w:spacing w:after="200" w:line="276" w:lineRule="auto"/>
              <w:rPr>
                <w:rFonts w:cstheme="minorHAnsi"/>
              </w:rPr>
            </w:pPr>
            <w:r w:rsidRPr="00393D5E">
              <w:rPr>
                <w:rFonts w:eastAsia="Calibri" w:cstheme="minorHAnsi"/>
                <w:color w:val="000000" w:themeColor="text1"/>
              </w:rPr>
              <w:t>Ministerstvo průmyslu a</w:t>
            </w:r>
            <w:r w:rsidR="0003053E">
              <w:rPr>
                <w:rFonts w:eastAsia="Calibri" w:cstheme="minorHAnsi"/>
                <w:color w:val="000000" w:themeColor="text1"/>
              </w:rPr>
              <w:t> </w:t>
            </w:r>
            <w:r w:rsidRPr="00393D5E">
              <w:rPr>
                <w:rFonts w:eastAsia="Calibri" w:cstheme="minorHAnsi"/>
                <w:color w:val="000000" w:themeColor="text1"/>
              </w:rPr>
              <w:t>obchodu</w:t>
            </w:r>
          </w:p>
        </w:tc>
      </w:tr>
      <w:tr w:rsidR="0AFA31E3" w:rsidRPr="00393D5E" w14:paraId="492472F4" w14:textId="77777777" w:rsidTr="00FA403F">
        <w:trPr>
          <w:trHeight w:val="165"/>
        </w:trPr>
        <w:tc>
          <w:tcPr>
            <w:tcW w:w="2213" w:type="dxa"/>
            <w:vMerge/>
            <w:vAlign w:val="center"/>
          </w:tcPr>
          <w:p w14:paraId="681CC002" w14:textId="77777777" w:rsidR="00AF2E07" w:rsidRPr="00393D5E" w:rsidRDefault="00AF2E07">
            <w:pPr>
              <w:rPr>
                <w:rFonts w:cstheme="minorHAnsi"/>
              </w:rPr>
            </w:pPr>
          </w:p>
        </w:tc>
        <w:tc>
          <w:tcPr>
            <w:tcW w:w="3600" w:type="dxa"/>
            <w:shd w:val="clear" w:color="auto" w:fill="FFFFFF" w:themeFill="background1"/>
            <w:tcMar>
              <w:top w:w="15" w:type="dxa"/>
              <w:left w:w="70" w:type="dxa"/>
              <w:bottom w:w="15" w:type="dxa"/>
              <w:right w:w="70" w:type="dxa"/>
            </w:tcMar>
            <w:vAlign w:val="center"/>
          </w:tcPr>
          <w:p w14:paraId="698715C0" w14:textId="0EC77E77" w:rsidR="0AFA31E3" w:rsidRPr="00393D5E" w:rsidRDefault="0AFA31E3" w:rsidP="00C37D39">
            <w:pPr>
              <w:spacing w:after="200" w:line="276" w:lineRule="auto"/>
              <w:rPr>
                <w:rFonts w:cstheme="minorHAnsi"/>
              </w:rPr>
            </w:pPr>
            <w:r w:rsidRPr="00393D5E">
              <w:rPr>
                <w:rFonts w:eastAsia="Calibri" w:cstheme="minorHAnsi"/>
                <w:color w:val="000000" w:themeColor="text1"/>
              </w:rPr>
              <w:t>1.6 Zrychlení a</w:t>
            </w:r>
            <w:r w:rsidR="0003053E">
              <w:rPr>
                <w:rFonts w:eastAsia="Calibri" w:cstheme="minorHAnsi"/>
                <w:color w:val="000000" w:themeColor="text1"/>
              </w:rPr>
              <w:t> </w:t>
            </w:r>
            <w:r w:rsidRPr="00393D5E">
              <w:rPr>
                <w:rFonts w:eastAsia="Calibri" w:cstheme="minorHAnsi"/>
                <w:color w:val="000000" w:themeColor="text1"/>
              </w:rPr>
              <w:t>digitalizace stavebního řízení</w:t>
            </w:r>
          </w:p>
        </w:tc>
        <w:tc>
          <w:tcPr>
            <w:tcW w:w="3683" w:type="dxa"/>
            <w:shd w:val="clear" w:color="auto" w:fill="FFFFFF" w:themeFill="background1"/>
            <w:tcMar>
              <w:top w:w="15" w:type="dxa"/>
              <w:left w:w="70" w:type="dxa"/>
              <w:bottom w:w="15" w:type="dxa"/>
              <w:right w:w="70" w:type="dxa"/>
            </w:tcMar>
            <w:vAlign w:val="center"/>
          </w:tcPr>
          <w:p w14:paraId="534F6728" w14:textId="03B918ED" w:rsidR="0AFA31E3" w:rsidRPr="00393D5E" w:rsidRDefault="0AFA31E3" w:rsidP="00C37D39">
            <w:pPr>
              <w:spacing w:after="200" w:line="276" w:lineRule="auto"/>
              <w:rPr>
                <w:rFonts w:cstheme="minorHAnsi"/>
              </w:rPr>
            </w:pPr>
            <w:r w:rsidRPr="00393D5E">
              <w:rPr>
                <w:rFonts w:eastAsia="Calibri" w:cstheme="minorHAnsi"/>
                <w:color w:val="000000" w:themeColor="text1"/>
              </w:rPr>
              <w:t>Ministerstvo pro místní rozvoj</w:t>
            </w:r>
          </w:p>
        </w:tc>
      </w:tr>
      <w:tr w:rsidR="0AFA31E3" w:rsidRPr="00393D5E" w14:paraId="398716D9" w14:textId="77777777" w:rsidTr="00FA403F">
        <w:trPr>
          <w:trHeight w:val="165"/>
        </w:trPr>
        <w:tc>
          <w:tcPr>
            <w:tcW w:w="2213" w:type="dxa"/>
            <w:vMerge/>
            <w:vAlign w:val="center"/>
          </w:tcPr>
          <w:p w14:paraId="4E824C46" w14:textId="77777777" w:rsidR="00AF2E07" w:rsidRPr="00393D5E" w:rsidRDefault="00AF2E07">
            <w:pPr>
              <w:rPr>
                <w:rFonts w:cstheme="minorHAnsi"/>
              </w:rPr>
            </w:pPr>
          </w:p>
        </w:tc>
        <w:tc>
          <w:tcPr>
            <w:tcW w:w="3600" w:type="dxa"/>
            <w:shd w:val="clear" w:color="auto" w:fill="FFFFFF" w:themeFill="background1"/>
            <w:tcMar>
              <w:top w:w="15" w:type="dxa"/>
              <w:left w:w="70" w:type="dxa"/>
              <w:bottom w:w="15" w:type="dxa"/>
              <w:right w:w="70" w:type="dxa"/>
            </w:tcMar>
            <w:vAlign w:val="center"/>
          </w:tcPr>
          <w:p w14:paraId="7C0D7D7D" w14:textId="1086E405" w:rsidR="0AFA31E3" w:rsidRPr="00393D5E" w:rsidRDefault="0AFA31E3" w:rsidP="35187188">
            <w:pPr>
              <w:spacing w:before="120" w:after="120" w:line="276" w:lineRule="auto"/>
              <w:rPr>
                <w:rFonts w:eastAsia="Calibri"/>
                <w:color w:val="212121"/>
              </w:rPr>
            </w:pPr>
            <w:r w:rsidRPr="35187188">
              <w:rPr>
                <w:rFonts w:eastAsia="Calibri"/>
                <w:color w:val="000000" w:themeColor="text1"/>
              </w:rPr>
              <w:t>1.7</w:t>
            </w:r>
            <w:r w:rsidRPr="35187188">
              <w:rPr>
                <w:rFonts w:eastAsia="Calibri"/>
                <w:color w:val="212121"/>
              </w:rPr>
              <w:t xml:space="preserve"> </w:t>
            </w:r>
            <w:r w:rsidR="4A824719" w:rsidRPr="35187188">
              <w:rPr>
                <w:rFonts w:eastAsia="Calibri"/>
                <w:color w:val="212121"/>
              </w:rPr>
              <w:t>Digitální transformace veřejné správy</w:t>
            </w:r>
          </w:p>
        </w:tc>
        <w:tc>
          <w:tcPr>
            <w:tcW w:w="3683" w:type="dxa"/>
            <w:shd w:val="clear" w:color="auto" w:fill="FFFFFF" w:themeFill="background1"/>
            <w:tcMar>
              <w:top w:w="15" w:type="dxa"/>
              <w:left w:w="70" w:type="dxa"/>
              <w:bottom w:w="15" w:type="dxa"/>
              <w:right w:w="70" w:type="dxa"/>
            </w:tcMar>
            <w:vAlign w:val="center"/>
          </w:tcPr>
          <w:p w14:paraId="3C761BE9" w14:textId="6553222E" w:rsidR="0AFA31E3" w:rsidRPr="00393D5E" w:rsidRDefault="0AFA31E3" w:rsidP="00C37D39">
            <w:pPr>
              <w:spacing w:before="120" w:after="120" w:line="276" w:lineRule="auto"/>
              <w:rPr>
                <w:rFonts w:cstheme="minorHAnsi"/>
              </w:rPr>
            </w:pPr>
            <w:r w:rsidRPr="00393D5E">
              <w:rPr>
                <w:rFonts w:eastAsia="Calibri" w:cstheme="minorHAnsi"/>
                <w:color w:val="212121"/>
              </w:rPr>
              <w:t>Digitální a</w:t>
            </w:r>
            <w:r w:rsidR="0003053E">
              <w:rPr>
                <w:rFonts w:eastAsia="Calibri" w:cstheme="minorHAnsi"/>
                <w:color w:val="212121"/>
              </w:rPr>
              <w:t> </w:t>
            </w:r>
            <w:r w:rsidRPr="00393D5E">
              <w:rPr>
                <w:rFonts w:eastAsia="Calibri" w:cstheme="minorHAnsi"/>
                <w:color w:val="212121"/>
              </w:rPr>
              <w:t>informační agentura</w:t>
            </w:r>
          </w:p>
        </w:tc>
      </w:tr>
      <w:tr w:rsidR="002F1580" w:rsidRPr="00393D5E" w14:paraId="3320ED87" w14:textId="77777777" w:rsidTr="00FA403F">
        <w:trPr>
          <w:trHeight w:val="165"/>
        </w:trPr>
        <w:tc>
          <w:tcPr>
            <w:tcW w:w="2213" w:type="dxa"/>
            <w:vMerge w:val="restart"/>
            <w:shd w:val="clear" w:color="auto" w:fill="FFFFFF" w:themeFill="background1"/>
            <w:tcMar>
              <w:top w:w="15" w:type="dxa"/>
              <w:left w:w="70" w:type="dxa"/>
              <w:bottom w:w="15" w:type="dxa"/>
              <w:right w:w="70" w:type="dxa"/>
            </w:tcMar>
            <w:vAlign w:val="center"/>
          </w:tcPr>
          <w:p w14:paraId="7E10EE4D" w14:textId="2C2C6789" w:rsidR="002F1580" w:rsidRPr="00393D5E" w:rsidRDefault="002F1580" w:rsidP="0AFA31E3">
            <w:pPr>
              <w:spacing w:after="200" w:line="276" w:lineRule="auto"/>
              <w:rPr>
                <w:rFonts w:cstheme="minorHAnsi"/>
              </w:rPr>
            </w:pPr>
            <w:r w:rsidRPr="00393D5E">
              <w:rPr>
                <w:rFonts w:eastAsia="Calibri" w:cstheme="minorHAnsi"/>
                <w:color w:val="000000" w:themeColor="text1"/>
              </w:rPr>
              <w:t>2. Fyzická infrastruktura a</w:t>
            </w:r>
            <w:r w:rsidR="0003053E">
              <w:rPr>
                <w:rFonts w:eastAsia="Calibri" w:cstheme="minorHAnsi"/>
                <w:color w:val="000000" w:themeColor="text1"/>
              </w:rPr>
              <w:t> </w:t>
            </w:r>
            <w:r w:rsidRPr="00393D5E">
              <w:rPr>
                <w:rFonts w:eastAsia="Calibri" w:cstheme="minorHAnsi"/>
                <w:color w:val="000000" w:themeColor="text1"/>
              </w:rPr>
              <w:t>zelená tranzice</w:t>
            </w:r>
          </w:p>
        </w:tc>
        <w:tc>
          <w:tcPr>
            <w:tcW w:w="3600" w:type="dxa"/>
            <w:shd w:val="clear" w:color="auto" w:fill="FFFFFF" w:themeFill="background1"/>
            <w:tcMar>
              <w:top w:w="15" w:type="dxa"/>
              <w:left w:w="70" w:type="dxa"/>
              <w:bottom w:w="15" w:type="dxa"/>
              <w:right w:w="70" w:type="dxa"/>
            </w:tcMar>
            <w:vAlign w:val="center"/>
          </w:tcPr>
          <w:p w14:paraId="691AACD7" w14:textId="3A2F5CEA" w:rsidR="002F1580" w:rsidRPr="00393D5E" w:rsidRDefault="002F1580" w:rsidP="00C37D39">
            <w:pPr>
              <w:spacing w:after="200" w:line="276" w:lineRule="auto"/>
              <w:rPr>
                <w:rFonts w:cstheme="minorHAnsi"/>
              </w:rPr>
            </w:pPr>
            <w:r w:rsidRPr="00393D5E">
              <w:rPr>
                <w:rFonts w:eastAsia="Calibri" w:cstheme="minorHAnsi"/>
                <w:color w:val="000000" w:themeColor="text1"/>
              </w:rPr>
              <w:t>2.1 Udržitelná doprava</w:t>
            </w:r>
          </w:p>
        </w:tc>
        <w:tc>
          <w:tcPr>
            <w:tcW w:w="3683" w:type="dxa"/>
            <w:shd w:val="clear" w:color="auto" w:fill="FFFFFF" w:themeFill="background1"/>
            <w:tcMar>
              <w:top w:w="15" w:type="dxa"/>
              <w:left w:w="70" w:type="dxa"/>
              <w:bottom w:w="15" w:type="dxa"/>
              <w:right w:w="70" w:type="dxa"/>
            </w:tcMar>
            <w:vAlign w:val="center"/>
          </w:tcPr>
          <w:p w14:paraId="53D8A2C5" w14:textId="1A086BE9" w:rsidR="002F1580" w:rsidRPr="00393D5E" w:rsidRDefault="002F1580" w:rsidP="00C37D39">
            <w:pPr>
              <w:spacing w:after="200" w:line="276" w:lineRule="auto"/>
              <w:rPr>
                <w:rFonts w:cstheme="minorHAnsi"/>
              </w:rPr>
            </w:pPr>
            <w:r w:rsidRPr="00393D5E">
              <w:rPr>
                <w:rFonts w:eastAsia="Calibri" w:cstheme="minorHAnsi"/>
                <w:color w:val="000000" w:themeColor="text1"/>
              </w:rPr>
              <w:t>Ministerstvo dopravy</w:t>
            </w:r>
          </w:p>
        </w:tc>
      </w:tr>
      <w:tr w:rsidR="002F1580" w:rsidRPr="00393D5E" w14:paraId="726B90F1" w14:textId="77777777" w:rsidTr="00FA403F">
        <w:trPr>
          <w:trHeight w:val="165"/>
        </w:trPr>
        <w:tc>
          <w:tcPr>
            <w:tcW w:w="2213" w:type="dxa"/>
            <w:vMerge/>
            <w:vAlign w:val="center"/>
          </w:tcPr>
          <w:p w14:paraId="66166D71" w14:textId="77777777" w:rsidR="002F1580" w:rsidRPr="00393D5E" w:rsidRDefault="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2782758C" w14:textId="7BD0E4D2" w:rsidR="002F1580" w:rsidRPr="00393D5E" w:rsidRDefault="002F1580" w:rsidP="00C37D39">
            <w:pPr>
              <w:spacing w:after="200" w:line="276" w:lineRule="auto"/>
              <w:rPr>
                <w:rFonts w:cstheme="minorHAnsi"/>
              </w:rPr>
            </w:pPr>
            <w:r w:rsidRPr="00393D5E">
              <w:rPr>
                <w:rFonts w:eastAsia="Calibri" w:cstheme="minorHAnsi"/>
                <w:color w:val="000000" w:themeColor="text1"/>
              </w:rPr>
              <w:t>2.2 Snižování spotřeby energie ve veřejném sektoru</w:t>
            </w:r>
          </w:p>
        </w:tc>
        <w:tc>
          <w:tcPr>
            <w:tcW w:w="3683" w:type="dxa"/>
            <w:shd w:val="clear" w:color="auto" w:fill="FFFFFF" w:themeFill="background1"/>
            <w:tcMar>
              <w:top w:w="15" w:type="dxa"/>
              <w:left w:w="70" w:type="dxa"/>
              <w:bottom w:w="15" w:type="dxa"/>
              <w:right w:w="70" w:type="dxa"/>
            </w:tcMar>
            <w:vAlign w:val="center"/>
          </w:tcPr>
          <w:p w14:paraId="5597478E" w14:textId="35F203A0" w:rsidR="002F1580" w:rsidRPr="00393D5E" w:rsidRDefault="002F1580" w:rsidP="00C37D39">
            <w:pPr>
              <w:spacing w:after="200" w:line="276" w:lineRule="auto"/>
              <w:rPr>
                <w:rFonts w:cstheme="minorHAnsi"/>
              </w:rPr>
            </w:pPr>
            <w:r w:rsidRPr="00393D5E">
              <w:rPr>
                <w:rFonts w:eastAsia="Calibri" w:cstheme="minorHAnsi"/>
              </w:rPr>
              <w:t>Ministerstvo průmyslu a</w:t>
            </w:r>
            <w:r w:rsidR="0003053E">
              <w:rPr>
                <w:rFonts w:eastAsia="Calibri" w:cstheme="minorHAnsi"/>
              </w:rPr>
              <w:t> </w:t>
            </w:r>
            <w:r w:rsidRPr="00393D5E">
              <w:rPr>
                <w:rFonts w:eastAsia="Calibri" w:cstheme="minorHAnsi"/>
              </w:rPr>
              <w:t>obchodu/ Ministerstvo životního prostředí</w:t>
            </w:r>
          </w:p>
        </w:tc>
      </w:tr>
      <w:tr w:rsidR="002F1580" w:rsidRPr="00393D5E" w14:paraId="5D966339" w14:textId="77777777" w:rsidTr="00FA403F">
        <w:trPr>
          <w:trHeight w:val="165"/>
        </w:trPr>
        <w:tc>
          <w:tcPr>
            <w:tcW w:w="2213" w:type="dxa"/>
            <w:vMerge/>
            <w:vAlign w:val="center"/>
          </w:tcPr>
          <w:p w14:paraId="166CB0FF" w14:textId="77777777" w:rsidR="002F1580" w:rsidRPr="00393D5E" w:rsidRDefault="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216C6A1D" w14:textId="6D93F024" w:rsidR="002F1580" w:rsidRPr="00393D5E" w:rsidRDefault="002F1580" w:rsidP="00C37D39">
            <w:pPr>
              <w:spacing w:after="200" w:line="276" w:lineRule="auto"/>
              <w:rPr>
                <w:rFonts w:cstheme="minorHAnsi"/>
              </w:rPr>
            </w:pPr>
            <w:r w:rsidRPr="00393D5E">
              <w:rPr>
                <w:rFonts w:eastAsia="Calibri" w:cstheme="minorHAnsi"/>
                <w:color w:val="000000" w:themeColor="text1"/>
              </w:rPr>
              <w:t>2.3 Přechod na čistší zdroje energie</w:t>
            </w:r>
          </w:p>
        </w:tc>
        <w:tc>
          <w:tcPr>
            <w:tcW w:w="3683" w:type="dxa"/>
            <w:shd w:val="clear" w:color="auto" w:fill="FFFFFF" w:themeFill="background1"/>
            <w:tcMar>
              <w:top w:w="15" w:type="dxa"/>
              <w:left w:w="70" w:type="dxa"/>
              <w:bottom w:w="15" w:type="dxa"/>
              <w:right w:w="70" w:type="dxa"/>
            </w:tcMar>
            <w:vAlign w:val="center"/>
          </w:tcPr>
          <w:p w14:paraId="6838370B" w14:textId="348A071C" w:rsidR="002F1580" w:rsidRPr="00393D5E" w:rsidRDefault="002F1580" w:rsidP="00C37D39">
            <w:pPr>
              <w:spacing w:after="200" w:line="276" w:lineRule="auto"/>
              <w:rPr>
                <w:rFonts w:cstheme="minorHAnsi"/>
              </w:rPr>
            </w:pPr>
            <w:r w:rsidRPr="00393D5E">
              <w:rPr>
                <w:rFonts w:eastAsia="Calibri" w:cstheme="minorHAnsi"/>
                <w:color w:val="000000" w:themeColor="text1"/>
              </w:rPr>
              <w:t>Ministerstvo průmyslu a</w:t>
            </w:r>
            <w:r w:rsidR="0003053E">
              <w:rPr>
                <w:rFonts w:eastAsia="Calibri" w:cstheme="minorHAnsi"/>
                <w:color w:val="000000" w:themeColor="text1"/>
              </w:rPr>
              <w:t> </w:t>
            </w:r>
            <w:r w:rsidRPr="00393D5E">
              <w:rPr>
                <w:rFonts w:eastAsia="Calibri" w:cstheme="minorHAnsi"/>
                <w:color w:val="000000" w:themeColor="text1"/>
              </w:rPr>
              <w:t>obchodu</w:t>
            </w:r>
          </w:p>
        </w:tc>
      </w:tr>
      <w:tr w:rsidR="002F1580" w:rsidRPr="00393D5E" w14:paraId="39B7B02D" w14:textId="77777777" w:rsidTr="00FA403F">
        <w:trPr>
          <w:trHeight w:val="165"/>
        </w:trPr>
        <w:tc>
          <w:tcPr>
            <w:tcW w:w="2213" w:type="dxa"/>
            <w:vMerge/>
            <w:vAlign w:val="center"/>
          </w:tcPr>
          <w:p w14:paraId="5FA4AC05" w14:textId="77777777" w:rsidR="002F1580" w:rsidRPr="00393D5E" w:rsidRDefault="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636A005E" w14:textId="5A6334E4" w:rsidR="002F1580" w:rsidRPr="00393D5E" w:rsidRDefault="002F1580" w:rsidP="00C37D39">
            <w:pPr>
              <w:spacing w:after="200" w:line="276" w:lineRule="auto"/>
              <w:rPr>
                <w:rFonts w:cstheme="minorHAnsi"/>
              </w:rPr>
            </w:pPr>
            <w:r w:rsidRPr="00393D5E">
              <w:rPr>
                <w:rFonts w:eastAsia="Calibri" w:cstheme="minorHAnsi"/>
                <w:color w:val="000000" w:themeColor="text1"/>
              </w:rPr>
              <w:t>2.4 Rozvoj čisté mobility</w:t>
            </w:r>
          </w:p>
        </w:tc>
        <w:tc>
          <w:tcPr>
            <w:tcW w:w="3683" w:type="dxa"/>
            <w:shd w:val="clear" w:color="auto" w:fill="FFFFFF" w:themeFill="background1"/>
            <w:tcMar>
              <w:top w:w="15" w:type="dxa"/>
              <w:left w:w="70" w:type="dxa"/>
              <w:bottom w:w="15" w:type="dxa"/>
              <w:right w:w="70" w:type="dxa"/>
            </w:tcMar>
            <w:vAlign w:val="center"/>
          </w:tcPr>
          <w:p w14:paraId="56364DD1" w14:textId="556C43F9" w:rsidR="002F1580" w:rsidRPr="00393D5E" w:rsidRDefault="002F1580" w:rsidP="00C37D39">
            <w:pPr>
              <w:spacing w:after="200" w:line="276" w:lineRule="auto"/>
              <w:rPr>
                <w:rFonts w:cstheme="minorHAnsi"/>
              </w:rPr>
            </w:pPr>
            <w:r w:rsidRPr="00393D5E">
              <w:rPr>
                <w:rFonts w:eastAsia="Calibri" w:cstheme="minorHAnsi"/>
                <w:color w:val="000000" w:themeColor="text1"/>
              </w:rPr>
              <w:t>Ministerstvo průmyslu a</w:t>
            </w:r>
            <w:r w:rsidR="0003053E">
              <w:rPr>
                <w:rFonts w:eastAsia="Calibri" w:cstheme="minorHAnsi"/>
                <w:color w:val="000000" w:themeColor="text1"/>
              </w:rPr>
              <w:t> </w:t>
            </w:r>
            <w:r w:rsidRPr="00393D5E">
              <w:rPr>
                <w:rFonts w:eastAsia="Calibri" w:cstheme="minorHAnsi"/>
                <w:color w:val="000000" w:themeColor="text1"/>
              </w:rPr>
              <w:t>obchodu/Ministerstvo životního prostředí/Ministerstvo dopravy</w:t>
            </w:r>
          </w:p>
        </w:tc>
      </w:tr>
      <w:tr w:rsidR="002F1580" w:rsidRPr="00393D5E" w14:paraId="68DEDF1A" w14:textId="77777777" w:rsidTr="00FA403F">
        <w:trPr>
          <w:trHeight w:val="165"/>
        </w:trPr>
        <w:tc>
          <w:tcPr>
            <w:tcW w:w="2213" w:type="dxa"/>
            <w:vMerge/>
            <w:vAlign w:val="center"/>
          </w:tcPr>
          <w:p w14:paraId="3AF20698" w14:textId="77777777" w:rsidR="002F1580" w:rsidRPr="00393D5E" w:rsidRDefault="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6CCF05C9" w14:textId="6B66CDE2" w:rsidR="002F1580" w:rsidRPr="00393D5E" w:rsidRDefault="002F1580" w:rsidP="00C37D39">
            <w:pPr>
              <w:spacing w:after="200" w:line="276" w:lineRule="auto"/>
              <w:rPr>
                <w:rFonts w:cstheme="minorHAnsi"/>
              </w:rPr>
            </w:pPr>
            <w:r w:rsidRPr="00393D5E">
              <w:rPr>
                <w:rFonts w:eastAsia="Calibri" w:cstheme="minorHAnsi"/>
                <w:color w:val="000000" w:themeColor="text1"/>
              </w:rPr>
              <w:t>2.5 Renovace budov a</w:t>
            </w:r>
            <w:r w:rsidR="0003053E">
              <w:rPr>
                <w:rFonts w:eastAsia="Calibri" w:cstheme="minorHAnsi"/>
                <w:color w:val="000000" w:themeColor="text1"/>
              </w:rPr>
              <w:t> </w:t>
            </w:r>
            <w:r w:rsidRPr="00393D5E">
              <w:rPr>
                <w:rFonts w:eastAsia="Calibri" w:cstheme="minorHAnsi"/>
                <w:color w:val="000000" w:themeColor="text1"/>
              </w:rPr>
              <w:t>ochrana ovzduší</w:t>
            </w:r>
          </w:p>
        </w:tc>
        <w:tc>
          <w:tcPr>
            <w:tcW w:w="3683" w:type="dxa"/>
            <w:shd w:val="clear" w:color="auto" w:fill="FFFFFF" w:themeFill="background1"/>
            <w:tcMar>
              <w:top w:w="15" w:type="dxa"/>
              <w:left w:w="70" w:type="dxa"/>
              <w:bottom w:w="15" w:type="dxa"/>
              <w:right w:w="70" w:type="dxa"/>
            </w:tcMar>
            <w:vAlign w:val="center"/>
          </w:tcPr>
          <w:p w14:paraId="14A60458" w14:textId="54C4C0C8" w:rsidR="002F1580" w:rsidRPr="00393D5E" w:rsidRDefault="002F1580" w:rsidP="00C37D39">
            <w:pPr>
              <w:spacing w:after="200" w:line="276" w:lineRule="auto"/>
              <w:rPr>
                <w:rFonts w:cstheme="minorHAnsi"/>
              </w:rPr>
            </w:pPr>
            <w:r w:rsidRPr="00393D5E">
              <w:rPr>
                <w:rFonts w:eastAsia="Calibri" w:cstheme="minorHAnsi"/>
                <w:color w:val="000000" w:themeColor="text1"/>
              </w:rPr>
              <w:t>Ministerstvo životního prostředí</w:t>
            </w:r>
          </w:p>
        </w:tc>
      </w:tr>
      <w:tr w:rsidR="002F1580" w:rsidRPr="00393D5E" w14:paraId="1D6A1098" w14:textId="77777777" w:rsidTr="00FA403F">
        <w:trPr>
          <w:trHeight w:val="165"/>
        </w:trPr>
        <w:tc>
          <w:tcPr>
            <w:tcW w:w="2213" w:type="dxa"/>
            <w:vMerge/>
            <w:vAlign w:val="center"/>
          </w:tcPr>
          <w:p w14:paraId="1B62ED26" w14:textId="77777777" w:rsidR="002F1580" w:rsidRPr="00393D5E" w:rsidRDefault="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36A9BF97" w14:textId="1851C90E" w:rsidR="002F1580" w:rsidRPr="00393D5E" w:rsidRDefault="002F1580" w:rsidP="00C37D39">
            <w:pPr>
              <w:spacing w:after="200" w:line="276" w:lineRule="auto"/>
              <w:rPr>
                <w:rFonts w:cstheme="minorHAnsi"/>
              </w:rPr>
            </w:pPr>
            <w:r w:rsidRPr="00393D5E">
              <w:rPr>
                <w:rFonts w:eastAsia="Calibri" w:cstheme="minorHAnsi"/>
                <w:color w:val="000000" w:themeColor="text1"/>
              </w:rPr>
              <w:t>2.6 Ochrana přírody a</w:t>
            </w:r>
            <w:r w:rsidR="0003053E">
              <w:rPr>
                <w:rFonts w:eastAsia="Calibri" w:cstheme="minorHAnsi"/>
                <w:color w:val="000000" w:themeColor="text1"/>
              </w:rPr>
              <w:t> </w:t>
            </w:r>
            <w:r w:rsidRPr="00393D5E">
              <w:rPr>
                <w:rFonts w:eastAsia="Calibri" w:cstheme="minorHAnsi"/>
                <w:color w:val="000000" w:themeColor="text1"/>
              </w:rPr>
              <w:t>adaptace na klimatickou změnu</w:t>
            </w:r>
          </w:p>
        </w:tc>
        <w:tc>
          <w:tcPr>
            <w:tcW w:w="3683" w:type="dxa"/>
            <w:shd w:val="clear" w:color="auto" w:fill="FFFFFF" w:themeFill="background1"/>
            <w:tcMar>
              <w:top w:w="15" w:type="dxa"/>
              <w:left w:w="70" w:type="dxa"/>
              <w:bottom w:w="15" w:type="dxa"/>
              <w:right w:w="70" w:type="dxa"/>
            </w:tcMar>
            <w:vAlign w:val="center"/>
          </w:tcPr>
          <w:p w14:paraId="67DC9D89" w14:textId="125C787C" w:rsidR="002F1580" w:rsidRPr="00393D5E" w:rsidRDefault="002F1580" w:rsidP="00C37D39">
            <w:pPr>
              <w:spacing w:after="200" w:line="276" w:lineRule="auto"/>
              <w:rPr>
                <w:rFonts w:cstheme="minorHAnsi"/>
              </w:rPr>
            </w:pPr>
            <w:r w:rsidRPr="00393D5E">
              <w:rPr>
                <w:rFonts w:eastAsia="Calibri" w:cstheme="minorHAnsi"/>
                <w:color w:val="000000" w:themeColor="text1"/>
              </w:rPr>
              <w:t>Ministerstvo zemědělství/ Ministerstvo životního prostředí</w:t>
            </w:r>
            <w:r w:rsidR="005E6EBF">
              <w:rPr>
                <w:rStyle w:val="Znakapoznpodarou"/>
                <w:rFonts w:eastAsia="Calibri" w:cstheme="minorHAnsi"/>
                <w:color w:val="000000" w:themeColor="text1"/>
              </w:rPr>
              <w:footnoteReference w:id="4"/>
            </w:r>
          </w:p>
        </w:tc>
      </w:tr>
      <w:tr w:rsidR="002F1580" w:rsidRPr="00393D5E" w14:paraId="419D0968" w14:textId="77777777" w:rsidTr="00FA403F">
        <w:trPr>
          <w:trHeight w:val="165"/>
        </w:trPr>
        <w:tc>
          <w:tcPr>
            <w:tcW w:w="2213" w:type="dxa"/>
            <w:vMerge/>
            <w:vAlign w:val="center"/>
          </w:tcPr>
          <w:p w14:paraId="773BB6E1" w14:textId="77777777" w:rsidR="002F1580" w:rsidRPr="00393D5E" w:rsidRDefault="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15A3DF2C" w14:textId="1662C514" w:rsidR="002F1580" w:rsidRPr="00393D5E" w:rsidRDefault="002F1580" w:rsidP="00C37D39">
            <w:pPr>
              <w:spacing w:after="200" w:line="276" w:lineRule="auto"/>
              <w:rPr>
                <w:rFonts w:cstheme="minorHAnsi"/>
              </w:rPr>
            </w:pPr>
            <w:r w:rsidRPr="00393D5E">
              <w:rPr>
                <w:rFonts w:eastAsia="Calibri" w:cstheme="minorHAnsi"/>
                <w:color w:val="000000" w:themeColor="text1"/>
              </w:rPr>
              <w:t>2.7 Cirkulární ekonomika, recyklace a</w:t>
            </w:r>
            <w:r w:rsidR="0003053E">
              <w:rPr>
                <w:rFonts w:eastAsia="Calibri" w:cstheme="minorHAnsi"/>
                <w:color w:val="000000" w:themeColor="text1"/>
              </w:rPr>
              <w:t> </w:t>
            </w:r>
            <w:r w:rsidRPr="00393D5E">
              <w:rPr>
                <w:rFonts w:eastAsia="Calibri" w:cstheme="minorHAnsi"/>
                <w:color w:val="000000" w:themeColor="text1"/>
              </w:rPr>
              <w:t>průmyslová voda</w:t>
            </w:r>
          </w:p>
        </w:tc>
        <w:tc>
          <w:tcPr>
            <w:tcW w:w="3683" w:type="dxa"/>
            <w:shd w:val="clear" w:color="auto" w:fill="FFFFFF" w:themeFill="background1"/>
            <w:tcMar>
              <w:top w:w="15" w:type="dxa"/>
              <w:left w:w="70" w:type="dxa"/>
              <w:bottom w:w="15" w:type="dxa"/>
              <w:right w:w="70" w:type="dxa"/>
            </w:tcMar>
            <w:vAlign w:val="center"/>
          </w:tcPr>
          <w:p w14:paraId="41B36CB2" w14:textId="3D6F0B65" w:rsidR="002F1580" w:rsidRPr="00393D5E" w:rsidRDefault="002F1580" w:rsidP="00C37D39">
            <w:pPr>
              <w:spacing w:after="200" w:line="276" w:lineRule="auto"/>
              <w:rPr>
                <w:rFonts w:cstheme="minorHAnsi"/>
              </w:rPr>
            </w:pPr>
            <w:r w:rsidRPr="00393D5E">
              <w:rPr>
                <w:rFonts w:eastAsia="Calibri" w:cstheme="minorHAnsi"/>
                <w:color w:val="000000" w:themeColor="text1"/>
              </w:rPr>
              <w:t>Ministerstvo průmyslu a</w:t>
            </w:r>
            <w:r w:rsidR="0003053E">
              <w:rPr>
                <w:rFonts w:eastAsia="Calibri" w:cstheme="minorHAnsi"/>
                <w:color w:val="000000" w:themeColor="text1"/>
              </w:rPr>
              <w:t> </w:t>
            </w:r>
            <w:r w:rsidRPr="00393D5E">
              <w:rPr>
                <w:rFonts w:eastAsia="Calibri" w:cstheme="minorHAnsi"/>
                <w:color w:val="000000" w:themeColor="text1"/>
              </w:rPr>
              <w:t>obchodu/Ministerstvo životního prostředí</w:t>
            </w:r>
          </w:p>
        </w:tc>
      </w:tr>
      <w:tr w:rsidR="002F1580" w:rsidRPr="00393D5E" w14:paraId="69245B6B" w14:textId="77777777" w:rsidTr="00FA403F">
        <w:trPr>
          <w:trHeight w:val="165"/>
        </w:trPr>
        <w:tc>
          <w:tcPr>
            <w:tcW w:w="2213" w:type="dxa"/>
            <w:vMerge/>
            <w:vAlign w:val="center"/>
          </w:tcPr>
          <w:p w14:paraId="41878462" w14:textId="77777777" w:rsidR="002F1580" w:rsidRPr="00393D5E" w:rsidRDefault="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314AC839" w14:textId="388A1E34" w:rsidR="002F1580" w:rsidRPr="00393D5E" w:rsidRDefault="002F1580" w:rsidP="00C37D39">
            <w:pPr>
              <w:spacing w:after="200" w:line="276" w:lineRule="auto"/>
              <w:rPr>
                <w:rFonts w:cstheme="minorHAnsi"/>
              </w:rPr>
            </w:pPr>
            <w:r w:rsidRPr="00393D5E">
              <w:rPr>
                <w:rFonts w:eastAsia="Calibri" w:cstheme="minorHAnsi"/>
                <w:color w:val="000000" w:themeColor="text1"/>
              </w:rPr>
              <w:t>2.8 Revitalizace území se starou stavební zátěží</w:t>
            </w:r>
          </w:p>
        </w:tc>
        <w:tc>
          <w:tcPr>
            <w:tcW w:w="3683" w:type="dxa"/>
            <w:shd w:val="clear" w:color="auto" w:fill="FFFFFF" w:themeFill="background1"/>
            <w:tcMar>
              <w:top w:w="15" w:type="dxa"/>
              <w:left w:w="70" w:type="dxa"/>
              <w:bottom w:w="15" w:type="dxa"/>
              <w:right w:w="70" w:type="dxa"/>
            </w:tcMar>
            <w:vAlign w:val="center"/>
          </w:tcPr>
          <w:p w14:paraId="226BE246" w14:textId="08447F1B" w:rsidR="002F1580" w:rsidRPr="00393D5E" w:rsidRDefault="002F1580" w:rsidP="00C37D39">
            <w:pPr>
              <w:spacing w:after="200" w:line="276" w:lineRule="auto"/>
              <w:rPr>
                <w:rFonts w:cstheme="minorHAnsi"/>
              </w:rPr>
            </w:pPr>
            <w:r w:rsidRPr="00393D5E">
              <w:rPr>
                <w:rFonts w:eastAsia="Calibri" w:cstheme="minorHAnsi"/>
                <w:color w:val="000000" w:themeColor="text1"/>
              </w:rPr>
              <w:t>Ministerstvo pro místní rozvoj/Ministerstvo průmyslu a</w:t>
            </w:r>
            <w:r w:rsidR="0003053E">
              <w:rPr>
                <w:rFonts w:eastAsia="Calibri" w:cstheme="minorHAnsi"/>
                <w:color w:val="000000" w:themeColor="text1"/>
              </w:rPr>
              <w:t> </w:t>
            </w:r>
            <w:r w:rsidRPr="00393D5E">
              <w:rPr>
                <w:rFonts w:eastAsia="Calibri" w:cstheme="minorHAnsi"/>
                <w:color w:val="000000" w:themeColor="text1"/>
              </w:rPr>
              <w:t>obchodu</w:t>
            </w:r>
          </w:p>
        </w:tc>
      </w:tr>
      <w:tr w:rsidR="002F1580" w:rsidRPr="00393D5E" w14:paraId="7D2C0CAB" w14:textId="77777777" w:rsidTr="00FA403F">
        <w:trPr>
          <w:trHeight w:val="165"/>
        </w:trPr>
        <w:tc>
          <w:tcPr>
            <w:tcW w:w="2213" w:type="dxa"/>
            <w:vMerge/>
            <w:vAlign w:val="center"/>
          </w:tcPr>
          <w:p w14:paraId="7C06C33C" w14:textId="77777777" w:rsidR="002F1580" w:rsidRPr="00393D5E" w:rsidRDefault="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2528CC2E" w14:textId="400B99EC" w:rsidR="002F1580" w:rsidRPr="00393D5E" w:rsidRDefault="002F1580" w:rsidP="00C37D39">
            <w:pPr>
              <w:spacing w:after="200" w:line="276" w:lineRule="auto"/>
              <w:rPr>
                <w:rFonts w:cstheme="minorHAnsi"/>
              </w:rPr>
            </w:pPr>
            <w:r w:rsidRPr="00393D5E">
              <w:rPr>
                <w:rFonts w:eastAsia="Calibri" w:cstheme="minorHAnsi"/>
                <w:color w:val="000000" w:themeColor="text1"/>
              </w:rPr>
              <w:t>2.9 Podpora biodiverzity a</w:t>
            </w:r>
            <w:r w:rsidR="0003053E">
              <w:rPr>
                <w:rFonts w:eastAsia="Calibri" w:cstheme="minorHAnsi"/>
                <w:color w:val="000000" w:themeColor="text1"/>
              </w:rPr>
              <w:t> </w:t>
            </w:r>
            <w:r w:rsidRPr="00393D5E">
              <w:rPr>
                <w:rFonts w:eastAsia="Calibri" w:cstheme="minorHAnsi"/>
                <w:color w:val="000000" w:themeColor="text1"/>
              </w:rPr>
              <w:t>boj se suchem</w:t>
            </w:r>
          </w:p>
        </w:tc>
        <w:tc>
          <w:tcPr>
            <w:tcW w:w="3683" w:type="dxa"/>
            <w:shd w:val="clear" w:color="auto" w:fill="FFFFFF" w:themeFill="background1"/>
            <w:tcMar>
              <w:top w:w="15" w:type="dxa"/>
              <w:left w:w="70" w:type="dxa"/>
              <w:bottom w:w="15" w:type="dxa"/>
              <w:right w:w="70" w:type="dxa"/>
            </w:tcMar>
            <w:vAlign w:val="center"/>
          </w:tcPr>
          <w:p w14:paraId="32DC48DC" w14:textId="64AE9450" w:rsidR="002F1580" w:rsidRPr="00393D5E" w:rsidRDefault="002F1580" w:rsidP="00C37D39">
            <w:pPr>
              <w:spacing w:after="200" w:line="276" w:lineRule="auto"/>
              <w:rPr>
                <w:rFonts w:cstheme="minorHAnsi"/>
              </w:rPr>
            </w:pPr>
            <w:r w:rsidRPr="00393D5E">
              <w:rPr>
                <w:rFonts w:eastAsia="Calibri" w:cstheme="minorHAnsi"/>
                <w:color w:val="000000" w:themeColor="text1"/>
              </w:rPr>
              <w:t>Ministerstvo životního prostředí</w:t>
            </w:r>
          </w:p>
        </w:tc>
      </w:tr>
      <w:tr w:rsidR="002F1580" w:rsidRPr="00393D5E" w14:paraId="04433E4E" w14:textId="77777777" w:rsidTr="00FA403F">
        <w:trPr>
          <w:trHeight w:val="165"/>
        </w:trPr>
        <w:tc>
          <w:tcPr>
            <w:tcW w:w="2213" w:type="dxa"/>
            <w:vMerge/>
            <w:tcMar>
              <w:top w:w="15" w:type="dxa"/>
              <w:left w:w="70" w:type="dxa"/>
              <w:bottom w:w="15" w:type="dxa"/>
              <w:right w:w="70" w:type="dxa"/>
            </w:tcMar>
            <w:vAlign w:val="center"/>
          </w:tcPr>
          <w:p w14:paraId="536C24BC" w14:textId="77777777" w:rsidR="002F1580" w:rsidRPr="00393D5E" w:rsidRDefault="002F1580" w:rsidP="002F1580">
            <w:pPr>
              <w:spacing w:after="200" w:line="276" w:lineRule="auto"/>
              <w:rPr>
                <w:rFonts w:eastAsia="Calibri" w:cstheme="minorHAnsi"/>
                <w:color w:val="000000" w:themeColor="text1"/>
              </w:rPr>
            </w:pPr>
          </w:p>
        </w:tc>
        <w:tc>
          <w:tcPr>
            <w:tcW w:w="3600" w:type="dxa"/>
            <w:shd w:val="clear" w:color="auto" w:fill="FFFFFF" w:themeFill="background1"/>
            <w:tcMar>
              <w:top w:w="15" w:type="dxa"/>
              <w:left w:w="70" w:type="dxa"/>
              <w:bottom w:w="15" w:type="dxa"/>
              <w:right w:w="70" w:type="dxa"/>
            </w:tcMar>
            <w:vAlign w:val="center"/>
          </w:tcPr>
          <w:p w14:paraId="76CA30D6" w14:textId="79AE8801" w:rsidR="002F1580" w:rsidRPr="00393D5E" w:rsidRDefault="002F1580" w:rsidP="002F1580">
            <w:pPr>
              <w:spacing w:after="200" w:line="276" w:lineRule="auto"/>
              <w:rPr>
                <w:rFonts w:eastAsia="Calibri" w:cstheme="minorHAnsi"/>
                <w:color w:val="000000" w:themeColor="text1"/>
              </w:rPr>
            </w:pPr>
            <w:r>
              <w:rPr>
                <w:rFonts w:eastAsia="Calibri"/>
                <w:color w:val="212121"/>
              </w:rPr>
              <w:t xml:space="preserve">2.10 </w:t>
            </w:r>
            <w:r w:rsidR="00C16327">
              <w:rPr>
                <w:rFonts w:eastAsia="Calibri"/>
                <w:color w:val="212121"/>
              </w:rPr>
              <w:t>Dostupné</w:t>
            </w:r>
            <w:r>
              <w:rPr>
                <w:rFonts w:eastAsia="Calibri"/>
                <w:color w:val="212121"/>
              </w:rPr>
              <w:t xml:space="preserve"> bydlení</w:t>
            </w:r>
          </w:p>
        </w:tc>
        <w:tc>
          <w:tcPr>
            <w:tcW w:w="3683" w:type="dxa"/>
            <w:shd w:val="clear" w:color="auto" w:fill="FFFFFF" w:themeFill="background1"/>
            <w:tcMar>
              <w:top w:w="15" w:type="dxa"/>
              <w:left w:w="70" w:type="dxa"/>
              <w:bottom w:w="15" w:type="dxa"/>
              <w:right w:w="70" w:type="dxa"/>
            </w:tcMar>
            <w:vAlign w:val="center"/>
          </w:tcPr>
          <w:p w14:paraId="45C07B33" w14:textId="7A73AB2C" w:rsidR="002F1580" w:rsidRPr="00393D5E" w:rsidRDefault="002F1580" w:rsidP="002F1580">
            <w:pPr>
              <w:spacing w:after="200" w:line="276" w:lineRule="auto"/>
              <w:rPr>
                <w:rFonts w:eastAsia="Calibri" w:cstheme="minorHAnsi"/>
                <w:color w:val="000000" w:themeColor="text1"/>
              </w:rPr>
            </w:pPr>
            <w:r w:rsidRPr="00393D5E">
              <w:rPr>
                <w:rFonts w:eastAsia="Calibri" w:cstheme="minorHAnsi"/>
                <w:color w:val="000000" w:themeColor="text1"/>
              </w:rPr>
              <w:t>Ministerstvo pro místní rozvoj</w:t>
            </w:r>
          </w:p>
        </w:tc>
      </w:tr>
      <w:tr w:rsidR="002F1580" w:rsidRPr="00393D5E" w14:paraId="41672CAB" w14:textId="77777777" w:rsidTr="00FA403F">
        <w:trPr>
          <w:trHeight w:val="165"/>
        </w:trPr>
        <w:tc>
          <w:tcPr>
            <w:tcW w:w="2213" w:type="dxa"/>
            <w:vMerge w:val="restart"/>
            <w:shd w:val="clear" w:color="auto" w:fill="FFFFFF" w:themeFill="background1"/>
            <w:tcMar>
              <w:top w:w="15" w:type="dxa"/>
              <w:left w:w="70" w:type="dxa"/>
              <w:bottom w:w="15" w:type="dxa"/>
              <w:right w:w="70" w:type="dxa"/>
            </w:tcMar>
            <w:vAlign w:val="center"/>
          </w:tcPr>
          <w:p w14:paraId="4A6CA62C" w14:textId="2120B4C3" w:rsidR="002F1580" w:rsidRPr="00393D5E" w:rsidRDefault="002F1580" w:rsidP="002F1580">
            <w:pPr>
              <w:spacing w:after="200" w:line="276" w:lineRule="auto"/>
              <w:rPr>
                <w:rFonts w:cstheme="minorHAnsi"/>
              </w:rPr>
            </w:pPr>
            <w:r w:rsidRPr="00393D5E">
              <w:rPr>
                <w:rFonts w:eastAsia="Calibri" w:cstheme="minorHAnsi"/>
                <w:color w:val="000000" w:themeColor="text1"/>
              </w:rPr>
              <w:t>3. Vzdělávání a</w:t>
            </w:r>
            <w:r w:rsidR="0003053E">
              <w:rPr>
                <w:rFonts w:eastAsia="Calibri" w:cstheme="minorHAnsi"/>
                <w:color w:val="000000" w:themeColor="text1"/>
              </w:rPr>
              <w:t> </w:t>
            </w:r>
            <w:r w:rsidRPr="00393D5E">
              <w:rPr>
                <w:rFonts w:eastAsia="Calibri" w:cstheme="minorHAnsi"/>
                <w:color w:val="000000" w:themeColor="text1"/>
              </w:rPr>
              <w:t>trh práce</w:t>
            </w:r>
          </w:p>
        </w:tc>
        <w:tc>
          <w:tcPr>
            <w:tcW w:w="3600" w:type="dxa"/>
            <w:shd w:val="clear" w:color="auto" w:fill="FFFFFF" w:themeFill="background1"/>
            <w:tcMar>
              <w:top w:w="15" w:type="dxa"/>
              <w:left w:w="70" w:type="dxa"/>
              <w:bottom w:w="15" w:type="dxa"/>
              <w:right w:w="70" w:type="dxa"/>
            </w:tcMar>
            <w:vAlign w:val="center"/>
          </w:tcPr>
          <w:p w14:paraId="56274D6F" w14:textId="27B050CC" w:rsidR="002F1580" w:rsidRPr="00393D5E" w:rsidRDefault="002F1580" w:rsidP="002F1580">
            <w:pPr>
              <w:spacing w:after="200" w:line="276" w:lineRule="auto"/>
              <w:rPr>
                <w:rFonts w:cstheme="minorHAnsi"/>
              </w:rPr>
            </w:pPr>
            <w:r w:rsidRPr="00393D5E">
              <w:rPr>
                <w:rFonts w:eastAsia="Calibri" w:cstheme="minorHAnsi"/>
                <w:color w:val="000000" w:themeColor="text1"/>
              </w:rPr>
              <w:t>3.1 Inovace ve vzdělávání v</w:t>
            </w:r>
            <w:r w:rsidR="0003053E">
              <w:rPr>
                <w:rFonts w:eastAsia="Calibri" w:cstheme="minorHAnsi"/>
                <w:color w:val="000000" w:themeColor="text1"/>
              </w:rPr>
              <w:t> </w:t>
            </w:r>
            <w:r w:rsidRPr="00393D5E">
              <w:rPr>
                <w:rFonts w:eastAsia="Calibri" w:cstheme="minorHAnsi"/>
                <w:color w:val="000000" w:themeColor="text1"/>
              </w:rPr>
              <w:t>kontextu digitalizace</w:t>
            </w:r>
          </w:p>
        </w:tc>
        <w:tc>
          <w:tcPr>
            <w:tcW w:w="3683" w:type="dxa"/>
            <w:shd w:val="clear" w:color="auto" w:fill="FFFFFF" w:themeFill="background1"/>
            <w:tcMar>
              <w:top w:w="15" w:type="dxa"/>
              <w:left w:w="70" w:type="dxa"/>
              <w:bottom w:w="15" w:type="dxa"/>
              <w:right w:w="70" w:type="dxa"/>
            </w:tcMar>
            <w:vAlign w:val="center"/>
          </w:tcPr>
          <w:p w14:paraId="5763F8DD" w14:textId="6B5024E3" w:rsidR="002F1580" w:rsidRPr="00393D5E" w:rsidRDefault="002F1580" w:rsidP="002F1580">
            <w:pPr>
              <w:spacing w:after="200" w:line="276" w:lineRule="auto"/>
              <w:rPr>
                <w:rFonts w:cstheme="minorHAnsi"/>
              </w:rPr>
            </w:pPr>
            <w:r w:rsidRPr="00393D5E">
              <w:rPr>
                <w:rFonts w:eastAsia="Calibri" w:cstheme="minorHAnsi"/>
                <w:color w:val="000000" w:themeColor="text1"/>
              </w:rPr>
              <w:t>Ministerstvo školství, mládeže a</w:t>
            </w:r>
            <w:r w:rsidR="0003053E">
              <w:rPr>
                <w:rFonts w:eastAsia="Calibri" w:cstheme="minorHAnsi"/>
                <w:color w:val="000000" w:themeColor="text1"/>
              </w:rPr>
              <w:t> </w:t>
            </w:r>
            <w:r w:rsidRPr="00393D5E">
              <w:rPr>
                <w:rFonts w:eastAsia="Calibri" w:cstheme="minorHAnsi"/>
                <w:color w:val="000000" w:themeColor="text1"/>
              </w:rPr>
              <w:t>tělovýchovy</w:t>
            </w:r>
          </w:p>
        </w:tc>
      </w:tr>
      <w:tr w:rsidR="002F1580" w:rsidRPr="00393D5E" w14:paraId="252A2D33" w14:textId="77777777" w:rsidTr="00FA403F">
        <w:trPr>
          <w:trHeight w:val="165"/>
        </w:trPr>
        <w:tc>
          <w:tcPr>
            <w:tcW w:w="2213" w:type="dxa"/>
            <w:vMerge/>
            <w:vAlign w:val="center"/>
          </w:tcPr>
          <w:p w14:paraId="4A4D55FF" w14:textId="77777777" w:rsidR="002F1580" w:rsidRPr="00393D5E" w:rsidRDefault="002F1580" w:rsidP="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2273D557" w14:textId="393A2495" w:rsidR="002F1580" w:rsidRPr="00393D5E" w:rsidRDefault="002F1580" w:rsidP="002F1580">
            <w:pPr>
              <w:spacing w:after="200" w:line="276" w:lineRule="auto"/>
              <w:rPr>
                <w:rFonts w:cstheme="minorHAnsi"/>
              </w:rPr>
            </w:pPr>
            <w:r w:rsidRPr="00393D5E">
              <w:rPr>
                <w:rFonts w:eastAsia="Calibri" w:cstheme="minorHAnsi"/>
                <w:color w:val="000000" w:themeColor="text1"/>
              </w:rPr>
              <w:t>3.2 Adaptace kapacity a</w:t>
            </w:r>
            <w:r w:rsidR="0003053E">
              <w:rPr>
                <w:rFonts w:eastAsia="Calibri" w:cstheme="minorHAnsi"/>
                <w:color w:val="000000" w:themeColor="text1"/>
              </w:rPr>
              <w:t> </w:t>
            </w:r>
            <w:r w:rsidRPr="00393D5E">
              <w:rPr>
                <w:rFonts w:eastAsia="Calibri" w:cstheme="minorHAnsi"/>
                <w:color w:val="000000" w:themeColor="text1"/>
              </w:rPr>
              <w:t>zaměření školních programů</w:t>
            </w:r>
          </w:p>
        </w:tc>
        <w:tc>
          <w:tcPr>
            <w:tcW w:w="3683" w:type="dxa"/>
            <w:shd w:val="clear" w:color="auto" w:fill="FFFFFF" w:themeFill="background1"/>
            <w:tcMar>
              <w:top w:w="15" w:type="dxa"/>
              <w:left w:w="70" w:type="dxa"/>
              <w:bottom w:w="15" w:type="dxa"/>
              <w:right w:w="70" w:type="dxa"/>
            </w:tcMar>
            <w:vAlign w:val="center"/>
          </w:tcPr>
          <w:p w14:paraId="0F02BCD7" w14:textId="668B5CA5" w:rsidR="002F1580" w:rsidRPr="00393D5E" w:rsidRDefault="002F1580" w:rsidP="002F1580">
            <w:pPr>
              <w:spacing w:after="200" w:line="276" w:lineRule="auto"/>
              <w:rPr>
                <w:rFonts w:cstheme="minorHAnsi"/>
              </w:rPr>
            </w:pPr>
            <w:r w:rsidRPr="00393D5E">
              <w:rPr>
                <w:rFonts w:eastAsia="Calibri" w:cstheme="minorHAnsi"/>
                <w:color w:val="000000" w:themeColor="text1"/>
              </w:rPr>
              <w:t>Ministerstvo školství, mládeže a</w:t>
            </w:r>
            <w:r w:rsidR="0003053E">
              <w:rPr>
                <w:rFonts w:eastAsia="Calibri" w:cstheme="minorHAnsi"/>
                <w:color w:val="000000" w:themeColor="text1"/>
              </w:rPr>
              <w:t> </w:t>
            </w:r>
            <w:r w:rsidRPr="00393D5E">
              <w:rPr>
                <w:rFonts w:eastAsia="Calibri" w:cstheme="minorHAnsi"/>
                <w:color w:val="000000" w:themeColor="text1"/>
              </w:rPr>
              <w:t>tělovýchovy</w:t>
            </w:r>
          </w:p>
        </w:tc>
      </w:tr>
      <w:tr w:rsidR="002F1580" w:rsidRPr="00393D5E" w14:paraId="2E97B996" w14:textId="77777777" w:rsidTr="00FA403F">
        <w:trPr>
          <w:trHeight w:val="165"/>
        </w:trPr>
        <w:tc>
          <w:tcPr>
            <w:tcW w:w="2213" w:type="dxa"/>
            <w:vMerge/>
            <w:vAlign w:val="center"/>
          </w:tcPr>
          <w:p w14:paraId="3ECAFAB6" w14:textId="77777777" w:rsidR="002F1580" w:rsidRPr="00393D5E" w:rsidRDefault="002F1580" w:rsidP="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29A13193" w14:textId="1730DF5D" w:rsidR="002F1580" w:rsidRPr="00393D5E" w:rsidRDefault="002F1580" w:rsidP="002F1580">
            <w:pPr>
              <w:spacing w:after="200" w:line="276" w:lineRule="auto"/>
              <w:rPr>
                <w:rFonts w:cstheme="minorHAnsi"/>
              </w:rPr>
            </w:pPr>
            <w:r w:rsidRPr="00393D5E">
              <w:rPr>
                <w:rFonts w:eastAsia="Calibri" w:cstheme="minorHAnsi"/>
                <w:color w:val="000000" w:themeColor="text1"/>
              </w:rPr>
              <w:t>3.3 Modernizace služeb zaměstnanosti a</w:t>
            </w:r>
            <w:r w:rsidR="0003053E">
              <w:rPr>
                <w:rFonts w:eastAsia="Calibri" w:cstheme="minorHAnsi"/>
                <w:color w:val="000000" w:themeColor="text1"/>
              </w:rPr>
              <w:t> </w:t>
            </w:r>
            <w:r w:rsidRPr="00393D5E">
              <w:rPr>
                <w:rFonts w:eastAsia="Calibri" w:cstheme="minorHAnsi"/>
                <w:color w:val="000000" w:themeColor="text1"/>
              </w:rPr>
              <w:t>rozvoj trhu práce</w:t>
            </w:r>
          </w:p>
        </w:tc>
        <w:tc>
          <w:tcPr>
            <w:tcW w:w="3683" w:type="dxa"/>
            <w:shd w:val="clear" w:color="auto" w:fill="FFFFFF" w:themeFill="background1"/>
            <w:tcMar>
              <w:top w:w="15" w:type="dxa"/>
              <w:left w:w="70" w:type="dxa"/>
              <w:bottom w:w="15" w:type="dxa"/>
              <w:right w:w="70" w:type="dxa"/>
            </w:tcMar>
            <w:vAlign w:val="center"/>
          </w:tcPr>
          <w:p w14:paraId="29B80066" w14:textId="15315068" w:rsidR="002F1580" w:rsidRPr="00393D5E" w:rsidRDefault="002F1580" w:rsidP="002F1580">
            <w:pPr>
              <w:spacing w:after="200" w:line="276" w:lineRule="auto"/>
              <w:rPr>
                <w:rFonts w:cstheme="minorHAnsi"/>
              </w:rPr>
            </w:pPr>
            <w:r w:rsidRPr="00393D5E">
              <w:rPr>
                <w:rFonts w:eastAsia="Calibri" w:cstheme="minorHAnsi"/>
                <w:color w:val="000000" w:themeColor="text1"/>
              </w:rPr>
              <w:t>Ministerstvo práce a</w:t>
            </w:r>
            <w:r w:rsidR="0003053E">
              <w:rPr>
                <w:rFonts w:eastAsia="Calibri" w:cstheme="minorHAnsi"/>
                <w:color w:val="000000" w:themeColor="text1"/>
              </w:rPr>
              <w:t> </w:t>
            </w:r>
            <w:r w:rsidRPr="00393D5E">
              <w:rPr>
                <w:rFonts w:eastAsia="Calibri" w:cstheme="minorHAnsi"/>
                <w:color w:val="000000" w:themeColor="text1"/>
              </w:rPr>
              <w:t>sociálních věcí</w:t>
            </w:r>
          </w:p>
        </w:tc>
      </w:tr>
      <w:tr w:rsidR="002F1580" w:rsidRPr="00393D5E" w14:paraId="50CE7CB8" w14:textId="77777777" w:rsidTr="00FA403F">
        <w:trPr>
          <w:trHeight w:val="165"/>
        </w:trPr>
        <w:tc>
          <w:tcPr>
            <w:tcW w:w="2213" w:type="dxa"/>
            <w:vMerge w:val="restart"/>
            <w:shd w:val="clear" w:color="auto" w:fill="FFFFFF" w:themeFill="background1"/>
            <w:tcMar>
              <w:top w:w="15" w:type="dxa"/>
              <w:left w:w="70" w:type="dxa"/>
              <w:bottom w:w="15" w:type="dxa"/>
              <w:right w:w="70" w:type="dxa"/>
            </w:tcMar>
            <w:vAlign w:val="center"/>
          </w:tcPr>
          <w:p w14:paraId="3F7F00C0" w14:textId="0F053CAE" w:rsidR="002F1580" w:rsidRPr="00086203" w:rsidRDefault="002F1580" w:rsidP="002F1580">
            <w:pPr>
              <w:spacing w:after="200" w:line="276" w:lineRule="auto"/>
              <w:jc w:val="both"/>
              <w:rPr>
                <w:rFonts w:cstheme="minorHAnsi"/>
              </w:rPr>
            </w:pPr>
            <w:r w:rsidRPr="00086203">
              <w:rPr>
                <w:rFonts w:eastAsia="Calibri" w:cstheme="minorHAnsi"/>
                <w:color w:val="000000" w:themeColor="text1"/>
              </w:rPr>
              <w:t>4. Instituce a</w:t>
            </w:r>
            <w:r w:rsidR="0003053E">
              <w:rPr>
                <w:rFonts w:eastAsia="Calibri" w:cstheme="minorHAnsi"/>
                <w:color w:val="000000" w:themeColor="text1"/>
              </w:rPr>
              <w:t> </w:t>
            </w:r>
            <w:r w:rsidRPr="00086203">
              <w:rPr>
                <w:rFonts w:eastAsia="Calibri" w:cstheme="minorHAnsi"/>
                <w:color w:val="000000" w:themeColor="text1"/>
              </w:rPr>
              <w:t>regulace a</w:t>
            </w:r>
            <w:r w:rsidR="0003053E">
              <w:rPr>
                <w:rFonts w:eastAsia="Calibri" w:cstheme="minorHAnsi"/>
                <w:color w:val="000000" w:themeColor="text1"/>
              </w:rPr>
              <w:t> </w:t>
            </w:r>
            <w:r w:rsidRPr="00086203">
              <w:rPr>
                <w:rFonts w:eastAsia="Calibri" w:cstheme="minorHAnsi"/>
                <w:color w:val="000000" w:themeColor="text1"/>
              </w:rPr>
              <w:t>podpora podnikání v</w:t>
            </w:r>
            <w:r w:rsidR="0003053E">
              <w:rPr>
                <w:rFonts w:eastAsia="Calibri" w:cstheme="minorHAnsi"/>
                <w:color w:val="000000" w:themeColor="text1"/>
              </w:rPr>
              <w:t> </w:t>
            </w:r>
            <w:r w:rsidRPr="00086203">
              <w:rPr>
                <w:rFonts w:eastAsia="Calibri" w:cstheme="minorHAnsi"/>
                <w:color w:val="000000" w:themeColor="text1"/>
              </w:rPr>
              <w:t>reakci na COVID-19</w:t>
            </w:r>
          </w:p>
        </w:tc>
        <w:tc>
          <w:tcPr>
            <w:tcW w:w="3600" w:type="dxa"/>
            <w:shd w:val="clear" w:color="auto" w:fill="FFFFFF" w:themeFill="background1"/>
            <w:tcMar>
              <w:top w:w="15" w:type="dxa"/>
              <w:left w:w="70" w:type="dxa"/>
              <w:bottom w:w="15" w:type="dxa"/>
              <w:right w:w="70" w:type="dxa"/>
            </w:tcMar>
            <w:vAlign w:val="center"/>
          </w:tcPr>
          <w:p w14:paraId="1F8B44E8" w14:textId="09724ED4" w:rsidR="002F1580" w:rsidRPr="00086203" w:rsidRDefault="002F1580" w:rsidP="002F1580">
            <w:pPr>
              <w:spacing w:after="200" w:line="276" w:lineRule="auto"/>
              <w:rPr>
                <w:rFonts w:cstheme="minorHAnsi"/>
              </w:rPr>
            </w:pPr>
            <w:r w:rsidRPr="00086203">
              <w:rPr>
                <w:rFonts w:eastAsia="Calibri" w:cstheme="minorHAnsi"/>
                <w:color w:val="000000" w:themeColor="text1"/>
              </w:rPr>
              <w:t>4.1 Systémová podpora veřejných investic</w:t>
            </w:r>
          </w:p>
        </w:tc>
        <w:tc>
          <w:tcPr>
            <w:tcW w:w="3683" w:type="dxa"/>
            <w:shd w:val="clear" w:color="auto" w:fill="FFFFFF" w:themeFill="background1"/>
            <w:tcMar>
              <w:top w:w="15" w:type="dxa"/>
              <w:left w:w="70" w:type="dxa"/>
              <w:bottom w:w="15" w:type="dxa"/>
              <w:right w:w="70" w:type="dxa"/>
            </w:tcMar>
            <w:vAlign w:val="center"/>
          </w:tcPr>
          <w:p w14:paraId="3E15FBB9" w14:textId="2241AECE" w:rsidR="002F1580" w:rsidRPr="00393D5E" w:rsidRDefault="002F1580" w:rsidP="002F1580">
            <w:pPr>
              <w:spacing w:after="200" w:line="276" w:lineRule="auto"/>
              <w:rPr>
                <w:rFonts w:cstheme="minorHAnsi"/>
              </w:rPr>
            </w:pPr>
            <w:r w:rsidRPr="00393D5E">
              <w:rPr>
                <w:rFonts w:eastAsia="Calibri" w:cstheme="minorHAnsi"/>
                <w:color w:val="000000" w:themeColor="text1"/>
              </w:rPr>
              <w:t>Ministerstvo pro místní rozvoj</w:t>
            </w:r>
          </w:p>
        </w:tc>
      </w:tr>
      <w:tr w:rsidR="002F1580" w:rsidRPr="00393D5E" w14:paraId="0494F0B1" w14:textId="77777777" w:rsidTr="00FA403F">
        <w:trPr>
          <w:trHeight w:val="165"/>
        </w:trPr>
        <w:tc>
          <w:tcPr>
            <w:tcW w:w="2213" w:type="dxa"/>
            <w:vMerge/>
            <w:vAlign w:val="center"/>
          </w:tcPr>
          <w:p w14:paraId="679561EE" w14:textId="77777777" w:rsidR="002F1580" w:rsidRPr="00086203" w:rsidRDefault="002F1580" w:rsidP="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6CC7CA29" w14:textId="2B2035D9" w:rsidR="002F1580" w:rsidRPr="00086203" w:rsidRDefault="002F1580" w:rsidP="35187188">
            <w:pPr>
              <w:spacing w:line="276" w:lineRule="auto"/>
            </w:pPr>
            <w:r>
              <w:rPr>
                <w:rStyle w:val="normaltextrun"/>
                <w:rFonts w:ascii="Calibri" w:hAnsi="Calibri" w:cs="Calibri"/>
                <w:color w:val="000000"/>
                <w:shd w:val="clear" w:color="auto" w:fill="FFFFFF"/>
              </w:rPr>
              <w:t>4.2 Nové kvazikapitálové a</w:t>
            </w:r>
            <w:r w:rsidR="0003053E">
              <w:rPr>
                <w:rStyle w:val="normaltextrun"/>
                <w:rFonts w:ascii="Calibri" w:hAnsi="Calibri" w:cs="Calibri"/>
                <w:color w:val="000000"/>
                <w:shd w:val="clear" w:color="auto" w:fill="FFFFFF"/>
              </w:rPr>
              <w:t> </w:t>
            </w:r>
            <w:r>
              <w:rPr>
                <w:rStyle w:val="normaltextrun"/>
                <w:rFonts w:ascii="Calibri" w:hAnsi="Calibri" w:cs="Calibri"/>
                <w:color w:val="000000"/>
                <w:shd w:val="clear" w:color="auto" w:fill="FFFFFF"/>
              </w:rPr>
              <w:t>záruční nástroje na podporu podnikání a</w:t>
            </w:r>
            <w:r w:rsidR="0003053E">
              <w:rPr>
                <w:rStyle w:val="normaltextrun"/>
                <w:rFonts w:ascii="Calibri" w:hAnsi="Calibri" w:cs="Calibri"/>
                <w:color w:val="000000"/>
                <w:shd w:val="clear" w:color="auto" w:fill="FFFFFF"/>
              </w:rPr>
              <w:t> </w:t>
            </w:r>
            <w:r>
              <w:rPr>
                <w:rStyle w:val="normaltextrun"/>
                <w:rFonts w:ascii="Calibri" w:hAnsi="Calibri" w:cs="Calibri"/>
                <w:color w:val="000000"/>
                <w:shd w:val="clear" w:color="auto" w:fill="FFFFFF"/>
              </w:rPr>
              <w:t xml:space="preserve">rozvoj </w:t>
            </w:r>
            <w:r w:rsidR="528B4DEC">
              <w:rPr>
                <w:rStyle w:val="normaltextrun"/>
                <w:rFonts w:ascii="Calibri" w:hAnsi="Calibri" w:cs="Calibri"/>
                <w:color w:val="000000"/>
                <w:shd w:val="clear" w:color="auto" w:fill="FFFFFF"/>
              </w:rPr>
              <w:t>Českomoravské záruční a</w:t>
            </w:r>
            <w:r w:rsidR="0003053E">
              <w:rPr>
                <w:rStyle w:val="normaltextrun"/>
                <w:rFonts w:ascii="Calibri" w:hAnsi="Calibri" w:cs="Calibri"/>
                <w:color w:val="000000"/>
                <w:shd w:val="clear" w:color="auto" w:fill="FFFFFF"/>
              </w:rPr>
              <w:t> </w:t>
            </w:r>
            <w:r w:rsidR="528B4DEC">
              <w:rPr>
                <w:rStyle w:val="normaltextrun"/>
                <w:rFonts w:ascii="Calibri" w:hAnsi="Calibri" w:cs="Calibri"/>
                <w:color w:val="000000"/>
                <w:shd w:val="clear" w:color="auto" w:fill="FFFFFF"/>
              </w:rPr>
              <w:t>rozvojové banky (ČMZRB)</w:t>
            </w:r>
            <w:r>
              <w:rPr>
                <w:rStyle w:val="normaltextrun"/>
                <w:rFonts w:ascii="Calibri" w:hAnsi="Calibri" w:cs="Calibri"/>
                <w:color w:val="000000"/>
                <w:shd w:val="clear" w:color="auto" w:fill="FFFFFF"/>
              </w:rPr>
              <w:t xml:space="preserve"> v</w:t>
            </w:r>
            <w:r w:rsidR="0003053E">
              <w:rPr>
                <w:rStyle w:val="normaltextrun"/>
                <w:rFonts w:ascii="Calibri" w:hAnsi="Calibri" w:cs="Calibri"/>
                <w:color w:val="000000"/>
                <w:shd w:val="clear" w:color="auto" w:fill="FFFFFF"/>
              </w:rPr>
              <w:t> </w:t>
            </w:r>
            <w:r>
              <w:rPr>
                <w:rStyle w:val="normaltextrun"/>
                <w:rFonts w:ascii="Calibri" w:hAnsi="Calibri" w:cs="Calibri"/>
                <w:color w:val="000000"/>
                <w:shd w:val="clear" w:color="auto" w:fill="FFFFFF"/>
              </w:rPr>
              <w:t>roli národní rozvojové banky</w:t>
            </w:r>
          </w:p>
        </w:tc>
        <w:tc>
          <w:tcPr>
            <w:tcW w:w="3683" w:type="dxa"/>
            <w:shd w:val="clear" w:color="auto" w:fill="FFFFFF" w:themeFill="background1"/>
            <w:tcMar>
              <w:top w:w="15" w:type="dxa"/>
              <w:left w:w="70" w:type="dxa"/>
              <w:bottom w:w="15" w:type="dxa"/>
              <w:right w:w="70" w:type="dxa"/>
            </w:tcMar>
            <w:vAlign w:val="center"/>
          </w:tcPr>
          <w:p w14:paraId="42658AC8" w14:textId="61A7C1B2" w:rsidR="002F1580" w:rsidRPr="00393D5E" w:rsidRDefault="002F1580" w:rsidP="002F1580">
            <w:pPr>
              <w:spacing w:after="200" w:line="276" w:lineRule="auto"/>
              <w:rPr>
                <w:rFonts w:cstheme="minorHAnsi"/>
              </w:rPr>
            </w:pPr>
            <w:r w:rsidRPr="00393D5E">
              <w:rPr>
                <w:rFonts w:eastAsia="Calibri" w:cstheme="minorHAnsi"/>
                <w:color w:val="000000" w:themeColor="text1"/>
              </w:rPr>
              <w:t>Ministerstvo průmyslu a</w:t>
            </w:r>
            <w:r w:rsidR="0003053E">
              <w:rPr>
                <w:rFonts w:eastAsia="Calibri" w:cstheme="minorHAnsi"/>
                <w:color w:val="000000" w:themeColor="text1"/>
              </w:rPr>
              <w:t> </w:t>
            </w:r>
            <w:r w:rsidRPr="00393D5E">
              <w:rPr>
                <w:rFonts w:eastAsia="Calibri" w:cstheme="minorHAnsi"/>
                <w:color w:val="000000" w:themeColor="text1"/>
              </w:rPr>
              <w:t>obchodu</w:t>
            </w:r>
          </w:p>
        </w:tc>
      </w:tr>
      <w:tr w:rsidR="002F1580" w:rsidRPr="00393D5E" w14:paraId="2906D7AE" w14:textId="77777777" w:rsidTr="00FA403F">
        <w:trPr>
          <w:trHeight w:val="165"/>
        </w:trPr>
        <w:tc>
          <w:tcPr>
            <w:tcW w:w="2213" w:type="dxa"/>
            <w:vMerge/>
            <w:vAlign w:val="center"/>
          </w:tcPr>
          <w:p w14:paraId="4D8D4F89" w14:textId="77777777" w:rsidR="002F1580" w:rsidRPr="00393D5E" w:rsidRDefault="002F1580" w:rsidP="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62926CCD" w14:textId="6FFDDFD1" w:rsidR="002F1580" w:rsidRPr="00393D5E" w:rsidRDefault="002F1580" w:rsidP="002F1580">
            <w:pPr>
              <w:spacing w:after="200" w:line="276" w:lineRule="auto"/>
              <w:rPr>
                <w:rFonts w:cstheme="minorHAnsi"/>
              </w:rPr>
            </w:pPr>
            <w:r w:rsidRPr="00393D5E">
              <w:rPr>
                <w:rFonts w:eastAsia="Calibri" w:cstheme="minorHAnsi"/>
                <w:color w:val="000000" w:themeColor="text1"/>
              </w:rPr>
              <w:t>4.3 Protikorupční reformy</w:t>
            </w:r>
          </w:p>
        </w:tc>
        <w:tc>
          <w:tcPr>
            <w:tcW w:w="3683" w:type="dxa"/>
            <w:shd w:val="clear" w:color="auto" w:fill="FFFFFF" w:themeFill="background1"/>
            <w:tcMar>
              <w:top w:w="15" w:type="dxa"/>
              <w:left w:w="70" w:type="dxa"/>
              <w:bottom w:w="15" w:type="dxa"/>
              <w:right w:w="70" w:type="dxa"/>
            </w:tcMar>
            <w:vAlign w:val="center"/>
          </w:tcPr>
          <w:p w14:paraId="06AC67E5" w14:textId="2FD09A14" w:rsidR="002F1580" w:rsidRPr="00393D5E" w:rsidRDefault="002F1580" w:rsidP="002F1580">
            <w:pPr>
              <w:spacing w:after="200" w:line="276" w:lineRule="auto"/>
              <w:rPr>
                <w:rFonts w:cstheme="minorHAnsi"/>
              </w:rPr>
            </w:pPr>
            <w:r w:rsidRPr="00393D5E">
              <w:rPr>
                <w:rFonts w:eastAsia="Calibri" w:cstheme="minorHAnsi"/>
                <w:color w:val="000000" w:themeColor="text1"/>
              </w:rPr>
              <w:t>Ministerstvo spravedlnosti</w:t>
            </w:r>
          </w:p>
        </w:tc>
      </w:tr>
      <w:tr w:rsidR="002F1580" w:rsidRPr="00393D5E" w14:paraId="3745D036" w14:textId="77777777" w:rsidTr="00FA403F">
        <w:trPr>
          <w:trHeight w:val="165"/>
        </w:trPr>
        <w:tc>
          <w:tcPr>
            <w:tcW w:w="2213" w:type="dxa"/>
            <w:vMerge/>
            <w:vAlign w:val="center"/>
          </w:tcPr>
          <w:p w14:paraId="03F7F28F" w14:textId="77777777" w:rsidR="002F1580" w:rsidRPr="00393D5E" w:rsidRDefault="002F1580" w:rsidP="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04D0B763" w14:textId="341A66EF" w:rsidR="002F1580" w:rsidRPr="00393D5E" w:rsidRDefault="002F1580" w:rsidP="002F1580">
            <w:pPr>
              <w:spacing w:after="200" w:line="276" w:lineRule="auto"/>
              <w:rPr>
                <w:rFonts w:cstheme="minorHAnsi"/>
              </w:rPr>
            </w:pPr>
            <w:r w:rsidRPr="00393D5E">
              <w:rPr>
                <w:rFonts w:eastAsia="Calibri" w:cstheme="minorHAnsi"/>
                <w:color w:val="000000" w:themeColor="text1"/>
              </w:rPr>
              <w:t>4.4 Zvýšení efektivity výkonu veřejné správy</w:t>
            </w:r>
          </w:p>
        </w:tc>
        <w:tc>
          <w:tcPr>
            <w:tcW w:w="3683" w:type="dxa"/>
            <w:shd w:val="clear" w:color="auto" w:fill="FFFFFF" w:themeFill="background1"/>
            <w:tcMar>
              <w:top w:w="15" w:type="dxa"/>
              <w:left w:w="70" w:type="dxa"/>
              <w:bottom w:w="15" w:type="dxa"/>
              <w:right w:w="70" w:type="dxa"/>
            </w:tcMar>
            <w:vAlign w:val="center"/>
          </w:tcPr>
          <w:p w14:paraId="7241204E" w14:textId="2D218B2A" w:rsidR="002F1580" w:rsidRPr="00393D5E" w:rsidRDefault="002F1580" w:rsidP="002F1580">
            <w:pPr>
              <w:spacing w:after="200" w:line="276" w:lineRule="auto"/>
              <w:rPr>
                <w:rFonts w:cstheme="minorHAnsi"/>
              </w:rPr>
            </w:pPr>
            <w:r w:rsidRPr="00393D5E">
              <w:rPr>
                <w:rFonts w:eastAsia="Calibri" w:cstheme="minorHAnsi"/>
                <w:color w:val="000000" w:themeColor="text1"/>
              </w:rPr>
              <w:t>Ministerstvo vnitra</w:t>
            </w:r>
          </w:p>
        </w:tc>
      </w:tr>
      <w:tr w:rsidR="002F1580" w:rsidRPr="00393D5E" w14:paraId="41F789BF" w14:textId="77777777" w:rsidTr="00FA403F">
        <w:trPr>
          <w:trHeight w:val="165"/>
        </w:trPr>
        <w:tc>
          <w:tcPr>
            <w:tcW w:w="2213" w:type="dxa"/>
            <w:vMerge/>
            <w:vAlign w:val="center"/>
          </w:tcPr>
          <w:p w14:paraId="786F9149" w14:textId="77777777" w:rsidR="002F1580" w:rsidRPr="00393D5E" w:rsidRDefault="002F1580" w:rsidP="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19D16623" w14:textId="5B935D89" w:rsidR="002F1580" w:rsidRPr="00393D5E" w:rsidRDefault="002F1580" w:rsidP="002F1580">
            <w:pPr>
              <w:spacing w:after="200" w:line="276" w:lineRule="auto"/>
              <w:rPr>
                <w:rFonts w:cstheme="minorHAnsi"/>
              </w:rPr>
            </w:pPr>
            <w:r w:rsidRPr="00393D5E">
              <w:rPr>
                <w:rFonts w:eastAsia="Calibri" w:cstheme="minorHAnsi"/>
                <w:color w:val="000000" w:themeColor="text1"/>
              </w:rPr>
              <w:t>4.5 Rozvoj kulturního a</w:t>
            </w:r>
            <w:r w:rsidR="0003053E">
              <w:rPr>
                <w:rFonts w:eastAsia="Calibri" w:cstheme="minorHAnsi"/>
                <w:color w:val="000000" w:themeColor="text1"/>
              </w:rPr>
              <w:t> </w:t>
            </w:r>
            <w:r w:rsidRPr="00393D5E">
              <w:rPr>
                <w:rFonts w:eastAsia="Calibri" w:cstheme="minorHAnsi"/>
                <w:color w:val="000000" w:themeColor="text1"/>
              </w:rPr>
              <w:t xml:space="preserve">kreativního sektoru </w:t>
            </w:r>
          </w:p>
        </w:tc>
        <w:tc>
          <w:tcPr>
            <w:tcW w:w="3683" w:type="dxa"/>
            <w:shd w:val="clear" w:color="auto" w:fill="FFFFFF" w:themeFill="background1"/>
            <w:tcMar>
              <w:top w:w="15" w:type="dxa"/>
              <w:left w:w="70" w:type="dxa"/>
              <w:bottom w:w="15" w:type="dxa"/>
              <w:right w:w="70" w:type="dxa"/>
            </w:tcMar>
            <w:vAlign w:val="center"/>
          </w:tcPr>
          <w:p w14:paraId="091CECD1" w14:textId="39B25914" w:rsidR="002F1580" w:rsidRPr="00393D5E" w:rsidRDefault="002F1580" w:rsidP="002F1580">
            <w:pPr>
              <w:spacing w:after="200" w:line="276" w:lineRule="auto"/>
              <w:rPr>
                <w:rFonts w:cstheme="minorHAnsi"/>
              </w:rPr>
            </w:pPr>
            <w:r w:rsidRPr="00393D5E">
              <w:rPr>
                <w:rFonts w:eastAsia="Calibri" w:cstheme="minorHAnsi"/>
                <w:color w:val="000000" w:themeColor="text1"/>
              </w:rPr>
              <w:t>Ministerstvo kultury</w:t>
            </w:r>
          </w:p>
        </w:tc>
      </w:tr>
      <w:tr w:rsidR="002F1580" w:rsidRPr="00393D5E" w14:paraId="0D7B83F8" w14:textId="77777777" w:rsidTr="00FA403F">
        <w:trPr>
          <w:trHeight w:val="165"/>
        </w:trPr>
        <w:tc>
          <w:tcPr>
            <w:tcW w:w="2213" w:type="dxa"/>
            <w:vMerge w:val="restart"/>
            <w:shd w:val="clear" w:color="auto" w:fill="FFFFFF" w:themeFill="background1"/>
            <w:tcMar>
              <w:top w:w="15" w:type="dxa"/>
              <w:left w:w="70" w:type="dxa"/>
              <w:bottom w:w="15" w:type="dxa"/>
              <w:right w:w="70" w:type="dxa"/>
            </w:tcMar>
            <w:vAlign w:val="center"/>
          </w:tcPr>
          <w:p w14:paraId="17C08429" w14:textId="7FFBF4DC" w:rsidR="002F1580" w:rsidRPr="00393D5E" w:rsidRDefault="002F1580" w:rsidP="002F1580">
            <w:pPr>
              <w:spacing w:before="120" w:after="120" w:line="276" w:lineRule="auto"/>
              <w:jc w:val="both"/>
              <w:rPr>
                <w:rFonts w:cstheme="minorHAnsi"/>
              </w:rPr>
            </w:pPr>
            <w:r w:rsidRPr="00393D5E">
              <w:rPr>
                <w:rFonts w:eastAsia="Calibri" w:cstheme="minorHAnsi"/>
                <w:color w:val="212121"/>
              </w:rPr>
              <w:t>5. Výzkum, vývoj a</w:t>
            </w:r>
            <w:r w:rsidR="0003053E">
              <w:rPr>
                <w:rFonts w:eastAsia="Calibri" w:cstheme="minorHAnsi"/>
                <w:color w:val="212121"/>
              </w:rPr>
              <w:t> </w:t>
            </w:r>
            <w:r w:rsidRPr="00393D5E">
              <w:rPr>
                <w:rFonts w:eastAsia="Calibri" w:cstheme="minorHAnsi"/>
                <w:color w:val="212121"/>
              </w:rPr>
              <w:t>inovace</w:t>
            </w:r>
          </w:p>
        </w:tc>
        <w:tc>
          <w:tcPr>
            <w:tcW w:w="3600" w:type="dxa"/>
            <w:shd w:val="clear" w:color="auto" w:fill="FFFFFF" w:themeFill="background1"/>
            <w:tcMar>
              <w:top w:w="15" w:type="dxa"/>
              <w:left w:w="70" w:type="dxa"/>
              <w:bottom w:w="15" w:type="dxa"/>
              <w:right w:w="70" w:type="dxa"/>
            </w:tcMar>
            <w:vAlign w:val="center"/>
          </w:tcPr>
          <w:p w14:paraId="22F87A23" w14:textId="3D9E3590" w:rsidR="002F1580" w:rsidRPr="00393D5E" w:rsidRDefault="002F1580" w:rsidP="002F1580">
            <w:pPr>
              <w:spacing w:before="120" w:after="120" w:line="276" w:lineRule="auto"/>
              <w:rPr>
                <w:rFonts w:cstheme="minorHAnsi"/>
              </w:rPr>
            </w:pPr>
            <w:r w:rsidRPr="00393D5E">
              <w:rPr>
                <w:rFonts w:eastAsia="Calibri" w:cstheme="minorHAnsi"/>
                <w:color w:val="212121"/>
              </w:rPr>
              <w:t>5.1 Excelentní výzkum a</w:t>
            </w:r>
            <w:r w:rsidR="0003053E">
              <w:rPr>
                <w:rFonts w:eastAsia="Calibri" w:cstheme="minorHAnsi"/>
                <w:color w:val="212121"/>
              </w:rPr>
              <w:t> </w:t>
            </w:r>
            <w:r w:rsidRPr="00393D5E">
              <w:rPr>
                <w:rFonts w:eastAsia="Calibri" w:cstheme="minorHAnsi"/>
                <w:color w:val="212121"/>
              </w:rPr>
              <w:t>vývoj v</w:t>
            </w:r>
            <w:r w:rsidR="0003053E">
              <w:rPr>
                <w:rFonts w:eastAsia="Calibri" w:cstheme="minorHAnsi"/>
                <w:color w:val="212121"/>
              </w:rPr>
              <w:t> </w:t>
            </w:r>
            <w:r w:rsidRPr="00393D5E">
              <w:rPr>
                <w:rFonts w:eastAsia="Calibri" w:cstheme="minorHAnsi"/>
                <w:color w:val="212121"/>
              </w:rPr>
              <w:t>prioritních oblastech veřejného zájmu ve zdravotnictví</w:t>
            </w:r>
          </w:p>
        </w:tc>
        <w:tc>
          <w:tcPr>
            <w:tcW w:w="3683" w:type="dxa"/>
            <w:shd w:val="clear" w:color="auto" w:fill="FFFFFF" w:themeFill="background1"/>
            <w:tcMar>
              <w:top w:w="15" w:type="dxa"/>
              <w:left w:w="70" w:type="dxa"/>
              <w:bottom w:w="15" w:type="dxa"/>
              <w:right w:w="70" w:type="dxa"/>
            </w:tcMar>
            <w:vAlign w:val="center"/>
          </w:tcPr>
          <w:p w14:paraId="78928147" w14:textId="4BA04415" w:rsidR="002F1580" w:rsidRPr="00393D5E" w:rsidRDefault="002F1580" w:rsidP="002F1580">
            <w:pPr>
              <w:spacing w:after="200" w:line="276" w:lineRule="auto"/>
              <w:rPr>
                <w:rFonts w:cstheme="minorHAnsi"/>
              </w:rPr>
            </w:pPr>
            <w:r w:rsidRPr="00393D5E">
              <w:rPr>
                <w:rFonts w:eastAsia="Calibri" w:cstheme="minorHAnsi"/>
                <w:color w:val="000000" w:themeColor="text1"/>
              </w:rPr>
              <w:t>Ministerstvo školství, mládeže a</w:t>
            </w:r>
            <w:r w:rsidR="0003053E">
              <w:rPr>
                <w:rFonts w:eastAsia="Calibri" w:cstheme="minorHAnsi"/>
                <w:color w:val="000000" w:themeColor="text1"/>
              </w:rPr>
              <w:t> </w:t>
            </w:r>
            <w:r w:rsidRPr="00393D5E">
              <w:rPr>
                <w:rFonts w:eastAsia="Calibri" w:cstheme="minorHAnsi"/>
                <w:color w:val="000000" w:themeColor="text1"/>
              </w:rPr>
              <w:t>tělovýchovy</w:t>
            </w:r>
          </w:p>
        </w:tc>
      </w:tr>
      <w:tr w:rsidR="002F1580" w:rsidRPr="00393D5E" w14:paraId="5C829F20" w14:textId="77777777" w:rsidTr="00FA403F">
        <w:trPr>
          <w:trHeight w:val="165"/>
        </w:trPr>
        <w:tc>
          <w:tcPr>
            <w:tcW w:w="2213" w:type="dxa"/>
            <w:vMerge/>
            <w:vAlign w:val="center"/>
          </w:tcPr>
          <w:p w14:paraId="167F1494" w14:textId="77777777" w:rsidR="002F1580" w:rsidRPr="00393D5E" w:rsidRDefault="002F1580" w:rsidP="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0200AA21" w14:textId="55D746B9" w:rsidR="002F1580" w:rsidRPr="00393D5E" w:rsidRDefault="002F1580" w:rsidP="002F1580">
            <w:pPr>
              <w:spacing w:before="120" w:after="120" w:line="276" w:lineRule="auto"/>
              <w:rPr>
                <w:rFonts w:cstheme="minorHAnsi"/>
              </w:rPr>
            </w:pPr>
            <w:r w:rsidRPr="00393D5E">
              <w:rPr>
                <w:rFonts w:eastAsia="Calibri" w:cstheme="minorHAnsi"/>
                <w:color w:val="212121"/>
              </w:rPr>
              <w:t>5.2 Podpora výzkumu a</w:t>
            </w:r>
            <w:r w:rsidR="0003053E">
              <w:rPr>
                <w:rFonts w:eastAsia="Calibri" w:cstheme="minorHAnsi"/>
                <w:color w:val="212121"/>
              </w:rPr>
              <w:t> </w:t>
            </w:r>
            <w:r w:rsidRPr="00393D5E">
              <w:rPr>
                <w:rFonts w:eastAsia="Calibri" w:cstheme="minorHAnsi"/>
                <w:color w:val="212121"/>
              </w:rPr>
              <w:t>vývoje v</w:t>
            </w:r>
            <w:r w:rsidR="0003053E">
              <w:rPr>
                <w:rFonts w:eastAsia="Calibri" w:cstheme="minorHAnsi"/>
                <w:color w:val="212121"/>
              </w:rPr>
              <w:t> </w:t>
            </w:r>
            <w:r w:rsidRPr="00393D5E">
              <w:rPr>
                <w:rFonts w:eastAsia="Calibri" w:cstheme="minorHAnsi"/>
                <w:color w:val="212121"/>
              </w:rPr>
              <w:t>podnicích a</w:t>
            </w:r>
            <w:r w:rsidR="0003053E">
              <w:rPr>
                <w:rFonts w:eastAsia="Calibri" w:cstheme="minorHAnsi"/>
                <w:color w:val="212121"/>
              </w:rPr>
              <w:t> </w:t>
            </w:r>
            <w:r w:rsidRPr="00393D5E">
              <w:rPr>
                <w:rFonts w:eastAsia="Calibri" w:cstheme="minorHAnsi"/>
                <w:color w:val="212121"/>
              </w:rPr>
              <w:t>zavádění inovací do podnikové praxe</w:t>
            </w:r>
          </w:p>
        </w:tc>
        <w:tc>
          <w:tcPr>
            <w:tcW w:w="3683" w:type="dxa"/>
            <w:shd w:val="clear" w:color="auto" w:fill="FFFFFF" w:themeFill="background1"/>
            <w:tcMar>
              <w:top w:w="15" w:type="dxa"/>
              <w:left w:w="70" w:type="dxa"/>
              <w:bottom w:w="15" w:type="dxa"/>
              <w:right w:w="70" w:type="dxa"/>
            </w:tcMar>
            <w:vAlign w:val="center"/>
          </w:tcPr>
          <w:p w14:paraId="236D856D" w14:textId="0F7FA1F2" w:rsidR="002F1580" w:rsidRPr="00393D5E" w:rsidRDefault="002F1580" w:rsidP="002F1580">
            <w:pPr>
              <w:spacing w:after="200" w:line="276" w:lineRule="auto"/>
              <w:rPr>
                <w:rFonts w:cstheme="minorHAnsi"/>
              </w:rPr>
            </w:pPr>
            <w:r w:rsidRPr="00393D5E">
              <w:rPr>
                <w:rFonts w:eastAsia="Calibri" w:cstheme="minorHAnsi"/>
                <w:color w:val="000000" w:themeColor="text1"/>
              </w:rPr>
              <w:t>Ministerstvo průmyslu a</w:t>
            </w:r>
            <w:r w:rsidR="0003053E">
              <w:rPr>
                <w:rFonts w:eastAsia="Calibri" w:cstheme="minorHAnsi"/>
                <w:color w:val="000000" w:themeColor="text1"/>
              </w:rPr>
              <w:t> </w:t>
            </w:r>
            <w:r w:rsidRPr="00393D5E">
              <w:rPr>
                <w:rFonts w:eastAsia="Calibri" w:cstheme="minorHAnsi"/>
                <w:color w:val="000000" w:themeColor="text1"/>
              </w:rPr>
              <w:t>obchodu</w:t>
            </w:r>
          </w:p>
        </w:tc>
      </w:tr>
      <w:tr w:rsidR="002F1580" w:rsidRPr="00393D5E" w14:paraId="37BA3ACD" w14:textId="77777777" w:rsidTr="00FA403F">
        <w:trPr>
          <w:trHeight w:val="165"/>
        </w:trPr>
        <w:tc>
          <w:tcPr>
            <w:tcW w:w="2213" w:type="dxa"/>
            <w:vMerge/>
            <w:vAlign w:val="center"/>
          </w:tcPr>
          <w:p w14:paraId="099A64EC" w14:textId="77777777" w:rsidR="002F1580" w:rsidRPr="00393D5E" w:rsidRDefault="002F1580" w:rsidP="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259A3FAC" w14:textId="527570F6" w:rsidR="002F1580" w:rsidRPr="00393D5E" w:rsidRDefault="002F1580" w:rsidP="002F1580">
            <w:pPr>
              <w:spacing w:before="120" w:after="120" w:line="276" w:lineRule="auto"/>
              <w:rPr>
                <w:rFonts w:cstheme="minorHAnsi"/>
              </w:rPr>
            </w:pPr>
            <w:r w:rsidRPr="00393D5E">
              <w:rPr>
                <w:rFonts w:eastAsia="Calibri" w:cstheme="minorHAnsi"/>
                <w:color w:val="212121"/>
              </w:rPr>
              <w:t>5.3 Strategicky řízený a</w:t>
            </w:r>
            <w:r w:rsidR="0003053E">
              <w:rPr>
                <w:rFonts w:eastAsia="Calibri" w:cstheme="minorHAnsi"/>
                <w:color w:val="212121"/>
              </w:rPr>
              <w:t> </w:t>
            </w:r>
            <w:r w:rsidRPr="00393D5E">
              <w:rPr>
                <w:rFonts w:eastAsia="Calibri" w:cstheme="minorHAnsi"/>
                <w:color w:val="212121"/>
              </w:rPr>
              <w:t>mezinárodně konkurenceschopný ekosystém výzkumu, vývoje a</w:t>
            </w:r>
            <w:r w:rsidR="0003053E">
              <w:rPr>
                <w:rFonts w:eastAsia="Calibri" w:cstheme="minorHAnsi"/>
                <w:color w:val="212121"/>
              </w:rPr>
              <w:t> </w:t>
            </w:r>
            <w:r w:rsidRPr="00393D5E">
              <w:rPr>
                <w:rFonts w:eastAsia="Calibri" w:cstheme="minorHAnsi"/>
                <w:color w:val="212121"/>
              </w:rPr>
              <w:t>inovací</w:t>
            </w:r>
          </w:p>
        </w:tc>
        <w:tc>
          <w:tcPr>
            <w:tcW w:w="3683" w:type="dxa"/>
            <w:shd w:val="clear" w:color="auto" w:fill="FFFFFF" w:themeFill="background1"/>
            <w:tcMar>
              <w:top w:w="15" w:type="dxa"/>
              <w:left w:w="70" w:type="dxa"/>
              <w:bottom w:w="15" w:type="dxa"/>
              <w:right w:w="70" w:type="dxa"/>
            </w:tcMar>
            <w:vAlign w:val="center"/>
          </w:tcPr>
          <w:p w14:paraId="418BFF4B" w14:textId="62F90278" w:rsidR="002F1580" w:rsidRPr="00393D5E" w:rsidRDefault="002F1580" w:rsidP="002F1580">
            <w:pPr>
              <w:spacing w:after="200" w:line="276" w:lineRule="auto"/>
              <w:rPr>
                <w:rFonts w:cstheme="minorHAnsi"/>
              </w:rPr>
            </w:pPr>
            <w:r w:rsidRPr="00393D5E">
              <w:rPr>
                <w:rFonts w:eastAsia="Calibri" w:cstheme="minorHAnsi"/>
                <w:color w:val="000000" w:themeColor="text1"/>
              </w:rPr>
              <w:t>Ministerstvo školství, mládeže a</w:t>
            </w:r>
            <w:r w:rsidR="0003053E">
              <w:rPr>
                <w:rFonts w:eastAsia="Calibri" w:cstheme="minorHAnsi"/>
                <w:color w:val="000000" w:themeColor="text1"/>
              </w:rPr>
              <w:t> </w:t>
            </w:r>
            <w:r w:rsidRPr="00393D5E">
              <w:rPr>
                <w:rFonts w:eastAsia="Calibri" w:cstheme="minorHAnsi"/>
                <w:color w:val="000000" w:themeColor="text1"/>
              </w:rPr>
              <w:t>tělovýchovy</w:t>
            </w:r>
          </w:p>
        </w:tc>
      </w:tr>
      <w:tr w:rsidR="002F1580" w:rsidRPr="00393D5E" w14:paraId="3059D5B7" w14:textId="77777777" w:rsidTr="00FA403F">
        <w:trPr>
          <w:trHeight w:val="165"/>
        </w:trPr>
        <w:tc>
          <w:tcPr>
            <w:tcW w:w="2213" w:type="dxa"/>
            <w:vMerge w:val="restart"/>
            <w:shd w:val="clear" w:color="auto" w:fill="FFFFFF" w:themeFill="background1"/>
            <w:tcMar>
              <w:top w:w="15" w:type="dxa"/>
              <w:left w:w="70" w:type="dxa"/>
              <w:bottom w:w="15" w:type="dxa"/>
              <w:right w:w="70" w:type="dxa"/>
            </w:tcMar>
            <w:vAlign w:val="center"/>
          </w:tcPr>
          <w:p w14:paraId="61808D73" w14:textId="1815AB82" w:rsidR="002F1580" w:rsidRPr="00393D5E" w:rsidRDefault="002F1580" w:rsidP="002F1580">
            <w:pPr>
              <w:spacing w:after="200" w:line="276" w:lineRule="auto"/>
              <w:jc w:val="both"/>
              <w:rPr>
                <w:rFonts w:cstheme="minorHAnsi"/>
              </w:rPr>
            </w:pPr>
            <w:r w:rsidRPr="00393D5E">
              <w:rPr>
                <w:rFonts w:eastAsia="Calibri" w:cstheme="minorHAnsi"/>
                <w:color w:val="000000" w:themeColor="text1"/>
              </w:rPr>
              <w:lastRenderedPageBreak/>
              <w:t>6. Zdraví a</w:t>
            </w:r>
            <w:r w:rsidR="0003053E">
              <w:rPr>
                <w:rFonts w:eastAsia="Calibri" w:cstheme="minorHAnsi"/>
                <w:color w:val="000000" w:themeColor="text1"/>
              </w:rPr>
              <w:t> </w:t>
            </w:r>
            <w:r w:rsidRPr="00393D5E">
              <w:rPr>
                <w:rFonts w:eastAsia="Calibri" w:cstheme="minorHAnsi"/>
                <w:color w:val="000000" w:themeColor="text1"/>
              </w:rPr>
              <w:t>odolnost obyvatel</w:t>
            </w:r>
          </w:p>
        </w:tc>
        <w:tc>
          <w:tcPr>
            <w:tcW w:w="3600" w:type="dxa"/>
            <w:shd w:val="clear" w:color="auto" w:fill="FFFFFF" w:themeFill="background1"/>
            <w:tcMar>
              <w:top w:w="15" w:type="dxa"/>
              <w:left w:w="70" w:type="dxa"/>
              <w:bottom w:w="15" w:type="dxa"/>
              <w:right w:w="70" w:type="dxa"/>
            </w:tcMar>
            <w:vAlign w:val="center"/>
          </w:tcPr>
          <w:p w14:paraId="4D6E9187" w14:textId="1D3BAAE4" w:rsidR="002F1580" w:rsidRPr="00393D5E" w:rsidRDefault="002F1580" w:rsidP="002F1580">
            <w:pPr>
              <w:spacing w:after="200" w:line="276" w:lineRule="auto"/>
              <w:rPr>
                <w:rFonts w:cstheme="minorHAnsi"/>
              </w:rPr>
            </w:pPr>
            <w:r w:rsidRPr="00393D5E">
              <w:rPr>
                <w:rFonts w:eastAsia="Calibri" w:cstheme="minorHAnsi"/>
                <w:color w:val="000000" w:themeColor="text1"/>
              </w:rPr>
              <w:t>6.1 Zvýšení odolnosti systému zdravotní péče</w:t>
            </w:r>
          </w:p>
        </w:tc>
        <w:tc>
          <w:tcPr>
            <w:tcW w:w="3683" w:type="dxa"/>
            <w:shd w:val="clear" w:color="auto" w:fill="FFFFFF" w:themeFill="background1"/>
            <w:tcMar>
              <w:top w:w="15" w:type="dxa"/>
              <w:left w:w="70" w:type="dxa"/>
              <w:bottom w:w="15" w:type="dxa"/>
              <w:right w:w="70" w:type="dxa"/>
            </w:tcMar>
            <w:vAlign w:val="center"/>
          </w:tcPr>
          <w:p w14:paraId="2DE95D5C" w14:textId="224A2D2E" w:rsidR="002F1580" w:rsidRPr="00393D5E" w:rsidRDefault="002F1580" w:rsidP="002F1580">
            <w:pPr>
              <w:spacing w:after="200" w:line="276" w:lineRule="auto"/>
              <w:rPr>
                <w:rFonts w:cstheme="minorHAnsi"/>
              </w:rPr>
            </w:pPr>
            <w:r w:rsidRPr="00393D5E">
              <w:rPr>
                <w:rFonts w:eastAsia="Calibri" w:cstheme="minorHAnsi"/>
                <w:color w:val="000000" w:themeColor="text1"/>
              </w:rPr>
              <w:t>Ministerstvo zdravotnictví</w:t>
            </w:r>
          </w:p>
        </w:tc>
      </w:tr>
      <w:tr w:rsidR="002F1580" w:rsidRPr="00393D5E" w14:paraId="766F3CE3" w14:textId="77777777" w:rsidTr="00FA403F">
        <w:trPr>
          <w:trHeight w:val="165"/>
        </w:trPr>
        <w:tc>
          <w:tcPr>
            <w:tcW w:w="2213" w:type="dxa"/>
            <w:vMerge/>
            <w:vAlign w:val="center"/>
          </w:tcPr>
          <w:p w14:paraId="60959CA6" w14:textId="77777777" w:rsidR="002F1580" w:rsidRPr="00393D5E" w:rsidRDefault="002F1580" w:rsidP="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005E5942" w14:textId="3D3BDE0B" w:rsidR="002F1580" w:rsidRPr="00393D5E" w:rsidRDefault="002F1580" w:rsidP="002F1580">
            <w:pPr>
              <w:spacing w:after="200" w:line="276" w:lineRule="auto"/>
              <w:rPr>
                <w:rFonts w:cstheme="minorHAnsi"/>
              </w:rPr>
            </w:pPr>
            <w:r w:rsidRPr="00393D5E">
              <w:rPr>
                <w:rFonts w:eastAsia="Calibri" w:cstheme="minorHAnsi"/>
                <w:color w:val="000000" w:themeColor="text1"/>
              </w:rPr>
              <w:t>6.2 Národní plán na posílení onkologické prevence a</w:t>
            </w:r>
            <w:r w:rsidR="0003053E">
              <w:rPr>
                <w:rFonts w:eastAsia="Calibri" w:cstheme="minorHAnsi"/>
                <w:color w:val="000000" w:themeColor="text1"/>
              </w:rPr>
              <w:t> </w:t>
            </w:r>
            <w:r w:rsidRPr="00393D5E">
              <w:rPr>
                <w:rFonts w:eastAsia="Calibri" w:cstheme="minorHAnsi"/>
                <w:color w:val="000000" w:themeColor="text1"/>
              </w:rPr>
              <w:t>péče</w:t>
            </w:r>
          </w:p>
        </w:tc>
        <w:tc>
          <w:tcPr>
            <w:tcW w:w="3683" w:type="dxa"/>
            <w:shd w:val="clear" w:color="auto" w:fill="FFFFFF" w:themeFill="background1"/>
            <w:tcMar>
              <w:top w:w="15" w:type="dxa"/>
              <w:left w:w="70" w:type="dxa"/>
              <w:bottom w:w="15" w:type="dxa"/>
              <w:right w:w="70" w:type="dxa"/>
            </w:tcMar>
            <w:vAlign w:val="center"/>
          </w:tcPr>
          <w:p w14:paraId="11B0BA37" w14:textId="1EE7F407" w:rsidR="002F1580" w:rsidRPr="00393D5E" w:rsidRDefault="002F1580" w:rsidP="002F1580">
            <w:pPr>
              <w:spacing w:after="200" w:line="276" w:lineRule="auto"/>
              <w:rPr>
                <w:rFonts w:cstheme="minorHAnsi"/>
              </w:rPr>
            </w:pPr>
            <w:r w:rsidRPr="00393D5E">
              <w:rPr>
                <w:rFonts w:eastAsia="Calibri" w:cstheme="minorHAnsi"/>
                <w:color w:val="000000" w:themeColor="text1"/>
              </w:rPr>
              <w:t>Ministerstvo zdravotnictví</w:t>
            </w:r>
          </w:p>
        </w:tc>
      </w:tr>
      <w:tr w:rsidR="002F1580" w:rsidRPr="00393D5E" w14:paraId="056BFEC4" w14:textId="77777777" w:rsidTr="00FA403F">
        <w:trPr>
          <w:trHeight w:val="165"/>
        </w:trPr>
        <w:tc>
          <w:tcPr>
            <w:tcW w:w="2213" w:type="dxa"/>
            <w:vMerge w:val="restart"/>
            <w:tcMar>
              <w:top w:w="15" w:type="dxa"/>
              <w:left w:w="70" w:type="dxa"/>
              <w:bottom w:w="15" w:type="dxa"/>
              <w:right w:w="70" w:type="dxa"/>
            </w:tcMar>
            <w:vAlign w:val="center"/>
          </w:tcPr>
          <w:p w14:paraId="23BF8725" w14:textId="7F98728D" w:rsidR="002F1580" w:rsidRPr="00393D5E" w:rsidRDefault="002F1580" w:rsidP="002F1580">
            <w:pPr>
              <w:spacing w:before="120" w:after="120" w:line="276" w:lineRule="auto"/>
              <w:rPr>
                <w:rFonts w:cstheme="minorHAnsi"/>
              </w:rPr>
            </w:pPr>
            <w:r w:rsidRPr="00393D5E">
              <w:rPr>
                <w:rFonts w:eastAsia="Calibri" w:cstheme="minorHAnsi"/>
                <w:color w:val="212121"/>
              </w:rPr>
              <w:t>7. REPowerEU</w:t>
            </w:r>
          </w:p>
        </w:tc>
        <w:tc>
          <w:tcPr>
            <w:tcW w:w="3600" w:type="dxa"/>
            <w:shd w:val="clear" w:color="auto" w:fill="FFFFFF" w:themeFill="background1"/>
            <w:tcMar>
              <w:top w:w="15" w:type="dxa"/>
              <w:left w:w="70" w:type="dxa"/>
              <w:bottom w:w="15" w:type="dxa"/>
              <w:right w:w="70" w:type="dxa"/>
            </w:tcMar>
            <w:vAlign w:val="center"/>
          </w:tcPr>
          <w:p w14:paraId="4F6DC868" w14:textId="7BC87BBA" w:rsidR="002F1580" w:rsidRPr="00393D5E" w:rsidRDefault="002F1580" w:rsidP="35187188">
            <w:pPr>
              <w:spacing w:before="120" w:after="120" w:line="276" w:lineRule="auto"/>
              <w:rPr>
                <w:rFonts w:eastAsia="Calibri"/>
                <w:color w:val="212121"/>
              </w:rPr>
            </w:pPr>
            <w:r w:rsidRPr="35187188">
              <w:rPr>
                <w:rFonts w:eastAsia="Calibri"/>
                <w:color w:val="212121"/>
              </w:rPr>
              <w:t xml:space="preserve">7.1 </w:t>
            </w:r>
            <w:r w:rsidR="008D4C34" w:rsidRPr="35187188">
              <w:rPr>
                <w:rFonts w:eastAsia="Calibri"/>
                <w:color w:val="212121"/>
              </w:rPr>
              <w:t>Infrastruktura pro obnovitelné zdroje</w:t>
            </w:r>
            <w:r w:rsidR="00AE169D" w:rsidRPr="35187188">
              <w:rPr>
                <w:rFonts w:eastAsia="Calibri"/>
                <w:color w:val="212121"/>
              </w:rPr>
              <w:t xml:space="preserve"> energie</w:t>
            </w:r>
            <w:r w:rsidR="008D4C34" w:rsidRPr="35187188">
              <w:rPr>
                <w:rFonts w:eastAsia="Calibri"/>
                <w:color w:val="212121"/>
              </w:rPr>
              <w:t xml:space="preserve"> a</w:t>
            </w:r>
            <w:r w:rsidR="0003053E">
              <w:rPr>
                <w:rFonts w:eastAsia="Calibri"/>
                <w:color w:val="212121"/>
              </w:rPr>
              <w:t> </w:t>
            </w:r>
            <w:r w:rsidR="008D4C34" w:rsidRPr="35187188">
              <w:rPr>
                <w:rFonts w:eastAsia="Calibri"/>
                <w:color w:val="212121"/>
              </w:rPr>
              <w:t>e</w:t>
            </w:r>
            <w:r w:rsidR="7E80A213" w:rsidRPr="35187188">
              <w:rPr>
                <w:rFonts w:eastAsia="Calibri"/>
                <w:color w:val="212121"/>
              </w:rPr>
              <w:t>lektrizační soustava</w:t>
            </w:r>
          </w:p>
        </w:tc>
        <w:tc>
          <w:tcPr>
            <w:tcW w:w="3683" w:type="dxa"/>
            <w:shd w:val="clear" w:color="auto" w:fill="FFFFFF" w:themeFill="background1"/>
            <w:tcMar>
              <w:top w:w="15" w:type="dxa"/>
              <w:left w:w="70" w:type="dxa"/>
              <w:bottom w:w="15" w:type="dxa"/>
              <w:right w:w="70" w:type="dxa"/>
            </w:tcMar>
            <w:vAlign w:val="center"/>
          </w:tcPr>
          <w:p w14:paraId="7396CF79" w14:textId="0049EB38" w:rsidR="002F1580" w:rsidRPr="00393D5E" w:rsidRDefault="002F1580" w:rsidP="002F1580">
            <w:pPr>
              <w:spacing w:after="200" w:line="276" w:lineRule="auto"/>
              <w:rPr>
                <w:rFonts w:cstheme="minorHAnsi"/>
              </w:rPr>
            </w:pPr>
            <w:r w:rsidRPr="00393D5E">
              <w:rPr>
                <w:rFonts w:eastAsia="Calibri" w:cstheme="minorHAnsi"/>
                <w:color w:val="000000" w:themeColor="text1"/>
              </w:rPr>
              <w:t>Ministerstvo průmyslu a</w:t>
            </w:r>
            <w:r w:rsidR="0003053E">
              <w:rPr>
                <w:rFonts w:eastAsia="Calibri" w:cstheme="minorHAnsi"/>
                <w:color w:val="000000" w:themeColor="text1"/>
              </w:rPr>
              <w:t> </w:t>
            </w:r>
            <w:r w:rsidRPr="00393D5E">
              <w:rPr>
                <w:rFonts w:eastAsia="Calibri" w:cstheme="minorHAnsi"/>
                <w:color w:val="000000" w:themeColor="text1"/>
              </w:rPr>
              <w:t>obchodu</w:t>
            </w:r>
            <w:r w:rsidR="00B82CDF">
              <w:rPr>
                <w:rFonts w:eastAsia="Calibri" w:cstheme="minorHAnsi"/>
                <w:color w:val="000000" w:themeColor="text1"/>
              </w:rPr>
              <w:t>, Ministerstvo pro místní rozvoj</w:t>
            </w:r>
          </w:p>
        </w:tc>
      </w:tr>
      <w:tr w:rsidR="002F1580" w:rsidRPr="00393D5E" w14:paraId="3EF8FA52" w14:textId="77777777" w:rsidTr="00FA403F">
        <w:trPr>
          <w:trHeight w:val="165"/>
        </w:trPr>
        <w:tc>
          <w:tcPr>
            <w:tcW w:w="2213" w:type="dxa"/>
            <w:vMerge/>
            <w:vAlign w:val="center"/>
          </w:tcPr>
          <w:p w14:paraId="7A544A18" w14:textId="77777777" w:rsidR="002F1580" w:rsidRPr="00393D5E" w:rsidRDefault="002F1580" w:rsidP="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4B48AFD8" w14:textId="332D1A75" w:rsidR="002F1580" w:rsidRPr="00393D5E" w:rsidRDefault="002F1580" w:rsidP="35187188">
            <w:pPr>
              <w:spacing w:before="120" w:after="120" w:line="276" w:lineRule="auto"/>
            </w:pPr>
            <w:r w:rsidRPr="35187188">
              <w:rPr>
                <w:rFonts w:eastAsia="Calibri"/>
                <w:color w:val="212121"/>
              </w:rPr>
              <w:t>7.2 Podpora decentralizace a</w:t>
            </w:r>
            <w:r w:rsidR="0003053E">
              <w:rPr>
                <w:rFonts w:eastAsia="Calibri"/>
                <w:color w:val="212121"/>
              </w:rPr>
              <w:t> </w:t>
            </w:r>
            <w:r w:rsidRPr="35187188">
              <w:rPr>
                <w:rFonts w:eastAsia="Calibri"/>
                <w:color w:val="212121"/>
              </w:rPr>
              <w:t xml:space="preserve">digitalizace </w:t>
            </w:r>
            <w:r w:rsidR="76D28911" w:rsidRPr="35187188">
              <w:rPr>
                <w:rFonts w:eastAsia="Calibri"/>
                <w:color w:val="212121"/>
              </w:rPr>
              <w:t xml:space="preserve">odvětví </w:t>
            </w:r>
            <w:r w:rsidRPr="35187188">
              <w:rPr>
                <w:rFonts w:eastAsia="Calibri"/>
                <w:color w:val="212121"/>
              </w:rPr>
              <w:t>energetiky</w:t>
            </w:r>
          </w:p>
        </w:tc>
        <w:tc>
          <w:tcPr>
            <w:tcW w:w="3683" w:type="dxa"/>
            <w:shd w:val="clear" w:color="auto" w:fill="FFFFFF" w:themeFill="background1"/>
            <w:tcMar>
              <w:top w:w="15" w:type="dxa"/>
              <w:left w:w="70" w:type="dxa"/>
              <w:bottom w:w="15" w:type="dxa"/>
              <w:right w:w="70" w:type="dxa"/>
            </w:tcMar>
            <w:vAlign w:val="center"/>
          </w:tcPr>
          <w:p w14:paraId="5F81F9DD" w14:textId="56B5B7E0" w:rsidR="002F1580" w:rsidRPr="00393D5E" w:rsidRDefault="002F1580" w:rsidP="002F1580">
            <w:pPr>
              <w:spacing w:after="200" w:line="276" w:lineRule="auto"/>
              <w:rPr>
                <w:rFonts w:cstheme="minorHAnsi"/>
              </w:rPr>
            </w:pPr>
            <w:r w:rsidRPr="00393D5E">
              <w:rPr>
                <w:rFonts w:eastAsia="Calibri" w:cstheme="minorHAnsi"/>
                <w:color w:val="000000" w:themeColor="text1"/>
              </w:rPr>
              <w:t>Ministerstvo průmyslu a</w:t>
            </w:r>
            <w:r w:rsidR="0003053E">
              <w:rPr>
                <w:rFonts w:eastAsia="Calibri" w:cstheme="minorHAnsi"/>
                <w:color w:val="000000" w:themeColor="text1"/>
              </w:rPr>
              <w:t> </w:t>
            </w:r>
            <w:r w:rsidRPr="00393D5E">
              <w:rPr>
                <w:rFonts w:eastAsia="Calibri" w:cstheme="minorHAnsi"/>
                <w:color w:val="000000" w:themeColor="text1"/>
              </w:rPr>
              <w:t>obchodu</w:t>
            </w:r>
            <w:r w:rsidR="00AE169D">
              <w:rPr>
                <w:rFonts w:eastAsia="Calibri" w:cstheme="minorHAnsi"/>
                <w:color w:val="000000" w:themeColor="text1"/>
              </w:rPr>
              <w:t>, Ministerstvo životního prostředí</w:t>
            </w:r>
          </w:p>
        </w:tc>
      </w:tr>
      <w:tr w:rsidR="002F1580" w:rsidRPr="00393D5E" w14:paraId="4DC3CCED" w14:textId="77777777" w:rsidTr="00FA403F">
        <w:trPr>
          <w:trHeight w:val="165"/>
        </w:trPr>
        <w:tc>
          <w:tcPr>
            <w:tcW w:w="2213" w:type="dxa"/>
            <w:vMerge/>
            <w:vAlign w:val="center"/>
          </w:tcPr>
          <w:p w14:paraId="31CE204D" w14:textId="77777777" w:rsidR="002F1580" w:rsidRPr="00393D5E" w:rsidRDefault="002F1580" w:rsidP="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22320291" w14:textId="2561F4BB" w:rsidR="002F1580" w:rsidRPr="00393D5E" w:rsidRDefault="002F1580" w:rsidP="35187188">
            <w:pPr>
              <w:spacing w:before="120" w:after="120" w:line="276" w:lineRule="auto"/>
            </w:pPr>
            <w:r w:rsidRPr="35187188">
              <w:rPr>
                <w:rFonts w:eastAsia="Calibri"/>
                <w:color w:val="212121"/>
              </w:rPr>
              <w:t xml:space="preserve">7.3 Komplexní reforma poradenství </w:t>
            </w:r>
            <w:r w:rsidR="7491D38D" w:rsidRPr="35187188">
              <w:rPr>
                <w:rFonts w:eastAsia="Calibri"/>
                <w:color w:val="212121"/>
              </w:rPr>
              <w:t xml:space="preserve">týkajícího se </w:t>
            </w:r>
            <w:r w:rsidRPr="35187188">
              <w:rPr>
                <w:rFonts w:eastAsia="Calibri"/>
                <w:color w:val="212121"/>
              </w:rPr>
              <w:t>renovační vln</w:t>
            </w:r>
            <w:r w:rsidR="7CA5E8D5" w:rsidRPr="35187188">
              <w:rPr>
                <w:rFonts w:eastAsia="Calibri"/>
                <w:color w:val="212121"/>
              </w:rPr>
              <w:t>y v</w:t>
            </w:r>
            <w:r w:rsidR="0003053E">
              <w:rPr>
                <w:rFonts w:eastAsia="Calibri"/>
                <w:color w:val="212121"/>
              </w:rPr>
              <w:t> </w:t>
            </w:r>
            <w:r w:rsidR="7CA5E8D5" w:rsidRPr="35187188">
              <w:rPr>
                <w:rFonts w:eastAsia="Calibri"/>
                <w:color w:val="212121"/>
              </w:rPr>
              <w:t>ČR</w:t>
            </w:r>
          </w:p>
        </w:tc>
        <w:tc>
          <w:tcPr>
            <w:tcW w:w="3683" w:type="dxa"/>
            <w:shd w:val="clear" w:color="auto" w:fill="FFFFFF" w:themeFill="background1"/>
            <w:tcMar>
              <w:top w:w="15" w:type="dxa"/>
              <w:left w:w="70" w:type="dxa"/>
              <w:bottom w:w="15" w:type="dxa"/>
              <w:right w:w="70" w:type="dxa"/>
            </w:tcMar>
            <w:vAlign w:val="center"/>
          </w:tcPr>
          <w:p w14:paraId="073D0B42" w14:textId="3EBA50AA" w:rsidR="002F1580" w:rsidRPr="00393D5E" w:rsidRDefault="002F1580" w:rsidP="002F1580">
            <w:pPr>
              <w:spacing w:after="200" w:line="276" w:lineRule="auto"/>
              <w:rPr>
                <w:rFonts w:cstheme="minorHAnsi"/>
              </w:rPr>
            </w:pPr>
            <w:r w:rsidRPr="00393D5E">
              <w:rPr>
                <w:rFonts w:eastAsia="Calibri" w:cstheme="minorHAnsi"/>
                <w:color w:val="000000" w:themeColor="text1"/>
              </w:rPr>
              <w:t>Ministerstvo životního prostředí</w:t>
            </w:r>
            <w:r w:rsidR="00AE169D">
              <w:rPr>
                <w:rFonts w:eastAsia="Calibri" w:cstheme="minorHAnsi"/>
                <w:color w:val="000000" w:themeColor="text1"/>
              </w:rPr>
              <w:t>, Ministerstvo průmyslu a</w:t>
            </w:r>
            <w:r w:rsidR="0003053E">
              <w:rPr>
                <w:rFonts w:eastAsia="Calibri" w:cstheme="minorHAnsi"/>
                <w:color w:val="000000" w:themeColor="text1"/>
              </w:rPr>
              <w:t> </w:t>
            </w:r>
            <w:r w:rsidR="00AE169D">
              <w:rPr>
                <w:rFonts w:eastAsia="Calibri" w:cstheme="minorHAnsi"/>
                <w:color w:val="000000" w:themeColor="text1"/>
              </w:rPr>
              <w:t>obchodu</w:t>
            </w:r>
          </w:p>
        </w:tc>
      </w:tr>
      <w:tr w:rsidR="002F1580" w:rsidRPr="00393D5E" w14:paraId="107DCCC7" w14:textId="77777777" w:rsidTr="00FA403F">
        <w:trPr>
          <w:trHeight w:val="165"/>
        </w:trPr>
        <w:tc>
          <w:tcPr>
            <w:tcW w:w="2213" w:type="dxa"/>
            <w:vMerge/>
            <w:vAlign w:val="center"/>
          </w:tcPr>
          <w:p w14:paraId="3B2D6D9B" w14:textId="77777777" w:rsidR="002F1580" w:rsidRPr="00393D5E" w:rsidRDefault="002F1580" w:rsidP="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64BB90FB" w14:textId="27728278" w:rsidR="002F1580" w:rsidRPr="00393D5E" w:rsidRDefault="002F1580" w:rsidP="35187188">
            <w:pPr>
              <w:spacing w:before="120" w:after="120" w:line="276" w:lineRule="auto"/>
            </w:pPr>
            <w:r w:rsidRPr="35187188">
              <w:rPr>
                <w:rFonts w:eastAsia="Calibri"/>
                <w:color w:val="212121"/>
              </w:rPr>
              <w:t xml:space="preserve">7.4 </w:t>
            </w:r>
            <w:r w:rsidR="79C8F99D" w:rsidRPr="35187188">
              <w:rPr>
                <w:rFonts w:eastAsia="Calibri"/>
                <w:color w:val="212121"/>
              </w:rPr>
              <w:t>Přizpůsobení škol</w:t>
            </w:r>
            <w:r w:rsidRPr="35187188">
              <w:rPr>
                <w:rFonts w:eastAsia="Calibri"/>
                <w:color w:val="212121"/>
              </w:rPr>
              <w:t xml:space="preserve"> – Podpora zelených dovedností a</w:t>
            </w:r>
            <w:r w:rsidR="0003053E">
              <w:rPr>
                <w:rFonts w:eastAsia="Calibri"/>
                <w:color w:val="212121"/>
              </w:rPr>
              <w:t> </w:t>
            </w:r>
            <w:r w:rsidRPr="35187188">
              <w:rPr>
                <w:rFonts w:eastAsia="Calibri"/>
                <w:color w:val="212121"/>
              </w:rPr>
              <w:t>udržitelnosti na vysokých školách</w:t>
            </w:r>
          </w:p>
        </w:tc>
        <w:tc>
          <w:tcPr>
            <w:tcW w:w="3683" w:type="dxa"/>
            <w:shd w:val="clear" w:color="auto" w:fill="FFFFFF" w:themeFill="background1"/>
            <w:tcMar>
              <w:top w:w="15" w:type="dxa"/>
              <w:left w:w="70" w:type="dxa"/>
              <w:bottom w:w="15" w:type="dxa"/>
              <w:right w:w="70" w:type="dxa"/>
            </w:tcMar>
            <w:vAlign w:val="center"/>
          </w:tcPr>
          <w:p w14:paraId="34888399" w14:textId="073EA49E" w:rsidR="002F1580" w:rsidRPr="00393D5E" w:rsidRDefault="002F1580" w:rsidP="002F1580">
            <w:pPr>
              <w:spacing w:after="200" w:line="276" w:lineRule="auto"/>
              <w:rPr>
                <w:rFonts w:cstheme="minorHAnsi"/>
              </w:rPr>
            </w:pPr>
            <w:r w:rsidRPr="00393D5E">
              <w:rPr>
                <w:rFonts w:eastAsia="Calibri" w:cstheme="minorHAnsi"/>
                <w:color w:val="000000" w:themeColor="text1"/>
              </w:rPr>
              <w:t>Ministerstvo školství, mládeže a</w:t>
            </w:r>
            <w:r w:rsidR="0003053E">
              <w:rPr>
                <w:rFonts w:eastAsia="Calibri" w:cstheme="minorHAnsi"/>
                <w:color w:val="000000" w:themeColor="text1"/>
              </w:rPr>
              <w:t> </w:t>
            </w:r>
            <w:r w:rsidRPr="00393D5E">
              <w:rPr>
                <w:rFonts w:eastAsia="Calibri" w:cstheme="minorHAnsi"/>
                <w:color w:val="000000" w:themeColor="text1"/>
              </w:rPr>
              <w:t>tělovýchovy</w:t>
            </w:r>
          </w:p>
        </w:tc>
      </w:tr>
      <w:tr w:rsidR="002F1580" w:rsidRPr="00393D5E" w14:paraId="6B6DFD6D" w14:textId="77777777" w:rsidTr="00FA403F">
        <w:trPr>
          <w:trHeight w:val="165"/>
        </w:trPr>
        <w:tc>
          <w:tcPr>
            <w:tcW w:w="2213" w:type="dxa"/>
            <w:vMerge/>
            <w:vAlign w:val="center"/>
          </w:tcPr>
          <w:p w14:paraId="39EE2B64" w14:textId="77777777" w:rsidR="002F1580" w:rsidRPr="00393D5E" w:rsidRDefault="002F1580" w:rsidP="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626ADE50" w14:textId="0A2C9F65" w:rsidR="002F1580" w:rsidRPr="00393D5E" w:rsidRDefault="002F1580" w:rsidP="35187188">
            <w:pPr>
              <w:spacing w:before="120" w:after="120" w:line="276" w:lineRule="auto"/>
              <w:rPr>
                <w:rFonts w:eastAsia="Calibri"/>
                <w:color w:val="212121"/>
              </w:rPr>
            </w:pPr>
            <w:r w:rsidRPr="35187188">
              <w:rPr>
                <w:rFonts w:eastAsia="Calibri"/>
                <w:color w:val="212121"/>
              </w:rPr>
              <w:t xml:space="preserve">7.5 Dekarbonizace </w:t>
            </w:r>
            <w:r w:rsidR="1DA2B5AA" w:rsidRPr="35187188">
              <w:rPr>
                <w:rFonts w:eastAsia="Calibri"/>
                <w:color w:val="212121"/>
              </w:rPr>
              <w:t xml:space="preserve">silniční </w:t>
            </w:r>
            <w:r w:rsidRPr="35187188">
              <w:rPr>
                <w:rFonts w:eastAsia="Calibri"/>
                <w:color w:val="212121"/>
              </w:rPr>
              <w:t>dopravy</w:t>
            </w:r>
          </w:p>
        </w:tc>
        <w:tc>
          <w:tcPr>
            <w:tcW w:w="3683" w:type="dxa"/>
            <w:shd w:val="clear" w:color="auto" w:fill="FFFFFF" w:themeFill="background1"/>
            <w:tcMar>
              <w:top w:w="15" w:type="dxa"/>
              <w:left w:w="70" w:type="dxa"/>
              <w:bottom w:w="15" w:type="dxa"/>
              <w:right w:w="70" w:type="dxa"/>
            </w:tcMar>
            <w:vAlign w:val="center"/>
          </w:tcPr>
          <w:p w14:paraId="20DDD483" w14:textId="268C6235" w:rsidR="00AE169D" w:rsidRDefault="002F1580" w:rsidP="00AE169D">
            <w:pPr>
              <w:spacing w:after="0" w:line="276" w:lineRule="auto"/>
              <w:rPr>
                <w:rFonts w:eastAsia="Calibri"/>
                <w:color w:val="000000" w:themeColor="text1"/>
              </w:rPr>
            </w:pPr>
            <w:r w:rsidRPr="3FB33569">
              <w:rPr>
                <w:rFonts w:eastAsia="Calibri"/>
                <w:color w:val="000000" w:themeColor="text1"/>
              </w:rPr>
              <w:t>Ministerstvo průmyslu a</w:t>
            </w:r>
            <w:r w:rsidR="0003053E">
              <w:rPr>
                <w:rFonts w:eastAsia="Calibri"/>
                <w:color w:val="000000" w:themeColor="text1"/>
              </w:rPr>
              <w:t> </w:t>
            </w:r>
            <w:r w:rsidRPr="3FB33569">
              <w:rPr>
                <w:rFonts w:eastAsia="Calibri"/>
                <w:color w:val="000000" w:themeColor="text1"/>
              </w:rPr>
              <w:t>obchodu, Ministerstvo dopravy</w:t>
            </w:r>
            <w:r w:rsidR="00AE169D">
              <w:rPr>
                <w:rFonts w:eastAsia="Calibri"/>
                <w:color w:val="000000" w:themeColor="text1"/>
              </w:rPr>
              <w:t xml:space="preserve">, </w:t>
            </w:r>
          </w:p>
          <w:p w14:paraId="397831B2" w14:textId="2D7C9E9E" w:rsidR="002F1580" w:rsidRPr="00393D5E" w:rsidRDefault="00AE169D" w:rsidP="00AE169D">
            <w:pPr>
              <w:spacing w:after="0" w:line="276" w:lineRule="auto"/>
              <w:rPr>
                <w:rFonts w:eastAsia="Calibri"/>
                <w:color w:val="000000" w:themeColor="text1"/>
              </w:rPr>
            </w:pPr>
            <w:r>
              <w:rPr>
                <w:rFonts w:eastAsia="Calibri"/>
                <w:color w:val="000000" w:themeColor="text1"/>
              </w:rPr>
              <w:t>Ministerstvo financí</w:t>
            </w:r>
          </w:p>
        </w:tc>
      </w:tr>
      <w:tr w:rsidR="002F1580" w:rsidRPr="00393D5E" w14:paraId="2A4B0ACB" w14:textId="77777777" w:rsidTr="00FA403F">
        <w:trPr>
          <w:trHeight w:val="165"/>
        </w:trPr>
        <w:tc>
          <w:tcPr>
            <w:tcW w:w="2213" w:type="dxa"/>
            <w:vMerge/>
            <w:vAlign w:val="center"/>
          </w:tcPr>
          <w:p w14:paraId="0D1FE33C" w14:textId="77777777" w:rsidR="002F1580" w:rsidRPr="00393D5E" w:rsidRDefault="002F1580" w:rsidP="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1EC92395" w14:textId="6940F54F" w:rsidR="002F1580" w:rsidRPr="00393D5E" w:rsidRDefault="002F1580" w:rsidP="35187188">
            <w:pPr>
              <w:spacing w:before="120" w:after="120" w:line="276" w:lineRule="auto"/>
            </w:pPr>
            <w:r w:rsidRPr="35187188">
              <w:rPr>
                <w:rFonts w:eastAsia="Calibri"/>
                <w:color w:val="212121"/>
              </w:rPr>
              <w:t>7.</w:t>
            </w:r>
            <w:r w:rsidR="005E6EBF" w:rsidRPr="35187188">
              <w:rPr>
                <w:rFonts w:eastAsia="Calibri"/>
                <w:color w:val="212121"/>
              </w:rPr>
              <w:t>6</w:t>
            </w:r>
            <w:r w:rsidRPr="35187188">
              <w:rPr>
                <w:rFonts w:eastAsia="Calibri"/>
                <w:color w:val="212121"/>
              </w:rPr>
              <w:t xml:space="preserve"> </w:t>
            </w:r>
            <w:r w:rsidR="4DC56C5C" w:rsidRPr="35187188">
              <w:rPr>
                <w:rFonts w:eastAsia="Calibri"/>
                <w:color w:val="212121"/>
              </w:rPr>
              <w:t xml:space="preserve">Elektrifikace </w:t>
            </w:r>
            <w:r w:rsidRPr="35187188">
              <w:rPr>
                <w:rFonts w:eastAsia="Calibri"/>
                <w:color w:val="212121"/>
              </w:rPr>
              <w:t>železni</w:t>
            </w:r>
            <w:r w:rsidR="005E1C8B" w:rsidRPr="35187188">
              <w:rPr>
                <w:rFonts w:eastAsia="Calibri"/>
                <w:color w:val="212121"/>
              </w:rPr>
              <w:t>ční dopravy</w:t>
            </w:r>
          </w:p>
        </w:tc>
        <w:tc>
          <w:tcPr>
            <w:tcW w:w="3683" w:type="dxa"/>
            <w:shd w:val="clear" w:color="auto" w:fill="FFFFFF" w:themeFill="background1"/>
            <w:tcMar>
              <w:top w:w="15" w:type="dxa"/>
              <w:left w:w="70" w:type="dxa"/>
              <w:bottom w:w="15" w:type="dxa"/>
              <w:right w:w="70" w:type="dxa"/>
            </w:tcMar>
            <w:vAlign w:val="center"/>
          </w:tcPr>
          <w:p w14:paraId="33B40531" w14:textId="55A587D9" w:rsidR="002F1580" w:rsidRPr="00393D5E" w:rsidRDefault="002F1580" w:rsidP="002F1580">
            <w:pPr>
              <w:spacing w:after="200" w:line="276" w:lineRule="auto"/>
              <w:rPr>
                <w:rFonts w:cstheme="minorHAnsi"/>
              </w:rPr>
            </w:pPr>
            <w:r w:rsidRPr="00393D5E">
              <w:rPr>
                <w:rFonts w:eastAsia="Calibri" w:cstheme="minorHAnsi"/>
                <w:color w:val="000000" w:themeColor="text1"/>
              </w:rPr>
              <w:t>Ministerstvo dopravy</w:t>
            </w:r>
          </w:p>
        </w:tc>
      </w:tr>
      <w:tr w:rsidR="002F1580" w:rsidRPr="00393D5E" w14:paraId="62F577C0" w14:textId="77777777" w:rsidTr="00FA403F">
        <w:trPr>
          <w:trHeight w:val="165"/>
        </w:trPr>
        <w:tc>
          <w:tcPr>
            <w:tcW w:w="2213" w:type="dxa"/>
            <w:vMerge/>
            <w:vAlign w:val="center"/>
          </w:tcPr>
          <w:p w14:paraId="3A14E2C4" w14:textId="77777777" w:rsidR="002F1580" w:rsidRPr="00393D5E" w:rsidRDefault="002F1580" w:rsidP="002F1580">
            <w:pPr>
              <w:rPr>
                <w:rFonts w:cstheme="minorHAnsi"/>
              </w:rPr>
            </w:pPr>
          </w:p>
        </w:tc>
        <w:tc>
          <w:tcPr>
            <w:tcW w:w="3600" w:type="dxa"/>
            <w:shd w:val="clear" w:color="auto" w:fill="FFFFFF" w:themeFill="background1"/>
            <w:tcMar>
              <w:top w:w="15" w:type="dxa"/>
              <w:left w:w="70" w:type="dxa"/>
              <w:bottom w:w="15" w:type="dxa"/>
              <w:right w:w="70" w:type="dxa"/>
            </w:tcMar>
            <w:vAlign w:val="center"/>
          </w:tcPr>
          <w:p w14:paraId="4CD058F6" w14:textId="57EF05C4" w:rsidR="002F1580" w:rsidRPr="00393D5E" w:rsidRDefault="002F1580" w:rsidP="35187188">
            <w:pPr>
              <w:spacing w:before="120" w:after="120" w:line="276" w:lineRule="auto"/>
              <w:rPr>
                <w:rFonts w:eastAsia="Calibri"/>
                <w:color w:val="000000" w:themeColor="text1"/>
              </w:rPr>
            </w:pPr>
            <w:r w:rsidRPr="35187188">
              <w:rPr>
                <w:rFonts w:eastAsia="Calibri"/>
                <w:color w:val="212121"/>
              </w:rPr>
              <w:t>7.</w:t>
            </w:r>
            <w:r w:rsidR="005E6EBF" w:rsidRPr="35187188">
              <w:rPr>
                <w:rFonts w:eastAsia="Calibri"/>
                <w:color w:val="212121"/>
              </w:rPr>
              <w:t>7</w:t>
            </w:r>
            <w:r w:rsidRPr="35187188">
              <w:rPr>
                <w:rFonts w:eastAsia="Calibri"/>
                <w:color w:val="212121"/>
              </w:rPr>
              <w:t xml:space="preserve"> </w:t>
            </w:r>
            <w:r w:rsidRPr="35187188">
              <w:rPr>
                <w:rFonts w:eastAsia="Calibri"/>
                <w:color w:val="000000" w:themeColor="text1"/>
              </w:rPr>
              <w:t xml:space="preserve">Zjednodušení </w:t>
            </w:r>
            <w:r w:rsidR="007B4066" w:rsidRPr="35187188">
              <w:rPr>
                <w:rFonts w:eastAsia="Calibri"/>
                <w:color w:val="000000" w:themeColor="text1"/>
              </w:rPr>
              <w:t>povolovacích</w:t>
            </w:r>
            <w:r w:rsidRPr="35187188">
              <w:rPr>
                <w:rFonts w:eastAsia="Calibri"/>
                <w:color w:val="000000" w:themeColor="text1"/>
              </w:rPr>
              <w:t xml:space="preserve"> </w:t>
            </w:r>
            <w:r w:rsidR="34035D22" w:rsidRPr="35187188">
              <w:rPr>
                <w:rFonts w:eastAsia="Calibri"/>
                <w:color w:val="000000" w:themeColor="text1"/>
              </w:rPr>
              <w:t>řízení v</w:t>
            </w:r>
            <w:r w:rsidR="0003053E">
              <w:rPr>
                <w:rFonts w:eastAsia="Calibri"/>
                <w:color w:val="000000" w:themeColor="text1"/>
              </w:rPr>
              <w:t> </w:t>
            </w:r>
            <w:r w:rsidR="34035D22" w:rsidRPr="35187188">
              <w:rPr>
                <w:rFonts w:eastAsia="Calibri"/>
                <w:color w:val="000000" w:themeColor="text1"/>
              </w:rPr>
              <w:t>oblasti životního prostředí a</w:t>
            </w:r>
            <w:r w:rsidR="0003053E">
              <w:rPr>
                <w:rFonts w:eastAsia="Calibri"/>
                <w:color w:val="000000" w:themeColor="text1"/>
              </w:rPr>
              <w:t> </w:t>
            </w:r>
            <w:r w:rsidR="34035D22" w:rsidRPr="35187188">
              <w:rPr>
                <w:rFonts w:eastAsia="Calibri"/>
                <w:color w:val="000000" w:themeColor="text1"/>
              </w:rPr>
              <w:t>vymezení oblastí pro rozvoj obnovitelných zdrojů energie</w:t>
            </w:r>
          </w:p>
          <w:p w14:paraId="3782E810" w14:textId="37157A9B" w:rsidR="002F1580" w:rsidRPr="00393D5E" w:rsidRDefault="002F1580" w:rsidP="002F1580">
            <w:pPr>
              <w:spacing w:before="120" w:after="120" w:line="276" w:lineRule="auto"/>
              <w:ind w:firstLine="578"/>
              <w:rPr>
                <w:rFonts w:cstheme="minorHAnsi"/>
              </w:rPr>
            </w:pPr>
            <w:r w:rsidRPr="00393D5E">
              <w:rPr>
                <w:rFonts w:eastAsia="Calibri" w:cstheme="minorHAnsi"/>
                <w:color w:val="212121"/>
              </w:rPr>
              <w:t xml:space="preserve"> </w:t>
            </w:r>
          </w:p>
        </w:tc>
        <w:tc>
          <w:tcPr>
            <w:tcW w:w="3683" w:type="dxa"/>
            <w:shd w:val="clear" w:color="auto" w:fill="FFFFFF" w:themeFill="background1"/>
            <w:tcMar>
              <w:top w:w="15" w:type="dxa"/>
              <w:left w:w="70" w:type="dxa"/>
              <w:bottom w:w="15" w:type="dxa"/>
              <w:right w:w="70" w:type="dxa"/>
            </w:tcMar>
            <w:vAlign w:val="center"/>
          </w:tcPr>
          <w:p w14:paraId="180D2122" w14:textId="4B0972B5" w:rsidR="002F1580" w:rsidRPr="00393D5E" w:rsidRDefault="002F1580" w:rsidP="002F1580">
            <w:pPr>
              <w:spacing w:after="200" w:line="276" w:lineRule="auto"/>
            </w:pPr>
            <w:r w:rsidRPr="13105CAA">
              <w:rPr>
                <w:rFonts w:eastAsia="Calibri"/>
                <w:color w:val="000000" w:themeColor="text1"/>
              </w:rPr>
              <w:t>Ministerstvo životního prostředí</w:t>
            </w:r>
          </w:p>
        </w:tc>
      </w:tr>
    </w:tbl>
    <w:p w14:paraId="73426409" w14:textId="57DE1201" w:rsidR="001000FA" w:rsidRPr="00393D5E" w:rsidRDefault="00D371D0" w:rsidP="00316A1B">
      <w:pPr>
        <w:pStyle w:val="Titulek"/>
        <w:spacing w:line="276" w:lineRule="auto"/>
        <w:rPr>
          <w:rFonts w:eastAsiaTheme="minorEastAsia" w:cstheme="minorHAnsi"/>
          <w:noProof w:val="0"/>
          <w:sz w:val="22"/>
        </w:rPr>
      </w:pPr>
      <w:bookmarkStart w:id="11" w:name="_Toc151444587"/>
      <w:r w:rsidRPr="00393D5E">
        <w:rPr>
          <w:noProof w:val="0"/>
        </w:rPr>
        <w:t xml:space="preserve">Tabulka </w:t>
      </w:r>
      <w:r w:rsidRPr="00393D5E">
        <w:rPr>
          <w:noProof w:val="0"/>
        </w:rPr>
        <w:fldChar w:fldCharType="begin"/>
      </w:r>
      <w:r w:rsidRPr="00393D5E">
        <w:rPr>
          <w:noProof w:val="0"/>
        </w:rPr>
        <w:instrText xml:space="preserve"> SEQ Tabulka \* ARABIC </w:instrText>
      </w:r>
      <w:r w:rsidRPr="00393D5E">
        <w:rPr>
          <w:noProof w:val="0"/>
        </w:rPr>
        <w:fldChar w:fldCharType="separate"/>
      </w:r>
      <w:r w:rsidR="00E25A73">
        <w:t>2</w:t>
      </w:r>
      <w:r w:rsidRPr="00393D5E">
        <w:rPr>
          <w:noProof w:val="0"/>
        </w:rPr>
        <w:fldChar w:fldCharType="end"/>
      </w:r>
      <w:r w:rsidR="00E25A73">
        <w:rPr>
          <w:noProof w:val="0"/>
        </w:rPr>
        <w:t>:</w:t>
      </w:r>
      <w:r w:rsidRPr="00393D5E">
        <w:rPr>
          <w:noProof w:val="0"/>
        </w:rPr>
        <w:t xml:space="preserve"> Vlastnictví komponent</w:t>
      </w:r>
      <w:bookmarkEnd w:id="11"/>
      <w:r w:rsidRPr="00393D5E">
        <w:rPr>
          <w:noProof w:val="0"/>
        </w:rPr>
        <w:t xml:space="preserve"> </w:t>
      </w:r>
    </w:p>
    <w:p w14:paraId="70F21188" w14:textId="24FDBB78" w:rsidR="00F64A39" w:rsidRPr="00393D5E" w:rsidRDefault="00F64A39" w:rsidP="00316A1B">
      <w:pPr>
        <w:spacing w:line="276" w:lineRule="auto"/>
        <w:jc w:val="both"/>
      </w:pPr>
      <w:bookmarkStart w:id="12" w:name="_nj1ks6p3kwye"/>
      <w:bookmarkStart w:id="13" w:name="_30j0zll"/>
      <w:bookmarkStart w:id="14" w:name="_1fob9te" w:colFirst="0" w:colLast="0"/>
      <w:bookmarkStart w:id="15" w:name="_Toc68035740"/>
      <w:bookmarkStart w:id="16" w:name="_Toc68035916"/>
      <w:bookmarkStart w:id="17" w:name="_Toc68035741"/>
      <w:bookmarkStart w:id="18" w:name="_Toc68035917"/>
      <w:bookmarkStart w:id="19" w:name="_Toc68035746"/>
      <w:bookmarkStart w:id="20" w:name="_Toc68035922"/>
      <w:bookmarkStart w:id="21" w:name="_Toc68035762"/>
      <w:bookmarkStart w:id="22" w:name="_Toc68035938"/>
      <w:bookmarkStart w:id="23" w:name="_Toc68035763"/>
      <w:bookmarkStart w:id="24" w:name="_Toc68035939"/>
      <w:bookmarkStart w:id="25" w:name="_Toc68035764"/>
      <w:bookmarkStart w:id="26" w:name="_Toc68035940"/>
      <w:bookmarkStart w:id="27" w:name="_Toc68035765"/>
      <w:bookmarkStart w:id="28" w:name="_Toc68035941"/>
      <w:bookmarkStart w:id="29" w:name="_Toc68035766"/>
      <w:bookmarkStart w:id="30" w:name="_Toc68035942"/>
      <w:bookmarkStart w:id="31" w:name="_Toc68035767"/>
      <w:bookmarkStart w:id="32" w:name="_Toc68035943"/>
      <w:bookmarkStart w:id="33" w:name="_Toc68035768"/>
      <w:bookmarkStart w:id="34" w:name="_Toc68035944"/>
      <w:bookmarkStart w:id="35" w:name="_Toc68035769"/>
      <w:bookmarkStart w:id="36" w:name="_Toc68035945"/>
      <w:bookmarkStart w:id="37" w:name="_Toc68035770"/>
      <w:bookmarkStart w:id="38" w:name="_Toc68035946"/>
      <w:bookmarkStart w:id="39" w:name="_Toc68035771"/>
      <w:bookmarkStart w:id="40" w:name="_Toc68035947"/>
      <w:bookmarkStart w:id="41" w:name="_Toc68035773"/>
      <w:bookmarkStart w:id="42" w:name="_Toc68035949"/>
      <w:bookmarkStart w:id="43" w:name="_Toc68035774"/>
      <w:bookmarkStart w:id="44" w:name="_Toc68035950"/>
      <w:bookmarkStart w:id="45" w:name="_Toc68035778"/>
      <w:bookmarkStart w:id="46" w:name="_Toc68035954"/>
      <w:bookmarkStart w:id="47" w:name="_Toc68035779"/>
      <w:bookmarkStart w:id="48" w:name="_Toc68035955"/>
      <w:bookmarkStart w:id="49" w:name="_Toc68035780"/>
      <w:bookmarkStart w:id="50" w:name="_Toc68035956"/>
      <w:bookmarkStart w:id="51" w:name="_Toc68035781"/>
      <w:bookmarkStart w:id="52" w:name="_Toc68035957"/>
      <w:bookmarkStart w:id="53" w:name="_Toc68035782"/>
      <w:bookmarkStart w:id="54" w:name="_Toc68035958"/>
      <w:bookmarkStart w:id="55" w:name="_Toc68035783"/>
      <w:bookmarkStart w:id="56" w:name="_Toc68035959"/>
      <w:bookmarkStart w:id="57" w:name="_Toc68035784"/>
      <w:bookmarkStart w:id="58" w:name="_Toc68035960"/>
      <w:bookmarkStart w:id="59" w:name="_Toc68035785"/>
      <w:bookmarkStart w:id="60" w:name="_Toc68035961"/>
      <w:bookmarkStart w:id="61" w:name="_Toc68035786"/>
      <w:bookmarkStart w:id="62" w:name="_Toc68035962"/>
      <w:bookmarkStart w:id="63" w:name="_Toc68035787"/>
      <w:bookmarkStart w:id="64" w:name="_Toc68035963"/>
      <w:bookmarkStart w:id="65" w:name="_Toc68035788"/>
      <w:bookmarkStart w:id="66" w:name="_Toc68035964"/>
      <w:bookmarkStart w:id="67" w:name="_Toc68035789"/>
      <w:bookmarkStart w:id="68" w:name="_Toc68035965"/>
      <w:bookmarkStart w:id="69" w:name="_Toc68035790"/>
      <w:bookmarkStart w:id="70" w:name="_Toc68035966"/>
      <w:bookmarkStart w:id="71" w:name="_Toc68035791"/>
      <w:bookmarkStart w:id="72" w:name="_Toc68035967"/>
      <w:bookmarkStart w:id="73" w:name="_Toc68035792"/>
      <w:bookmarkStart w:id="74" w:name="_Toc68035968"/>
      <w:bookmarkStart w:id="75" w:name="_Toc68035793"/>
      <w:bookmarkStart w:id="76" w:name="_Toc68035969"/>
      <w:bookmarkStart w:id="77" w:name="_Toc68035794"/>
      <w:bookmarkStart w:id="78" w:name="_Toc68035970"/>
      <w:bookmarkStart w:id="79" w:name="_Toc68035795"/>
      <w:bookmarkStart w:id="80" w:name="_Toc68035971"/>
      <w:bookmarkStart w:id="81" w:name="_Toc68035796"/>
      <w:bookmarkStart w:id="82" w:name="_Toc68035972"/>
      <w:bookmarkStart w:id="83" w:name="_Toc68035797"/>
      <w:bookmarkStart w:id="84" w:name="_Toc68035973"/>
      <w:bookmarkStart w:id="85" w:name="_Toc68035798"/>
      <w:bookmarkStart w:id="86" w:name="_Toc68035974"/>
      <w:bookmarkStart w:id="87" w:name="_Toc68035799"/>
      <w:bookmarkStart w:id="88" w:name="_Toc68035975"/>
      <w:bookmarkStart w:id="89" w:name="_Toc68035800"/>
      <w:bookmarkStart w:id="90" w:name="_Toc68035976"/>
      <w:bookmarkStart w:id="91" w:name="_Toc68035801"/>
      <w:bookmarkStart w:id="92" w:name="_Toc68035977"/>
      <w:bookmarkStart w:id="93" w:name="_Toc68035802"/>
      <w:bookmarkStart w:id="94" w:name="_Toc68035978"/>
      <w:bookmarkStart w:id="95" w:name="_Toc68035803"/>
      <w:bookmarkStart w:id="96" w:name="_Toc68035979"/>
      <w:bookmarkStart w:id="97" w:name="_Toc68035804"/>
      <w:bookmarkStart w:id="98" w:name="_Toc68035980"/>
      <w:bookmarkStart w:id="99" w:name="_Toc68035805"/>
      <w:bookmarkStart w:id="100" w:name="_Toc68035981"/>
      <w:bookmarkStart w:id="101" w:name="_Toc68035806"/>
      <w:bookmarkStart w:id="102" w:name="_Toc68035982"/>
      <w:bookmarkStart w:id="103" w:name="_Toc68035807"/>
      <w:bookmarkStart w:id="104" w:name="_Toc68035983"/>
      <w:bookmarkStart w:id="105" w:name="_Toc68035808"/>
      <w:bookmarkStart w:id="106" w:name="_Toc68035984"/>
      <w:bookmarkStart w:id="107" w:name="_Toc68035809"/>
      <w:bookmarkStart w:id="108" w:name="_Toc68035985"/>
      <w:bookmarkStart w:id="109" w:name="_Toc68035810"/>
      <w:bookmarkStart w:id="110" w:name="_Toc68035986"/>
      <w:bookmarkStart w:id="111" w:name="_Toc68035811"/>
      <w:bookmarkStart w:id="112" w:name="_Toc68035987"/>
      <w:bookmarkStart w:id="113" w:name="_Toc68035812"/>
      <w:bookmarkStart w:id="114" w:name="_Toc68035988"/>
      <w:bookmarkStart w:id="115" w:name="_Toc68035813"/>
      <w:bookmarkStart w:id="116" w:name="_Toc68035989"/>
      <w:bookmarkStart w:id="117" w:name="_Toc68035814"/>
      <w:bookmarkStart w:id="118" w:name="_Toc68035990"/>
      <w:bookmarkStart w:id="119" w:name="_Toc68035815"/>
      <w:bookmarkStart w:id="120" w:name="_Toc68035991"/>
      <w:bookmarkStart w:id="121" w:name="_Toc68035816"/>
      <w:bookmarkStart w:id="122" w:name="_Toc68035992"/>
      <w:bookmarkStart w:id="123" w:name="_Toc68035817"/>
      <w:bookmarkStart w:id="124" w:name="_Toc68035993"/>
      <w:bookmarkStart w:id="125" w:name="_Toc68035818"/>
      <w:bookmarkStart w:id="126" w:name="_Toc68035994"/>
      <w:bookmarkStart w:id="127" w:name="_Toc68035819"/>
      <w:bookmarkStart w:id="128" w:name="_Toc68035995"/>
      <w:bookmarkStart w:id="129" w:name="_Toc66646721"/>
      <w:bookmarkStart w:id="130" w:name="_Toc66647251"/>
      <w:bookmarkStart w:id="131" w:name="_Toc66647613"/>
      <w:bookmarkStart w:id="132" w:name="_Toc66647739"/>
      <w:bookmarkStart w:id="133" w:name="_Toc66647788"/>
      <w:bookmarkStart w:id="134" w:name="_Toc66860970"/>
      <w:bookmarkStart w:id="135" w:name="_Toc66862914"/>
      <w:bookmarkStart w:id="136" w:name="_Toc66900245"/>
      <w:bookmarkStart w:id="137" w:name="_Toc66901827"/>
      <w:bookmarkStart w:id="138" w:name="_Toc67437533"/>
      <w:bookmarkStart w:id="139" w:name="_Toc67437571"/>
      <w:bookmarkStart w:id="140" w:name="_Toc67457119"/>
      <w:bookmarkStart w:id="141" w:name="_Toc67464643"/>
      <w:bookmarkStart w:id="142" w:name="_Toc67474540"/>
      <w:bookmarkStart w:id="143" w:name="_Toc68035820"/>
      <w:bookmarkStart w:id="144" w:name="_Toc68035996"/>
      <w:bookmarkStart w:id="145" w:name="_Toc66647740"/>
      <w:bookmarkStart w:id="146" w:name="_Toc66647789"/>
      <w:bookmarkStart w:id="147" w:name="_Toc66860971"/>
      <w:bookmarkStart w:id="148" w:name="_Toc66862915"/>
      <w:bookmarkStart w:id="149" w:name="_Toc66900246"/>
      <w:bookmarkStart w:id="150" w:name="_Toc66901828"/>
      <w:bookmarkStart w:id="151" w:name="_Toc67437534"/>
      <w:bookmarkStart w:id="152" w:name="_Toc67437572"/>
      <w:bookmarkStart w:id="153" w:name="_Toc67457120"/>
      <w:bookmarkStart w:id="154" w:name="_Toc67464644"/>
      <w:bookmarkStart w:id="155" w:name="_Toc67474541"/>
      <w:bookmarkStart w:id="156" w:name="_Toc68035821"/>
      <w:bookmarkStart w:id="157" w:name="_Toc68035997"/>
      <w:bookmarkStart w:id="158" w:name="_Toc68035822"/>
      <w:bookmarkStart w:id="159" w:name="_Toc68035998"/>
      <w:bookmarkStart w:id="160" w:name="_Toc68035823"/>
      <w:bookmarkStart w:id="161" w:name="_Toc68035999"/>
      <w:bookmarkStart w:id="162" w:name="_Toc68035824"/>
      <w:bookmarkStart w:id="163" w:name="_Toc68036000"/>
      <w:bookmarkStart w:id="164" w:name="_Toc68035825"/>
      <w:bookmarkStart w:id="165" w:name="_Toc68036001"/>
      <w:bookmarkStart w:id="166" w:name="_Toc68035826"/>
      <w:bookmarkStart w:id="167" w:name="_Toc68036002"/>
      <w:bookmarkStart w:id="168" w:name="_Toc68035827"/>
      <w:bookmarkStart w:id="169" w:name="_Toc68036003"/>
      <w:bookmarkStart w:id="170" w:name="_Toc68035828"/>
      <w:bookmarkStart w:id="171" w:name="_Toc68036004"/>
      <w:bookmarkStart w:id="172" w:name="_Toc68035829"/>
      <w:bookmarkStart w:id="173" w:name="_Toc68036005"/>
      <w:bookmarkStart w:id="174" w:name="_Toc68035830"/>
      <w:bookmarkStart w:id="175" w:name="_Toc68036006"/>
      <w:bookmarkStart w:id="176" w:name="_Toc68035831"/>
      <w:bookmarkStart w:id="177" w:name="_Toc68036007"/>
      <w:bookmarkStart w:id="178" w:name="_Toc68035832"/>
      <w:bookmarkStart w:id="179" w:name="_Toc68036008"/>
      <w:bookmarkStart w:id="180" w:name="_Toc68035833"/>
      <w:bookmarkStart w:id="181" w:name="_Toc68036009"/>
      <w:bookmarkStart w:id="182" w:name="_Toc68035834"/>
      <w:bookmarkStart w:id="183" w:name="_Toc68036010"/>
      <w:bookmarkStart w:id="184" w:name="_Toc68035835"/>
      <w:bookmarkStart w:id="185" w:name="_Toc68036011"/>
      <w:bookmarkStart w:id="186" w:name="_Toc68035836"/>
      <w:bookmarkStart w:id="187" w:name="_Toc68036012"/>
      <w:bookmarkStart w:id="188" w:name="_Toc68035837"/>
      <w:bookmarkStart w:id="189" w:name="_Toc68036013"/>
      <w:bookmarkStart w:id="190" w:name="_Toc68035838"/>
      <w:bookmarkStart w:id="191" w:name="_Toc68036014"/>
      <w:bookmarkStart w:id="192" w:name="_Toc68035839"/>
      <w:bookmarkStart w:id="193" w:name="_Toc68036015"/>
      <w:bookmarkStart w:id="194" w:name="_Toc68035841"/>
      <w:bookmarkStart w:id="195" w:name="_Toc68036017"/>
      <w:bookmarkStart w:id="196" w:name="_Toc68035842"/>
      <w:bookmarkStart w:id="197" w:name="_Toc68036018"/>
      <w:bookmarkStart w:id="198" w:name="_Toc68035843"/>
      <w:bookmarkStart w:id="199" w:name="_Toc68036019"/>
      <w:bookmarkStart w:id="200" w:name="_Toc66647256"/>
      <w:bookmarkStart w:id="201" w:name="_Toc66647618"/>
      <w:bookmarkStart w:id="202" w:name="_Toc66647745"/>
      <w:bookmarkStart w:id="203" w:name="_Toc66647794"/>
      <w:bookmarkStart w:id="204" w:name="_Toc66860976"/>
      <w:bookmarkStart w:id="205" w:name="_Toc66862920"/>
      <w:bookmarkStart w:id="206" w:name="_Toc66900251"/>
      <w:bookmarkStart w:id="207" w:name="_Toc66901833"/>
      <w:bookmarkStart w:id="208" w:name="_Toc67437539"/>
      <w:bookmarkStart w:id="209" w:name="_Toc67437577"/>
      <w:bookmarkStart w:id="210" w:name="_Toc67457125"/>
      <w:bookmarkStart w:id="211" w:name="_Toc67464646"/>
      <w:bookmarkStart w:id="212" w:name="_Toc68035844"/>
      <w:bookmarkStart w:id="213" w:name="_Toc68036020"/>
      <w:bookmarkStart w:id="214" w:name="_Toc66647257"/>
      <w:bookmarkStart w:id="215" w:name="_Toc66647619"/>
      <w:bookmarkStart w:id="216" w:name="_Toc66647746"/>
      <w:bookmarkStart w:id="217" w:name="_Toc66647795"/>
      <w:bookmarkStart w:id="218" w:name="_Toc66860977"/>
      <w:bookmarkStart w:id="219" w:name="_Toc66862921"/>
      <w:bookmarkStart w:id="220" w:name="_Toc66900252"/>
      <w:bookmarkStart w:id="221" w:name="_Toc66901834"/>
      <w:bookmarkStart w:id="222" w:name="_Toc67437540"/>
      <w:bookmarkStart w:id="223" w:name="_Toc67437578"/>
      <w:bookmarkStart w:id="224" w:name="_Toc67457126"/>
      <w:bookmarkStart w:id="225" w:name="_Toc67464647"/>
      <w:bookmarkStart w:id="226" w:name="_Toc68035845"/>
      <w:bookmarkStart w:id="227" w:name="_Toc68036021"/>
      <w:bookmarkStart w:id="228" w:name="_Toc68035846"/>
      <w:bookmarkStart w:id="229" w:name="_Toc68036022"/>
      <w:bookmarkStart w:id="230" w:name="_Toc68035847"/>
      <w:bookmarkStart w:id="231" w:name="_Toc68036023"/>
      <w:bookmarkStart w:id="232" w:name="_Toc68035848"/>
      <w:bookmarkStart w:id="233" w:name="_Toc68036024"/>
      <w:bookmarkStart w:id="234" w:name="_Toc68035849"/>
      <w:bookmarkStart w:id="235" w:name="_Toc68036025"/>
      <w:bookmarkStart w:id="236" w:name="_Toc68035850"/>
      <w:bookmarkStart w:id="237" w:name="_Toc68036026"/>
      <w:bookmarkStart w:id="238" w:name="_Toc68035851"/>
      <w:bookmarkStart w:id="239" w:name="_Toc68036027"/>
      <w:bookmarkStart w:id="240" w:name="_Toc68035852"/>
      <w:bookmarkStart w:id="241" w:name="_Toc68036028"/>
      <w:bookmarkStart w:id="242" w:name="_Toc68035853"/>
      <w:bookmarkStart w:id="243" w:name="_Toc68036029"/>
      <w:bookmarkStart w:id="244" w:name="_Toc68035854"/>
      <w:bookmarkStart w:id="245" w:name="_Toc68036030"/>
      <w:bookmarkStart w:id="246" w:name="_Toc68035855"/>
      <w:bookmarkStart w:id="247" w:name="_Toc68036031"/>
      <w:bookmarkStart w:id="248" w:name="_Toc68035856"/>
      <w:bookmarkStart w:id="249" w:name="_Toc68036032"/>
      <w:bookmarkStart w:id="250" w:name="_Toc68035857"/>
      <w:bookmarkStart w:id="251" w:name="_Toc68036033"/>
      <w:bookmarkStart w:id="252" w:name="_Toc68035858"/>
      <w:bookmarkStart w:id="253" w:name="_Toc68036034"/>
      <w:bookmarkStart w:id="254" w:name="_Toc68035859"/>
      <w:bookmarkStart w:id="255" w:name="_Toc68036035"/>
      <w:bookmarkStart w:id="256" w:name="_Toc68035860"/>
      <w:bookmarkStart w:id="257" w:name="_Toc68036036"/>
      <w:bookmarkStart w:id="258" w:name="_Toc68035861"/>
      <w:bookmarkStart w:id="259" w:name="_Toc68036037"/>
      <w:bookmarkStart w:id="260" w:name="_Toc68035862"/>
      <w:bookmarkStart w:id="261" w:name="_Toc68036038"/>
      <w:bookmarkEnd w:id="10"/>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11977B48" w14:textId="77777777" w:rsidR="00B834B4" w:rsidRPr="00393D5E" w:rsidRDefault="07F06DE2" w:rsidP="00316A1B">
      <w:pPr>
        <w:pStyle w:val="Nadpis2"/>
        <w:spacing w:line="276" w:lineRule="auto"/>
      </w:pPr>
      <w:bookmarkStart w:id="262" w:name="_Toc135252497"/>
      <w:bookmarkStart w:id="263" w:name="_Toc135253940"/>
      <w:bookmarkStart w:id="264" w:name="_Toc151444340"/>
      <w:bookmarkStart w:id="265" w:name="_Hlk132716877"/>
      <w:bookmarkEnd w:id="262"/>
      <w:bookmarkEnd w:id="263"/>
      <w:r>
        <w:t>Pilíř č. 7 - REPowerEU</w:t>
      </w:r>
      <w:bookmarkEnd w:id="264"/>
    </w:p>
    <w:p w14:paraId="598CD970" w14:textId="77777777" w:rsidR="00A75179" w:rsidRPr="00393D5E" w:rsidRDefault="64CBB54F" w:rsidP="3E0D70EE">
      <w:pPr>
        <w:pStyle w:val="Nadpis3"/>
        <w:spacing w:line="276" w:lineRule="auto"/>
        <w:rPr>
          <w:rFonts w:asciiTheme="minorHAnsi" w:hAnsiTheme="minorHAnsi" w:cstheme="minorBidi"/>
        </w:rPr>
      </w:pPr>
      <w:bookmarkStart w:id="266" w:name="_Toc151444341"/>
      <w:r w:rsidRPr="3E0D70EE">
        <w:rPr>
          <w:rFonts w:asciiTheme="minorHAnsi" w:hAnsiTheme="minorHAnsi" w:cstheme="minorBidi"/>
        </w:rPr>
        <w:t>Obecný cíl kapitoly REPowerEU</w:t>
      </w:r>
      <w:bookmarkEnd w:id="266"/>
    </w:p>
    <w:p w14:paraId="0B7E7A3A" w14:textId="4345AF58" w:rsidR="00C12F5B" w:rsidRPr="00393D5E" w:rsidRDefault="7CC8A685" w:rsidP="00316A1B">
      <w:pPr>
        <w:spacing w:line="276" w:lineRule="auto"/>
        <w:jc w:val="both"/>
      </w:pPr>
      <w:r w:rsidRPr="00393D5E">
        <w:t>Geopolitický vývoj, který 24. února 2022 po napadení Ukrajiny ze strany Ruské federace vyústil do otevřeného válečného konfliktu, měl mimo jiné významné dopady na fungování energetického trhu. Tyto dopady se projevovaly zejména v</w:t>
      </w:r>
      <w:r w:rsidR="0003053E">
        <w:t> </w:t>
      </w:r>
      <w:r w:rsidRPr="00393D5E">
        <w:t>markantním nárůstu a</w:t>
      </w:r>
      <w:r w:rsidR="0003053E">
        <w:t> </w:t>
      </w:r>
      <w:r w:rsidRPr="00393D5E">
        <w:t>volatilitě cen energetických komodit (zemní plyn, ropa) a</w:t>
      </w:r>
      <w:r w:rsidR="0003053E">
        <w:t> </w:t>
      </w:r>
      <w:r w:rsidRPr="00393D5E">
        <w:t>energetických nosičů (elektrická energie). Také existovalo i</w:t>
      </w:r>
      <w:r w:rsidR="0003053E">
        <w:t> </w:t>
      </w:r>
      <w:r w:rsidRPr="00393D5E">
        <w:t>reálné riziko výpadku dodávek, zejména s</w:t>
      </w:r>
      <w:r w:rsidR="0003053E">
        <w:t> </w:t>
      </w:r>
      <w:r w:rsidRPr="00393D5E">
        <w:t xml:space="preserve">ohledem </w:t>
      </w:r>
      <w:r w:rsidR="1AF1F19C" w:rsidRPr="00393D5E">
        <w:t>n</w:t>
      </w:r>
      <w:r w:rsidRPr="00393D5E">
        <w:t>a</w:t>
      </w:r>
      <w:r w:rsidR="3778EA9D" w:rsidRPr="00393D5E">
        <w:t> </w:t>
      </w:r>
      <w:r w:rsidRPr="00393D5E">
        <w:t>omezování dodávek zemního plynu z</w:t>
      </w:r>
      <w:r w:rsidR="0003053E">
        <w:t> </w:t>
      </w:r>
      <w:r w:rsidRPr="00393D5E">
        <w:t>Ruské federace (k manipulativnímu jednání v</w:t>
      </w:r>
      <w:r w:rsidR="0003053E">
        <w:t> </w:t>
      </w:r>
      <w:r w:rsidRPr="00393D5E">
        <w:t>oblasti dodávek docházelo prokazatelně již před vypuknutím invaze na Ukrajinu), ke kterému</w:t>
      </w:r>
      <w:r w:rsidR="5D83B404" w:rsidRPr="00393D5E">
        <w:t xml:space="preserve"> </w:t>
      </w:r>
      <w:r w:rsidRPr="00393D5E">
        <w:t>v</w:t>
      </w:r>
      <w:r w:rsidR="0003053E">
        <w:t> </w:t>
      </w:r>
      <w:r w:rsidRPr="00393D5E">
        <w:t>důsledku opatření přijatých na úrovni EU, ale také jednotlivých členských států</w:t>
      </w:r>
      <w:r w:rsidR="00BA35F4" w:rsidRPr="00393D5E">
        <w:t>,</w:t>
      </w:r>
      <w:r w:rsidRPr="00393D5E">
        <w:t xml:space="preserve"> nakonec nedošlo.</w:t>
      </w:r>
    </w:p>
    <w:p w14:paraId="0E23C310" w14:textId="260A008F" w:rsidR="00C12F5B" w:rsidRPr="00393D5E" w:rsidRDefault="138AF20C" w:rsidP="00316A1B">
      <w:pPr>
        <w:spacing w:line="276" w:lineRule="auto"/>
        <w:jc w:val="both"/>
      </w:pPr>
      <w:r w:rsidRPr="00393D5E">
        <w:t>V roce 2020 EU dovážela cca 24,4 % energetických zdrojů z</w:t>
      </w:r>
      <w:r w:rsidR="0003053E">
        <w:t> </w:t>
      </w:r>
      <w:r w:rsidRPr="00393D5E">
        <w:t>Ruské federace (41,1 % zemního plynu, 36,5 % ropy a</w:t>
      </w:r>
      <w:r w:rsidR="0003053E">
        <w:t> </w:t>
      </w:r>
      <w:r w:rsidRPr="00393D5E">
        <w:t>19,3 % uhlí). V</w:t>
      </w:r>
      <w:r w:rsidR="0003053E">
        <w:t> </w:t>
      </w:r>
      <w:r w:rsidRPr="00393D5E">
        <w:t xml:space="preserve">reakci na agresivní jednání ze strany Ruské federace byla na úrovni EU posílena snaha </w:t>
      </w:r>
      <w:r w:rsidRPr="00393D5E">
        <w:lastRenderedPageBreak/>
        <w:t>maximálně snížit dovozní z</w:t>
      </w:r>
      <w:r w:rsidR="06FC88AA" w:rsidRPr="00393D5E">
        <w:t>ávis</w:t>
      </w:r>
      <w:r w:rsidRPr="00393D5E">
        <w:t>lost na Ruské federaci a</w:t>
      </w:r>
      <w:r w:rsidR="0003053E">
        <w:t> </w:t>
      </w:r>
      <w:r w:rsidRPr="00393D5E">
        <w:t>posílit odolnost EU. Dne 8. března 2022 bylo v</w:t>
      </w:r>
      <w:r w:rsidR="0003053E">
        <w:t> </w:t>
      </w:r>
      <w:r w:rsidRPr="00393D5E">
        <w:t>tomto ohledu na úrovni EU zveřejněno sdělení s</w:t>
      </w:r>
      <w:r w:rsidR="0003053E">
        <w:t> </w:t>
      </w:r>
      <w:r w:rsidRPr="00393D5E">
        <w:t>názvem „REPowerEU: společná evropská akce pro cenově dostupnější, bezpečnější a</w:t>
      </w:r>
      <w:r w:rsidR="0003053E">
        <w:t> </w:t>
      </w:r>
      <w:r w:rsidRPr="00393D5E">
        <w:t>udržitelnější energii“, které naznač</w:t>
      </w:r>
      <w:r w:rsidR="68E9FDDD" w:rsidRPr="00393D5E">
        <w:t>ilo</w:t>
      </w:r>
      <w:r w:rsidRPr="00393D5E">
        <w:t xml:space="preserve"> základní rámec možných dalších kroků. Toto sdělení bylo následně rozpracováno do konkrétních legislativních návrhů. Byly také uvolněny dodatečné investiční prostředky v</w:t>
      </w:r>
      <w:r w:rsidR="0003053E">
        <w:t> </w:t>
      </w:r>
      <w:r w:rsidRPr="00393D5E">
        <w:t>rámci</w:t>
      </w:r>
      <w:r w:rsidR="66EC4A58" w:rsidRPr="00393D5E">
        <w:t xml:space="preserve"> Nástroje</w:t>
      </w:r>
      <w:r w:rsidR="2D8290A4" w:rsidRPr="00393D5E">
        <w:t xml:space="preserve"> </w:t>
      </w:r>
      <w:r w:rsidRPr="00393D5E">
        <w:t xml:space="preserve">pro </w:t>
      </w:r>
      <w:r w:rsidR="07185BE2" w:rsidRPr="00393D5E">
        <w:t>oživení</w:t>
      </w:r>
      <w:r w:rsidRPr="00393D5E">
        <w:t xml:space="preserve"> a</w:t>
      </w:r>
      <w:r w:rsidR="0003053E">
        <w:t> </w:t>
      </w:r>
      <w:r w:rsidRPr="00393D5E">
        <w:t>odolnost.</w:t>
      </w:r>
    </w:p>
    <w:p w14:paraId="0CFEF4F0" w14:textId="7425B424" w:rsidR="00C12F5B" w:rsidRPr="00393D5E" w:rsidRDefault="00C12F5B" w:rsidP="0AFA31E3">
      <w:pPr>
        <w:spacing w:line="276" w:lineRule="auto"/>
        <w:jc w:val="both"/>
      </w:pPr>
      <w:r w:rsidRPr="00393D5E">
        <w:t>V souladu s</w:t>
      </w:r>
      <w:r w:rsidR="0003053E">
        <w:t> </w:t>
      </w:r>
      <w:r w:rsidRPr="00393D5E">
        <w:t>plánem REPowerEU hodlá ČR investovat do zlepšení energetické infrastruktury a</w:t>
      </w:r>
      <w:r w:rsidR="0003053E">
        <w:t> </w:t>
      </w:r>
      <w:r w:rsidRPr="00393D5E">
        <w:t>zařízení, zejména do rozvoje plynovodů, terminálů pro zkapalněný zemní plyn (LNG) a</w:t>
      </w:r>
      <w:r w:rsidR="0003053E">
        <w:t> </w:t>
      </w:r>
      <w:r w:rsidRPr="00393D5E">
        <w:t>skladovacích kapacit pro plyn, aby zajistila bezpečnost dodávek plynu a</w:t>
      </w:r>
      <w:r w:rsidR="0003053E">
        <w:t> </w:t>
      </w:r>
      <w:r w:rsidRPr="00393D5E">
        <w:t>diverzifikovala jejich zdroje. Česká republika také podporuje rozvoj trhu s</w:t>
      </w:r>
      <w:r w:rsidR="0003053E">
        <w:t> </w:t>
      </w:r>
      <w:r w:rsidRPr="00393D5E">
        <w:t>vodíkem v</w:t>
      </w:r>
      <w:r w:rsidR="0003053E">
        <w:t> </w:t>
      </w:r>
      <w:r w:rsidRPr="00393D5E">
        <w:t>EU a</w:t>
      </w:r>
      <w:r w:rsidR="0003053E">
        <w:t> </w:t>
      </w:r>
      <w:r w:rsidRPr="00393D5E">
        <w:t>plánuje zvýšit produkci a</w:t>
      </w:r>
      <w:r w:rsidR="0003053E">
        <w:t> </w:t>
      </w:r>
      <w:r w:rsidRPr="00393D5E">
        <w:t>využití udržitelného biometanu a</w:t>
      </w:r>
      <w:r w:rsidR="0003053E">
        <w:t> </w:t>
      </w:r>
      <w:r w:rsidRPr="00393D5E">
        <w:t>bezemisního vodíku v</w:t>
      </w:r>
      <w:r w:rsidR="0003053E">
        <w:t> </w:t>
      </w:r>
      <w:r w:rsidRPr="00393D5E">
        <w:t>průmyslu, dopravě a</w:t>
      </w:r>
      <w:r w:rsidR="0003053E">
        <w:t> </w:t>
      </w:r>
      <w:r w:rsidRPr="00393D5E">
        <w:t>energetice. ČR se zaměřuje na zvyšování energetické účinnosti budov, dekarbonizaci průmyslu, zvyšování podílu a</w:t>
      </w:r>
      <w:r w:rsidR="0003053E">
        <w:t> </w:t>
      </w:r>
      <w:r w:rsidRPr="00393D5E">
        <w:t>urychlování nasazování obnovitelných zdrojů energie, zejména solárních panelů, větrných elektráren a</w:t>
      </w:r>
      <w:r w:rsidR="0003053E">
        <w:t> </w:t>
      </w:r>
      <w:r w:rsidRPr="00393D5E">
        <w:t>malých vodních elektráren. Česká republika také řeší problém energetické chudoby, podporuje snižování poptávky po energii, odstraňuje překážky pro přenos a</w:t>
      </w:r>
      <w:r w:rsidR="0003053E">
        <w:t> </w:t>
      </w:r>
      <w:r w:rsidRPr="00393D5E">
        <w:t>distribuci energie uvnitř i</w:t>
      </w:r>
      <w:r w:rsidR="0003053E">
        <w:t> </w:t>
      </w:r>
      <w:r w:rsidRPr="00393D5E">
        <w:t>mezi státy a</w:t>
      </w:r>
      <w:r w:rsidR="0003053E">
        <w:t> </w:t>
      </w:r>
      <w:r w:rsidRPr="00393D5E">
        <w:t>podporuje nulovou emisní dopravu a</w:t>
      </w:r>
      <w:r w:rsidR="0003053E">
        <w:t> </w:t>
      </w:r>
      <w:r w:rsidRPr="00393D5E">
        <w:t>její infrastrukturu.</w:t>
      </w:r>
    </w:p>
    <w:p w14:paraId="2C07508A" w14:textId="0EE416FE" w:rsidR="00C12F5B" w:rsidRPr="00393D5E" w:rsidRDefault="5F82A862" w:rsidP="5BC52D6A">
      <w:pPr>
        <w:spacing w:line="276" w:lineRule="auto"/>
        <w:jc w:val="both"/>
      </w:pPr>
      <w:r w:rsidRPr="00393D5E">
        <w:t>I přes to, že ČR patří ve srovnání se zeměmi EU 27 mezi země s</w:t>
      </w:r>
      <w:r w:rsidR="0003053E">
        <w:t> </w:t>
      </w:r>
      <w:r w:rsidRPr="00393D5E">
        <w:t>relativně nízkou energetickou dovozní závislostí, tak dovozní závislost odpovídala v</w:t>
      </w:r>
      <w:r w:rsidR="0003053E">
        <w:t> </w:t>
      </w:r>
      <w:r w:rsidRPr="00393D5E">
        <w:t>roce 2021 hodnotě 40,2 %. Dovozní závislost je však odlišná pro jednotliv</w:t>
      </w:r>
      <w:r w:rsidR="2AB5690D" w:rsidRPr="00393D5E">
        <w:t>é</w:t>
      </w:r>
      <w:r w:rsidRPr="00393D5E">
        <w:t xml:space="preserve"> energetické zdroje, v</w:t>
      </w:r>
      <w:r w:rsidR="0003053E">
        <w:t> </w:t>
      </w:r>
      <w:r w:rsidRPr="00393D5E">
        <w:t>případě zemního plynu činila v</w:t>
      </w:r>
      <w:r w:rsidR="0003053E">
        <w:t> </w:t>
      </w:r>
      <w:r w:rsidRPr="00393D5E">
        <w:t>roce 2021 dovozní závislost 92,1 % a</w:t>
      </w:r>
      <w:r w:rsidR="0003053E">
        <w:t> </w:t>
      </w:r>
      <w:r w:rsidRPr="00393D5E">
        <w:t>v</w:t>
      </w:r>
      <w:r w:rsidR="00C37D39">
        <w:t> </w:t>
      </w:r>
      <w:r w:rsidRPr="00393D5E">
        <w:t>případě surové ropy 96,2 %. Vzhledem ke geografickému umístění ČR, historickému vývoji a</w:t>
      </w:r>
      <w:r w:rsidR="0003053E">
        <w:t> </w:t>
      </w:r>
      <w:r w:rsidRPr="00393D5E">
        <w:t>vysokému podílu dovážených paliv jako je zemní plyn a</w:t>
      </w:r>
      <w:r w:rsidR="0003053E">
        <w:t> </w:t>
      </w:r>
      <w:r w:rsidRPr="00393D5E">
        <w:t>ropa pak dovozní závislost na Ruské federaci v</w:t>
      </w:r>
      <w:r w:rsidR="0003053E">
        <w:t> </w:t>
      </w:r>
      <w:r w:rsidRPr="00393D5E">
        <w:t>roce 2021 odpovídala 25,4 %.</w:t>
      </w:r>
    </w:p>
    <w:p w14:paraId="2FA97E33" w14:textId="64E9B3D0" w:rsidR="00C12F5B" w:rsidRPr="00393D5E" w:rsidRDefault="5F82A862" w:rsidP="5BC52D6A">
      <w:pPr>
        <w:spacing w:line="276" w:lineRule="auto"/>
        <w:jc w:val="both"/>
      </w:pPr>
      <w:r w:rsidRPr="00393D5E">
        <w:t>V tomto kontextu již na úrovni ČR probíhá energetická transformace, která by měla vést nejenom ke snížení emisí skleníkových plynů, ale také k</w:t>
      </w:r>
      <w:r w:rsidR="0003053E">
        <w:t> </w:t>
      </w:r>
      <w:r w:rsidRPr="00393D5E">
        <w:t>posílení odolnosti. Již nyní cca polovina elektřiny pochází z</w:t>
      </w:r>
      <w:r w:rsidR="0003053E">
        <w:t> </w:t>
      </w:r>
      <w:r w:rsidRPr="00393D5E">
        <w:t>nízko emisních zdrojů (obnovitelných zdrojů a</w:t>
      </w:r>
      <w:r w:rsidR="0003053E">
        <w:t> </w:t>
      </w:r>
      <w:r w:rsidRPr="00393D5E">
        <w:t>jaderných zdrojů) a</w:t>
      </w:r>
      <w:r w:rsidR="0003053E">
        <w:t> </w:t>
      </w:r>
      <w:r w:rsidRPr="00393D5E">
        <w:t>do budoucna by mělo docházet k</w:t>
      </w:r>
      <w:r w:rsidR="0003053E">
        <w:t> </w:t>
      </w:r>
      <w:r w:rsidRPr="00393D5E">
        <w:t>dalšímu zvyšování podílů těchto zdrojů, a</w:t>
      </w:r>
      <w:r w:rsidR="0003053E">
        <w:t> </w:t>
      </w:r>
      <w:r w:rsidRPr="00393D5E">
        <w:t>to i</w:t>
      </w:r>
      <w:r w:rsidR="0003053E">
        <w:t> </w:t>
      </w:r>
      <w:r w:rsidRPr="00393D5E">
        <w:t>v ostatních sektorech (doprava, průmysl atd.), kde je rozvoj tohoto typu zdrojů zatím problematičtější. I</w:t>
      </w:r>
      <w:r w:rsidR="0003053E">
        <w:t> </w:t>
      </w:r>
      <w:r w:rsidRPr="00393D5E">
        <w:t>přes to, že centrální energetika bude mít stále důležitou roli, tak zároveň probíhá rozvoj lokálních (decentralizovaných) zdrojů energie zejména na bázi obnovitelných zdrojů energie, které by měly přispívat k</w:t>
      </w:r>
      <w:r w:rsidR="0003053E">
        <w:t> </w:t>
      </w:r>
      <w:r w:rsidRPr="00393D5E">
        <w:t>větší odolnosti. Podmínkou pro další rozvoj a</w:t>
      </w:r>
      <w:r w:rsidR="0003053E">
        <w:t> </w:t>
      </w:r>
      <w:r w:rsidRPr="00393D5E">
        <w:t>e</w:t>
      </w:r>
      <w:r w:rsidR="4A144BD9" w:rsidRPr="00393D5E">
        <w:t>f</w:t>
      </w:r>
      <w:r w:rsidRPr="00393D5E">
        <w:t>ektivní využití těchto zdrojů je sdílení energie na lokální úrovni. I</w:t>
      </w:r>
      <w:r w:rsidR="0003053E">
        <w:t> </w:t>
      </w:r>
      <w:r w:rsidRPr="00393D5E">
        <w:t>za předpokladu, že část energie bude vyráběna a</w:t>
      </w:r>
      <w:r w:rsidR="0003053E">
        <w:t> </w:t>
      </w:r>
      <w:r w:rsidRPr="00393D5E">
        <w:t>spotřebována lokálně</w:t>
      </w:r>
      <w:r w:rsidR="68E47A6A" w:rsidRPr="00393D5E">
        <w:t xml:space="preserve">, </w:t>
      </w:r>
      <w:r w:rsidRPr="00393D5E">
        <w:t>případně sdílena bez využití veřejné</w:t>
      </w:r>
      <w:r w:rsidR="59A7ABB0" w:rsidRPr="00393D5E">
        <w:t xml:space="preserve"> přenosové</w:t>
      </w:r>
      <w:r w:rsidRPr="00393D5E">
        <w:t xml:space="preserve"> sítě, tak je patrné, že energetická síť</w:t>
      </w:r>
      <w:r w:rsidR="2C43BF92" w:rsidRPr="00393D5E">
        <w:t>,</w:t>
      </w:r>
      <w:r w:rsidRPr="00393D5E">
        <w:t xml:space="preserve"> v</w:t>
      </w:r>
      <w:r w:rsidR="0003053E">
        <w:t> </w:t>
      </w:r>
      <w:r w:rsidRPr="00393D5E">
        <w:t>oblasti elektroenergetiky</w:t>
      </w:r>
      <w:r w:rsidR="22DEAD7E" w:rsidRPr="00393D5E">
        <w:t xml:space="preserve"> se </w:t>
      </w:r>
      <w:r w:rsidRPr="00393D5E">
        <w:t>jedná</w:t>
      </w:r>
      <w:r w:rsidR="24DAF92A" w:rsidRPr="00393D5E">
        <w:t xml:space="preserve"> </w:t>
      </w:r>
      <w:r w:rsidRPr="00393D5E">
        <w:t xml:space="preserve">zejména </w:t>
      </w:r>
      <w:r w:rsidR="6FE10B24" w:rsidRPr="00393D5E">
        <w:t>o</w:t>
      </w:r>
      <w:r w:rsidR="0003053E">
        <w:t> </w:t>
      </w:r>
      <w:r w:rsidRPr="00393D5E">
        <w:t>distribuční síť, a</w:t>
      </w:r>
      <w:r w:rsidR="0003053E">
        <w:t> </w:t>
      </w:r>
      <w:r w:rsidRPr="00393D5E">
        <w:t>její posilování je důležitým předpokladem. V</w:t>
      </w:r>
      <w:r w:rsidR="0003053E">
        <w:t> </w:t>
      </w:r>
      <w:r w:rsidRPr="00393D5E">
        <w:t>tomto ohledu je mimo jiné důležitý aspekt digitalizace a</w:t>
      </w:r>
      <w:r w:rsidR="0003053E">
        <w:t> </w:t>
      </w:r>
      <w:r w:rsidRPr="00393D5E">
        <w:t>vyšší využití tzv. chytrých sítí. Na úrovni ČR existuje tzv. Národní akční plán chytrých sítí, který je určitou cestovní mapou implementace těchto prvků.</w:t>
      </w:r>
    </w:p>
    <w:p w14:paraId="085869FE" w14:textId="77777777" w:rsidR="00B834B4" w:rsidRPr="00393D5E" w:rsidRDefault="00B834B4" w:rsidP="00316A1B">
      <w:pPr>
        <w:spacing w:line="276" w:lineRule="auto"/>
        <w:jc w:val="both"/>
        <w:rPr>
          <w:sz w:val="20"/>
          <w:szCs w:val="20"/>
        </w:rPr>
      </w:pPr>
    </w:p>
    <w:p w14:paraId="42E6F5B6" w14:textId="57B877D8" w:rsidR="00A75179" w:rsidRPr="00393D5E" w:rsidRDefault="64CBB54F" w:rsidP="00316A1B">
      <w:pPr>
        <w:pStyle w:val="Nadpis3"/>
        <w:spacing w:line="276" w:lineRule="auto"/>
      </w:pPr>
      <w:bookmarkStart w:id="267" w:name="_Toc151444342"/>
      <w:r>
        <w:t>Popis příslušných reforem a</w:t>
      </w:r>
      <w:r w:rsidR="0003053E">
        <w:t> </w:t>
      </w:r>
      <w:r>
        <w:t>investic</w:t>
      </w:r>
      <w:bookmarkEnd w:id="267"/>
    </w:p>
    <w:p w14:paraId="6D19F490" w14:textId="77777777" w:rsidR="00A14491" w:rsidRPr="00393D5E" w:rsidRDefault="178BD9C4" w:rsidP="3E0D70EE">
      <w:pPr>
        <w:pStyle w:val="Nadpis4"/>
        <w:numPr>
          <w:ilvl w:val="3"/>
          <w:numId w:val="4"/>
        </w:numPr>
        <w:spacing w:line="276" w:lineRule="auto"/>
        <w:rPr>
          <w:rFonts w:asciiTheme="minorHAnsi" w:hAnsiTheme="minorHAnsi" w:cstheme="minorBidi"/>
          <w:sz w:val="22"/>
        </w:rPr>
      </w:pPr>
      <w:bookmarkStart w:id="268" w:name="_Toc151444343"/>
      <w:r w:rsidRPr="3E0D70EE">
        <w:rPr>
          <w:rFonts w:asciiTheme="minorHAnsi" w:hAnsiTheme="minorHAnsi" w:cstheme="minorBidi"/>
          <w:sz w:val="22"/>
        </w:rPr>
        <w:t>Shrnutí</w:t>
      </w:r>
      <w:bookmarkEnd w:id="268"/>
    </w:p>
    <w:p w14:paraId="21F4D553" w14:textId="7F914FA6" w:rsidR="005736E5" w:rsidRPr="00393D5E" w:rsidRDefault="478943BF" w:rsidP="00316A1B">
      <w:pPr>
        <w:spacing w:line="276" w:lineRule="auto"/>
        <w:jc w:val="both"/>
      </w:pPr>
      <w:r w:rsidRPr="00393D5E">
        <w:t>Jak bylo uvedeno výše, z</w:t>
      </w:r>
      <w:r w:rsidR="0003053E">
        <w:t> </w:t>
      </w:r>
      <w:r w:rsidRPr="00393D5E">
        <w:t>objektivních důvodů představuje rychlé splnění cílů plánu REPowerEU pro ČR velkou výzvu. ČR proto plánuje využít pro implementaci opatření plnících cíle REPowerEU nejen grantové prostředky (pocházející ze systému ETS i</w:t>
      </w:r>
      <w:r w:rsidR="0003053E">
        <w:t> </w:t>
      </w:r>
      <w:r w:rsidRPr="00393D5E">
        <w:t>z nástroje NextGenerationEU), ale i</w:t>
      </w:r>
      <w:r w:rsidR="0003053E">
        <w:t> </w:t>
      </w:r>
      <w:r w:rsidRPr="00393D5E">
        <w:t>půjčku z</w:t>
      </w:r>
      <w:r w:rsidR="0003053E">
        <w:t> </w:t>
      </w:r>
      <w:r w:rsidRPr="00393D5E">
        <w:t>RRF. Přehled všech opatření kapitoly REPowerEU s</w:t>
      </w:r>
      <w:r w:rsidR="0003053E">
        <w:t> </w:t>
      </w:r>
      <w:r w:rsidRPr="00393D5E">
        <w:t>identifikací zdroje financování je uveden v</w:t>
      </w:r>
      <w:r w:rsidR="0003053E">
        <w:t> </w:t>
      </w:r>
      <w:r w:rsidRPr="00393D5E">
        <w:t>tabulce níže.</w:t>
      </w:r>
    </w:p>
    <w:p w14:paraId="78E976FB" w14:textId="6203D496" w:rsidR="00637F54" w:rsidRPr="00393D5E" w:rsidRDefault="00637F54" w:rsidP="0AFA31E3">
      <w:pPr>
        <w:spacing w:line="276" w:lineRule="auto"/>
        <w:jc w:val="both"/>
        <w:rPr>
          <w:b/>
          <w:bCs/>
          <w:u w:val="single"/>
        </w:rPr>
      </w:pPr>
    </w:p>
    <w:tbl>
      <w:tblPr>
        <w:tblStyle w:val="Mkatabulky"/>
        <w:tblW w:w="0" w:type="auto"/>
        <w:tblLayout w:type="fixed"/>
        <w:tblLook w:val="04A0" w:firstRow="1" w:lastRow="0" w:firstColumn="1" w:lastColumn="0" w:noHBand="0" w:noVBand="1"/>
      </w:tblPr>
      <w:tblGrid>
        <w:gridCol w:w="1530"/>
        <w:gridCol w:w="3840"/>
        <w:gridCol w:w="1695"/>
        <w:gridCol w:w="2130"/>
      </w:tblGrid>
      <w:tr w:rsidR="0AFA31E3" w:rsidRPr="00393D5E" w14:paraId="0BF4A185" w14:textId="77777777" w:rsidTr="35187188">
        <w:trPr>
          <w:trHeight w:val="300"/>
        </w:trPr>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right w:w="108" w:type="dxa"/>
            </w:tcMar>
          </w:tcPr>
          <w:p w14:paraId="1AF1CDE5" w14:textId="78B1DA35" w:rsidR="0AFA31E3" w:rsidRPr="00393D5E" w:rsidRDefault="0AFA31E3" w:rsidP="0AFA31E3">
            <w:pPr>
              <w:spacing w:line="276" w:lineRule="auto"/>
              <w:jc w:val="both"/>
            </w:pPr>
            <w:r w:rsidRPr="00393D5E">
              <w:rPr>
                <w:rFonts w:ascii="Calibri" w:eastAsia="Calibri" w:hAnsi="Calibri" w:cs="Calibri"/>
                <w:b/>
                <w:bCs/>
              </w:rPr>
              <w:lastRenderedPageBreak/>
              <w:t>Komponenta</w:t>
            </w:r>
          </w:p>
        </w:tc>
        <w:tc>
          <w:tcPr>
            <w:tcW w:w="38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right w:w="108" w:type="dxa"/>
            </w:tcMar>
          </w:tcPr>
          <w:p w14:paraId="649CA802" w14:textId="5B76FA93" w:rsidR="0AFA31E3" w:rsidRPr="00393D5E" w:rsidRDefault="0AFA31E3" w:rsidP="0AFA31E3">
            <w:pPr>
              <w:spacing w:line="276" w:lineRule="auto"/>
              <w:jc w:val="both"/>
            </w:pPr>
            <w:r w:rsidRPr="00393D5E">
              <w:rPr>
                <w:rFonts w:ascii="Calibri" w:eastAsia="Calibri" w:hAnsi="Calibri" w:cs="Calibri"/>
                <w:b/>
                <w:bCs/>
              </w:rPr>
              <w:t>Opatření</w:t>
            </w:r>
          </w:p>
        </w:tc>
        <w:tc>
          <w:tcPr>
            <w:tcW w:w="16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right w:w="108" w:type="dxa"/>
            </w:tcMar>
          </w:tcPr>
          <w:p w14:paraId="449FF05E" w14:textId="0BD0CECD" w:rsidR="0AFA31E3" w:rsidRPr="00393D5E" w:rsidRDefault="0AFA31E3" w:rsidP="0AFA31E3">
            <w:pPr>
              <w:spacing w:line="276" w:lineRule="auto"/>
              <w:jc w:val="both"/>
            </w:pPr>
            <w:r w:rsidRPr="00393D5E">
              <w:rPr>
                <w:rFonts w:ascii="Calibri" w:eastAsia="Calibri" w:hAnsi="Calibri" w:cs="Calibri"/>
                <w:b/>
                <w:bCs/>
              </w:rPr>
              <w:t>Odhad nákladů (mld. Kč)</w:t>
            </w:r>
          </w:p>
        </w:tc>
        <w:tc>
          <w:tcPr>
            <w:tcW w:w="21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left w:w="108" w:type="dxa"/>
              <w:right w:w="108" w:type="dxa"/>
            </w:tcMar>
          </w:tcPr>
          <w:p w14:paraId="50B56DD4" w14:textId="132ECB53" w:rsidR="0AFA31E3" w:rsidRPr="00393D5E" w:rsidRDefault="0AFA31E3" w:rsidP="0AFA31E3">
            <w:pPr>
              <w:spacing w:line="276" w:lineRule="auto"/>
              <w:jc w:val="both"/>
            </w:pPr>
            <w:r w:rsidRPr="00393D5E">
              <w:rPr>
                <w:rFonts w:ascii="Calibri" w:eastAsia="Calibri" w:hAnsi="Calibri" w:cs="Calibri"/>
                <w:b/>
                <w:bCs/>
              </w:rPr>
              <w:t>Zdroj financování</w:t>
            </w:r>
          </w:p>
        </w:tc>
      </w:tr>
      <w:tr w:rsidR="00943715" w:rsidRPr="00393D5E" w14:paraId="00EFB627" w14:textId="77777777" w:rsidTr="35187188">
        <w:trPr>
          <w:trHeight w:val="300"/>
        </w:trPr>
        <w:tc>
          <w:tcPr>
            <w:tcW w:w="1530" w:type="dxa"/>
            <w:vMerge w:val="restart"/>
            <w:tcBorders>
              <w:top w:val="single" w:sz="4" w:space="0" w:color="auto"/>
              <w:left w:val="single" w:sz="4" w:space="0" w:color="auto"/>
              <w:bottom w:val="single" w:sz="4" w:space="0" w:color="auto"/>
              <w:right w:val="single" w:sz="4" w:space="0" w:color="auto"/>
            </w:tcBorders>
            <w:tcMar>
              <w:left w:w="108" w:type="dxa"/>
              <w:right w:w="108" w:type="dxa"/>
            </w:tcMar>
          </w:tcPr>
          <w:p w14:paraId="670E107A" w14:textId="7847B713" w:rsidR="00943715" w:rsidRPr="00393D5E" w:rsidRDefault="00943715" w:rsidP="00C37D39">
            <w:pPr>
              <w:spacing w:line="276" w:lineRule="auto"/>
            </w:pPr>
            <w:r w:rsidRPr="00393D5E">
              <w:rPr>
                <w:rFonts w:ascii="Calibri" w:eastAsia="Calibri" w:hAnsi="Calibri" w:cs="Calibri"/>
              </w:rPr>
              <w:t>7.1</w:t>
            </w:r>
            <w:r w:rsidR="00FA403F" w:rsidRPr="35187188">
              <w:rPr>
                <w:rFonts w:eastAsia="Calibri"/>
                <w:color w:val="212121"/>
              </w:rPr>
              <w:t xml:space="preserve"> Infrastruktura pro obnovitelné zdroje energie a</w:t>
            </w:r>
            <w:r w:rsidR="0003053E">
              <w:rPr>
                <w:rFonts w:eastAsia="Calibri"/>
                <w:color w:val="212121"/>
              </w:rPr>
              <w:t> </w:t>
            </w:r>
            <w:r w:rsidR="00FA403F" w:rsidRPr="35187188">
              <w:rPr>
                <w:rFonts w:eastAsia="Calibri"/>
                <w:color w:val="212121"/>
              </w:rPr>
              <w:t>elektrizační soustava</w:t>
            </w:r>
          </w:p>
        </w:tc>
        <w:tc>
          <w:tcPr>
            <w:tcW w:w="3840" w:type="dxa"/>
            <w:tcBorders>
              <w:top w:val="single" w:sz="4" w:space="0" w:color="auto"/>
              <w:left w:val="single" w:sz="4" w:space="0" w:color="auto"/>
              <w:bottom w:val="single" w:sz="4" w:space="0" w:color="auto"/>
              <w:right w:val="single" w:sz="4" w:space="0" w:color="auto"/>
            </w:tcBorders>
            <w:tcMar>
              <w:left w:w="108" w:type="dxa"/>
              <w:right w:w="108" w:type="dxa"/>
            </w:tcMar>
          </w:tcPr>
          <w:p w14:paraId="39139B7C" w14:textId="33FF9250" w:rsidR="00943715" w:rsidRPr="00393D5E" w:rsidRDefault="00776563" w:rsidP="00C37D39">
            <w:pPr>
              <w:spacing w:line="276" w:lineRule="auto"/>
            </w:pPr>
            <w:r w:rsidRPr="00776563">
              <w:rPr>
                <w:rFonts w:ascii="Calibri" w:eastAsia="Calibri" w:hAnsi="Calibri" w:cs="Calibri"/>
                <w:color w:val="000000" w:themeColor="text1"/>
              </w:rPr>
              <w:t>Zrychlení a</w:t>
            </w:r>
            <w:r w:rsidR="0003053E">
              <w:rPr>
                <w:rFonts w:ascii="Calibri" w:eastAsia="Calibri" w:hAnsi="Calibri" w:cs="Calibri"/>
                <w:color w:val="000000" w:themeColor="text1"/>
              </w:rPr>
              <w:t> </w:t>
            </w:r>
            <w:r w:rsidRPr="00776563">
              <w:rPr>
                <w:rFonts w:ascii="Calibri" w:eastAsia="Calibri" w:hAnsi="Calibri" w:cs="Calibri"/>
                <w:color w:val="000000" w:themeColor="text1"/>
              </w:rPr>
              <w:t>digitalizace povolovacího procesu pro obnovitelné zdroje energie</w:t>
            </w:r>
          </w:p>
        </w:tc>
        <w:tc>
          <w:tcPr>
            <w:tcW w:w="1695" w:type="dxa"/>
            <w:tcBorders>
              <w:top w:val="single" w:sz="4" w:space="0" w:color="auto"/>
              <w:left w:val="single" w:sz="4" w:space="0" w:color="auto"/>
              <w:bottom w:val="single" w:sz="4" w:space="0" w:color="auto"/>
              <w:right w:val="single" w:sz="4" w:space="0" w:color="auto"/>
            </w:tcBorders>
            <w:tcMar>
              <w:left w:w="108" w:type="dxa"/>
              <w:right w:w="108" w:type="dxa"/>
            </w:tcMar>
          </w:tcPr>
          <w:p w14:paraId="68CFBDB6" w14:textId="45DEE4D3" w:rsidR="00943715" w:rsidRPr="00393D5E" w:rsidRDefault="22E68233" w:rsidP="13105CAA">
            <w:pPr>
              <w:spacing w:line="276" w:lineRule="auto"/>
              <w:jc w:val="center"/>
              <w:rPr>
                <w:rFonts w:ascii="Calibri" w:eastAsia="Calibri" w:hAnsi="Calibri" w:cs="Calibri"/>
              </w:rPr>
            </w:pPr>
            <w:r w:rsidRPr="13105CAA">
              <w:rPr>
                <w:rFonts w:ascii="Calibri" w:eastAsia="Calibri" w:hAnsi="Calibri" w:cs="Calibri"/>
              </w:rPr>
              <w:t>0</w:t>
            </w:r>
          </w:p>
        </w:tc>
        <w:tc>
          <w:tcPr>
            <w:tcW w:w="2130" w:type="dxa"/>
            <w:vMerge w:val="restart"/>
            <w:tcBorders>
              <w:top w:val="single" w:sz="4" w:space="0" w:color="auto"/>
              <w:left w:val="single" w:sz="4" w:space="0" w:color="auto"/>
              <w:bottom w:val="single" w:sz="4" w:space="0" w:color="auto"/>
              <w:right w:val="single" w:sz="4" w:space="0" w:color="auto"/>
            </w:tcBorders>
            <w:tcMar>
              <w:left w:w="108" w:type="dxa"/>
              <w:right w:w="108" w:type="dxa"/>
            </w:tcMar>
          </w:tcPr>
          <w:p w14:paraId="27EEE6C0" w14:textId="03C607B6" w:rsidR="00943715" w:rsidRPr="00393D5E" w:rsidRDefault="00FF502E" w:rsidP="0AFA31E3">
            <w:pPr>
              <w:spacing w:line="276" w:lineRule="auto"/>
              <w:jc w:val="both"/>
            </w:pPr>
            <w:r w:rsidRPr="00393D5E">
              <w:rPr>
                <w:rFonts w:ascii="Calibri" w:eastAsia="Calibri" w:hAnsi="Calibri" w:cs="Calibri"/>
              </w:rPr>
              <w:t>ETS granty</w:t>
            </w:r>
            <w:r w:rsidR="00943715" w:rsidRPr="00393D5E">
              <w:rPr>
                <w:rFonts w:ascii="Calibri" w:eastAsia="Calibri" w:hAnsi="Calibri" w:cs="Calibri"/>
              </w:rPr>
              <w:t xml:space="preserve"> </w:t>
            </w:r>
          </w:p>
          <w:p w14:paraId="1B025F00" w14:textId="6FA0A8A1" w:rsidR="00943715" w:rsidRPr="00393D5E" w:rsidRDefault="00943715" w:rsidP="0AFA31E3">
            <w:pPr>
              <w:spacing w:line="276" w:lineRule="auto"/>
              <w:jc w:val="both"/>
            </w:pPr>
            <w:r w:rsidRPr="00393D5E">
              <w:rPr>
                <w:rFonts w:ascii="Calibri" w:eastAsia="Calibri" w:hAnsi="Calibri" w:cs="Calibri"/>
              </w:rPr>
              <w:t xml:space="preserve"> </w:t>
            </w:r>
          </w:p>
        </w:tc>
      </w:tr>
      <w:tr w:rsidR="00943715" w:rsidRPr="00393D5E" w14:paraId="09FB0706" w14:textId="77777777" w:rsidTr="35187188">
        <w:trPr>
          <w:trHeight w:val="300"/>
        </w:trPr>
        <w:tc>
          <w:tcPr>
            <w:tcW w:w="1530" w:type="dxa"/>
            <w:vMerge/>
            <w:vAlign w:val="center"/>
          </w:tcPr>
          <w:p w14:paraId="1C6F1A44" w14:textId="77777777" w:rsidR="00943715" w:rsidRPr="00393D5E" w:rsidRDefault="00943715" w:rsidP="00C37D39"/>
        </w:tc>
        <w:tc>
          <w:tcPr>
            <w:tcW w:w="3840" w:type="dxa"/>
            <w:tcBorders>
              <w:top w:val="single" w:sz="4" w:space="0" w:color="auto"/>
              <w:left w:val="single" w:sz="4" w:space="0" w:color="auto"/>
              <w:bottom w:val="single" w:sz="4" w:space="0" w:color="auto"/>
              <w:right w:val="single" w:sz="4" w:space="0" w:color="auto"/>
            </w:tcBorders>
            <w:tcMar>
              <w:left w:w="108" w:type="dxa"/>
              <w:right w:w="108" w:type="dxa"/>
            </w:tcMar>
          </w:tcPr>
          <w:p w14:paraId="23845DBE" w14:textId="29F6ECEA" w:rsidR="00943715" w:rsidRPr="00393D5E" w:rsidRDefault="009A23AA" w:rsidP="00C37D39">
            <w:pPr>
              <w:spacing w:line="276" w:lineRule="auto"/>
            </w:pPr>
            <w:r w:rsidRPr="009A23AA">
              <w:rPr>
                <w:rFonts w:ascii="Calibri" w:eastAsia="Calibri" w:hAnsi="Calibri" w:cs="Calibri"/>
                <w:color w:val="000000" w:themeColor="text1"/>
              </w:rPr>
              <w:t>Zjednodušení povolovacích postupů pro obnovitelné zdroje energie</w:t>
            </w:r>
          </w:p>
        </w:tc>
        <w:tc>
          <w:tcPr>
            <w:tcW w:w="1695" w:type="dxa"/>
            <w:tcBorders>
              <w:top w:val="single" w:sz="4" w:space="0" w:color="auto"/>
              <w:left w:val="single" w:sz="4" w:space="0" w:color="auto"/>
              <w:bottom w:val="single" w:sz="4" w:space="0" w:color="auto"/>
              <w:right w:val="single" w:sz="4" w:space="0" w:color="auto"/>
            </w:tcBorders>
            <w:tcMar>
              <w:left w:w="108" w:type="dxa"/>
              <w:right w:w="108" w:type="dxa"/>
            </w:tcMar>
          </w:tcPr>
          <w:p w14:paraId="2CC48804" w14:textId="42C553B2" w:rsidR="00943715" w:rsidRPr="00393D5E" w:rsidRDefault="22E68233" w:rsidP="13105CAA">
            <w:pPr>
              <w:spacing w:line="276" w:lineRule="auto"/>
              <w:jc w:val="center"/>
              <w:rPr>
                <w:rFonts w:ascii="Calibri" w:eastAsia="Calibri" w:hAnsi="Calibri" w:cs="Calibri"/>
              </w:rPr>
            </w:pPr>
            <w:r w:rsidRPr="13105CAA">
              <w:rPr>
                <w:rFonts w:ascii="Calibri" w:eastAsia="Calibri" w:hAnsi="Calibri" w:cs="Calibri"/>
              </w:rPr>
              <w:t>0</w:t>
            </w:r>
          </w:p>
        </w:tc>
        <w:tc>
          <w:tcPr>
            <w:tcW w:w="2130" w:type="dxa"/>
            <w:vMerge/>
            <w:vAlign w:val="center"/>
          </w:tcPr>
          <w:p w14:paraId="6F38508E" w14:textId="77777777" w:rsidR="00943715" w:rsidRPr="00393D5E" w:rsidRDefault="00943715"/>
        </w:tc>
      </w:tr>
      <w:tr w:rsidR="00943715" w:rsidRPr="00393D5E" w14:paraId="45B05299" w14:textId="77777777" w:rsidTr="35187188">
        <w:trPr>
          <w:trHeight w:val="300"/>
        </w:trPr>
        <w:tc>
          <w:tcPr>
            <w:tcW w:w="1530" w:type="dxa"/>
            <w:vMerge/>
            <w:vAlign w:val="center"/>
          </w:tcPr>
          <w:p w14:paraId="7F97B4AF" w14:textId="77777777" w:rsidR="00943715" w:rsidRPr="00393D5E" w:rsidRDefault="00943715" w:rsidP="00C37D39"/>
        </w:tc>
        <w:tc>
          <w:tcPr>
            <w:tcW w:w="3840" w:type="dxa"/>
            <w:tcBorders>
              <w:top w:val="single" w:sz="4" w:space="0" w:color="auto"/>
              <w:left w:val="single" w:sz="4" w:space="0" w:color="auto"/>
              <w:bottom w:val="single" w:sz="4" w:space="0" w:color="auto"/>
              <w:right w:val="single" w:sz="4" w:space="0" w:color="auto"/>
            </w:tcBorders>
            <w:tcMar>
              <w:left w:w="108" w:type="dxa"/>
              <w:right w:w="108" w:type="dxa"/>
            </w:tcMar>
          </w:tcPr>
          <w:p w14:paraId="6EB08BE6" w14:textId="5A52BC27" w:rsidR="00943715" w:rsidRPr="00393D5E" w:rsidRDefault="007B7005" w:rsidP="00C37D39">
            <w:pPr>
              <w:spacing w:line="276" w:lineRule="auto"/>
            </w:pPr>
            <w:r>
              <w:rPr>
                <w:rFonts w:ascii="Calibri" w:eastAsia="Calibri" w:hAnsi="Calibri" w:cs="Calibri"/>
              </w:rPr>
              <w:t xml:space="preserve">Posílení opatření 2.3: </w:t>
            </w:r>
            <w:r w:rsidR="00943715" w:rsidRPr="00393D5E">
              <w:rPr>
                <w:rFonts w:ascii="Calibri" w:eastAsia="Calibri" w:hAnsi="Calibri" w:cs="Calibri"/>
              </w:rPr>
              <w:t>Výstavba nových fotovoltaických zdrojů</w:t>
            </w:r>
          </w:p>
        </w:tc>
        <w:tc>
          <w:tcPr>
            <w:tcW w:w="1695" w:type="dxa"/>
            <w:tcBorders>
              <w:top w:val="single" w:sz="4" w:space="0" w:color="auto"/>
              <w:left w:val="single" w:sz="4" w:space="0" w:color="auto"/>
              <w:bottom w:val="single" w:sz="4" w:space="0" w:color="auto"/>
              <w:right w:val="single" w:sz="4" w:space="0" w:color="auto"/>
            </w:tcBorders>
            <w:tcMar>
              <w:left w:w="108" w:type="dxa"/>
              <w:right w:w="108" w:type="dxa"/>
            </w:tcMar>
          </w:tcPr>
          <w:p w14:paraId="714500B7" w14:textId="254E47E3" w:rsidR="00943715" w:rsidRPr="00393D5E" w:rsidRDefault="27439AE6" w:rsidP="13105CAA">
            <w:pPr>
              <w:spacing w:line="276" w:lineRule="auto"/>
              <w:jc w:val="center"/>
            </w:pPr>
            <w:r w:rsidRPr="13105CAA">
              <w:rPr>
                <w:rFonts w:ascii="Calibri" w:eastAsia="Calibri" w:hAnsi="Calibri" w:cs="Calibri"/>
              </w:rPr>
              <w:t>2</w:t>
            </w:r>
            <w:r w:rsidR="38AA2312" w:rsidRPr="13105CAA">
              <w:rPr>
                <w:rFonts w:ascii="Calibri" w:eastAsia="Calibri" w:hAnsi="Calibri" w:cs="Calibri"/>
              </w:rPr>
              <w:t>,5</w:t>
            </w:r>
          </w:p>
        </w:tc>
        <w:tc>
          <w:tcPr>
            <w:tcW w:w="2130" w:type="dxa"/>
            <w:tcBorders>
              <w:top w:val="single" w:sz="4" w:space="0" w:color="auto"/>
              <w:left w:val="single" w:sz="4" w:space="0" w:color="auto"/>
              <w:bottom w:val="single" w:sz="4" w:space="0" w:color="auto"/>
              <w:right w:val="single" w:sz="4" w:space="0" w:color="auto"/>
            </w:tcBorders>
            <w:tcMar>
              <w:left w:w="108" w:type="dxa"/>
              <w:right w:w="108" w:type="dxa"/>
            </w:tcMar>
          </w:tcPr>
          <w:p w14:paraId="6DC2556E" w14:textId="57050D2C" w:rsidR="00943715" w:rsidRPr="00393D5E" w:rsidRDefault="00943715" w:rsidP="0AFA31E3">
            <w:pPr>
              <w:spacing w:line="276" w:lineRule="auto"/>
              <w:jc w:val="both"/>
            </w:pPr>
            <w:r w:rsidRPr="00393D5E">
              <w:rPr>
                <w:rFonts w:ascii="Calibri" w:eastAsia="Calibri" w:hAnsi="Calibri" w:cs="Calibri"/>
              </w:rPr>
              <w:t>ETS granty</w:t>
            </w:r>
          </w:p>
        </w:tc>
      </w:tr>
      <w:tr w:rsidR="00943715" w:rsidRPr="00393D5E" w14:paraId="362001F5" w14:textId="77777777" w:rsidTr="35187188">
        <w:trPr>
          <w:trHeight w:val="300"/>
        </w:trPr>
        <w:tc>
          <w:tcPr>
            <w:tcW w:w="1530" w:type="dxa"/>
            <w:vMerge/>
            <w:vAlign w:val="center"/>
          </w:tcPr>
          <w:p w14:paraId="517E99DF" w14:textId="77777777" w:rsidR="00943715" w:rsidRPr="00393D5E" w:rsidRDefault="00943715" w:rsidP="00C37D39"/>
        </w:tc>
        <w:tc>
          <w:tcPr>
            <w:tcW w:w="3840" w:type="dxa"/>
            <w:tcBorders>
              <w:top w:val="single" w:sz="4" w:space="0" w:color="auto"/>
              <w:left w:val="single" w:sz="4" w:space="0" w:color="auto"/>
              <w:bottom w:val="single" w:sz="4" w:space="0" w:color="auto"/>
              <w:right w:val="single" w:sz="4" w:space="0" w:color="auto"/>
            </w:tcBorders>
            <w:tcMar>
              <w:left w:w="108" w:type="dxa"/>
              <w:right w:w="108" w:type="dxa"/>
            </w:tcMar>
          </w:tcPr>
          <w:p w14:paraId="28EE0878" w14:textId="14A341A0" w:rsidR="00943715" w:rsidRPr="00393D5E" w:rsidRDefault="018A4ABC" w:rsidP="35187188">
            <w:pPr>
              <w:spacing w:line="276" w:lineRule="auto"/>
            </w:pPr>
            <w:r w:rsidRPr="35187188">
              <w:rPr>
                <w:rFonts w:eastAsia="Calibri"/>
                <w:color w:val="000000" w:themeColor="text1"/>
              </w:rPr>
              <w:t>Výstavba, rekonstrukce a</w:t>
            </w:r>
            <w:r w:rsidR="0003053E">
              <w:rPr>
                <w:rFonts w:eastAsia="Calibri"/>
                <w:color w:val="000000" w:themeColor="text1"/>
              </w:rPr>
              <w:t> </w:t>
            </w:r>
            <w:r w:rsidRPr="35187188">
              <w:rPr>
                <w:rFonts w:eastAsia="Calibri"/>
                <w:color w:val="000000" w:themeColor="text1"/>
              </w:rPr>
              <w:t xml:space="preserve">modernizace distribučních soustav  </w:t>
            </w:r>
          </w:p>
        </w:tc>
        <w:tc>
          <w:tcPr>
            <w:tcW w:w="1695" w:type="dxa"/>
            <w:tcBorders>
              <w:top w:val="single" w:sz="4" w:space="0" w:color="auto"/>
              <w:left w:val="single" w:sz="4" w:space="0" w:color="auto"/>
              <w:bottom w:val="single" w:sz="4" w:space="0" w:color="auto"/>
              <w:right w:val="single" w:sz="4" w:space="0" w:color="auto"/>
            </w:tcBorders>
            <w:tcMar>
              <w:left w:w="108" w:type="dxa"/>
              <w:right w:w="108" w:type="dxa"/>
            </w:tcMar>
          </w:tcPr>
          <w:p w14:paraId="78FDF865" w14:textId="5C873004" w:rsidR="00943715" w:rsidRPr="00393D5E" w:rsidRDefault="22E68233" w:rsidP="13105CAA">
            <w:pPr>
              <w:spacing w:line="276" w:lineRule="auto"/>
              <w:jc w:val="center"/>
            </w:pPr>
            <w:r w:rsidRPr="13105CAA">
              <w:rPr>
                <w:rFonts w:eastAsia="Calibri"/>
              </w:rPr>
              <w:t>6,7</w:t>
            </w:r>
          </w:p>
        </w:tc>
        <w:tc>
          <w:tcPr>
            <w:tcW w:w="2130" w:type="dxa"/>
            <w:tcBorders>
              <w:top w:val="single" w:sz="4" w:space="0" w:color="auto"/>
              <w:left w:val="single" w:sz="4" w:space="0" w:color="auto"/>
              <w:bottom w:val="single" w:sz="4" w:space="0" w:color="auto"/>
              <w:right w:val="single" w:sz="4" w:space="0" w:color="auto"/>
            </w:tcBorders>
            <w:tcMar>
              <w:left w:w="108" w:type="dxa"/>
              <w:right w:w="108" w:type="dxa"/>
            </w:tcMar>
          </w:tcPr>
          <w:p w14:paraId="0A105863" w14:textId="6DA715E6" w:rsidR="00943715" w:rsidRPr="00393D5E" w:rsidRDefault="00943715" w:rsidP="0AFA31E3">
            <w:pPr>
              <w:spacing w:line="276" w:lineRule="auto"/>
              <w:jc w:val="both"/>
            </w:pPr>
            <w:r w:rsidRPr="00393D5E">
              <w:rPr>
                <w:rFonts w:ascii="Calibri" w:eastAsia="Calibri" w:hAnsi="Calibri" w:cs="Calibri"/>
              </w:rPr>
              <w:t>ETS granty</w:t>
            </w:r>
          </w:p>
        </w:tc>
      </w:tr>
      <w:tr w:rsidR="00943715" w:rsidRPr="00393D5E" w14:paraId="0B8844AA" w14:textId="77777777" w:rsidTr="35187188">
        <w:trPr>
          <w:trHeight w:val="300"/>
        </w:trPr>
        <w:tc>
          <w:tcPr>
            <w:tcW w:w="1530" w:type="dxa"/>
            <w:vMerge/>
            <w:vAlign w:val="center"/>
          </w:tcPr>
          <w:p w14:paraId="258BB425" w14:textId="77777777" w:rsidR="00943715" w:rsidRPr="00393D5E" w:rsidRDefault="00943715" w:rsidP="00C37D39"/>
        </w:tc>
        <w:tc>
          <w:tcPr>
            <w:tcW w:w="3840" w:type="dxa"/>
            <w:tcBorders>
              <w:top w:val="single" w:sz="4" w:space="0" w:color="auto"/>
              <w:left w:val="single" w:sz="4" w:space="0" w:color="auto"/>
              <w:bottom w:val="single" w:sz="4" w:space="0" w:color="auto"/>
              <w:right w:val="single" w:sz="4" w:space="0" w:color="auto"/>
            </w:tcBorders>
            <w:tcMar>
              <w:left w:w="108" w:type="dxa"/>
              <w:right w:w="108" w:type="dxa"/>
            </w:tcMar>
          </w:tcPr>
          <w:p w14:paraId="7B8AAFA7" w14:textId="0F80A92A" w:rsidR="00943715" w:rsidRPr="00393D5E" w:rsidRDefault="6F115388" w:rsidP="35187188">
            <w:pPr>
              <w:spacing w:line="276" w:lineRule="auto"/>
              <w:rPr>
                <w:rFonts w:eastAsia="Times New Roman"/>
                <w:color w:val="000000" w:themeColor="text1"/>
              </w:rPr>
            </w:pPr>
            <w:r w:rsidRPr="35187188">
              <w:rPr>
                <w:rFonts w:eastAsia="Times New Roman"/>
                <w:color w:val="000000" w:themeColor="text1"/>
              </w:rPr>
              <w:t xml:space="preserve">Zlepšení </w:t>
            </w:r>
            <w:r w:rsidR="39C89989" w:rsidRPr="35187188">
              <w:rPr>
                <w:rFonts w:eastAsia="Times New Roman"/>
                <w:color w:val="000000" w:themeColor="text1"/>
              </w:rPr>
              <w:t xml:space="preserve">předvídatelnosti, </w:t>
            </w:r>
            <w:r w:rsidRPr="35187188">
              <w:rPr>
                <w:rFonts w:eastAsia="Times New Roman"/>
                <w:color w:val="000000" w:themeColor="text1"/>
              </w:rPr>
              <w:t>transparentnosti a</w:t>
            </w:r>
            <w:r w:rsidR="0003053E">
              <w:rPr>
                <w:rFonts w:eastAsia="Times New Roman"/>
                <w:color w:val="000000" w:themeColor="text1"/>
              </w:rPr>
              <w:t> </w:t>
            </w:r>
            <w:r w:rsidRPr="35187188">
              <w:rPr>
                <w:rFonts w:eastAsia="Times New Roman"/>
                <w:color w:val="000000" w:themeColor="text1"/>
              </w:rPr>
              <w:t>dostupnosti připojení zdrojů k</w:t>
            </w:r>
            <w:r w:rsidR="0003053E">
              <w:rPr>
                <w:rFonts w:eastAsia="Times New Roman"/>
                <w:color w:val="000000" w:themeColor="text1"/>
              </w:rPr>
              <w:t> </w:t>
            </w:r>
            <w:r w:rsidRPr="35187188">
              <w:rPr>
                <w:rFonts w:eastAsia="Times New Roman"/>
                <w:color w:val="000000" w:themeColor="text1"/>
              </w:rPr>
              <w:t>elektrizační soustavě</w:t>
            </w:r>
          </w:p>
        </w:tc>
        <w:tc>
          <w:tcPr>
            <w:tcW w:w="1695" w:type="dxa"/>
            <w:tcBorders>
              <w:top w:val="single" w:sz="4" w:space="0" w:color="auto"/>
              <w:left w:val="single" w:sz="4" w:space="0" w:color="auto"/>
              <w:bottom w:val="single" w:sz="4" w:space="0" w:color="auto"/>
              <w:right w:val="single" w:sz="4" w:space="0" w:color="auto"/>
            </w:tcBorders>
            <w:tcMar>
              <w:left w:w="108" w:type="dxa"/>
              <w:right w:w="108" w:type="dxa"/>
            </w:tcMar>
          </w:tcPr>
          <w:p w14:paraId="12818D10" w14:textId="09B567F0" w:rsidR="00943715" w:rsidRPr="00393D5E" w:rsidRDefault="6CF1FD3F" w:rsidP="13105CAA">
            <w:pPr>
              <w:spacing w:line="276" w:lineRule="auto"/>
              <w:jc w:val="center"/>
              <w:rPr>
                <w:rFonts w:eastAsia="Calibri"/>
              </w:rPr>
            </w:pPr>
            <w:r w:rsidRPr="13105CAA">
              <w:rPr>
                <w:rFonts w:eastAsia="Calibri"/>
              </w:rPr>
              <w:t>0</w:t>
            </w:r>
          </w:p>
        </w:tc>
        <w:tc>
          <w:tcPr>
            <w:tcW w:w="2130" w:type="dxa"/>
            <w:tcBorders>
              <w:top w:val="single" w:sz="4" w:space="0" w:color="auto"/>
              <w:left w:val="single" w:sz="4" w:space="0" w:color="auto"/>
              <w:bottom w:val="single" w:sz="4" w:space="0" w:color="auto"/>
              <w:right w:val="single" w:sz="4" w:space="0" w:color="auto"/>
            </w:tcBorders>
            <w:tcMar>
              <w:left w:w="108" w:type="dxa"/>
              <w:right w:w="108" w:type="dxa"/>
            </w:tcMar>
          </w:tcPr>
          <w:p w14:paraId="0F0D47CD" w14:textId="77777777" w:rsidR="00943715" w:rsidRPr="00393D5E" w:rsidRDefault="00943715" w:rsidP="0AFA31E3">
            <w:pPr>
              <w:spacing w:line="276" w:lineRule="auto"/>
              <w:jc w:val="both"/>
              <w:rPr>
                <w:rFonts w:ascii="Calibri" w:eastAsia="Calibri" w:hAnsi="Calibri" w:cs="Calibri"/>
              </w:rPr>
            </w:pPr>
          </w:p>
        </w:tc>
      </w:tr>
      <w:tr w:rsidR="00FA403F" w:rsidRPr="00393D5E" w14:paraId="0BA9B5F1" w14:textId="77777777" w:rsidTr="00FA403F">
        <w:trPr>
          <w:trHeight w:val="300"/>
        </w:trPr>
        <w:tc>
          <w:tcPr>
            <w:tcW w:w="1530" w:type="dxa"/>
            <w:vMerge w:val="restar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10E3F003" w14:textId="041F62DE" w:rsidR="00FA403F" w:rsidRDefault="00FA403F" w:rsidP="00FA403F">
            <w:pPr>
              <w:spacing w:line="276" w:lineRule="auto"/>
            </w:pPr>
            <w:r w:rsidRPr="35187188">
              <w:rPr>
                <w:rFonts w:eastAsia="Calibri"/>
                <w:color w:val="212121"/>
              </w:rPr>
              <w:t>7.2 Podpora decentralizace a</w:t>
            </w:r>
            <w:r w:rsidR="0003053E">
              <w:rPr>
                <w:rFonts w:eastAsia="Calibri"/>
                <w:color w:val="212121"/>
              </w:rPr>
              <w:t> </w:t>
            </w:r>
            <w:r w:rsidRPr="35187188">
              <w:rPr>
                <w:rFonts w:eastAsia="Calibri"/>
                <w:color w:val="212121"/>
              </w:rPr>
              <w:t>digitalizace odvětví energetiky</w:t>
            </w:r>
          </w:p>
        </w:tc>
        <w:tc>
          <w:tcPr>
            <w:tcW w:w="3840" w:type="dxa"/>
            <w:tcBorders>
              <w:top w:val="single" w:sz="4" w:space="0" w:color="auto"/>
              <w:left w:val="single" w:sz="4" w:space="0" w:color="auto"/>
              <w:bottom w:val="single" w:sz="4" w:space="0" w:color="auto"/>
              <w:right w:val="single" w:sz="4" w:space="0" w:color="auto"/>
            </w:tcBorders>
            <w:tcMar>
              <w:left w:w="108" w:type="dxa"/>
              <w:right w:w="108" w:type="dxa"/>
            </w:tcMar>
          </w:tcPr>
          <w:p w14:paraId="33EC960E" w14:textId="1C15C283" w:rsidR="00FA403F" w:rsidRDefault="00FA403F" w:rsidP="00FA403F">
            <w:pPr>
              <w:spacing w:line="276" w:lineRule="auto"/>
              <w:rPr>
                <w:rFonts w:ascii="Calibri" w:eastAsia="Calibri" w:hAnsi="Calibri" w:cs="Calibri"/>
                <w:color w:val="000000" w:themeColor="text1"/>
              </w:rPr>
            </w:pPr>
            <w:r w:rsidRPr="35187188">
              <w:rPr>
                <w:rFonts w:ascii="Calibri" w:eastAsia="Calibri" w:hAnsi="Calibri" w:cs="Calibri"/>
                <w:color w:val="000000" w:themeColor="text1"/>
              </w:rPr>
              <w:t>Energetická společenství</w:t>
            </w:r>
          </w:p>
        </w:tc>
        <w:tc>
          <w:tcPr>
            <w:tcW w:w="1695" w:type="dxa"/>
            <w:tcBorders>
              <w:top w:val="single" w:sz="4" w:space="0" w:color="auto"/>
              <w:left w:val="single" w:sz="4" w:space="0" w:color="auto"/>
              <w:bottom w:val="single" w:sz="4" w:space="0" w:color="auto"/>
              <w:right w:val="single" w:sz="4" w:space="0" w:color="auto"/>
            </w:tcBorders>
            <w:tcMar>
              <w:left w:w="108" w:type="dxa"/>
              <w:right w:w="108" w:type="dxa"/>
            </w:tcMar>
          </w:tcPr>
          <w:p w14:paraId="7446E56F" w14:textId="7A47B91A" w:rsidR="00FA403F" w:rsidRPr="00393D5E" w:rsidRDefault="00FA403F" w:rsidP="00FA403F">
            <w:pPr>
              <w:spacing w:line="276" w:lineRule="auto"/>
              <w:jc w:val="center"/>
            </w:pPr>
            <w:r w:rsidRPr="13105CAA">
              <w:rPr>
                <w:rFonts w:ascii="Calibri" w:eastAsia="Calibri" w:hAnsi="Calibri" w:cs="Calibri"/>
              </w:rPr>
              <w:t>0</w:t>
            </w:r>
          </w:p>
        </w:tc>
        <w:tc>
          <w:tcPr>
            <w:tcW w:w="2130" w:type="dxa"/>
            <w:tcBorders>
              <w:top w:val="single" w:sz="4" w:space="0" w:color="auto"/>
              <w:left w:val="single" w:sz="4" w:space="0" w:color="auto"/>
              <w:bottom w:val="single" w:sz="4" w:space="0" w:color="auto"/>
              <w:right w:val="single" w:sz="4" w:space="0" w:color="auto"/>
            </w:tcBorders>
            <w:tcMar>
              <w:left w:w="108" w:type="dxa"/>
              <w:right w:w="108" w:type="dxa"/>
            </w:tcMar>
          </w:tcPr>
          <w:p w14:paraId="2CCAB7D9" w14:textId="293F8745" w:rsidR="00FA403F" w:rsidRPr="00393D5E" w:rsidRDefault="00FA403F" w:rsidP="00FA403F">
            <w:pPr>
              <w:spacing w:line="276" w:lineRule="auto"/>
              <w:jc w:val="both"/>
            </w:pPr>
            <w:r w:rsidRPr="00393D5E">
              <w:rPr>
                <w:rFonts w:ascii="Calibri" w:eastAsia="Calibri" w:hAnsi="Calibri" w:cs="Calibri"/>
              </w:rPr>
              <w:t>ETS granty</w:t>
            </w:r>
          </w:p>
        </w:tc>
      </w:tr>
      <w:tr w:rsidR="00FA403F" w:rsidRPr="00393D5E" w14:paraId="52E4E1DF" w14:textId="77777777" w:rsidTr="35187188">
        <w:trPr>
          <w:trHeight w:val="300"/>
        </w:trPr>
        <w:tc>
          <w:tcPr>
            <w:tcW w:w="1530" w:type="dxa"/>
            <w:vMerge/>
            <w:vAlign w:val="center"/>
          </w:tcPr>
          <w:p w14:paraId="775D691D" w14:textId="77777777" w:rsidR="00FA403F" w:rsidRPr="00393D5E" w:rsidRDefault="00FA403F" w:rsidP="00FA403F"/>
        </w:tc>
        <w:tc>
          <w:tcPr>
            <w:tcW w:w="3840" w:type="dxa"/>
            <w:tcBorders>
              <w:top w:val="single" w:sz="4" w:space="0" w:color="auto"/>
              <w:left w:val="single" w:sz="4" w:space="0" w:color="auto"/>
              <w:bottom w:val="single" w:sz="4" w:space="0" w:color="auto"/>
              <w:right w:val="single" w:sz="4" w:space="0" w:color="auto"/>
            </w:tcBorders>
            <w:tcMar>
              <w:left w:w="108" w:type="dxa"/>
              <w:right w:w="108" w:type="dxa"/>
            </w:tcMar>
          </w:tcPr>
          <w:p w14:paraId="07153869" w14:textId="5DD12062" w:rsidR="00FA403F" w:rsidRDefault="00FA403F" w:rsidP="00FA403F">
            <w:pPr>
              <w:spacing w:line="276" w:lineRule="auto"/>
            </w:pPr>
            <w:r w:rsidRPr="35187188">
              <w:rPr>
                <w:rFonts w:ascii="Calibri" w:eastAsia="Calibri" w:hAnsi="Calibri" w:cs="Calibri"/>
              </w:rPr>
              <w:t>Elektroenergetické datové centrum</w:t>
            </w:r>
          </w:p>
        </w:tc>
        <w:tc>
          <w:tcPr>
            <w:tcW w:w="1695" w:type="dxa"/>
            <w:tcBorders>
              <w:top w:val="single" w:sz="4" w:space="0" w:color="auto"/>
              <w:left w:val="single" w:sz="4" w:space="0" w:color="auto"/>
              <w:bottom w:val="single" w:sz="4" w:space="0" w:color="auto"/>
              <w:right w:val="single" w:sz="4" w:space="0" w:color="auto"/>
            </w:tcBorders>
            <w:tcMar>
              <w:left w:w="108" w:type="dxa"/>
              <w:right w:w="108" w:type="dxa"/>
            </w:tcMar>
          </w:tcPr>
          <w:p w14:paraId="714E8EB8" w14:textId="214988F9" w:rsidR="00FA403F" w:rsidRPr="00393D5E" w:rsidRDefault="00FA403F" w:rsidP="00FA403F">
            <w:pPr>
              <w:spacing w:line="276" w:lineRule="auto"/>
              <w:jc w:val="center"/>
            </w:pPr>
            <w:r w:rsidRPr="13105CAA">
              <w:rPr>
                <w:rFonts w:ascii="Calibri" w:eastAsia="Calibri" w:hAnsi="Calibri" w:cs="Calibri"/>
              </w:rPr>
              <w:t>0,8</w:t>
            </w:r>
          </w:p>
        </w:tc>
        <w:tc>
          <w:tcPr>
            <w:tcW w:w="2130" w:type="dxa"/>
            <w:tcBorders>
              <w:top w:val="single" w:sz="4" w:space="0" w:color="auto"/>
              <w:left w:val="single" w:sz="4" w:space="0" w:color="auto"/>
              <w:bottom w:val="single" w:sz="4" w:space="0" w:color="auto"/>
              <w:right w:val="single" w:sz="4" w:space="0" w:color="auto"/>
            </w:tcBorders>
            <w:tcMar>
              <w:left w:w="108" w:type="dxa"/>
              <w:right w:w="108" w:type="dxa"/>
            </w:tcMar>
          </w:tcPr>
          <w:p w14:paraId="50B3E8D2" w14:textId="3207D6C8" w:rsidR="00FA403F" w:rsidRPr="00393D5E" w:rsidRDefault="00FA403F" w:rsidP="00FA403F">
            <w:pPr>
              <w:spacing w:line="276" w:lineRule="auto"/>
              <w:jc w:val="both"/>
            </w:pPr>
            <w:r w:rsidRPr="00393D5E">
              <w:rPr>
                <w:rFonts w:ascii="Calibri" w:eastAsia="Calibri" w:hAnsi="Calibri" w:cs="Calibri"/>
              </w:rPr>
              <w:t>ETS granty</w:t>
            </w:r>
          </w:p>
        </w:tc>
      </w:tr>
      <w:tr w:rsidR="00FA403F" w:rsidRPr="00393D5E" w14:paraId="52D3A3D5" w14:textId="77777777" w:rsidTr="35187188">
        <w:trPr>
          <w:trHeight w:val="300"/>
        </w:trPr>
        <w:tc>
          <w:tcPr>
            <w:tcW w:w="1530" w:type="dxa"/>
            <w:vMerge/>
            <w:vAlign w:val="center"/>
          </w:tcPr>
          <w:p w14:paraId="45B2272D" w14:textId="77777777" w:rsidR="00FA403F" w:rsidRPr="00393D5E" w:rsidRDefault="00FA403F" w:rsidP="00FA403F"/>
        </w:tc>
        <w:tc>
          <w:tcPr>
            <w:tcW w:w="3840" w:type="dxa"/>
            <w:tcBorders>
              <w:top w:val="single" w:sz="4" w:space="0" w:color="auto"/>
              <w:left w:val="single" w:sz="4" w:space="0" w:color="auto"/>
              <w:bottom w:val="single" w:sz="4" w:space="0" w:color="auto"/>
              <w:right w:val="single" w:sz="4" w:space="0" w:color="auto"/>
            </w:tcBorders>
            <w:tcMar>
              <w:left w:w="108" w:type="dxa"/>
              <w:right w:w="108" w:type="dxa"/>
            </w:tcMar>
          </w:tcPr>
          <w:p w14:paraId="7EF569BA" w14:textId="5347EAA9" w:rsidR="00FA403F" w:rsidRDefault="00FA403F" w:rsidP="00FA403F">
            <w:pPr>
              <w:spacing w:line="276" w:lineRule="auto"/>
              <w:rPr>
                <w:rFonts w:eastAsiaTheme="minorEastAsia"/>
              </w:rPr>
            </w:pPr>
            <w:r w:rsidRPr="35187188">
              <w:rPr>
                <w:rFonts w:eastAsiaTheme="minorEastAsia"/>
              </w:rPr>
              <w:t>Skladování energie a</w:t>
            </w:r>
            <w:r w:rsidR="0003053E">
              <w:rPr>
                <w:rFonts w:eastAsiaTheme="minorEastAsia"/>
              </w:rPr>
              <w:t> </w:t>
            </w:r>
            <w:r w:rsidRPr="35187188">
              <w:rPr>
                <w:rFonts w:eastAsiaTheme="minorEastAsia"/>
              </w:rPr>
              <w:t>rámec flexibility pro nefosilní zdroje</w:t>
            </w:r>
          </w:p>
        </w:tc>
        <w:tc>
          <w:tcPr>
            <w:tcW w:w="1695" w:type="dxa"/>
            <w:tcBorders>
              <w:top w:val="single" w:sz="4" w:space="0" w:color="auto"/>
              <w:left w:val="single" w:sz="4" w:space="0" w:color="auto"/>
              <w:bottom w:val="single" w:sz="4" w:space="0" w:color="auto"/>
              <w:right w:val="single" w:sz="4" w:space="0" w:color="auto"/>
            </w:tcBorders>
            <w:tcMar>
              <w:left w:w="108" w:type="dxa"/>
              <w:right w:w="108" w:type="dxa"/>
            </w:tcMar>
          </w:tcPr>
          <w:p w14:paraId="32009F06" w14:textId="6FC511AD" w:rsidR="00FA403F" w:rsidRPr="00393D5E" w:rsidRDefault="00FA403F" w:rsidP="00FA403F">
            <w:pPr>
              <w:spacing w:line="276" w:lineRule="auto"/>
              <w:jc w:val="center"/>
              <w:rPr>
                <w:rFonts w:ascii="Calibri" w:eastAsia="Calibri" w:hAnsi="Calibri" w:cs="Calibri"/>
              </w:rPr>
            </w:pPr>
            <w:r w:rsidRPr="13105CAA">
              <w:rPr>
                <w:rFonts w:ascii="Calibri" w:eastAsia="Calibri" w:hAnsi="Calibri" w:cs="Calibri"/>
              </w:rPr>
              <w:t>0</w:t>
            </w:r>
          </w:p>
        </w:tc>
        <w:tc>
          <w:tcPr>
            <w:tcW w:w="2130" w:type="dxa"/>
            <w:tcBorders>
              <w:top w:val="single" w:sz="4" w:space="0" w:color="auto"/>
              <w:left w:val="single" w:sz="4" w:space="0" w:color="auto"/>
              <w:bottom w:val="single" w:sz="4" w:space="0" w:color="auto"/>
              <w:right w:val="single" w:sz="4" w:space="0" w:color="auto"/>
            </w:tcBorders>
            <w:tcMar>
              <w:left w:w="108" w:type="dxa"/>
              <w:right w:w="108" w:type="dxa"/>
            </w:tcMar>
          </w:tcPr>
          <w:p w14:paraId="5CE185B7" w14:textId="77777777" w:rsidR="00FA403F" w:rsidRPr="00393D5E" w:rsidRDefault="00FA403F" w:rsidP="00FA403F">
            <w:pPr>
              <w:spacing w:line="276" w:lineRule="auto"/>
              <w:jc w:val="both"/>
              <w:rPr>
                <w:rFonts w:ascii="Calibri" w:eastAsia="Calibri" w:hAnsi="Calibri" w:cs="Calibri"/>
              </w:rPr>
            </w:pPr>
          </w:p>
        </w:tc>
      </w:tr>
      <w:tr w:rsidR="00FA403F" w:rsidRPr="00393D5E" w14:paraId="3D75B7C8" w14:textId="77777777" w:rsidTr="00FA403F">
        <w:trPr>
          <w:trHeight w:val="300"/>
        </w:trPr>
        <w:tc>
          <w:tcPr>
            <w:tcW w:w="1530" w:type="dxa"/>
            <w:vMerge w:val="restar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67450046" w14:textId="3298F0F4" w:rsidR="00FA403F" w:rsidRDefault="00FA403F" w:rsidP="00FA403F">
            <w:pPr>
              <w:spacing w:line="276" w:lineRule="auto"/>
              <w:rPr>
                <w:rFonts w:ascii="Calibri" w:eastAsia="Calibri" w:hAnsi="Calibri" w:cs="Calibri"/>
              </w:rPr>
            </w:pPr>
            <w:r w:rsidRPr="35187188">
              <w:rPr>
                <w:rFonts w:eastAsia="Calibri"/>
                <w:color w:val="212121"/>
              </w:rPr>
              <w:t>7.3 Komplexní reforma poradenství týkajícího se renovační vlny v</w:t>
            </w:r>
            <w:r w:rsidR="0003053E">
              <w:rPr>
                <w:rFonts w:eastAsia="Calibri"/>
                <w:color w:val="212121"/>
              </w:rPr>
              <w:t> </w:t>
            </w:r>
            <w:r w:rsidRPr="35187188">
              <w:rPr>
                <w:rFonts w:eastAsia="Calibri"/>
                <w:color w:val="212121"/>
              </w:rPr>
              <w:t>ČR</w:t>
            </w:r>
          </w:p>
        </w:tc>
        <w:tc>
          <w:tcPr>
            <w:tcW w:w="3840" w:type="dxa"/>
            <w:tcBorders>
              <w:top w:val="single" w:sz="4" w:space="0" w:color="auto"/>
              <w:left w:val="single" w:sz="4" w:space="0" w:color="auto"/>
              <w:bottom w:val="single" w:sz="4" w:space="0" w:color="auto"/>
              <w:right w:val="single" w:sz="4" w:space="0" w:color="auto"/>
            </w:tcBorders>
            <w:tcMar>
              <w:left w:w="108" w:type="dxa"/>
              <w:right w:w="108" w:type="dxa"/>
            </w:tcMar>
          </w:tcPr>
          <w:p w14:paraId="7EFB0D2C" w14:textId="052FF111" w:rsidR="00FA403F" w:rsidRDefault="00FA403F" w:rsidP="00FA403F">
            <w:pPr>
              <w:spacing w:line="276" w:lineRule="auto"/>
            </w:pPr>
            <w:r w:rsidRPr="35187188">
              <w:rPr>
                <w:rFonts w:ascii="Calibri" w:eastAsia="Calibri" w:hAnsi="Calibri" w:cs="Calibri"/>
              </w:rPr>
              <w:t>Jednotná kontaktní místa pro energetické komunity a</w:t>
            </w:r>
            <w:r w:rsidR="0003053E">
              <w:rPr>
                <w:rFonts w:ascii="Calibri" w:eastAsia="Calibri" w:hAnsi="Calibri" w:cs="Calibri"/>
              </w:rPr>
              <w:t> </w:t>
            </w:r>
            <w:r w:rsidRPr="35187188">
              <w:rPr>
                <w:rFonts w:ascii="Calibri" w:eastAsia="Calibri" w:hAnsi="Calibri" w:cs="Calibri"/>
              </w:rPr>
              <w:t>energeticky účinné renovace</w:t>
            </w:r>
          </w:p>
        </w:tc>
        <w:tc>
          <w:tcPr>
            <w:tcW w:w="1695" w:type="dxa"/>
            <w:vMerge w:val="restart"/>
            <w:tcBorders>
              <w:top w:val="single" w:sz="4" w:space="0" w:color="auto"/>
              <w:left w:val="single" w:sz="4" w:space="0" w:color="auto"/>
              <w:bottom w:val="single" w:sz="4" w:space="0" w:color="auto"/>
              <w:right w:val="single" w:sz="4" w:space="0" w:color="auto"/>
            </w:tcBorders>
            <w:tcMar>
              <w:left w:w="108" w:type="dxa"/>
              <w:right w:w="108" w:type="dxa"/>
            </w:tcMar>
          </w:tcPr>
          <w:p w14:paraId="56115497" w14:textId="1A30CD17" w:rsidR="00FA403F" w:rsidRPr="00393D5E" w:rsidRDefault="00FA403F" w:rsidP="00FA403F">
            <w:pPr>
              <w:spacing w:line="276" w:lineRule="auto"/>
              <w:jc w:val="center"/>
            </w:pPr>
            <w:r w:rsidRPr="13105CAA">
              <w:rPr>
                <w:rFonts w:ascii="Calibri" w:eastAsia="Calibri" w:hAnsi="Calibri" w:cs="Calibri"/>
              </w:rPr>
              <w:t>4</w:t>
            </w:r>
          </w:p>
        </w:tc>
        <w:tc>
          <w:tcPr>
            <w:tcW w:w="2130" w:type="dxa"/>
            <w:tcBorders>
              <w:top w:val="single" w:sz="4" w:space="0" w:color="auto"/>
              <w:left w:val="single" w:sz="4" w:space="0" w:color="auto"/>
              <w:bottom w:val="single" w:sz="4" w:space="0" w:color="auto"/>
              <w:right w:val="single" w:sz="4" w:space="0" w:color="auto"/>
            </w:tcBorders>
            <w:tcMar>
              <w:left w:w="108" w:type="dxa"/>
              <w:right w:w="108" w:type="dxa"/>
            </w:tcMar>
          </w:tcPr>
          <w:p w14:paraId="6FAE0FAD" w14:textId="01870E57" w:rsidR="00FA403F" w:rsidRPr="00393D5E" w:rsidRDefault="00FA403F" w:rsidP="00FA403F">
            <w:pPr>
              <w:spacing w:line="276" w:lineRule="auto"/>
              <w:jc w:val="both"/>
            </w:pPr>
            <w:r w:rsidRPr="00393D5E">
              <w:rPr>
                <w:rFonts w:ascii="Calibri" w:eastAsia="Calibri" w:hAnsi="Calibri" w:cs="Calibri"/>
              </w:rPr>
              <w:t xml:space="preserve">ETS granty </w:t>
            </w:r>
          </w:p>
          <w:p w14:paraId="0CF1A6C7" w14:textId="55D41586" w:rsidR="00FA403F" w:rsidRPr="00393D5E" w:rsidRDefault="00FA403F" w:rsidP="00FA403F">
            <w:pPr>
              <w:spacing w:line="276" w:lineRule="auto"/>
              <w:jc w:val="both"/>
            </w:pPr>
            <w:r w:rsidRPr="00393D5E">
              <w:rPr>
                <w:rFonts w:ascii="Calibri" w:eastAsia="Calibri" w:hAnsi="Calibri" w:cs="Calibri"/>
              </w:rPr>
              <w:t xml:space="preserve"> </w:t>
            </w:r>
          </w:p>
          <w:p w14:paraId="53EC49DF" w14:textId="582240B4" w:rsidR="00FA403F" w:rsidRPr="00393D5E" w:rsidRDefault="00FA403F" w:rsidP="00FA403F">
            <w:pPr>
              <w:spacing w:line="276" w:lineRule="auto"/>
              <w:jc w:val="both"/>
            </w:pPr>
            <w:r w:rsidRPr="00393D5E">
              <w:rPr>
                <w:rFonts w:ascii="Calibri" w:eastAsia="Calibri" w:hAnsi="Calibri" w:cs="Calibri"/>
              </w:rPr>
              <w:t xml:space="preserve"> </w:t>
            </w:r>
          </w:p>
        </w:tc>
      </w:tr>
      <w:tr w:rsidR="00FA403F" w:rsidRPr="00393D5E" w14:paraId="772A0731" w14:textId="77777777" w:rsidTr="35187188">
        <w:trPr>
          <w:trHeight w:val="300"/>
        </w:trPr>
        <w:tc>
          <w:tcPr>
            <w:tcW w:w="1530" w:type="dxa"/>
            <w:vMerge/>
            <w:vAlign w:val="center"/>
          </w:tcPr>
          <w:p w14:paraId="46400FA6" w14:textId="77777777" w:rsidR="00FA403F" w:rsidRPr="00393D5E" w:rsidRDefault="00FA403F" w:rsidP="00FA403F"/>
        </w:tc>
        <w:tc>
          <w:tcPr>
            <w:tcW w:w="3840" w:type="dxa"/>
            <w:tcBorders>
              <w:top w:val="single" w:sz="4" w:space="0" w:color="auto"/>
              <w:left w:val="single" w:sz="4" w:space="0" w:color="auto"/>
              <w:bottom w:val="single" w:sz="4" w:space="0" w:color="auto"/>
              <w:right w:val="single" w:sz="4" w:space="0" w:color="auto"/>
            </w:tcBorders>
            <w:tcMar>
              <w:left w:w="108" w:type="dxa"/>
              <w:right w:w="108" w:type="dxa"/>
            </w:tcMar>
          </w:tcPr>
          <w:p w14:paraId="688AE3E4" w14:textId="791C7A07" w:rsidR="00FA403F" w:rsidRDefault="00FA403F" w:rsidP="00FA403F">
            <w:pPr>
              <w:spacing w:line="276" w:lineRule="auto"/>
            </w:pPr>
            <w:r w:rsidRPr="35187188">
              <w:rPr>
                <w:rFonts w:ascii="Calibri" w:eastAsia="Calibri" w:hAnsi="Calibri" w:cs="Calibri"/>
              </w:rPr>
              <w:t>Údaje a</w:t>
            </w:r>
            <w:r w:rsidR="0003053E">
              <w:rPr>
                <w:rFonts w:ascii="Calibri" w:eastAsia="Calibri" w:hAnsi="Calibri" w:cs="Calibri"/>
              </w:rPr>
              <w:t> </w:t>
            </w:r>
            <w:r w:rsidRPr="35187188">
              <w:rPr>
                <w:rFonts w:ascii="Calibri" w:eastAsia="Calibri" w:hAnsi="Calibri" w:cs="Calibri"/>
              </w:rPr>
              <w:t>metodické pokyny pro informační systém</w:t>
            </w:r>
          </w:p>
        </w:tc>
        <w:tc>
          <w:tcPr>
            <w:tcW w:w="1695" w:type="dxa"/>
            <w:vMerge/>
            <w:vAlign w:val="center"/>
          </w:tcPr>
          <w:p w14:paraId="09C134E4" w14:textId="77777777" w:rsidR="00FA403F" w:rsidRPr="00393D5E" w:rsidRDefault="00FA403F" w:rsidP="00FA403F">
            <w:pPr>
              <w:jc w:val="center"/>
              <w:rPr>
                <w:highlight w:val="magenta"/>
              </w:rPr>
            </w:pPr>
          </w:p>
        </w:tc>
        <w:tc>
          <w:tcPr>
            <w:tcW w:w="2130" w:type="dxa"/>
            <w:tcBorders>
              <w:top w:val="single" w:sz="4" w:space="0" w:color="auto"/>
              <w:left w:val="single" w:sz="4" w:space="0" w:color="auto"/>
              <w:bottom w:val="single" w:sz="4" w:space="0" w:color="auto"/>
              <w:right w:val="single" w:sz="4" w:space="0" w:color="auto"/>
            </w:tcBorders>
            <w:tcMar>
              <w:left w:w="108" w:type="dxa"/>
              <w:right w:w="108" w:type="dxa"/>
            </w:tcMar>
          </w:tcPr>
          <w:p w14:paraId="4419331E" w14:textId="77322187" w:rsidR="00FA403F" w:rsidRPr="00393D5E" w:rsidRDefault="00FA403F" w:rsidP="00FA403F">
            <w:pPr>
              <w:spacing w:line="276" w:lineRule="auto"/>
              <w:jc w:val="both"/>
            </w:pPr>
            <w:r w:rsidRPr="00393D5E">
              <w:rPr>
                <w:rFonts w:ascii="Calibri" w:eastAsia="Calibri" w:hAnsi="Calibri" w:cs="Calibri"/>
              </w:rPr>
              <w:t>ETS granty</w:t>
            </w:r>
          </w:p>
        </w:tc>
      </w:tr>
      <w:tr w:rsidR="00FA403F" w:rsidRPr="00393D5E" w14:paraId="665B4E58" w14:textId="77777777" w:rsidTr="35187188">
        <w:trPr>
          <w:trHeight w:val="300"/>
        </w:trPr>
        <w:tc>
          <w:tcPr>
            <w:tcW w:w="1530" w:type="dxa"/>
            <w:vMerge/>
            <w:vAlign w:val="center"/>
          </w:tcPr>
          <w:p w14:paraId="0FCCFF9F" w14:textId="77777777" w:rsidR="00FA403F" w:rsidRPr="00393D5E" w:rsidRDefault="00FA403F" w:rsidP="00FA403F"/>
        </w:tc>
        <w:tc>
          <w:tcPr>
            <w:tcW w:w="3840" w:type="dxa"/>
            <w:tcBorders>
              <w:top w:val="single" w:sz="4" w:space="0" w:color="auto"/>
              <w:left w:val="single" w:sz="4" w:space="0" w:color="auto"/>
              <w:bottom w:val="single" w:sz="4" w:space="0" w:color="auto"/>
              <w:right w:val="single" w:sz="4" w:space="0" w:color="auto"/>
            </w:tcBorders>
            <w:tcMar>
              <w:left w:w="108" w:type="dxa"/>
              <w:right w:w="108" w:type="dxa"/>
            </w:tcMar>
          </w:tcPr>
          <w:p w14:paraId="5A39192F" w14:textId="628DA2E3" w:rsidR="00FA403F" w:rsidRDefault="00FA403F" w:rsidP="00FA403F">
            <w:pPr>
              <w:spacing w:line="276" w:lineRule="auto"/>
            </w:pPr>
            <w:r w:rsidRPr="35187188">
              <w:rPr>
                <w:rFonts w:ascii="Calibri" w:eastAsia="Calibri" w:hAnsi="Calibri" w:cs="Calibri"/>
              </w:rPr>
              <w:t xml:space="preserve">Poskytování poradenských služeb domácnostem </w:t>
            </w:r>
          </w:p>
        </w:tc>
        <w:tc>
          <w:tcPr>
            <w:tcW w:w="1695" w:type="dxa"/>
            <w:vMerge/>
            <w:vAlign w:val="center"/>
          </w:tcPr>
          <w:p w14:paraId="295ECC9C" w14:textId="77777777" w:rsidR="00FA403F" w:rsidRPr="00393D5E" w:rsidRDefault="00FA403F" w:rsidP="00FA403F">
            <w:pPr>
              <w:jc w:val="center"/>
              <w:rPr>
                <w:highlight w:val="magenta"/>
              </w:rPr>
            </w:pPr>
          </w:p>
        </w:tc>
        <w:tc>
          <w:tcPr>
            <w:tcW w:w="2130" w:type="dxa"/>
            <w:tcBorders>
              <w:top w:val="single" w:sz="4" w:space="0" w:color="auto"/>
              <w:left w:val="single" w:sz="4" w:space="0" w:color="auto"/>
              <w:bottom w:val="single" w:sz="4" w:space="0" w:color="auto"/>
              <w:right w:val="single" w:sz="4" w:space="0" w:color="auto"/>
            </w:tcBorders>
            <w:tcMar>
              <w:left w:w="108" w:type="dxa"/>
              <w:right w:w="108" w:type="dxa"/>
            </w:tcMar>
          </w:tcPr>
          <w:p w14:paraId="1DD36768" w14:textId="32615600" w:rsidR="00FA403F" w:rsidRPr="00393D5E" w:rsidRDefault="00FA403F" w:rsidP="00FA403F">
            <w:pPr>
              <w:spacing w:line="276" w:lineRule="auto"/>
              <w:jc w:val="both"/>
            </w:pPr>
            <w:r w:rsidRPr="00393D5E">
              <w:rPr>
                <w:rFonts w:ascii="Calibri" w:eastAsia="Calibri" w:hAnsi="Calibri" w:cs="Calibri"/>
              </w:rPr>
              <w:t>ETS granty</w:t>
            </w:r>
          </w:p>
        </w:tc>
      </w:tr>
      <w:tr w:rsidR="00FA403F" w:rsidRPr="00393D5E" w14:paraId="2063A762" w14:textId="77777777" w:rsidTr="35187188">
        <w:trPr>
          <w:trHeight w:val="300"/>
        </w:trPr>
        <w:tc>
          <w:tcPr>
            <w:tcW w:w="1530" w:type="dxa"/>
            <w:vMerge/>
            <w:vAlign w:val="center"/>
          </w:tcPr>
          <w:p w14:paraId="7C0E630C" w14:textId="77777777" w:rsidR="00FA403F" w:rsidRPr="00393D5E" w:rsidRDefault="00FA403F" w:rsidP="00FA403F"/>
        </w:tc>
        <w:tc>
          <w:tcPr>
            <w:tcW w:w="3840" w:type="dxa"/>
            <w:tcBorders>
              <w:top w:val="single" w:sz="4" w:space="0" w:color="auto"/>
              <w:left w:val="single" w:sz="4" w:space="0" w:color="auto"/>
              <w:bottom w:val="single" w:sz="4" w:space="0" w:color="auto"/>
              <w:right w:val="single" w:sz="4" w:space="0" w:color="auto"/>
            </w:tcBorders>
            <w:tcMar>
              <w:left w:w="108" w:type="dxa"/>
              <w:right w:w="108" w:type="dxa"/>
            </w:tcMar>
          </w:tcPr>
          <w:p w14:paraId="793C3B56" w14:textId="47977AF5" w:rsidR="00FA403F" w:rsidRDefault="00FA403F" w:rsidP="00FA403F">
            <w:pPr>
              <w:spacing w:line="276" w:lineRule="auto"/>
            </w:pPr>
            <w:r w:rsidRPr="35187188">
              <w:rPr>
                <w:rFonts w:ascii="Calibri" w:eastAsia="Calibri" w:hAnsi="Calibri" w:cs="Calibri"/>
              </w:rPr>
              <w:t>Zvyšování informovanosti</w:t>
            </w:r>
          </w:p>
        </w:tc>
        <w:tc>
          <w:tcPr>
            <w:tcW w:w="1695" w:type="dxa"/>
            <w:vMerge/>
            <w:vAlign w:val="center"/>
          </w:tcPr>
          <w:p w14:paraId="6DBBD678" w14:textId="77777777" w:rsidR="00FA403F" w:rsidRPr="00393D5E" w:rsidRDefault="00FA403F" w:rsidP="00FA403F">
            <w:pPr>
              <w:jc w:val="center"/>
              <w:rPr>
                <w:highlight w:val="magenta"/>
              </w:rPr>
            </w:pPr>
          </w:p>
        </w:tc>
        <w:tc>
          <w:tcPr>
            <w:tcW w:w="2130" w:type="dxa"/>
            <w:tcBorders>
              <w:top w:val="single" w:sz="4" w:space="0" w:color="auto"/>
              <w:left w:val="single" w:sz="4" w:space="0" w:color="auto"/>
              <w:bottom w:val="single" w:sz="4" w:space="0" w:color="auto"/>
              <w:right w:val="single" w:sz="4" w:space="0" w:color="auto"/>
            </w:tcBorders>
            <w:tcMar>
              <w:left w:w="108" w:type="dxa"/>
              <w:right w:w="108" w:type="dxa"/>
            </w:tcMar>
          </w:tcPr>
          <w:p w14:paraId="0EB6FF7E" w14:textId="75D15A6E" w:rsidR="00FA403F" w:rsidRPr="00393D5E" w:rsidRDefault="00FA403F" w:rsidP="00FA403F">
            <w:pPr>
              <w:spacing w:line="276" w:lineRule="auto"/>
              <w:jc w:val="both"/>
            </w:pPr>
            <w:r w:rsidRPr="00393D5E">
              <w:rPr>
                <w:rFonts w:ascii="Calibri" w:eastAsia="Calibri" w:hAnsi="Calibri" w:cs="Calibri"/>
              </w:rPr>
              <w:t>ETS granty</w:t>
            </w:r>
          </w:p>
        </w:tc>
      </w:tr>
      <w:tr w:rsidR="00FA403F" w:rsidRPr="00393D5E" w14:paraId="71B3C86F" w14:textId="77777777" w:rsidTr="35187188">
        <w:trPr>
          <w:trHeight w:val="300"/>
        </w:trPr>
        <w:tc>
          <w:tcPr>
            <w:tcW w:w="1530" w:type="dxa"/>
            <w:tcBorders>
              <w:top w:val="single" w:sz="4" w:space="0" w:color="auto"/>
              <w:left w:val="single" w:sz="4" w:space="0" w:color="auto"/>
              <w:bottom w:val="single" w:sz="4" w:space="0" w:color="auto"/>
              <w:right w:val="single" w:sz="4" w:space="0" w:color="auto"/>
            </w:tcBorders>
            <w:tcMar>
              <w:left w:w="108" w:type="dxa"/>
              <w:right w:w="108" w:type="dxa"/>
            </w:tcMar>
          </w:tcPr>
          <w:p w14:paraId="09317E51" w14:textId="26D5EA04" w:rsidR="00FA403F" w:rsidRPr="00393D5E" w:rsidRDefault="00FA403F" w:rsidP="00FA403F">
            <w:pPr>
              <w:spacing w:line="276" w:lineRule="auto"/>
            </w:pPr>
            <w:r w:rsidRPr="35187188">
              <w:rPr>
                <w:rFonts w:ascii="Calibri" w:eastAsia="Calibri" w:hAnsi="Calibri" w:cs="Calibri"/>
              </w:rPr>
              <w:t>7.4 Přizpůsobení škol – Podpora zelených dovedností a</w:t>
            </w:r>
            <w:r w:rsidR="0003053E">
              <w:rPr>
                <w:rFonts w:ascii="Calibri" w:eastAsia="Calibri" w:hAnsi="Calibri" w:cs="Calibri"/>
              </w:rPr>
              <w:t> </w:t>
            </w:r>
            <w:r w:rsidRPr="35187188">
              <w:rPr>
                <w:rFonts w:ascii="Calibri" w:eastAsia="Calibri" w:hAnsi="Calibri" w:cs="Calibri"/>
              </w:rPr>
              <w:t>udržitelnosti na vysokých školách</w:t>
            </w:r>
          </w:p>
        </w:tc>
        <w:tc>
          <w:tcPr>
            <w:tcW w:w="3840" w:type="dxa"/>
            <w:tcBorders>
              <w:top w:val="single" w:sz="4" w:space="0" w:color="auto"/>
              <w:left w:val="single" w:sz="4" w:space="0" w:color="auto"/>
              <w:bottom w:val="single" w:sz="4" w:space="0" w:color="auto"/>
              <w:right w:val="single" w:sz="4" w:space="0" w:color="auto"/>
            </w:tcBorders>
            <w:tcMar>
              <w:left w:w="108" w:type="dxa"/>
              <w:right w:w="108" w:type="dxa"/>
            </w:tcMar>
          </w:tcPr>
          <w:p w14:paraId="3CEAEEC6" w14:textId="6EEBF99D" w:rsidR="00FA403F" w:rsidRDefault="00FA403F" w:rsidP="00FA403F">
            <w:pPr>
              <w:spacing w:line="276" w:lineRule="auto"/>
              <w:jc w:val="both"/>
              <w:rPr>
                <w:rFonts w:ascii="Calibri" w:eastAsia="Calibri" w:hAnsi="Calibri" w:cs="Calibri"/>
              </w:rPr>
            </w:pPr>
            <w:r w:rsidRPr="35187188">
              <w:rPr>
                <w:rFonts w:ascii="Calibri" w:eastAsia="Calibri" w:hAnsi="Calibri" w:cs="Calibri"/>
              </w:rPr>
              <w:t>Transformace vysokých škol s</w:t>
            </w:r>
            <w:r w:rsidR="0003053E">
              <w:rPr>
                <w:rFonts w:ascii="Calibri" w:eastAsia="Calibri" w:hAnsi="Calibri" w:cs="Calibri"/>
              </w:rPr>
              <w:t> </w:t>
            </w:r>
            <w:r w:rsidRPr="35187188">
              <w:rPr>
                <w:rFonts w:ascii="Calibri" w:eastAsia="Calibri" w:hAnsi="Calibri" w:cs="Calibri"/>
              </w:rPr>
              <w:t>cílem přizpůsobit se měnícím se potřebám trhu práce</w:t>
            </w:r>
          </w:p>
          <w:p w14:paraId="210CCBAC" w14:textId="77777777" w:rsidR="00FA403F" w:rsidRDefault="00FA403F" w:rsidP="00FA403F">
            <w:pPr>
              <w:spacing w:line="276" w:lineRule="auto"/>
              <w:jc w:val="both"/>
              <w:rPr>
                <w:rFonts w:ascii="Calibri" w:eastAsia="Calibri" w:hAnsi="Calibri" w:cs="Calibri"/>
              </w:rPr>
            </w:pPr>
          </w:p>
          <w:p w14:paraId="5453A651" w14:textId="78C57ECD" w:rsidR="00FA403F" w:rsidRDefault="00FA403F" w:rsidP="00FA403F">
            <w:pPr>
              <w:spacing w:line="276" w:lineRule="auto"/>
              <w:jc w:val="both"/>
              <w:rPr>
                <w:rFonts w:ascii="Calibri" w:eastAsia="Calibri" w:hAnsi="Calibri" w:cs="Calibri"/>
              </w:rPr>
            </w:pPr>
            <w:r>
              <w:rPr>
                <w:rFonts w:ascii="Calibri" w:eastAsia="Calibri" w:hAnsi="Calibri" w:cs="Calibri"/>
              </w:rPr>
              <w:t>Strategie udržitelné a</w:t>
            </w:r>
            <w:r w:rsidR="0003053E">
              <w:rPr>
                <w:rFonts w:ascii="Calibri" w:eastAsia="Calibri" w:hAnsi="Calibri" w:cs="Calibri"/>
              </w:rPr>
              <w:t> </w:t>
            </w:r>
            <w:r>
              <w:rPr>
                <w:rFonts w:ascii="Calibri" w:eastAsia="Calibri" w:hAnsi="Calibri" w:cs="Calibri"/>
              </w:rPr>
              <w:t>zelené tranzice</w:t>
            </w:r>
          </w:p>
          <w:p w14:paraId="789B50E4" w14:textId="77777777" w:rsidR="00FA403F" w:rsidRDefault="00FA403F" w:rsidP="00FA403F">
            <w:pPr>
              <w:spacing w:line="276" w:lineRule="auto"/>
              <w:jc w:val="both"/>
              <w:rPr>
                <w:rFonts w:ascii="Calibri" w:eastAsia="Calibri" w:hAnsi="Calibri" w:cs="Calibri"/>
              </w:rPr>
            </w:pPr>
          </w:p>
          <w:p w14:paraId="1C3B78CB" w14:textId="5472DB9C" w:rsidR="00FA403F" w:rsidRPr="00393D5E" w:rsidRDefault="00FA403F" w:rsidP="00FA403F">
            <w:pPr>
              <w:spacing w:line="276" w:lineRule="auto"/>
              <w:jc w:val="both"/>
            </w:pPr>
            <w:r>
              <w:rPr>
                <w:rFonts w:ascii="Calibri" w:eastAsia="Calibri" w:hAnsi="Calibri" w:cs="Calibri"/>
              </w:rPr>
              <w:t>Vytvoření strategických partnerství</w:t>
            </w:r>
          </w:p>
        </w:tc>
        <w:tc>
          <w:tcPr>
            <w:tcW w:w="1695" w:type="dxa"/>
            <w:tcBorders>
              <w:top w:val="single" w:sz="4" w:space="0" w:color="auto"/>
              <w:left w:val="single" w:sz="4" w:space="0" w:color="auto"/>
              <w:bottom w:val="single" w:sz="4" w:space="0" w:color="auto"/>
              <w:right w:val="single" w:sz="4" w:space="0" w:color="auto"/>
            </w:tcBorders>
            <w:tcMar>
              <w:left w:w="108" w:type="dxa"/>
              <w:right w:w="108" w:type="dxa"/>
            </w:tcMar>
          </w:tcPr>
          <w:p w14:paraId="6B290471" w14:textId="3547062D" w:rsidR="00FA403F" w:rsidRPr="00393D5E" w:rsidRDefault="00FA403F" w:rsidP="00FA403F">
            <w:pPr>
              <w:spacing w:line="276" w:lineRule="auto"/>
              <w:jc w:val="center"/>
            </w:pPr>
            <w:r w:rsidRPr="13105CAA">
              <w:rPr>
                <w:rFonts w:ascii="Calibri" w:eastAsia="Calibri" w:hAnsi="Calibri" w:cs="Calibri"/>
              </w:rPr>
              <w:t>1,0</w:t>
            </w:r>
          </w:p>
        </w:tc>
        <w:tc>
          <w:tcPr>
            <w:tcW w:w="2130" w:type="dxa"/>
            <w:tcBorders>
              <w:top w:val="single" w:sz="4" w:space="0" w:color="auto"/>
              <w:left w:val="single" w:sz="4" w:space="0" w:color="auto"/>
              <w:bottom w:val="single" w:sz="4" w:space="0" w:color="auto"/>
              <w:right w:val="single" w:sz="4" w:space="0" w:color="auto"/>
            </w:tcBorders>
            <w:tcMar>
              <w:left w:w="108" w:type="dxa"/>
              <w:right w:w="108" w:type="dxa"/>
            </w:tcMar>
          </w:tcPr>
          <w:p w14:paraId="540A1B5B" w14:textId="49E0F16B" w:rsidR="00FA403F" w:rsidRPr="00393D5E" w:rsidRDefault="00FA403F" w:rsidP="00FA403F">
            <w:pPr>
              <w:spacing w:line="276" w:lineRule="auto"/>
              <w:jc w:val="both"/>
            </w:pPr>
            <w:r w:rsidRPr="00393D5E">
              <w:rPr>
                <w:rFonts w:ascii="Calibri" w:eastAsia="Calibri" w:hAnsi="Calibri" w:cs="Calibri"/>
              </w:rPr>
              <w:t>ETS granty</w:t>
            </w:r>
          </w:p>
        </w:tc>
      </w:tr>
      <w:tr w:rsidR="00FA403F" w:rsidRPr="00393D5E" w14:paraId="71922440" w14:textId="77777777" w:rsidTr="35187188">
        <w:trPr>
          <w:trHeight w:val="1090"/>
        </w:trPr>
        <w:tc>
          <w:tcPr>
            <w:tcW w:w="1530" w:type="dxa"/>
            <w:vMerge w:val="restart"/>
            <w:tcBorders>
              <w:top w:val="single" w:sz="4" w:space="0" w:color="auto"/>
              <w:left w:val="single" w:sz="4" w:space="0" w:color="auto"/>
              <w:bottom w:val="single" w:sz="4" w:space="0" w:color="auto"/>
              <w:right w:val="single" w:sz="4" w:space="0" w:color="auto"/>
            </w:tcBorders>
            <w:tcMar>
              <w:left w:w="108" w:type="dxa"/>
              <w:right w:w="108" w:type="dxa"/>
            </w:tcMar>
          </w:tcPr>
          <w:p w14:paraId="2B456C90" w14:textId="7C11B8EE" w:rsidR="00FA403F" w:rsidRPr="00393D5E" w:rsidRDefault="00FA403F" w:rsidP="00FA403F">
            <w:pPr>
              <w:spacing w:line="276" w:lineRule="auto"/>
            </w:pPr>
            <w:r w:rsidRPr="35187188">
              <w:rPr>
                <w:rFonts w:ascii="Calibri" w:eastAsia="Calibri" w:hAnsi="Calibri" w:cs="Calibri"/>
              </w:rPr>
              <w:t>7.5 Dekarbonizace silniční dopravy</w:t>
            </w:r>
          </w:p>
        </w:tc>
        <w:tc>
          <w:tcPr>
            <w:tcW w:w="3840" w:type="dxa"/>
            <w:tcBorders>
              <w:top w:val="single" w:sz="4" w:space="0" w:color="auto"/>
              <w:left w:val="single" w:sz="4" w:space="0" w:color="auto"/>
              <w:bottom w:val="single" w:sz="4" w:space="0" w:color="auto"/>
              <w:right w:val="single" w:sz="4" w:space="0" w:color="auto"/>
            </w:tcBorders>
            <w:tcMar>
              <w:left w:w="108" w:type="dxa"/>
              <w:right w:w="108" w:type="dxa"/>
            </w:tcMar>
          </w:tcPr>
          <w:p w14:paraId="53AFA36B" w14:textId="68191CB1" w:rsidR="00FA403F" w:rsidRPr="00393D5E" w:rsidRDefault="00FA403F" w:rsidP="00FA403F">
            <w:pPr>
              <w:spacing w:line="276" w:lineRule="auto"/>
              <w:rPr>
                <w:rFonts w:ascii="Calibri" w:eastAsia="Calibri" w:hAnsi="Calibri" w:cs="Calibri"/>
              </w:rPr>
            </w:pPr>
            <w:r w:rsidRPr="35187188">
              <w:rPr>
                <w:rFonts w:ascii="Calibri" w:eastAsia="Calibri" w:hAnsi="Calibri" w:cs="Calibri"/>
              </w:rPr>
              <w:t>Národní akční plán čisté mobility a</w:t>
            </w:r>
            <w:r w:rsidR="0003053E">
              <w:rPr>
                <w:rFonts w:ascii="Calibri" w:eastAsia="Calibri" w:hAnsi="Calibri" w:cs="Calibri"/>
              </w:rPr>
              <w:t> </w:t>
            </w:r>
            <w:r w:rsidRPr="35187188">
              <w:rPr>
                <w:rFonts w:ascii="Calibri" w:eastAsia="Calibri" w:hAnsi="Calibri" w:cs="Calibri"/>
              </w:rPr>
              <w:t>cíle zavádění mobility s</w:t>
            </w:r>
            <w:r w:rsidR="0003053E">
              <w:rPr>
                <w:rFonts w:ascii="Calibri" w:eastAsia="Calibri" w:hAnsi="Calibri" w:cs="Calibri"/>
              </w:rPr>
              <w:t> </w:t>
            </w:r>
            <w:r w:rsidRPr="35187188">
              <w:rPr>
                <w:rFonts w:ascii="Calibri" w:eastAsia="Calibri" w:hAnsi="Calibri" w:cs="Calibri"/>
              </w:rPr>
              <w:t>nulovými emisemi</w:t>
            </w:r>
          </w:p>
        </w:tc>
        <w:tc>
          <w:tcPr>
            <w:tcW w:w="1695" w:type="dxa"/>
            <w:tcBorders>
              <w:top w:val="single" w:sz="4" w:space="0" w:color="auto"/>
              <w:left w:val="single" w:sz="4" w:space="0" w:color="auto"/>
              <w:bottom w:val="single" w:sz="4" w:space="0" w:color="auto"/>
              <w:right w:val="single" w:sz="4" w:space="0" w:color="auto"/>
            </w:tcBorders>
            <w:tcMar>
              <w:left w:w="108" w:type="dxa"/>
              <w:right w:w="108" w:type="dxa"/>
            </w:tcMar>
          </w:tcPr>
          <w:p w14:paraId="668318C8" w14:textId="0ED82099" w:rsidR="00FA403F" w:rsidRPr="00393D5E" w:rsidRDefault="00FA403F" w:rsidP="00FA403F">
            <w:pPr>
              <w:spacing w:line="276" w:lineRule="auto"/>
              <w:jc w:val="center"/>
            </w:pPr>
            <w:r w:rsidRPr="13105CAA">
              <w:rPr>
                <w:rFonts w:ascii="Calibri" w:eastAsia="Calibri" w:hAnsi="Calibri" w:cs="Calibri"/>
              </w:rPr>
              <w:t>0</w:t>
            </w:r>
          </w:p>
        </w:tc>
        <w:tc>
          <w:tcPr>
            <w:tcW w:w="2130" w:type="dxa"/>
            <w:tcBorders>
              <w:top w:val="single" w:sz="4" w:space="0" w:color="auto"/>
              <w:left w:val="single" w:sz="4" w:space="0" w:color="auto"/>
              <w:bottom w:val="single" w:sz="4" w:space="0" w:color="auto"/>
              <w:right w:val="single" w:sz="4" w:space="0" w:color="auto"/>
            </w:tcBorders>
            <w:tcMar>
              <w:left w:w="108" w:type="dxa"/>
              <w:right w:w="108" w:type="dxa"/>
            </w:tcMar>
          </w:tcPr>
          <w:p w14:paraId="7D1C23BD" w14:textId="1C51058D" w:rsidR="00FA403F" w:rsidRPr="00393D5E" w:rsidRDefault="00FA403F" w:rsidP="00FA403F">
            <w:pPr>
              <w:spacing w:line="276" w:lineRule="auto"/>
              <w:jc w:val="both"/>
            </w:pPr>
            <w:r w:rsidRPr="00393D5E">
              <w:rPr>
                <w:rFonts w:ascii="Calibri" w:eastAsia="Calibri" w:hAnsi="Calibri" w:cs="Calibri"/>
              </w:rPr>
              <w:t xml:space="preserve">ETS granty </w:t>
            </w:r>
          </w:p>
          <w:p w14:paraId="3D80A8F3" w14:textId="1F306650" w:rsidR="00FA403F" w:rsidRPr="00393D5E" w:rsidRDefault="00FA403F" w:rsidP="00FA403F">
            <w:pPr>
              <w:spacing w:line="276" w:lineRule="auto"/>
              <w:jc w:val="both"/>
            </w:pPr>
            <w:r w:rsidRPr="00393D5E">
              <w:rPr>
                <w:rFonts w:ascii="Calibri" w:eastAsia="Calibri" w:hAnsi="Calibri" w:cs="Calibri"/>
              </w:rPr>
              <w:t xml:space="preserve"> </w:t>
            </w:r>
          </w:p>
        </w:tc>
      </w:tr>
      <w:tr w:rsidR="00FA403F" w:rsidRPr="00393D5E" w14:paraId="49FD2194" w14:textId="77777777" w:rsidTr="35187188">
        <w:trPr>
          <w:trHeight w:val="300"/>
        </w:trPr>
        <w:tc>
          <w:tcPr>
            <w:tcW w:w="1530" w:type="dxa"/>
            <w:vMerge/>
            <w:vAlign w:val="center"/>
          </w:tcPr>
          <w:p w14:paraId="5FB94686" w14:textId="77777777" w:rsidR="00FA403F" w:rsidRPr="00393D5E" w:rsidRDefault="00FA403F" w:rsidP="00FA403F"/>
        </w:tc>
        <w:tc>
          <w:tcPr>
            <w:tcW w:w="3840" w:type="dxa"/>
            <w:tcBorders>
              <w:top w:val="single" w:sz="4" w:space="0" w:color="auto"/>
              <w:left w:val="single" w:sz="4" w:space="0" w:color="auto"/>
              <w:bottom w:val="single" w:sz="4" w:space="0" w:color="auto"/>
              <w:right w:val="single" w:sz="4" w:space="0" w:color="auto"/>
            </w:tcBorders>
            <w:tcMar>
              <w:left w:w="108" w:type="dxa"/>
              <w:right w:w="108" w:type="dxa"/>
            </w:tcMar>
          </w:tcPr>
          <w:p w14:paraId="4228E929" w14:textId="7E3EC1FE" w:rsidR="00FA403F" w:rsidRPr="00393D5E" w:rsidRDefault="00FA403F" w:rsidP="00FA403F">
            <w:pPr>
              <w:spacing w:after="165" w:line="276" w:lineRule="auto"/>
              <w:rPr>
                <w:rFonts w:ascii="Calibri" w:eastAsia="Calibri" w:hAnsi="Calibri" w:cs="Calibri"/>
                <w:color w:val="000000" w:themeColor="text1"/>
              </w:rPr>
            </w:pPr>
            <w:r w:rsidRPr="35187188">
              <w:rPr>
                <w:rFonts w:ascii="Calibri" w:eastAsia="Calibri" w:hAnsi="Calibri" w:cs="Calibri"/>
                <w:color w:val="000000" w:themeColor="text1"/>
              </w:rPr>
              <w:t>Daňová opatření na podporu mobility s</w:t>
            </w:r>
            <w:r w:rsidR="0003053E">
              <w:rPr>
                <w:rFonts w:ascii="Calibri" w:eastAsia="Calibri" w:hAnsi="Calibri" w:cs="Calibri"/>
                <w:color w:val="000000" w:themeColor="text1"/>
              </w:rPr>
              <w:t> </w:t>
            </w:r>
            <w:r w:rsidRPr="35187188">
              <w:rPr>
                <w:rFonts w:ascii="Calibri" w:eastAsia="Calibri" w:hAnsi="Calibri" w:cs="Calibri"/>
                <w:color w:val="000000" w:themeColor="text1"/>
              </w:rPr>
              <w:t xml:space="preserve">nulovými emisemi </w:t>
            </w:r>
          </w:p>
        </w:tc>
        <w:tc>
          <w:tcPr>
            <w:tcW w:w="1695" w:type="dxa"/>
            <w:tcBorders>
              <w:top w:val="single" w:sz="4" w:space="0" w:color="auto"/>
              <w:left w:val="single" w:sz="4" w:space="0" w:color="auto"/>
              <w:bottom w:val="single" w:sz="4" w:space="0" w:color="auto"/>
              <w:right w:val="single" w:sz="4" w:space="0" w:color="auto"/>
            </w:tcBorders>
            <w:tcMar>
              <w:left w:w="108" w:type="dxa"/>
              <w:right w:w="108" w:type="dxa"/>
            </w:tcMar>
          </w:tcPr>
          <w:p w14:paraId="422A9ACA" w14:textId="58E3B632" w:rsidR="00FA403F" w:rsidRPr="00393D5E" w:rsidRDefault="00FA403F" w:rsidP="00FA403F">
            <w:pPr>
              <w:spacing w:line="276" w:lineRule="auto"/>
              <w:jc w:val="center"/>
            </w:pPr>
            <w:r w:rsidRPr="13105CAA">
              <w:rPr>
                <w:rFonts w:ascii="Calibri" w:eastAsia="Calibri" w:hAnsi="Calibri" w:cs="Calibri"/>
              </w:rPr>
              <w:t>0</w:t>
            </w:r>
          </w:p>
        </w:tc>
        <w:tc>
          <w:tcPr>
            <w:tcW w:w="2130" w:type="dxa"/>
            <w:tcBorders>
              <w:top w:val="single" w:sz="4" w:space="0" w:color="auto"/>
              <w:left w:val="single" w:sz="4" w:space="0" w:color="auto"/>
              <w:bottom w:val="single" w:sz="4" w:space="0" w:color="auto"/>
              <w:right w:val="single" w:sz="4" w:space="0" w:color="auto"/>
            </w:tcBorders>
            <w:tcMar>
              <w:left w:w="108" w:type="dxa"/>
              <w:right w:w="108" w:type="dxa"/>
            </w:tcMar>
          </w:tcPr>
          <w:p w14:paraId="387806B0" w14:textId="3DDB7399" w:rsidR="00FA403F" w:rsidRPr="00393D5E" w:rsidRDefault="00FA403F" w:rsidP="00FA403F">
            <w:pPr>
              <w:spacing w:line="276" w:lineRule="auto"/>
              <w:jc w:val="both"/>
            </w:pPr>
            <w:r w:rsidRPr="00393D5E">
              <w:rPr>
                <w:rFonts w:ascii="Calibri" w:eastAsia="Calibri" w:hAnsi="Calibri" w:cs="Calibri"/>
              </w:rPr>
              <w:t>ETS granty</w:t>
            </w:r>
          </w:p>
        </w:tc>
      </w:tr>
      <w:tr w:rsidR="00FA403F" w:rsidRPr="00393D5E" w14:paraId="074EEE7F" w14:textId="77777777" w:rsidTr="35187188">
        <w:trPr>
          <w:trHeight w:val="300"/>
        </w:trPr>
        <w:tc>
          <w:tcPr>
            <w:tcW w:w="1530" w:type="dxa"/>
            <w:vMerge/>
            <w:vAlign w:val="center"/>
          </w:tcPr>
          <w:p w14:paraId="6A5DCDE7" w14:textId="77777777" w:rsidR="00FA403F" w:rsidRPr="00393D5E" w:rsidRDefault="00FA403F" w:rsidP="00FA403F"/>
        </w:tc>
        <w:tc>
          <w:tcPr>
            <w:tcW w:w="3840" w:type="dxa"/>
            <w:tcBorders>
              <w:top w:val="single" w:sz="4" w:space="0" w:color="auto"/>
              <w:left w:val="single" w:sz="4" w:space="0" w:color="auto"/>
              <w:bottom w:val="single" w:sz="4" w:space="0" w:color="auto"/>
              <w:right w:val="single" w:sz="4" w:space="0" w:color="auto"/>
            </w:tcBorders>
            <w:tcMar>
              <w:left w:w="108" w:type="dxa"/>
              <w:right w:w="108" w:type="dxa"/>
            </w:tcMar>
          </w:tcPr>
          <w:p w14:paraId="3EB7BF47" w14:textId="00E034E6" w:rsidR="00FA403F" w:rsidRPr="00393D5E" w:rsidRDefault="00FA403F" w:rsidP="00FA403F">
            <w:pPr>
              <w:spacing w:after="165" w:line="276" w:lineRule="auto"/>
            </w:pPr>
            <w:r w:rsidRPr="35187188">
              <w:rPr>
                <w:rFonts w:ascii="Calibri" w:eastAsia="Calibri" w:hAnsi="Calibri" w:cs="Calibri"/>
                <w:color w:val="000000" w:themeColor="text1"/>
              </w:rPr>
              <w:t>Základní podmínky pro infrastrukturu alternativních paliv s</w:t>
            </w:r>
            <w:r w:rsidR="0003053E">
              <w:rPr>
                <w:rFonts w:ascii="Calibri" w:eastAsia="Calibri" w:hAnsi="Calibri" w:cs="Calibri"/>
                <w:color w:val="000000" w:themeColor="text1"/>
              </w:rPr>
              <w:t> </w:t>
            </w:r>
            <w:r w:rsidRPr="35187188">
              <w:rPr>
                <w:rFonts w:ascii="Calibri" w:eastAsia="Calibri" w:hAnsi="Calibri" w:cs="Calibri"/>
                <w:color w:val="000000" w:themeColor="text1"/>
              </w:rPr>
              <w:t>nulovými emisemi</w:t>
            </w:r>
          </w:p>
        </w:tc>
        <w:tc>
          <w:tcPr>
            <w:tcW w:w="1695" w:type="dxa"/>
            <w:tcBorders>
              <w:top w:val="single" w:sz="4" w:space="0" w:color="auto"/>
              <w:left w:val="single" w:sz="4" w:space="0" w:color="auto"/>
              <w:bottom w:val="single" w:sz="4" w:space="0" w:color="auto"/>
              <w:right w:val="single" w:sz="4" w:space="0" w:color="auto"/>
            </w:tcBorders>
            <w:tcMar>
              <w:left w:w="108" w:type="dxa"/>
              <w:right w:w="108" w:type="dxa"/>
            </w:tcMar>
          </w:tcPr>
          <w:p w14:paraId="09BA7FC2" w14:textId="1F6821F5" w:rsidR="00FA403F" w:rsidRPr="00393D5E" w:rsidRDefault="00FA403F" w:rsidP="00FA403F">
            <w:pPr>
              <w:spacing w:line="276" w:lineRule="auto"/>
              <w:jc w:val="center"/>
            </w:pPr>
            <w:r w:rsidRPr="13105CAA">
              <w:rPr>
                <w:rFonts w:ascii="Calibri" w:eastAsia="Calibri" w:hAnsi="Calibri" w:cs="Calibri"/>
              </w:rPr>
              <w:t>0</w:t>
            </w:r>
          </w:p>
        </w:tc>
        <w:tc>
          <w:tcPr>
            <w:tcW w:w="2130" w:type="dxa"/>
            <w:tcBorders>
              <w:top w:val="single" w:sz="4" w:space="0" w:color="auto"/>
              <w:left w:val="single" w:sz="4" w:space="0" w:color="auto"/>
              <w:bottom w:val="single" w:sz="4" w:space="0" w:color="auto"/>
              <w:right w:val="single" w:sz="4" w:space="0" w:color="auto"/>
            </w:tcBorders>
            <w:tcMar>
              <w:left w:w="108" w:type="dxa"/>
              <w:right w:w="108" w:type="dxa"/>
            </w:tcMar>
          </w:tcPr>
          <w:p w14:paraId="70761675" w14:textId="41DFC03E" w:rsidR="00FA403F" w:rsidRPr="00393D5E" w:rsidRDefault="00FA403F" w:rsidP="00FA403F">
            <w:pPr>
              <w:spacing w:line="276" w:lineRule="auto"/>
              <w:jc w:val="both"/>
            </w:pPr>
            <w:r w:rsidRPr="00393D5E">
              <w:rPr>
                <w:rFonts w:ascii="Calibri" w:eastAsia="Calibri" w:hAnsi="Calibri" w:cs="Calibri"/>
              </w:rPr>
              <w:t>ETS granty</w:t>
            </w:r>
          </w:p>
        </w:tc>
      </w:tr>
      <w:tr w:rsidR="00FA403F" w14:paraId="02646551" w14:textId="77777777" w:rsidTr="35187188">
        <w:trPr>
          <w:trHeight w:val="300"/>
        </w:trPr>
        <w:tc>
          <w:tcPr>
            <w:tcW w:w="1530" w:type="dxa"/>
            <w:vMerge/>
            <w:tcMar>
              <w:left w:w="108" w:type="dxa"/>
              <w:right w:w="108" w:type="dxa"/>
            </w:tcMar>
          </w:tcPr>
          <w:p w14:paraId="5BDEC474" w14:textId="77777777" w:rsidR="00FA403F" w:rsidRDefault="00FA403F" w:rsidP="00FA403F"/>
        </w:tc>
        <w:tc>
          <w:tcPr>
            <w:tcW w:w="3840" w:type="dxa"/>
            <w:tcBorders>
              <w:top w:val="single" w:sz="4" w:space="0" w:color="auto"/>
              <w:left w:val="single" w:sz="4" w:space="0" w:color="auto"/>
              <w:bottom w:val="single" w:sz="4" w:space="0" w:color="auto"/>
              <w:right w:val="single" w:sz="4" w:space="0" w:color="auto"/>
            </w:tcBorders>
            <w:tcMar>
              <w:left w:w="108" w:type="dxa"/>
              <w:right w:w="108" w:type="dxa"/>
            </w:tcMar>
          </w:tcPr>
          <w:p w14:paraId="45A9EB65" w14:textId="003B7DD9" w:rsidR="00FA403F" w:rsidRDefault="00FA403F" w:rsidP="00FA403F">
            <w:pPr>
              <w:spacing w:line="276" w:lineRule="auto"/>
              <w:rPr>
                <w:rFonts w:ascii="Calibri" w:eastAsia="Calibri" w:hAnsi="Calibri" w:cs="Calibri"/>
                <w:color w:val="000000" w:themeColor="text1"/>
              </w:rPr>
            </w:pPr>
            <w:r w:rsidRPr="35187188">
              <w:rPr>
                <w:rFonts w:ascii="Calibri" w:eastAsia="Calibri" w:hAnsi="Calibri" w:cs="Calibri"/>
                <w:color w:val="000000" w:themeColor="text1"/>
              </w:rPr>
              <w:t>Zlepšení regulačního rámce pro vodík z</w:t>
            </w:r>
            <w:r w:rsidR="0003053E">
              <w:rPr>
                <w:rFonts w:ascii="Calibri" w:eastAsia="Calibri" w:hAnsi="Calibri" w:cs="Calibri"/>
                <w:color w:val="000000" w:themeColor="text1"/>
              </w:rPr>
              <w:t> </w:t>
            </w:r>
            <w:r w:rsidRPr="35187188">
              <w:rPr>
                <w:rFonts w:ascii="Calibri" w:eastAsia="Calibri" w:hAnsi="Calibri" w:cs="Calibri"/>
                <w:color w:val="000000" w:themeColor="text1"/>
              </w:rPr>
              <w:t>obnovitelných zdrojů</w:t>
            </w:r>
          </w:p>
        </w:tc>
        <w:tc>
          <w:tcPr>
            <w:tcW w:w="1695" w:type="dxa"/>
            <w:tcBorders>
              <w:top w:val="single" w:sz="4" w:space="0" w:color="auto"/>
              <w:left w:val="single" w:sz="4" w:space="0" w:color="auto"/>
              <w:bottom w:val="single" w:sz="4" w:space="0" w:color="auto"/>
              <w:right w:val="single" w:sz="4" w:space="0" w:color="auto"/>
            </w:tcBorders>
            <w:tcMar>
              <w:left w:w="108" w:type="dxa"/>
              <w:right w:w="108" w:type="dxa"/>
            </w:tcMar>
          </w:tcPr>
          <w:p w14:paraId="1E99D38A" w14:textId="41B82781" w:rsidR="00FA403F" w:rsidRDefault="00FA403F" w:rsidP="00FA403F">
            <w:pPr>
              <w:spacing w:line="276" w:lineRule="auto"/>
              <w:jc w:val="center"/>
              <w:rPr>
                <w:rFonts w:ascii="Calibri" w:eastAsia="Calibri" w:hAnsi="Calibri" w:cs="Calibri"/>
              </w:rPr>
            </w:pPr>
            <w:r w:rsidRPr="35187188">
              <w:rPr>
                <w:rFonts w:ascii="Calibri" w:eastAsia="Calibri" w:hAnsi="Calibri" w:cs="Calibri"/>
              </w:rPr>
              <w:t>0</w:t>
            </w:r>
          </w:p>
        </w:tc>
        <w:tc>
          <w:tcPr>
            <w:tcW w:w="2130" w:type="dxa"/>
            <w:tcBorders>
              <w:top w:val="single" w:sz="4" w:space="0" w:color="auto"/>
              <w:left w:val="single" w:sz="4" w:space="0" w:color="auto"/>
              <w:bottom w:val="single" w:sz="4" w:space="0" w:color="auto"/>
              <w:right w:val="single" w:sz="4" w:space="0" w:color="auto"/>
            </w:tcBorders>
            <w:tcMar>
              <w:left w:w="108" w:type="dxa"/>
              <w:right w:w="108" w:type="dxa"/>
            </w:tcMar>
          </w:tcPr>
          <w:p w14:paraId="3A83DEC1" w14:textId="498460B6" w:rsidR="00FA403F" w:rsidRDefault="00FA403F" w:rsidP="00FA403F">
            <w:pPr>
              <w:spacing w:line="276" w:lineRule="auto"/>
              <w:jc w:val="both"/>
              <w:rPr>
                <w:rFonts w:ascii="Calibri" w:eastAsia="Calibri" w:hAnsi="Calibri" w:cs="Calibri"/>
              </w:rPr>
            </w:pPr>
            <w:r w:rsidRPr="35187188">
              <w:rPr>
                <w:rFonts w:ascii="Calibri" w:eastAsia="Calibri" w:hAnsi="Calibri" w:cs="Calibri"/>
              </w:rPr>
              <w:t>ETS granty</w:t>
            </w:r>
          </w:p>
        </w:tc>
      </w:tr>
      <w:tr w:rsidR="00FA403F" w:rsidRPr="00393D5E" w14:paraId="7C13E129" w14:textId="77777777" w:rsidTr="35187188">
        <w:trPr>
          <w:trHeight w:val="300"/>
        </w:trPr>
        <w:tc>
          <w:tcPr>
            <w:tcW w:w="1530" w:type="dxa"/>
            <w:vMerge/>
            <w:vAlign w:val="center"/>
          </w:tcPr>
          <w:p w14:paraId="1A1B1EC0" w14:textId="77777777" w:rsidR="00FA403F" w:rsidRPr="00393D5E" w:rsidRDefault="00FA403F" w:rsidP="00FA403F"/>
        </w:tc>
        <w:tc>
          <w:tcPr>
            <w:tcW w:w="3840" w:type="dxa"/>
            <w:tcBorders>
              <w:top w:val="single" w:sz="4" w:space="0" w:color="auto"/>
              <w:left w:val="single" w:sz="4" w:space="0" w:color="auto"/>
              <w:bottom w:val="single" w:sz="4" w:space="0" w:color="auto"/>
              <w:right w:val="single" w:sz="4" w:space="0" w:color="auto"/>
            </w:tcBorders>
            <w:tcMar>
              <w:left w:w="108" w:type="dxa"/>
              <w:right w:w="108" w:type="dxa"/>
            </w:tcMar>
          </w:tcPr>
          <w:p w14:paraId="01DB1DE8" w14:textId="3B1D361B" w:rsidR="00FA403F" w:rsidRPr="00393D5E" w:rsidRDefault="00FA403F" w:rsidP="00FA403F">
            <w:pPr>
              <w:spacing w:line="276" w:lineRule="auto"/>
            </w:pPr>
            <w:r w:rsidRPr="35187188">
              <w:rPr>
                <w:rFonts w:ascii="Calibri" w:eastAsia="Calibri" w:hAnsi="Calibri" w:cs="Calibri"/>
              </w:rPr>
              <w:t>Rozšíření opatření: Podpora na nákup vozidel – vozidel s</w:t>
            </w:r>
            <w:r w:rsidR="0003053E">
              <w:rPr>
                <w:rFonts w:ascii="Calibri" w:eastAsia="Calibri" w:hAnsi="Calibri" w:cs="Calibri"/>
              </w:rPr>
              <w:t> </w:t>
            </w:r>
            <w:r w:rsidRPr="35187188">
              <w:rPr>
                <w:rFonts w:ascii="Calibri" w:eastAsia="Calibri" w:hAnsi="Calibri" w:cs="Calibri"/>
              </w:rPr>
              <w:t>nulovými emisemi a</w:t>
            </w:r>
            <w:r w:rsidR="0003053E">
              <w:rPr>
                <w:rFonts w:ascii="Calibri" w:eastAsia="Calibri" w:hAnsi="Calibri" w:cs="Calibri"/>
              </w:rPr>
              <w:t> </w:t>
            </w:r>
            <w:r w:rsidRPr="35187188">
              <w:rPr>
                <w:rFonts w:ascii="Calibri" w:eastAsia="Calibri" w:hAnsi="Calibri" w:cs="Calibri"/>
              </w:rPr>
              <w:t>nákladní elektrokol pro soukromé společnosti</w:t>
            </w:r>
          </w:p>
        </w:tc>
        <w:tc>
          <w:tcPr>
            <w:tcW w:w="1695" w:type="dxa"/>
            <w:tcBorders>
              <w:top w:val="single" w:sz="4" w:space="0" w:color="auto"/>
              <w:left w:val="single" w:sz="4" w:space="0" w:color="auto"/>
              <w:bottom w:val="single" w:sz="4" w:space="0" w:color="auto"/>
              <w:right w:val="single" w:sz="4" w:space="0" w:color="auto"/>
            </w:tcBorders>
            <w:tcMar>
              <w:left w:w="108" w:type="dxa"/>
              <w:right w:w="108" w:type="dxa"/>
            </w:tcMar>
          </w:tcPr>
          <w:p w14:paraId="51CFFDA7" w14:textId="0E568954" w:rsidR="00FA403F" w:rsidRPr="00393D5E" w:rsidRDefault="00FA403F" w:rsidP="00FA403F">
            <w:pPr>
              <w:spacing w:line="276" w:lineRule="auto"/>
              <w:jc w:val="center"/>
            </w:pPr>
            <w:r w:rsidRPr="13105CAA">
              <w:rPr>
                <w:rFonts w:ascii="Calibri" w:eastAsia="Calibri" w:hAnsi="Calibri" w:cs="Calibri"/>
              </w:rPr>
              <w:t>0,76</w:t>
            </w:r>
          </w:p>
        </w:tc>
        <w:tc>
          <w:tcPr>
            <w:tcW w:w="2130" w:type="dxa"/>
            <w:tcBorders>
              <w:top w:val="single" w:sz="4" w:space="0" w:color="auto"/>
              <w:left w:val="single" w:sz="4" w:space="0" w:color="auto"/>
              <w:bottom w:val="single" w:sz="4" w:space="0" w:color="auto"/>
              <w:right w:val="single" w:sz="4" w:space="0" w:color="auto"/>
            </w:tcBorders>
            <w:tcMar>
              <w:left w:w="108" w:type="dxa"/>
              <w:right w:w="108" w:type="dxa"/>
            </w:tcMar>
          </w:tcPr>
          <w:p w14:paraId="5BCC3A9D" w14:textId="1B825119" w:rsidR="00FA403F" w:rsidRPr="00393D5E" w:rsidRDefault="00FA403F" w:rsidP="00FA403F">
            <w:pPr>
              <w:spacing w:line="276" w:lineRule="auto"/>
              <w:jc w:val="both"/>
            </w:pPr>
            <w:r w:rsidRPr="00393D5E">
              <w:rPr>
                <w:rFonts w:ascii="Calibri" w:eastAsia="Calibri" w:hAnsi="Calibri" w:cs="Calibri"/>
              </w:rPr>
              <w:t>ETS granty</w:t>
            </w:r>
          </w:p>
        </w:tc>
      </w:tr>
      <w:tr w:rsidR="0089650B" w:rsidRPr="00393D5E" w14:paraId="2AE22EF8" w14:textId="77777777" w:rsidTr="35187188">
        <w:trPr>
          <w:trHeight w:val="300"/>
        </w:trPr>
        <w:tc>
          <w:tcPr>
            <w:tcW w:w="1530" w:type="dxa"/>
            <w:vAlign w:val="center"/>
          </w:tcPr>
          <w:p w14:paraId="47DAAA1E" w14:textId="77777777" w:rsidR="0089650B" w:rsidRPr="00393D5E" w:rsidRDefault="0089650B" w:rsidP="0089650B"/>
        </w:tc>
        <w:tc>
          <w:tcPr>
            <w:tcW w:w="3840" w:type="dxa"/>
            <w:tcBorders>
              <w:top w:val="single" w:sz="4" w:space="0" w:color="auto"/>
              <w:left w:val="single" w:sz="4" w:space="0" w:color="auto"/>
              <w:bottom w:val="single" w:sz="4" w:space="0" w:color="auto"/>
              <w:right w:val="single" w:sz="4" w:space="0" w:color="auto"/>
            </w:tcBorders>
            <w:tcMar>
              <w:left w:w="108" w:type="dxa"/>
              <w:right w:w="108" w:type="dxa"/>
            </w:tcMar>
          </w:tcPr>
          <w:p w14:paraId="302CA06F" w14:textId="3830DC2D" w:rsidR="0089650B" w:rsidRPr="005D741B" w:rsidRDefault="0089650B" w:rsidP="0089650B">
            <w:pPr>
              <w:spacing w:line="276" w:lineRule="auto"/>
              <w:rPr>
                <w:rFonts w:ascii="Calibri" w:eastAsia="Calibri" w:hAnsi="Calibri" w:cs="Calibri"/>
              </w:rPr>
            </w:pPr>
            <w:r w:rsidRPr="35187188">
              <w:rPr>
                <w:rFonts w:ascii="Calibri" w:eastAsia="Calibri" w:hAnsi="Calibri" w:cs="Calibri"/>
              </w:rPr>
              <w:t>Pobídky pro mobilitu s</w:t>
            </w:r>
            <w:r w:rsidR="0003053E">
              <w:rPr>
                <w:rFonts w:ascii="Calibri" w:eastAsia="Calibri" w:hAnsi="Calibri" w:cs="Calibri"/>
              </w:rPr>
              <w:t> </w:t>
            </w:r>
            <w:r w:rsidRPr="35187188">
              <w:rPr>
                <w:rFonts w:ascii="Calibri" w:eastAsia="Calibri" w:hAnsi="Calibri" w:cs="Calibri"/>
              </w:rPr>
              <w:t>nulovými emisemi prostřednictvím změn nákladů na dálniční známky a</w:t>
            </w:r>
          </w:p>
          <w:p w14:paraId="2ABD1CD6" w14:textId="3B138815" w:rsidR="0089650B" w:rsidRPr="35187188" w:rsidRDefault="0089650B" w:rsidP="0089650B">
            <w:pPr>
              <w:spacing w:line="276" w:lineRule="auto"/>
              <w:rPr>
                <w:rFonts w:ascii="Calibri" w:eastAsia="Calibri" w:hAnsi="Calibri" w:cs="Calibri"/>
              </w:rPr>
            </w:pPr>
            <w:r w:rsidRPr="005D741B">
              <w:rPr>
                <w:rFonts w:ascii="Calibri" w:eastAsia="Calibri" w:hAnsi="Calibri" w:cs="Calibri"/>
              </w:rPr>
              <w:t>struktury</w:t>
            </w:r>
          </w:p>
        </w:tc>
        <w:tc>
          <w:tcPr>
            <w:tcW w:w="1695" w:type="dxa"/>
            <w:tcBorders>
              <w:top w:val="single" w:sz="4" w:space="0" w:color="auto"/>
              <w:left w:val="single" w:sz="4" w:space="0" w:color="auto"/>
              <w:bottom w:val="single" w:sz="4" w:space="0" w:color="auto"/>
              <w:right w:val="single" w:sz="4" w:space="0" w:color="auto"/>
            </w:tcBorders>
            <w:tcMar>
              <w:left w:w="108" w:type="dxa"/>
              <w:right w:w="108" w:type="dxa"/>
            </w:tcMar>
          </w:tcPr>
          <w:p w14:paraId="340812B6" w14:textId="77586B96" w:rsidR="0089650B" w:rsidRPr="13105CAA" w:rsidRDefault="0089650B" w:rsidP="0089650B">
            <w:pPr>
              <w:spacing w:line="276" w:lineRule="auto"/>
              <w:jc w:val="center"/>
              <w:rPr>
                <w:rFonts w:ascii="Calibri" w:eastAsia="Calibri" w:hAnsi="Calibri" w:cs="Calibri"/>
              </w:rPr>
            </w:pPr>
            <w:r w:rsidRPr="13105CAA">
              <w:rPr>
                <w:rFonts w:ascii="Calibri" w:eastAsia="Calibri" w:hAnsi="Calibri" w:cs="Calibri"/>
              </w:rPr>
              <w:t>0</w:t>
            </w:r>
          </w:p>
        </w:tc>
        <w:tc>
          <w:tcPr>
            <w:tcW w:w="2130" w:type="dxa"/>
            <w:tcBorders>
              <w:top w:val="single" w:sz="4" w:space="0" w:color="auto"/>
              <w:left w:val="single" w:sz="4" w:space="0" w:color="auto"/>
              <w:bottom w:val="single" w:sz="4" w:space="0" w:color="auto"/>
              <w:right w:val="single" w:sz="4" w:space="0" w:color="auto"/>
            </w:tcBorders>
            <w:tcMar>
              <w:left w:w="108" w:type="dxa"/>
              <w:right w:w="108" w:type="dxa"/>
            </w:tcMar>
          </w:tcPr>
          <w:p w14:paraId="34C2A935" w14:textId="16245128" w:rsidR="0089650B" w:rsidRPr="00393D5E" w:rsidRDefault="0089650B" w:rsidP="0089650B">
            <w:pPr>
              <w:spacing w:line="276" w:lineRule="auto"/>
              <w:jc w:val="both"/>
              <w:rPr>
                <w:rFonts w:ascii="Calibri" w:eastAsia="Calibri" w:hAnsi="Calibri" w:cs="Calibri"/>
              </w:rPr>
            </w:pPr>
            <w:r w:rsidRPr="00393D5E">
              <w:rPr>
                <w:rFonts w:ascii="Calibri" w:eastAsia="Calibri" w:hAnsi="Calibri" w:cs="Calibri"/>
              </w:rPr>
              <w:t>ETS granty</w:t>
            </w:r>
          </w:p>
        </w:tc>
      </w:tr>
      <w:tr w:rsidR="0089650B" w:rsidRPr="00393D5E" w14:paraId="763F765B" w14:textId="77777777" w:rsidTr="35187188">
        <w:trPr>
          <w:trHeight w:val="420"/>
        </w:trPr>
        <w:tc>
          <w:tcPr>
            <w:tcW w:w="1530" w:type="dxa"/>
            <w:tcBorders>
              <w:top w:val="single" w:sz="4" w:space="0" w:color="auto"/>
              <w:left w:val="single" w:sz="4" w:space="0" w:color="auto"/>
              <w:bottom w:val="single" w:sz="4" w:space="0" w:color="auto"/>
              <w:right w:val="single" w:sz="4" w:space="0" w:color="auto"/>
            </w:tcBorders>
            <w:tcMar>
              <w:left w:w="108" w:type="dxa"/>
              <w:right w:w="108" w:type="dxa"/>
            </w:tcMar>
          </w:tcPr>
          <w:p w14:paraId="05690C3A" w14:textId="59770C4A" w:rsidR="0089650B" w:rsidRPr="00393D5E" w:rsidRDefault="0089650B" w:rsidP="0089650B">
            <w:pPr>
              <w:spacing w:line="276" w:lineRule="auto"/>
            </w:pPr>
            <w:r w:rsidRPr="35187188">
              <w:rPr>
                <w:rFonts w:ascii="Calibri" w:eastAsia="Calibri" w:hAnsi="Calibri" w:cs="Calibri"/>
              </w:rPr>
              <w:t>7.6 Elektrifikace železniční dopravy</w:t>
            </w:r>
          </w:p>
        </w:tc>
        <w:tc>
          <w:tcPr>
            <w:tcW w:w="3840" w:type="dxa"/>
            <w:tcBorders>
              <w:top w:val="single" w:sz="4" w:space="0" w:color="auto"/>
              <w:left w:val="single" w:sz="4" w:space="0" w:color="auto"/>
              <w:bottom w:val="single" w:sz="4" w:space="0" w:color="auto"/>
              <w:right w:val="single" w:sz="4" w:space="0" w:color="auto"/>
            </w:tcBorders>
            <w:tcMar>
              <w:left w:w="108" w:type="dxa"/>
              <w:right w:w="108" w:type="dxa"/>
            </w:tcMar>
          </w:tcPr>
          <w:p w14:paraId="6227A2C1" w14:textId="2AD381EB" w:rsidR="0089650B" w:rsidRPr="00393D5E" w:rsidRDefault="0089650B" w:rsidP="0089650B">
            <w:pPr>
              <w:spacing w:line="276" w:lineRule="auto"/>
            </w:pPr>
            <w:r w:rsidRPr="35187188">
              <w:rPr>
                <w:rFonts w:ascii="Calibri" w:eastAsia="Calibri" w:hAnsi="Calibri" w:cs="Calibri"/>
                <w:color w:val="000000" w:themeColor="text1"/>
              </w:rPr>
              <w:t>Investice Elektrifikace v</w:t>
            </w:r>
            <w:r w:rsidR="0003053E">
              <w:rPr>
                <w:rFonts w:ascii="Calibri" w:eastAsia="Calibri" w:hAnsi="Calibri" w:cs="Calibri"/>
                <w:color w:val="000000" w:themeColor="text1"/>
              </w:rPr>
              <w:t> </w:t>
            </w:r>
            <w:r w:rsidRPr="35187188">
              <w:rPr>
                <w:rFonts w:ascii="Calibri" w:eastAsia="Calibri" w:hAnsi="Calibri" w:cs="Calibri"/>
                <w:color w:val="000000" w:themeColor="text1"/>
              </w:rPr>
              <w:t>Brněnském regionu</w:t>
            </w:r>
          </w:p>
          <w:p w14:paraId="52315F48" w14:textId="6C592C58" w:rsidR="0089650B" w:rsidRPr="00393D5E" w:rsidRDefault="0089650B" w:rsidP="0089650B">
            <w:pPr>
              <w:spacing w:line="276" w:lineRule="auto"/>
            </w:pPr>
            <w:r w:rsidRPr="4C5C00C7">
              <w:rPr>
                <w:rFonts w:ascii="Calibri" w:eastAsia="Calibri" w:hAnsi="Calibri" w:cs="Calibri"/>
              </w:rPr>
              <w:t xml:space="preserve"> </w:t>
            </w:r>
          </w:p>
        </w:tc>
        <w:tc>
          <w:tcPr>
            <w:tcW w:w="1695" w:type="dxa"/>
            <w:tcBorders>
              <w:top w:val="single" w:sz="4" w:space="0" w:color="auto"/>
              <w:left w:val="single" w:sz="4" w:space="0" w:color="auto"/>
              <w:bottom w:val="single" w:sz="4" w:space="0" w:color="auto"/>
              <w:right w:val="single" w:sz="4" w:space="0" w:color="auto"/>
            </w:tcBorders>
            <w:tcMar>
              <w:left w:w="108" w:type="dxa"/>
              <w:right w:w="108" w:type="dxa"/>
            </w:tcMar>
          </w:tcPr>
          <w:p w14:paraId="04F9905E" w14:textId="075989E0" w:rsidR="0089650B" w:rsidRPr="00393D5E" w:rsidRDefault="0089650B" w:rsidP="0089650B">
            <w:pPr>
              <w:spacing w:line="276" w:lineRule="auto"/>
              <w:jc w:val="center"/>
            </w:pPr>
            <w:r w:rsidRPr="13105CAA">
              <w:rPr>
                <w:rFonts w:ascii="Calibri" w:eastAsia="Calibri" w:hAnsi="Calibri" w:cs="Calibri"/>
              </w:rPr>
              <w:t>1,3</w:t>
            </w:r>
          </w:p>
          <w:p w14:paraId="4E628716" w14:textId="15A92F02" w:rsidR="0089650B" w:rsidRDefault="0089650B" w:rsidP="0089650B">
            <w:pPr>
              <w:spacing w:line="276" w:lineRule="auto"/>
              <w:jc w:val="center"/>
            </w:pPr>
          </w:p>
          <w:p w14:paraId="167D20B1" w14:textId="595BEC48" w:rsidR="0089650B" w:rsidRDefault="0089650B" w:rsidP="0089650B">
            <w:pPr>
              <w:spacing w:line="276" w:lineRule="auto"/>
              <w:jc w:val="center"/>
            </w:pPr>
          </w:p>
          <w:p w14:paraId="36847906" w14:textId="1323A01E" w:rsidR="0089650B" w:rsidRDefault="0089650B" w:rsidP="0089650B">
            <w:pPr>
              <w:spacing w:line="276" w:lineRule="auto"/>
              <w:jc w:val="center"/>
            </w:pPr>
          </w:p>
          <w:p w14:paraId="76C14968" w14:textId="3FCDCC11" w:rsidR="0089650B" w:rsidRPr="00393D5E" w:rsidRDefault="0089650B" w:rsidP="0089650B">
            <w:pPr>
              <w:spacing w:line="276" w:lineRule="auto"/>
              <w:jc w:val="center"/>
            </w:pPr>
          </w:p>
        </w:tc>
        <w:tc>
          <w:tcPr>
            <w:tcW w:w="2130" w:type="dxa"/>
            <w:tcBorders>
              <w:top w:val="single" w:sz="4" w:space="0" w:color="auto"/>
              <w:left w:val="single" w:sz="4" w:space="0" w:color="auto"/>
              <w:bottom w:val="single" w:sz="4" w:space="0" w:color="auto"/>
              <w:right w:val="single" w:sz="4" w:space="0" w:color="auto"/>
            </w:tcBorders>
            <w:tcMar>
              <w:left w:w="108" w:type="dxa"/>
              <w:right w:w="108" w:type="dxa"/>
            </w:tcMar>
          </w:tcPr>
          <w:p w14:paraId="51BD970A" w14:textId="20C09D6D" w:rsidR="0089650B" w:rsidRPr="00393D5E" w:rsidRDefault="0089650B" w:rsidP="0089650B">
            <w:pPr>
              <w:spacing w:line="276" w:lineRule="auto"/>
              <w:jc w:val="both"/>
            </w:pPr>
            <w:r w:rsidRPr="00393D5E">
              <w:rPr>
                <w:rFonts w:ascii="Calibri" w:eastAsia="Calibri" w:hAnsi="Calibri" w:cs="Calibri"/>
              </w:rPr>
              <w:t>Převod z</w:t>
            </w:r>
            <w:r w:rsidR="0003053E">
              <w:rPr>
                <w:rFonts w:ascii="Calibri" w:eastAsia="Calibri" w:hAnsi="Calibri" w:cs="Calibri"/>
              </w:rPr>
              <w:t> </w:t>
            </w:r>
            <w:r w:rsidRPr="00393D5E">
              <w:rPr>
                <w:rFonts w:ascii="Calibri" w:eastAsia="Calibri" w:hAnsi="Calibri" w:cs="Calibri"/>
              </w:rPr>
              <w:t>BAR – granty ETS</w:t>
            </w:r>
          </w:p>
          <w:p w14:paraId="7D587595" w14:textId="6E6DA90F" w:rsidR="0089650B" w:rsidRPr="00393D5E" w:rsidRDefault="0089650B" w:rsidP="0089650B">
            <w:pPr>
              <w:spacing w:line="276" w:lineRule="auto"/>
              <w:jc w:val="both"/>
            </w:pPr>
            <w:r w:rsidRPr="00393D5E">
              <w:rPr>
                <w:rFonts w:ascii="Calibri" w:eastAsia="Calibri" w:hAnsi="Calibri" w:cs="Calibri"/>
              </w:rPr>
              <w:t xml:space="preserve"> </w:t>
            </w:r>
          </w:p>
          <w:p w14:paraId="723F4420" w14:textId="77777777" w:rsidR="0089650B" w:rsidRDefault="0089650B" w:rsidP="0089650B">
            <w:pPr>
              <w:spacing w:line="276" w:lineRule="auto"/>
              <w:jc w:val="both"/>
              <w:rPr>
                <w:rFonts w:ascii="Calibri" w:eastAsia="Calibri" w:hAnsi="Calibri" w:cs="Calibri"/>
              </w:rPr>
            </w:pPr>
          </w:p>
          <w:p w14:paraId="354D4BBD" w14:textId="77777777" w:rsidR="0089650B" w:rsidRDefault="0089650B" w:rsidP="0089650B">
            <w:pPr>
              <w:spacing w:line="276" w:lineRule="auto"/>
              <w:jc w:val="both"/>
              <w:rPr>
                <w:rFonts w:ascii="Calibri" w:eastAsia="Calibri" w:hAnsi="Calibri" w:cs="Calibri"/>
              </w:rPr>
            </w:pPr>
          </w:p>
          <w:p w14:paraId="0F50D343" w14:textId="6A0047F8" w:rsidR="0089650B" w:rsidRPr="00393D5E" w:rsidRDefault="0089650B" w:rsidP="0089650B">
            <w:pPr>
              <w:spacing w:line="276" w:lineRule="auto"/>
              <w:jc w:val="both"/>
              <w:rPr>
                <w:rFonts w:ascii="Calibri" w:eastAsia="Calibri" w:hAnsi="Calibri" w:cs="Calibri"/>
              </w:rPr>
            </w:pPr>
          </w:p>
        </w:tc>
      </w:tr>
      <w:tr w:rsidR="0089650B" w:rsidRPr="00393D5E" w14:paraId="4F1CF76D" w14:textId="77777777" w:rsidTr="35187188">
        <w:trPr>
          <w:trHeight w:val="420"/>
        </w:trPr>
        <w:tc>
          <w:tcPr>
            <w:tcW w:w="1530" w:type="dxa"/>
            <w:tcBorders>
              <w:top w:val="single" w:sz="4" w:space="0" w:color="auto"/>
              <w:left w:val="single" w:sz="4" w:space="0" w:color="auto"/>
              <w:bottom w:val="single" w:sz="4" w:space="0" w:color="auto"/>
              <w:right w:val="single" w:sz="4" w:space="0" w:color="auto"/>
            </w:tcBorders>
            <w:tcMar>
              <w:left w:w="108" w:type="dxa"/>
              <w:right w:w="108" w:type="dxa"/>
            </w:tcMar>
          </w:tcPr>
          <w:p w14:paraId="3ADCACC2" w14:textId="65983FCB" w:rsidR="0089650B" w:rsidRPr="00393D5E" w:rsidRDefault="0089650B" w:rsidP="0089650B">
            <w:pPr>
              <w:spacing w:before="120" w:after="120" w:line="276" w:lineRule="auto"/>
              <w:rPr>
                <w:rFonts w:eastAsia="Calibri"/>
                <w:color w:val="000000" w:themeColor="text1"/>
              </w:rPr>
            </w:pPr>
            <w:r w:rsidRPr="35187188">
              <w:rPr>
                <w:rFonts w:ascii="Calibri" w:eastAsia="Calibri" w:hAnsi="Calibri" w:cs="Calibri"/>
              </w:rPr>
              <w:t xml:space="preserve">7.7 </w:t>
            </w:r>
            <w:r w:rsidRPr="35187188">
              <w:rPr>
                <w:rFonts w:eastAsia="Calibri"/>
                <w:color w:val="000000" w:themeColor="text1"/>
              </w:rPr>
              <w:t>Zjednodušení povolovacích řízení v</w:t>
            </w:r>
            <w:r w:rsidR="0003053E">
              <w:rPr>
                <w:rFonts w:eastAsia="Calibri"/>
                <w:color w:val="000000" w:themeColor="text1"/>
              </w:rPr>
              <w:t> </w:t>
            </w:r>
            <w:r w:rsidRPr="35187188">
              <w:rPr>
                <w:rFonts w:eastAsia="Calibri"/>
                <w:color w:val="000000" w:themeColor="text1"/>
              </w:rPr>
              <w:t>oblasti životního prostředí a</w:t>
            </w:r>
            <w:r w:rsidR="0003053E">
              <w:rPr>
                <w:rFonts w:eastAsia="Calibri"/>
                <w:color w:val="000000" w:themeColor="text1"/>
              </w:rPr>
              <w:t> </w:t>
            </w:r>
            <w:r w:rsidRPr="35187188">
              <w:rPr>
                <w:rFonts w:eastAsia="Calibri"/>
                <w:color w:val="000000" w:themeColor="text1"/>
              </w:rPr>
              <w:t>vymezení oblastí pro rozvoj obnovitelných zdrojů energie</w:t>
            </w:r>
          </w:p>
        </w:tc>
        <w:tc>
          <w:tcPr>
            <w:tcW w:w="3840" w:type="dxa"/>
            <w:tcBorders>
              <w:top w:val="single" w:sz="4" w:space="0" w:color="auto"/>
              <w:left w:val="single" w:sz="4" w:space="0" w:color="auto"/>
              <w:bottom w:val="single" w:sz="4" w:space="0" w:color="auto"/>
              <w:right w:val="single" w:sz="4" w:space="0" w:color="auto"/>
            </w:tcBorders>
            <w:tcMar>
              <w:left w:w="108" w:type="dxa"/>
              <w:right w:w="108" w:type="dxa"/>
            </w:tcMar>
          </w:tcPr>
          <w:p w14:paraId="678A569B" w14:textId="50869ACB" w:rsidR="0089650B" w:rsidRPr="00393D5E" w:rsidRDefault="0089650B" w:rsidP="0089650B">
            <w:pPr>
              <w:spacing w:line="276" w:lineRule="auto"/>
              <w:rPr>
                <w:rFonts w:eastAsia="Calibri" w:cstheme="minorHAnsi"/>
                <w:color w:val="000000" w:themeColor="text1"/>
              </w:rPr>
            </w:pPr>
            <w:r>
              <w:rPr>
                <w:rFonts w:ascii="Calibri" w:eastAsia="Calibri" w:hAnsi="Calibri" w:cs="Calibri"/>
                <w:color w:val="000000" w:themeColor="text1"/>
              </w:rPr>
              <w:t>J</w:t>
            </w:r>
            <w:r w:rsidRPr="00393D5E">
              <w:rPr>
                <w:rFonts w:ascii="Calibri" w:eastAsia="Calibri" w:hAnsi="Calibri" w:cs="Calibri"/>
                <w:color w:val="000000" w:themeColor="text1"/>
              </w:rPr>
              <w:t>ednotné enviro</w:t>
            </w:r>
            <w:r w:rsidRPr="00393D5E">
              <w:rPr>
                <w:rFonts w:eastAsia="Calibri" w:cstheme="minorHAnsi"/>
                <w:color w:val="000000" w:themeColor="text1"/>
              </w:rPr>
              <w:t>nmentální stanovisk</w:t>
            </w:r>
            <w:r>
              <w:rPr>
                <w:rFonts w:eastAsia="Calibri" w:cstheme="minorHAnsi"/>
                <w:color w:val="000000" w:themeColor="text1"/>
              </w:rPr>
              <w:t>o</w:t>
            </w:r>
          </w:p>
          <w:p w14:paraId="41295C90" w14:textId="77777777" w:rsidR="0089650B" w:rsidRPr="00393D5E" w:rsidRDefault="0089650B" w:rsidP="0089650B">
            <w:pPr>
              <w:spacing w:line="276" w:lineRule="auto"/>
              <w:jc w:val="both"/>
              <w:rPr>
                <w:rFonts w:cstheme="minorHAnsi"/>
              </w:rPr>
            </w:pPr>
          </w:p>
          <w:p w14:paraId="5DE157FB" w14:textId="77A442A0" w:rsidR="0089650B" w:rsidRPr="00393D5E" w:rsidRDefault="0089650B" w:rsidP="0089650B">
            <w:pPr>
              <w:spacing w:before="120" w:after="120" w:line="276" w:lineRule="auto"/>
              <w:jc w:val="both"/>
            </w:pPr>
            <w:r w:rsidRPr="35187188">
              <w:rPr>
                <w:rFonts w:eastAsia="Calibri"/>
                <w:color w:val="000000" w:themeColor="text1"/>
              </w:rPr>
              <w:t xml:space="preserve">Oblasti pro urychlené zavádění obnovitelných zdrojů energie </w:t>
            </w:r>
            <w:r w:rsidRPr="35187188">
              <w:rPr>
                <w:rFonts w:ascii="Calibri" w:eastAsia="Calibri" w:hAnsi="Calibri" w:cs="Calibri"/>
                <w:color w:val="000000" w:themeColor="text1"/>
              </w:rPr>
              <w:t xml:space="preserve"> </w:t>
            </w:r>
          </w:p>
        </w:tc>
        <w:tc>
          <w:tcPr>
            <w:tcW w:w="1695" w:type="dxa"/>
            <w:tcBorders>
              <w:top w:val="single" w:sz="4" w:space="0" w:color="auto"/>
              <w:left w:val="single" w:sz="4" w:space="0" w:color="auto"/>
              <w:bottom w:val="single" w:sz="4" w:space="0" w:color="auto"/>
              <w:right w:val="single" w:sz="4" w:space="0" w:color="auto"/>
            </w:tcBorders>
            <w:tcMar>
              <w:left w:w="108" w:type="dxa"/>
              <w:right w:w="108" w:type="dxa"/>
            </w:tcMar>
          </w:tcPr>
          <w:p w14:paraId="1E79C480" w14:textId="65CEA196" w:rsidR="0089650B" w:rsidRPr="00393D5E" w:rsidRDefault="0089650B" w:rsidP="0089650B">
            <w:pPr>
              <w:spacing w:line="276" w:lineRule="auto"/>
              <w:jc w:val="center"/>
              <w:rPr>
                <w:rFonts w:ascii="Calibri" w:eastAsia="Calibri" w:hAnsi="Calibri" w:cs="Calibri"/>
              </w:rPr>
            </w:pPr>
            <w:r w:rsidRPr="13105CAA">
              <w:rPr>
                <w:rFonts w:ascii="Calibri" w:eastAsia="Calibri" w:hAnsi="Calibri" w:cs="Calibri"/>
              </w:rPr>
              <w:t>0,35</w:t>
            </w:r>
          </w:p>
        </w:tc>
        <w:tc>
          <w:tcPr>
            <w:tcW w:w="2130" w:type="dxa"/>
            <w:tcBorders>
              <w:top w:val="single" w:sz="4" w:space="0" w:color="auto"/>
              <w:left w:val="single" w:sz="4" w:space="0" w:color="auto"/>
              <w:bottom w:val="single" w:sz="4" w:space="0" w:color="auto"/>
              <w:right w:val="single" w:sz="4" w:space="0" w:color="auto"/>
            </w:tcBorders>
            <w:tcMar>
              <w:left w:w="108" w:type="dxa"/>
              <w:right w:w="108" w:type="dxa"/>
            </w:tcMar>
          </w:tcPr>
          <w:p w14:paraId="3BCDA68A" w14:textId="4E538F53" w:rsidR="0089650B" w:rsidRPr="00393D5E" w:rsidRDefault="0089650B" w:rsidP="0089650B">
            <w:pPr>
              <w:spacing w:line="276" w:lineRule="auto"/>
              <w:jc w:val="both"/>
            </w:pPr>
            <w:r w:rsidRPr="00393D5E">
              <w:rPr>
                <w:rFonts w:ascii="Calibri" w:eastAsia="Calibri" w:hAnsi="Calibri" w:cs="Calibri"/>
              </w:rPr>
              <w:t>ETS granty</w:t>
            </w:r>
          </w:p>
        </w:tc>
      </w:tr>
    </w:tbl>
    <w:p w14:paraId="35D9A05A" w14:textId="2A975933" w:rsidR="00637F54" w:rsidRPr="00393D5E" w:rsidRDefault="000E1C94" w:rsidP="0AFA31E3">
      <w:pPr>
        <w:pStyle w:val="Titulek"/>
        <w:spacing w:line="276" w:lineRule="auto"/>
        <w:rPr>
          <w:b/>
          <w:bCs/>
          <w:noProof w:val="0"/>
          <w:u w:val="single"/>
        </w:rPr>
      </w:pPr>
      <w:bookmarkStart w:id="269" w:name="_Toc151444588"/>
      <w:r w:rsidRPr="00393D5E">
        <w:rPr>
          <w:noProof w:val="0"/>
        </w:rPr>
        <w:t xml:space="preserve">Tabulka </w:t>
      </w:r>
      <w:r w:rsidRPr="00393D5E">
        <w:rPr>
          <w:noProof w:val="0"/>
        </w:rPr>
        <w:fldChar w:fldCharType="begin"/>
      </w:r>
      <w:r w:rsidRPr="00393D5E">
        <w:rPr>
          <w:noProof w:val="0"/>
        </w:rPr>
        <w:instrText xml:space="preserve"> SEQ Tabulka \* ARABIC </w:instrText>
      </w:r>
      <w:r w:rsidRPr="00393D5E">
        <w:rPr>
          <w:noProof w:val="0"/>
        </w:rPr>
        <w:fldChar w:fldCharType="separate"/>
      </w:r>
      <w:r w:rsidR="00E25A73">
        <w:t>3</w:t>
      </w:r>
      <w:r w:rsidRPr="00393D5E">
        <w:rPr>
          <w:noProof w:val="0"/>
        </w:rPr>
        <w:fldChar w:fldCharType="end"/>
      </w:r>
      <w:r w:rsidR="00E25A73">
        <w:rPr>
          <w:noProof w:val="0"/>
        </w:rPr>
        <w:t>:</w:t>
      </w:r>
      <w:r w:rsidRPr="00393D5E">
        <w:rPr>
          <w:noProof w:val="0"/>
        </w:rPr>
        <w:t xml:space="preserve"> Přehled všech opatření kapitoly REPowerEU</w:t>
      </w:r>
      <w:r w:rsidR="3CBA105F" w:rsidRPr="00393D5E">
        <w:rPr>
          <w:noProof w:val="0"/>
        </w:rPr>
        <w:t xml:space="preserve"> (hodnoty jsou zaokrouhleny)</w:t>
      </w:r>
      <w:bookmarkEnd w:id="269"/>
    </w:p>
    <w:p w14:paraId="48A8A5E5" w14:textId="77777777" w:rsidR="00A75179" w:rsidRPr="00393D5E" w:rsidRDefault="00A75179" w:rsidP="00316A1B">
      <w:pPr>
        <w:spacing w:line="276" w:lineRule="auto"/>
        <w:jc w:val="both"/>
        <w:rPr>
          <w:rFonts w:cstheme="minorHAnsi"/>
          <w:sz w:val="20"/>
          <w:szCs w:val="20"/>
        </w:rPr>
      </w:pPr>
    </w:p>
    <w:p w14:paraId="08F12CBE" w14:textId="77777777" w:rsidR="005B5D90" w:rsidRPr="00393D5E" w:rsidRDefault="6D2BA0C2" w:rsidP="3E0D70EE">
      <w:pPr>
        <w:pStyle w:val="Nadpis4"/>
        <w:numPr>
          <w:ilvl w:val="3"/>
          <w:numId w:val="4"/>
        </w:numPr>
        <w:spacing w:line="276" w:lineRule="auto"/>
        <w:rPr>
          <w:rFonts w:asciiTheme="minorHAnsi" w:hAnsiTheme="minorHAnsi" w:cstheme="minorBidi"/>
        </w:rPr>
      </w:pPr>
      <w:bookmarkStart w:id="270" w:name="_Toc151444344"/>
      <w:r w:rsidRPr="3E0D70EE">
        <w:rPr>
          <w:rFonts w:asciiTheme="minorHAnsi" w:hAnsiTheme="minorHAnsi" w:cstheme="minorBidi"/>
        </w:rPr>
        <w:t>Cíle plánu REPowerEU</w:t>
      </w:r>
      <w:bookmarkEnd w:id="270"/>
    </w:p>
    <w:p w14:paraId="1F947DAA" w14:textId="38340CF4" w:rsidR="00E545A6" w:rsidRPr="00E545A6" w:rsidRDefault="00E545A6" w:rsidP="00E545A6">
      <w:pPr>
        <w:spacing w:line="276" w:lineRule="auto"/>
        <w:jc w:val="both"/>
        <w:rPr>
          <w:rFonts w:eastAsiaTheme="minorEastAsia"/>
        </w:rPr>
      </w:pPr>
      <w:bookmarkStart w:id="271" w:name="_Hlk132716110"/>
      <w:r w:rsidRPr="00E545A6">
        <w:t>Jednotlivé reformy a</w:t>
      </w:r>
      <w:r w:rsidR="0003053E">
        <w:t> </w:t>
      </w:r>
      <w:r w:rsidRPr="00E545A6">
        <w:t>investice uvedené v</w:t>
      </w:r>
      <w:r w:rsidR="0003053E">
        <w:t> </w:t>
      </w:r>
      <w:r w:rsidRPr="00E545A6">
        <w:t>kapitole REPowerEU přispívají k</w:t>
      </w:r>
      <w:r w:rsidR="0003053E">
        <w:t> </w:t>
      </w:r>
      <w:r w:rsidRPr="00E545A6">
        <w:t>dosažení obecných cílů, které vychází z</w:t>
      </w:r>
      <w:r w:rsidR="0003053E">
        <w:t> </w:t>
      </w:r>
      <w:r w:rsidRPr="00E545A6">
        <w:t>Nařízení Evropského parlamentu a</w:t>
      </w:r>
      <w:r w:rsidR="0003053E">
        <w:t> </w:t>
      </w:r>
      <w:r w:rsidRPr="00E545A6">
        <w:t>Rady 2023/435 ze dne 27. února 2023, kterým se mění nařízení 2021/241, pokud jde o</w:t>
      </w:r>
      <w:r w:rsidR="0003053E">
        <w:t> </w:t>
      </w:r>
      <w:r w:rsidRPr="00E545A6">
        <w:t>kapitoly REPowerEU v</w:t>
      </w:r>
      <w:r w:rsidR="0003053E">
        <w:t> </w:t>
      </w:r>
      <w:r w:rsidRPr="00E545A6">
        <w:t>plánech pro oživení a</w:t>
      </w:r>
      <w:r w:rsidR="0003053E">
        <w:t> </w:t>
      </w:r>
      <w:r w:rsidRPr="00E545A6">
        <w:t>odolnost:</w:t>
      </w:r>
    </w:p>
    <w:p w14:paraId="7E23B4C5" w14:textId="2DDDF739" w:rsidR="00AD439A" w:rsidRPr="00393D5E" w:rsidRDefault="269D3C0A" w:rsidP="00CE14E6">
      <w:pPr>
        <w:pStyle w:val="Odstavecseseznamem"/>
        <w:numPr>
          <w:ilvl w:val="0"/>
          <w:numId w:val="5"/>
        </w:numPr>
        <w:spacing w:line="276" w:lineRule="auto"/>
        <w:jc w:val="both"/>
        <w:rPr>
          <w:rFonts w:eastAsiaTheme="minorEastAsia"/>
        </w:rPr>
      </w:pPr>
      <w:r w:rsidRPr="00393D5E">
        <w:t>posílení energetické infrastruktury a</w:t>
      </w:r>
      <w:r w:rsidR="0003053E">
        <w:t> </w:t>
      </w:r>
      <w:r w:rsidRPr="00393D5E">
        <w:t>zařízení</w:t>
      </w:r>
      <w:r w:rsidR="68C4698C" w:rsidRPr="00393D5E">
        <w:t>:</w:t>
      </w:r>
      <w:r w:rsidRPr="00393D5E">
        <w:t xml:space="preserve"> V</w:t>
      </w:r>
      <w:r w:rsidR="0003053E">
        <w:t> </w:t>
      </w:r>
      <w:r w:rsidRPr="00393D5E">
        <w:t>kapitole REPowerEU je zařazena také řada investic a</w:t>
      </w:r>
      <w:r w:rsidR="0003053E">
        <w:t> </w:t>
      </w:r>
      <w:r w:rsidRPr="00393D5E">
        <w:t>reforem, které posilují energetickou infrastrukturu ve smyslu posílení distribučních sítí zejména v</w:t>
      </w:r>
      <w:r w:rsidR="0003053E">
        <w:t> </w:t>
      </w:r>
      <w:r w:rsidRPr="00393D5E">
        <w:t>kontextu rozvoje využívání obnovitelných zdrojů. Společně s</w:t>
      </w:r>
      <w:r w:rsidR="0003053E">
        <w:t> </w:t>
      </w:r>
      <w:r w:rsidRPr="00393D5E">
        <w:t>těmito reformami je v</w:t>
      </w:r>
      <w:r w:rsidR="0003053E">
        <w:t> </w:t>
      </w:r>
      <w:r w:rsidRPr="00393D5E">
        <w:t>plánu zahrnuta i</w:t>
      </w:r>
      <w:r w:rsidR="0003053E">
        <w:t> </w:t>
      </w:r>
      <w:r w:rsidRPr="00393D5E">
        <w:t>investiční část zaměřená na posílení vnitřního trhu s</w:t>
      </w:r>
      <w:r w:rsidR="0003053E">
        <w:t> </w:t>
      </w:r>
      <w:r w:rsidRPr="00393D5E">
        <w:t>elektřinou, jež má za</w:t>
      </w:r>
      <w:r w:rsidRPr="00393D5E">
        <w:rPr>
          <w:rFonts w:eastAsiaTheme="minorEastAsia"/>
        </w:rPr>
        <w:t>bezpečit úspěšnou transformaci a</w:t>
      </w:r>
      <w:r w:rsidR="0003053E">
        <w:rPr>
          <w:rFonts w:eastAsiaTheme="minorEastAsia"/>
        </w:rPr>
        <w:t> </w:t>
      </w:r>
      <w:r w:rsidRPr="00393D5E">
        <w:rPr>
          <w:rFonts w:eastAsiaTheme="minorEastAsia"/>
        </w:rPr>
        <w:t>digitalizaci vnitřního trhu s</w:t>
      </w:r>
      <w:r w:rsidR="0003053E">
        <w:rPr>
          <w:rFonts w:eastAsiaTheme="minorEastAsia"/>
        </w:rPr>
        <w:t> </w:t>
      </w:r>
      <w:r w:rsidRPr="00393D5E">
        <w:rPr>
          <w:rFonts w:eastAsiaTheme="minorEastAsia"/>
        </w:rPr>
        <w:t>elektřinou v</w:t>
      </w:r>
      <w:r w:rsidR="0003053E">
        <w:rPr>
          <w:rFonts w:eastAsiaTheme="minorEastAsia"/>
        </w:rPr>
        <w:t> </w:t>
      </w:r>
      <w:r w:rsidRPr="00393D5E">
        <w:rPr>
          <w:rFonts w:eastAsiaTheme="minorEastAsia"/>
        </w:rPr>
        <w:t>České republice, v</w:t>
      </w:r>
      <w:r w:rsidR="0003053E">
        <w:rPr>
          <w:rFonts w:eastAsiaTheme="minorEastAsia"/>
        </w:rPr>
        <w:t> </w:t>
      </w:r>
      <w:r w:rsidRPr="00393D5E">
        <w:rPr>
          <w:rFonts w:eastAsiaTheme="minorEastAsia"/>
        </w:rPr>
        <w:t>souladu s</w:t>
      </w:r>
      <w:r w:rsidR="0003053E">
        <w:rPr>
          <w:rFonts w:eastAsiaTheme="minorEastAsia"/>
        </w:rPr>
        <w:t> </w:t>
      </w:r>
      <w:r w:rsidRPr="00393D5E">
        <w:rPr>
          <w:rFonts w:eastAsiaTheme="minorEastAsia"/>
        </w:rPr>
        <w:t>balíčkem Čistá energie pro všechny Evropany (Clean Energy Package, dále též jako „CEP“), a</w:t>
      </w:r>
      <w:r w:rsidR="0003053E">
        <w:rPr>
          <w:rFonts w:eastAsiaTheme="minorEastAsia"/>
        </w:rPr>
        <w:t> </w:t>
      </w:r>
      <w:r w:rsidRPr="00393D5E">
        <w:rPr>
          <w:rFonts w:eastAsiaTheme="minorEastAsia"/>
        </w:rPr>
        <w:t>to zejména zajistit datové výměny až do času blízkého reálnému mezi účastníky trhu vyplývající z</w:t>
      </w:r>
      <w:r w:rsidR="0003053E">
        <w:rPr>
          <w:rFonts w:eastAsiaTheme="minorEastAsia"/>
        </w:rPr>
        <w:t> </w:t>
      </w:r>
      <w:r w:rsidRPr="00393D5E">
        <w:rPr>
          <w:rFonts w:eastAsiaTheme="minorEastAsia"/>
        </w:rPr>
        <w:t xml:space="preserve"> decentralizace výroby (rozvoj obnovitelných zdrojů, akumulace  a</w:t>
      </w:r>
      <w:r w:rsidR="0003053E">
        <w:rPr>
          <w:rFonts w:eastAsiaTheme="minorEastAsia"/>
        </w:rPr>
        <w:t> </w:t>
      </w:r>
      <w:r w:rsidRPr="00393D5E">
        <w:rPr>
          <w:rFonts w:eastAsiaTheme="minorEastAsia"/>
        </w:rPr>
        <w:t>agregace a</w:t>
      </w:r>
      <w:r w:rsidR="0003053E">
        <w:rPr>
          <w:rFonts w:eastAsiaTheme="minorEastAsia"/>
        </w:rPr>
        <w:t> </w:t>
      </w:r>
      <w:r w:rsidRPr="00393D5E">
        <w:rPr>
          <w:rFonts w:eastAsiaTheme="minorEastAsia"/>
        </w:rPr>
        <w:t>řízení flexibility) a</w:t>
      </w:r>
      <w:r w:rsidR="0003053E">
        <w:rPr>
          <w:rFonts w:eastAsiaTheme="minorEastAsia"/>
        </w:rPr>
        <w:t> </w:t>
      </w:r>
      <w:r w:rsidRPr="00393D5E">
        <w:rPr>
          <w:rFonts w:eastAsiaTheme="minorEastAsia"/>
        </w:rPr>
        <w:t xml:space="preserve">rozvoje multilaterálních obchodních vztahů (energetická společenství). </w:t>
      </w:r>
    </w:p>
    <w:p w14:paraId="3ADAE4F9" w14:textId="48198EDB" w:rsidR="00AD439A" w:rsidRPr="00393D5E" w:rsidRDefault="269D3C0A" w:rsidP="00316A1B">
      <w:pPr>
        <w:pStyle w:val="Odstavecseseznamem"/>
        <w:spacing w:line="276" w:lineRule="auto"/>
        <w:jc w:val="both"/>
        <w:rPr>
          <w:rFonts w:eastAsiaTheme="minorEastAsia" w:cstheme="minorHAnsi"/>
        </w:rPr>
      </w:pPr>
      <w:r w:rsidRPr="00393D5E">
        <w:rPr>
          <w:rFonts w:eastAsiaTheme="minorEastAsia"/>
        </w:rPr>
        <w:lastRenderedPageBreak/>
        <w:t>V rámci transpozice evropské legislativy spolu s</w:t>
      </w:r>
      <w:r w:rsidR="0003053E">
        <w:rPr>
          <w:rFonts w:eastAsiaTheme="minorEastAsia"/>
        </w:rPr>
        <w:t> </w:t>
      </w:r>
      <w:r w:rsidRPr="00393D5E">
        <w:rPr>
          <w:rFonts w:eastAsiaTheme="minorEastAsia"/>
        </w:rPr>
        <w:t>přechodem na dekarbonizovanou energetiku je nezbytné umožnit nové činnosti na trhu s</w:t>
      </w:r>
      <w:r w:rsidR="0003053E">
        <w:rPr>
          <w:rFonts w:eastAsiaTheme="minorEastAsia"/>
        </w:rPr>
        <w:t> </w:t>
      </w:r>
      <w:r w:rsidRPr="00393D5E">
        <w:rPr>
          <w:rFonts w:eastAsiaTheme="minorEastAsia"/>
        </w:rPr>
        <w:t>energiemi, které podpoří přechod na obnovitelné zdroje energií prostřednictvím akumulace elektřiny, využitím flexibility, a</w:t>
      </w:r>
      <w:r w:rsidR="0003053E">
        <w:rPr>
          <w:rFonts w:eastAsiaTheme="minorEastAsia"/>
        </w:rPr>
        <w:t> </w:t>
      </w:r>
      <w:r w:rsidRPr="00393D5E">
        <w:rPr>
          <w:rFonts w:eastAsiaTheme="minorEastAsia"/>
        </w:rPr>
        <w:t>to jak na velkoobchodní úrovni, tak i</w:t>
      </w:r>
      <w:r w:rsidR="0003053E">
        <w:rPr>
          <w:rFonts w:eastAsiaTheme="minorEastAsia"/>
        </w:rPr>
        <w:t> </w:t>
      </w:r>
      <w:r w:rsidRPr="00393D5E">
        <w:rPr>
          <w:rFonts w:eastAsiaTheme="minorEastAsia"/>
        </w:rPr>
        <w:t xml:space="preserve">na úrovni aktivních zákazníků. </w:t>
      </w:r>
    </w:p>
    <w:p w14:paraId="5F173A8D" w14:textId="173545E2" w:rsidR="18F742C2" w:rsidRPr="00393D5E" w:rsidRDefault="0BEEA9FC" w:rsidP="00CE14E6">
      <w:pPr>
        <w:pStyle w:val="Odstavecseseznamem"/>
        <w:numPr>
          <w:ilvl w:val="0"/>
          <w:numId w:val="5"/>
        </w:numPr>
        <w:spacing w:line="276" w:lineRule="auto"/>
        <w:jc w:val="both"/>
      </w:pPr>
      <w:r w:rsidRPr="00393D5E">
        <w:t>zvýšení energetické účinnosti a</w:t>
      </w:r>
      <w:r w:rsidR="0003053E">
        <w:t> </w:t>
      </w:r>
      <w:r w:rsidRPr="00393D5E">
        <w:t>snížení energetické náročnosti budov, zvýšení podílu a</w:t>
      </w:r>
      <w:r w:rsidR="0003053E">
        <w:t> </w:t>
      </w:r>
      <w:r w:rsidRPr="00393D5E">
        <w:t>urychlení zavádění energie z</w:t>
      </w:r>
      <w:r w:rsidR="0003053E">
        <w:t> </w:t>
      </w:r>
      <w:r w:rsidRPr="00393D5E">
        <w:t>obnovitelných zdrojů, rozvoj kritické energetické infrastruktury, dekarbonizace průmyslu, zvýšení výroby a</w:t>
      </w:r>
      <w:r w:rsidR="0003053E">
        <w:t> </w:t>
      </w:r>
      <w:r w:rsidRPr="00393D5E">
        <w:t>využívání udržitelného vodíku</w:t>
      </w:r>
      <w:r w:rsidR="00D70836">
        <w:t>:</w:t>
      </w:r>
      <w:r w:rsidRPr="00393D5E">
        <w:t xml:space="preserve"> </w:t>
      </w:r>
      <w:r w:rsidR="00D70836">
        <w:t>Z</w:t>
      </w:r>
      <w:r w:rsidRPr="00393D5E">
        <w:t>ajištěno reformami a</w:t>
      </w:r>
      <w:r w:rsidR="0003053E">
        <w:t> </w:t>
      </w:r>
      <w:r w:rsidRPr="00393D5E">
        <w:t>investicemi v</w:t>
      </w:r>
      <w:r w:rsidR="0003053E">
        <w:t> </w:t>
      </w:r>
      <w:r w:rsidRPr="00393D5E">
        <w:t>oblasti energetiky, renovací budov, rozvojem obnovitelných zdrojů energie a</w:t>
      </w:r>
      <w:r w:rsidR="0003053E">
        <w:t> </w:t>
      </w:r>
      <w:r w:rsidRPr="00393D5E">
        <w:t>rozvojem energetického poradenství včetně technické podpory přípravy projektů v</w:t>
      </w:r>
      <w:r w:rsidR="0003053E">
        <w:t> </w:t>
      </w:r>
      <w:r w:rsidRPr="00393D5E">
        <w:t>oblasti energetické tranzice, a</w:t>
      </w:r>
      <w:r w:rsidR="0003053E">
        <w:t> </w:t>
      </w:r>
      <w:r w:rsidRPr="00393D5E">
        <w:t>dále reformami spojenými s</w:t>
      </w:r>
      <w:r w:rsidR="0003053E">
        <w:t> </w:t>
      </w:r>
      <w:r w:rsidRPr="00393D5E">
        <w:t>dekarbonizací průmyslu (aktualizace vodíkové strategie). Samostatné investice, které dále tento cíl naplňují, jsou pak investice do podpory elektromobility. Tato investice je komplementární ke komponentě 2.4 v</w:t>
      </w:r>
      <w:r w:rsidR="0003053E">
        <w:t> </w:t>
      </w:r>
      <w:r w:rsidRPr="00393D5E">
        <w:t>současném plánu.</w:t>
      </w:r>
    </w:p>
    <w:p w14:paraId="5BAFF06B" w14:textId="7ECE9FEA" w:rsidR="00AD439A" w:rsidRPr="00393D5E" w:rsidRDefault="53909118" w:rsidP="00CE14E6">
      <w:pPr>
        <w:pStyle w:val="Odstavecseseznamem"/>
        <w:numPr>
          <w:ilvl w:val="0"/>
          <w:numId w:val="5"/>
        </w:numPr>
        <w:spacing w:line="276" w:lineRule="auto"/>
        <w:jc w:val="both"/>
      </w:pPr>
      <w:r w:rsidRPr="00393D5E">
        <w:t>řešení energetické chudoby</w:t>
      </w:r>
      <w:r w:rsidR="24036ED9" w:rsidRPr="00393D5E">
        <w:t>,</w:t>
      </w:r>
    </w:p>
    <w:p w14:paraId="07A71184" w14:textId="77777777" w:rsidR="008B738C" w:rsidRPr="00393D5E" w:rsidRDefault="45AE19D0" w:rsidP="00CE14E6">
      <w:pPr>
        <w:pStyle w:val="Odstavecseseznamem"/>
        <w:numPr>
          <w:ilvl w:val="0"/>
          <w:numId w:val="5"/>
        </w:numPr>
        <w:spacing w:line="276" w:lineRule="auto"/>
        <w:jc w:val="both"/>
      </w:pPr>
      <w:r w:rsidRPr="00393D5E">
        <w:t>vytváření pobídek ke snižování poptávky po energii.</w:t>
      </w:r>
    </w:p>
    <w:bookmarkEnd w:id="271"/>
    <w:p w14:paraId="2F57A3DC" w14:textId="77777777" w:rsidR="00641747" w:rsidRPr="00393D5E" w:rsidRDefault="00641747" w:rsidP="00316A1B">
      <w:pPr>
        <w:spacing w:line="276" w:lineRule="auto"/>
        <w:jc w:val="both"/>
        <w:rPr>
          <w:sz w:val="20"/>
          <w:szCs w:val="20"/>
        </w:rPr>
      </w:pPr>
    </w:p>
    <w:p w14:paraId="5035FD85" w14:textId="6CF8D231" w:rsidR="005B5D90" w:rsidRPr="00393D5E" w:rsidRDefault="6D2BA0C2" w:rsidP="00CE14E6">
      <w:pPr>
        <w:pStyle w:val="Nadpis4"/>
        <w:numPr>
          <w:ilvl w:val="3"/>
          <w:numId w:val="4"/>
        </w:numPr>
        <w:spacing w:line="276" w:lineRule="auto"/>
      </w:pPr>
      <w:bookmarkStart w:id="272" w:name="_Toc151444345"/>
      <w:r>
        <w:t>Popis reforem a</w:t>
      </w:r>
      <w:r w:rsidR="0003053E">
        <w:t> </w:t>
      </w:r>
      <w:r>
        <w:t>investic</w:t>
      </w:r>
      <w:bookmarkEnd w:id="272"/>
    </w:p>
    <w:p w14:paraId="424BC5E9" w14:textId="66C553A9" w:rsidR="005B5D90" w:rsidRPr="00393D5E" w:rsidRDefault="003156E3" w:rsidP="00316A1B">
      <w:pPr>
        <w:spacing w:line="276" w:lineRule="auto"/>
        <w:jc w:val="both"/>
        <w:rPr>
          <w:i/>
        </w:rPr>
      </w:pPr>
      <w:r w:rsidRPr="00393D5E">
        <w:t>Uveden v</w:t>
      </w:r>
      <w:r w:rsidR="0003053E">
        <w:t> </w:t>
      </w:r>
      <w:r w:rsidRPr="00393D5E">
        <w:t>samostatné příloze</w:t>
      </w:r>
      <w:r w:rsidRPr="00393D5E">
        <w:rPr>
          <w:i/>
        </w:rPr>
        <w:t>.</w:t>
      </w:r>
    </w:p>
    <w:p w14:paraId="6FF45961" w14:textId="77777777" w:rsidR="00641747" w:rsidRPr="00393D5E" w:rsidRDefault="00641747" w:rsidP="00316A1B">
      <w:pPr>
        <w:spacing w:line="276" w:lineRule="auto"/>
        <w:jc w:val="both"/>
        <w:rPr>
          <w:sz w:val="20"/>
          <w:szCs w:val="20"/>
        </w:rPr>
      </w:pPr>
    </w:p>
    <w:p w14:paraId="0C15C0FF" w14:textId="7C42606B" w:rsidR="005B5D90" w:rsidRPr="00393D5E" w:rsidRDefault="6D2BA0C2" w:rsidP="00CE14E6">
      <w:pPr>
        <w:pStyle w:val="Nadpis4"/>
        <w:numPr>
          <w:ilvl w:val="3"/>
          <w:numId w:val="4"/>
        </w:numPr>
        <w:spacing w:line="276" w:lineRule="auto"/>
      </w:pPr>
      <w:bookmarkStart w:id="273" w:name="_Toc151444346"/>
      <w:r>
        <w:t>Projekty s</w:t>
      </w:r>
      <w:r w:rsidR="0003053E">
        <w:t> </w:t>
      </w:r>
      <w:r>
        <w:t>přeshraničním rozměrem či dopadem nebo s</w:t>
      </w:r>
      <w:r w:rsidR="0003053E">
        <w:t> </w:t>
      </w:r>
      <w:r>
        <w:t>rozměrem či dopadem zahrnujícím více zemí</w:t>
      </w:r>
      <w:bookmarkEnd w:id="273"/>
    </w:p>
    <w:p w14:paraId="40087F2F" w14:textId="75486BB6" w:rsidR="00175113" w:rsidRPr="00393D5E" w:rsidRDefault="003156E3" w:rsidP="00316A1B">
      <w:pPr>
        <w:spacing w:line="276" w:lineRule="auto"/>
        <w:jc w:val="both"/>
      </w:pPr>
      <w:r w:rsidRPr="00393D5E">
        <w:t>Tento bod uvádí</w:t>
      </w:r>
      <w:r w:rsidR="00175113" w:rsidRPr="00393D5E">
        <w:t>, jakým způsobem mají příslušná opatření REPowerEU kapitoly přeshraniční rozměr nebo dopad na více zemí, a</w:t>
      </w:r>
      <w:r w:rsidR="0003053E">
        <w:t> </w:t>
      </w:r>
      <w:r w:rsidR="00175113" w:rsidRPr="00393D5E">
        <w:t xml:space="preserve">zda celkové náklady na tato opatření představují alespoň 30 % odhadovaných nákladů kapitoly REPowerEU. Nicméně, za opatření, která mají přeshraniční rozměr nebo dopad na více zemí, budou považována kromě bilaterálních/multilaterálních investičních projektů také ta na vnitrostátní úrovni jednoho členského státu. </w:t>
      </w:r>
    </w:p>
    <w:p w14:paraId="210409DD" w14:textId="3498EB2E" w:rsidR="00175113" w:rsidRPr="00393D5E" w:rsidRDefault="00175113" w:rsidP="00316A1B">
      <w:pPr>
        <w:spacing w:line="276" w:lineRule="auto"/>
        <w:jc w:val="both"/>
      </w:pPr>
      <w:r w:rsidRPr="00393D5E">
        <w:t>Má jít o</w:t>
      </w:r>
      <w:r w:rsidR="0003053E">
        <w:t> </w:t>
      </w:r>
      <w:r w:rsidRPr="00393D5E">
        <w:t>opatření přispívající k</w:t>
      </w:r>
      <w:r w:rsidR="0003053E">
        <w:t> </w:t>
      </w:r>
      <w:r w:rsidRPr="00393D5E">
        <w:t>zabezpečení dodávek energie (mj. řešení stávajících úzkých míst přenosu, distribuce a</w:t>
      </w:r>
      <w:r w:rsidR="0003053E">
        <w:t> </w:t>
      </w:r>
      <w:r w:rsidRPr="00393D5E">
        <w:t>skladování energie) pro EU jako celek. A</w:t>
      </w:r>
      <w:r w:rsidR="0003053E">
        <w:t> </w:t>
      </w:r>
      <w:r w:rsidRPr="00393D5E">
        <w:t>dále i</w:t>
      </w:r>
      <w:r w:rsidR="0003053E">
        <w:t> </w:t>
      </w:r>
      <w:r w:rsidRPr="00393D5E">
        <w:t>ta snižující závislost na fosilních palivech a</w:t>
      </w:r>
      <w:r w:rsidR="0003053E">
        <w:t> </w:t>
      </w:r>
      <w:r w:rsidRPr="00393D5E">
        <w:t>energetickou poptávku/náročnost – uvolňují totiž kapacitu či nabídku dodávek energie pro jiné členské státy.</w:t>
      </w:r>
    </w:p>
    <w:p w14:paraId="32FB2A51" w14:textId="75B745B6" w:rsidR="00175113" w:rsidRPr="00393D5E" w:rsidRDefault="00175113" w:rsidP="00316A1B">
      <w:pPr>
        <w:spacing w:line="276" w:lineRule="auto"/>
        <w:jc w:val="both"/>
      </w:pPr>
      <w:r w:rsidRPr="00393D5E">
        <w:t>Opatření přispívající ke snížení závislosti na fosilních palivech a/nebo poptávky po nich, odstraňování překážek ve vnitřních tocích energie nebo usnadňující zavádění a</w:t>
      </w:r>
      <w:r w:rsidR="0003053E">
        <w:t> </w:t>
      </w:r>
      <w:r w:rsidRPr="00393D5E">
        <w:t>integraci projektů obnovitelných zdrojů energie (jako je přenos elektřiny, distribuční sítě a</w:t>
      </w:r>
      <w:r w:rsidR="0003053E">
        <w:t> </w:t>
      </w:r>
      <w:r w:rsidRPr="00393D5E">
        <w:t>skladovací zařízení) mají totiž obvykle přeshraniční účinek, a</w:t>
      </w:r>
      <w:r w:rsidR="0003053E">
        <w:t> </w:t>
      </w:r>
      <w:r w:rsidRPr="00393D5E">
        <w:t>mají tak být započítány do tohoto 30% cíle. Může jít proto také mj. o</w:t>
      </w:r>
      <w:r w:rsidR="0003053E">
        <w:t> </w:t>
      </w:r>
      <w:r w:rsidRPr="00393D5E">
        <w:t>investice do energetické účinnosti, zavádění obnovitelných zdrojů energie, zavádění tepelných čerpadel, dekarbonizace průmyslu, distribučních sítí a</w:t>
      </w:r>
      <w:r w:rsidR="0003053E">
        <w:t> </w:t>
      </w:r>
      <w:r w:rsidRPr="00393D5E">
        <w:t>vodíku z</w:t>
      </w:r>
      <w:r w:rsidR="0003053E">
        <w:t> </w:t>
      </w:r>
      <w:r w:rsidRPr="00393D5E">
        <w:t>obnovitelných či jiných nefosilních zdrojů.</w:t>
      </w:r>
    </w:p>
    <w:p w14:paraId="32918B5D" w14:textId="39C00396" w:rsidR="00175113" w:rsidRPr="00393D5E" w:rsidRDefault="2240A0A9" w:rsidP="00316A1B">
      <w:pPr>
        <w:spacing w:line="276" w:lineRule="auto"/>
        <w:jc w:val="both"/>
      </w:pPr>
      <w:r>
        <w:t xml:space="preserve">Celková alokace REPowerEU kapitoly dle odhadu nákladů je celkem </w:t>
      </w:r>
      <w:r w:rsidR="3FD756C2">
        <w:t>17,</w:t>
      </w:r>
      <w:r w:rsidR="005A75DE">
        <w:t>4</w:t>
      </w:r>
      <w:r w:rsidR="3FD756C2">
        <w:t xml:space="preserve"> </w:t>
      </w:r>
      <w:r>
        <w:t xml:space="preserve">mld. Kč. </w:t>
      </w:r>
      <w:r w:rsidR="54F1FB8A">
        <w:t>V</w:t>
      </w:r>
      <w:r w:rsidR="0003053E">
        <w:t> </w:t>
      </w:r>
      <w:r w:rsidR="54F1FB8A">
        <w:t>kapitole REPowerEU jsou zahrnut</w:t>
      </w:r>
      <w:r w:rsidR="2D7DF512">
        <w:t>a</w:t>
      </w:r>
      <w:r w:rsidR="54F1FB8A">
        <w:t xml:space="preserve"> </w:t>
      </w:r>
      <w:r w:rsidR="0AC04A54">
        <w:t>op</w:t>
      </w:r>
      <w:r w:rsidR="46450213">
        <w:t>a</w:t>
      </w:r>
      <w:r w:rsidR="0AC04A54">
        <w:t>tření</w:t>
      </w:r>
      <w:r w:rsidR="54F1FB8A">
        <w:t xml:space="preserve"> s</w:t>
      </w:r>
      <w:r w:rsidR="0003053E">
        <w:t> </w:t>
      </w:r>
      <w:r w:rsidR="0C7B8E8F">
        <w:t>ne</w:t>
      </w:r>
      <w:r w:rsidR="54F1FB8A">
        <w:t>přímým přeshraničním rozměrem. T</w:t>
      </w:r>
      <w:r w:rsidR="4EC7E500">
        <w:t>a</w:t>
      </w:r>
      <w:r w:rsidR="54F1FB8A">
        <w:t xml:space="preserve"> jsou zaměřen</w:t>
      </w:r>
      <w:r w:rsidR="3FE945EF">
        <w:t>a</w:t>
      </w:r>
      <w:r w:rsidR="54F1FB8A">
        <w:t xml:space="preserve"> </w:t>
      </w:r>
      <w:r w:rsidR="0EDE7A37">
        <w:t xml:space="preserve">mj. </w:t>
      </w:r>
      <w:r w:rsidR="54F1FB8A">
        <w:t>na posílení energetické infrastruktury</w:t>
      </w:r>
      <w:r w:rsidR="48BD4B47">
        <w:t xml:space="preserve"> – podpor</w:t>
      </w:r>
      <w:r w:rsidR="408A6241">
        <w:t>u</w:t>
      </w:r>
      <w:r w:rsidR="48BD4B47">
        <w:t xml:space="preserve"> OZE a</w:t>
      </w:r>
      <w:r w:rsidR="0003053E">
        <w:t> </w:t>
      </w:r>
      <w:r w:rsidR="322D8B18">
        <w:t xml:space="preserve">lepší </w:t>
      </w:r>
      <w:r w:rsidR="48BD4B47">
        <w:t>kapacit</w:t>
      </w:r>
      <w:r w:rsidR="2332F209">
        <w:t>u</w:t>
      </w:r>
      <w:r w:rsidR="48BD4B47">
        <w:t xml:space="preserve"> elektrické distribuční sítě</w:t>
      </w:r>
      <w:r w:rsidR="536ECA38">
        <w:t>, zvýšení energetické účinnosti</w:t>
      </w:r>
      <w:r w:rsidR="54849C43">
        <w:t xml:space="preserve"> budov</w:t>
      </w:r>
      <w:r w:rsidR="218E024E">
        <w:t xml:space="preserve"> či</w:t>
      </w:r>
      <w:r w:rsidR="54849C43">
        <w:t xml:space="preserve"> </w:t>
      </w:r>
      <w:r w:rsidR="26B7ACC9">
        <w:t>dekarbonizac</w:t>
      </w:r>
      <w:r w:rsidR="0CBED98E">
        <w:t>i</w:t>
      </w:r>
      <w:r w:rsidR="26B7ACC9">
        <w:t xml:space="preserve"> dopravy</w:t>
      </w:r>
      <w:r w:rsidR="584522B6">
        <w:t>.</w:t>
      </w:r>
      <w:r w:rsidR="54F1FB8A">
        <w:t xml:space="preserve"> </w:t>
      </w:r>
    </w:p>
    <w:p w14:paraId="4B58AB43" w14:textId="28B735EE" w:rsidR="00175113" w:rsidRPr="00393D5E" w:rsidRDefault="0A4944A2" w:rsidP="00316A1B">
      <w:pPr>
        <w:spacing w:line="276" w:lineRule="auto"/>
        <w:jc w:val="both"/>
      </w:pPr>
      <w:r w:rsidRPr="00393D5E">
        <w:t>Jedná se sice o</w:t>
      </w:r>
      <w:r w:rsidR="0003053E">
        <w:t> </w:t>
      </w:r>
      <w:r w:rsidR="26D72966" w:rsidRPr="00393D5E">
        <w:t>opatření, která jsou vnitrostátní povahy, ale mají dopad na více zemí nebo významně přispějí ke snížení závislosti na fosilních palivech a</w:t>
      </w:r>
      <w:r w:rsidR="0003053E">
        <w:t> </w:t>
      </w:r>
      <w:r w:rsidR="00D70836">
        <w:t>ke snížení</w:t>
      </w:r>
      <w:r w:rsidR="009738BC">
        <w:t> </w:t>
      </w:r>
      <w:r w:rsidR="26D72966" w:rsidRPr="00393D5E">
        <w:t>energetické poptávky</w:t>
      </w:r>
      <w:r w:rsidR="00D70836">
        <w:t xml:space="preserve"> i</w:t>
      </w:r>
      <w:r w:rsidR="0003053E">
        <w:t> </w:t>
      </w:r>
      <w:r w:rsidR="00D70836">
        <w:t xml:space="preserve">energetické </w:t>
      </w:r>
      <w:r w:rsidR="26D72966" w:rsidRPr="00393D5E">
        <w:t xml:space="preserve">náročnosti. </w:t>
      </w:r>
      <w:r w:rsidR="26D72966" w:rsidRPr="00393D5E">
        <w:lastRenderedPageBreak/>
        <w:t>Podrobněji všechna opatření s</w:t>
      </w:r>
      <w:r w:rsidR="0003053E">
        <w:t> </w:t>
      </w:r>
      <w:r w:rsidR="26D72966" w:rsidRPr="00393D5E">
        <w:t>přeshraničním rozměrem či dopadem na více zemí, a</w:t>
      </w:r>
      <w:r w:rsidR="0003053E">
        <w:t> </w:t>
      </w:r>
      <w:r w:rsidR="26D72966" w:rsidRPr="00393D5E">
        <w:t>jejich odhad nákladů, uvádí tabulka níže. Jedná se o</w:t>
      </w:r>
      <w:r w:rsidR="0003053E">
        <w:t> </w:t>
      </w:r>
      <w:r w:rsidR="26D72966" w:rsidRPr="00393D5E">
        <w:t xml:space="preserve">všechna opatření </w:t>
      </w:r>
      <w:r w:rsidR="27FE76B7" w:rsidRPr="00393D5E">
        <w:t xml:space="preserve">kapitoly </w:t>
      </w:r>
      <w:r w:rsidR="26D72966" w:rsidRPr="00393D5E">
        <w:t>REPowerEU s</w:t>
      </w:r>
      <w:r w:rsidR="0003053E">
        <w:t> </w:t>
      </w:r>
      <w:r w:rsidR="26D72966" w:rsidRPr="00393D5E">
        <w:t xml:space="preserve">výjimkou komponenty 7.4 </w:t>
      </w:r>
      <w:r w:rsidR="00AE169D" w:rsidRPr="00393D5E">
        <w:rPr>
          <w:rFonts w:ascii="Calibri" w:eastAsia="Calibri" w:hAnsi="Calibri" w:cs="Calibri"/>
        </w:rPr>
        <w:t>Adaptace školních programů – Podpora zelených dovedností a</w:t>
      </w:r>
      <w:r w:rsidR="0003053E">
        <w:rPr>
          <w:rFonts w:ascii="Calibri" w:eastAsia="Calibri" w:hAnsi="Calibri" w:cs="Calibri"/>
        </w:rPr>
        <w:t> </w:t>
      </w:r>
      <w:r w:rsidR="00AE169D" w:rsidRPr="00393D5E">
        <w:rPr>
          <w:rFonts w:ascii="Calibri" w:eastAsia="Calibri" w:hAnsi="Calibri" w:cs="Calibri"/>
        </w:rPr>
        <w:t>udržitelnosti na vysokých školách</w:t>
      </w:r>
      <w:r w:rsidR="738791F7" w:rsidRPr="00393D5E">
        <w:t>.</w:t>
      </w:r>
    </w:p>
    <w:tbl>
      <w:tblPr>
        <w:tblStyle w:val="Mkatabulky"/>
        <w:tblW w:w="9495" w:type="dxa"/>
        <w:tblLayout w:type="fixed"/>
        <w:tblLook w:val="04A0" w:firstRow="1" w:lastRow="0" w:firstColumn="1" w:lastColumn="0" w:noHBand="0" w:noVBand="1"/>
      </w:tblPr>
      <w:tblGrid>
        <w:gridCol w:w="2640"/>
        <w:gridCol w:w="4155"/>
        <w:gridCol w:w="2700"/>
      </w:tblGrid>
      <w:tr w:rsidR="0AFA31E3" w:rsidRPr="00393D5E" w14:paraId="7AC64662" w14:textId="77777777" w:rsidTr="35187188">
        <w:trPr>
          <w:trHeight w:val="300"/>
        </w:trPr>
        <w:tc>
          <w:tcPr>
            <w:tcW w:w="2640" w:type="dxa"/>
            <w:shd w:val="clear" w:color="auto" w:fill="D9D9D9" w:themeFill="background1" w:themeFillShade="D9"/>
            <w:tcMar>
              <w:left w:w="108" w:type="dxa"/>
              <w:right w:w="108" w:type="dxa"/>
            </w:tcMar>
          </w:tcPr>
          <w:p w14:paraId="782E0D38" w14:textId="6F026DD9" w:rsidR="0AFA31E3" w:rsidRPr="00393D5E" w:rsidRDefault="0AFA31E3" w:rsidP="0AFA31E3">
            <w:pPr>
              <w:spacing w:line="276" w:lineRule="auto"/>
              <w:jc w:val="both"/>
            </w:pPr>
            <w:r w:rsidRPr="00393D5E">
              <w:rPr>
                <w:rFonts w:ascii="Calibri" w:eastAsia="Calibri" w:hAnsi="Calibri" w:cs="Calibri"/>
                <w:b/>
                <w:bCs/>
              </w:rPr>
              <w:t>Komponenta</w:t>
            </w:r>
          </w:p>
        </w:tc>
        <w:tc>
          <w:tcPr>
            <w:tcW w:w="4155" w:type="dxa"/>
            <w:shd w:val="clear" w:color="auto" w:fill="D9D9D9" w:themeFill="background1" w:themeFillShade="D9"/>
            <w:tcMar>
              <w:left w:w="108" w:type="dxa"/>
              <w:right w:w="108" w:type="dxa"/>
            </w:tcMar>
          </w:tcPr>
          <w:p w14:paraId="38315D74" w14:textId="07C4777D" w:rsidR="0AFA31E3" w:rsidRPr="00393D5E" w:rsidRDefault="0AFA31E3" w:rsidP="0AFA31E3">
            <w:pPr>
              <w:spacing w:line="276" w:lineRule="auto"/>
              <w:jc w:val="both"/>
            </w:pPr>
            <w:r w:rsidRPr="00393D5E">
              <w:rPr>
                <w:rFonts w:ascii="Calibri" w:eastAsia="Calibri" w:hAnsi="Calibri" w:cs="Calibri"/>
                <w:b/>
                <w:bCs/>
              </w:rPr>
              <w:t>Opatření</w:t>
            </w:r>
          </w:p>
        </w:tc>
        <w:tc>
          <w:tcPr>
            <w:tcW w:w="2700" w:type="dxa"/>
            <w:shd w:val="clear" w:color="auto" w:fill="D9D9D9" w:themeFill="background1" w:themeFillShade="D9"/>
            <w:tcMar>
              <w:left w:w="108" w:type="dxa"/>
              <w:right w:w="108" w:type="dxa"/>
            </w:tcMar>
          </w:tcPr>
          <w:p w14:paraId="2EBE5562" w14:textId="6B2C839E" w:rsidR="0AFA31E3" w:rsidRPr="00393D5E" w:rsidRDefault="0AFA31E3" w:rsidP="0AFA31E3">
            <w:pPr>
              <w:spacing w:line="276" w:lineRule="auto"/>
              <w:jc w:val="both"/>
            </w:pPr>
            <w:r w:rsidRPr="00393D5E">
              <w:rPr>
                <w:rFonts w:ascii="Calibri" w:eastAsia="Calibri" w:hAnsi="Calibri" w:cs="Calibri"/>
                <w:b/>
                <w:bCs/>
              </w:rPr>
              <w:t>Odhad nákladů (mld. Kč)</w:t>
            </w:r>
          </w:p>
        </w:tc>
      </w:tr>
      <w:tr w:rsidR="00FA403F" w:rsidRPr="00393D5E" w14:paraId="28084272" w14:textId="77777777" w:rsidTr="35187188">
        <w:trPr>
          <w:trHeight w:val="300"/>
        </w:trPr>
        <w:tc>
          <w:tcPr>
            <w:tcW w:w="2640" w:type="dxa"/>
            <w:vMerge w:val="restart"/>
            <w:tcMar>
              <w:left w:w="108" w:type="dxa"/>
              <w:right w:w="108" w:type="dxa"/>
            </w:tcMar>
          </w:tcPr>
          <w:p w14:paraId="3DEB53D1" w14:textId="7421AE74" w:rsidR="00FA403F" w:rsidRDefault="00FA403F" w:rsidP="00FA403F">
            <w:pPr>
              <w:spacing w:line="276" w:lineRule="auto"/>
            </w:pPr>
            <w:r w:rsidRPr="00393D5E">
              <w:rPr>
                <w:rFonts w:ascii="Calibri" w:eastAsia="Calibri" w:hAnsi="Calibri" w:cs="Calibri"/>
              </w:rPr>
              <w:t>7.1</w:t>
            </w:r>
            <w:r w:rsidRPr="35187188">
              <w:rPr>
                <w:rFonts w:eastAsia="Calibri"/>
                <w:color w:val="212121"/>
              </w:rPr>
              <w:t xml:space="preserve"> Infrastruktura pro obnovitelné zdroje energie a</w:t>
            </w:r>
            <w:r w:rsidR="0003053E">
              <w:rPr>
                <w:rFonts w:eastAsia="Calibri"/>
                <w:color w:val="212121"/>
              </w:rPr>
              <w:t> </w:t>
            </w:r>
            <w:r w:rsidRPr="35187188">
              <w:rPr>
                <w:rFonts w:eastAsia="Calibri"/>
                <w:color w:val="212121"/>
              </w:rPr>
              <w:t>elektrizační soustava</w:t>
            </w:r>
          </w:p>
        </w:tc>
        <w:tc>
          <w:tcPr>
            <w:tcW w:w="4155" w:type="dxa"/>
            <w:tcMar>
              <w:left w:w="108" w:type="dxa"/>
              <w:right w:w="108" w:type="dxa"/>
            </w:tcMar>
          </w:tcPr>
          <w:p w14:paraId="0D9D8E69" w14:textId="52ABDB57" w:rsidR="00FA403F" w:rsidRDefault="00FA403F" w:rsidP="00FA403F">
            <w:pPr>
              <w:spacing w:line="276" w:lineRule="auto"/>
            </w:pPr>
            <w:r w:rsidRPr="35187188">
              <w:rPr>
                <w:rFonts w:ascii="Calibri" w:eastAsia="Calibri" w:hAnsi="Calibri" w:cs="Calibri"/>
                <w:color w:val="000000" w:themeColor="text1"/>
              </w:rPr>
              <w:t>Zrychlení a</w:t>
            </w:r>
            <w:r w:rsidR="0003053E">
              <w:rPr>
                <w:rFonts w:ascii="Calibri" w:eastAsia="Calibri" w:hAnsi="Calibri" w:cs="Calibri"/>
                <w:color w:val="000000" w:themeColor="text1"/>
              </w:rPr>
              <w:t> </w:t>
            </w:r>
            <w:r w:rsidRPr="35187188">
              <w:rPr>
                <w:rFonts w:ascii="Calibri" w:eastAsia="Calibri" w:hAnsi="Calibri" w:cs="Calibri"/>
                <w:color w:val="000000" w:themeColor="text1"/>
              </w:rPr>
              <w:t>digitalizace povolovacího procesu pro obnovitelné zdroje energie</w:t>
            </w:r>
          </w:p>
        </w:tc>
        <w:tc>
          <w:tcPr>
            <w:tcW w:w="2700" w:type="dxa"/>
            <w:tcMar>
              <w:left w:w="108" w:type="dxa"/>
              <w:right w:w="108" w:type="dxa"/>
            </w:tcMar>
          </w:tcPr>
          <w:p w14:paraId="17A0DB83" w14:textId="30685141" w:rsidR="00FA403F" w:rsidRPr="00393D5E" w:rsidRDefault="00FA403F" w:rsidP="00FA403F">
            <w:pPr>
              <w:spacing w:line="276" w:lineRule="auto"/>
              <w:jc w:val="center"/>
            </w:pPr>
            <w:r w:rsidRPr="3E0D70EE">
              <w:rPr>
                <w:rFonts w:ascii="Calibri" w:eastAsia="Calibri" w:hAnsi="Calibri" w:cs="Calibri"/>
              </w:rPr>
              <w:t>0</w:t>
            </w:r>
          </w:p>
        </w:tc>
      </w:tr>
      <w:tr w:rsidR="00FA403F" w:rsidRPr="00393D5E" w14:paraId="74858E4C" w14:textId="77777777" w:rsidTr="35187188">
        <w:trPr>
          <w:trHeight w:val="300"/>
        </w:trPr>
        <w:tc>
          <w:tcPr>
            <w:tcW w:w="2640" w:type="dxa"/>
            <w:vMerge/>
            <w:vAlign w:val="center"/>
          </w:tcPr>
          <w:p w14:paraId="277266DE" w14:textId="77777777" w:rsidR="00FA403F" w:rsidRPr="00393D5E" w:rsidRDefault="00FA403F" w:rsidP="00FA403F"/>
        </w:tc>
        <w:tc>
          <w:tcPr>
            <w:tcW w:w="4155" w:type="dxa"/>
            <w:tcMar>
              <w:left w:w="108" w:type="dxa"/>
              <w:right w:w="108" w:type="dxa"/>
            </w:tcMar>
          </w:tcPr>
          <w:p w14:paraId="3D429E27" w14:textId="29F6ECEA" w:rsidR="00FA403F" w:rsidRDefault="00FA403F" w:rsidP="00FA403F">
            <w:pPr>
              <w:spacing w:line="276" w:lineRule="auto"/>
            </w:pPr>
            <w:r w:rsidRPr="35187188">
              <w:rPr>
                <w:rFonts w:ascii="Calibri" w:eastAsia="Calibri" w:hAnsi="Calibri" w:cs="Calibri"/>
                <w:color w:val="000000" w:themeColor="text1"/>
              </w:rPr>
              <w:t>Zjednodušení povolovacích postupů pro obnovitelné zdroje energie</w:t>
            </w:r>
          </w:p>
        </w:tc>
        <w:tc>
          <w:tcPr>
            <w:tcW w:w="2700" w:type="dxa"/>
            <w:tcMar>
              <w:left w:w="108" w:type="dxa"/>
              <w:right w:w="108" w:type="dxa"/>
            </w:tcMar>
          </w:tcPr>
          <w:p w14:paraId="64DDD846" w14:textId="04D53749" w:rsidR="00FA403F" w:rsidRPr="00393D5E" w:rsidRDefault="00FA403F" w:rsidP="00FA403F">
            <w:pPr>
              <w:spacing w:line="276" w:lineRule="auto"/>
              <w:jc w:val="center"/>
            </w:pPr>
            <w:r w:rsidRPr="3E0D70EE">
              <w:rPr>
                <w:rFonts w:ascii="Calibri" w:eastAsia="Calibri" w:hAnsi="Calibri" w:cs="Calibri"/>
              </w:rPr>
              <w:t>0</w:t>
            </w:r>
          </w:p>
        </w:tc>
      </w:tr>
      <w:tr w:rsidR="00FA403F" w:rsidRPr="00393D5E" w14:paraId="359F47D2" w14:textId="77777777" w:rsidTr="35187188">
        <w:trPr>
          <w:trHeight w:val="300"/>
        </w:trPr>
        <w:tc>
          <w:tcPr>
            <w:tcW w:w="2640" w:type="dxa"/>
            <w:vMerge/>
            <w:vAlign w:val="center"/>
          </w:tcPr>
          <w:p w14:paraId="03E26328" w14:textId="77777777" w:rsidR="00FA403F" w:rsidRPr="00393D5E" w:rsidRDefault="00FA403F" w:rsidP="00FA403F"/>
        </w:tc>
        <w:tc>
          <w:tcPr>
            <w:tcW w:w="4155" w:type="dxa"/>
            <w:tcMar>
              <w:left w:w="108" w:type="dxa"/>
              <w:right w:w="108" w:type="dxa"/>
            </w:tcMar>
          </w:tcPr>
          <w:p w14:paraId="2FDD2CBE" w14:textId="5A52BC27" w:rsidR="00FA403F" w:rsidRDefault="00FA403F" w:rsidP="00FA403F">
            <w:pPr>
              <w:spacing w:line="276" w:lineRule="auto"/>
            </w:pPr>
            <w:r w:rsidRPr="35187188">
              <w:rPr>
                <w:rFonts w:ascii="Calibri" w:eastAsia="Calibri" w:hAnsi="Calibri" w:cs="Calibri"/>
              </w:rPr>
              <w:t>Posílení opatření 2.3: Výstavba nových fotovoltaických zdrojů</w:t>
            </w:r>
          </w:p>
        </w:tc>
        <w:tc>
          <w:tcPr>
            <w:tcW w:w="2700" w:type="dxa"/>
            <w:tcMar>
              <w:left w:w="108" w:type="dxa"/>
              <w:right w:w="108" w:type="dxa"/>
            </w:tcMar>
          </w:tcPr>
          <w:p w14:paraId="44CB30C8" w14:textId="27A80502" w:rsidR="00FA403F" w:rsidRPr="00393D5E" w:rsidRDefault="00FA403F" w:rsidP="00FA403F">
            <w:pPr>
              <w:spacing w:line="276" w:lineRule="auto"/>
              <w:jc w:val="center"/>
            </w:pPr>
            <w:r w:rsidRPr="3E0D70EE">
              <w:rPr>
                <w:rFonts w:ascii="Calibri" w:eastAsia="Calibri" w:hAnsi="Calibri" w:cs="Calibri"/>
              </w:rPr>
              <w:t>2,5</w:t>
            </w:r>
          </w:p>
        </w:tc>
      </w:tr>
      <w:tr w:rsidR="00FA403F" w:rsidRPr="00393D5E" w14:paraId="246B40CB" w14:textId="77777777" w:rsidTr="35187188">
        <w:trPr>
          <w:trHeight w:val="300"/>
        </w:trPr>
        <w:tc>
          <w:tcPr>
            <w:tcW w:w="2640" w:type="dxa"/>
            <w:vMerge/>
            <w:vAlign w:val="center"/>
          </w:tcPr>
          <w:p w14:paraId="25F0B773" w14:textId="77777777" w:rsidR="00FA403F" w:rsidRPr="00393D5E" w:rsidRDefault="00FA403F" w:rsidP="00FA403F"/>
        </w:tc>
        <w:tc>
          <w:tcPr>
            <w:tcW w:w="4155" w:type="dxa"/>
            <w:tcMar>
              <w:left w:w="108" w:type="dxa"/>
              <w:right w:w="108" w:type="dxa"/>
            </w:tcMar>
          </w:tcPr>
          <w:p w14:paraId="30454EBC" w14:textId="7A67EA7D" w:rsidR="00FA403F" w:rsidRDefault="00FA403F" w:rsidP="00FA403F">
            <w:pPr>
              <w:spacing w:line="276" w:lineRule="auto"/>
            </w:pPr>
            <w:r w:rsidRPr="35187188">
              <w:rPr>
                <w:rFonts w:eastAsia="Calibri"/>
                <w:color w:val="000000" w:themeColor="text1"/>
              </w:rPr>
              <w:t>Výstavba, rekonstrukce a</w:t>
            </w:r>
            <w:r w:rsidR="0003053E">
              <w:rPr>
                <w:rFonts w:eastAsia="Calibri"/>
                <w:color w:val="000000" w:themeColor="text1"/>
              </w:rPr>
              <w:t> </w:t>
            </w:r>
            <w:r w:rsidRPr="35187188">
              <w:rPr>
                <w:rFonts w:eastAsia="Calibri"/>
                <w:color w:val="000000" w:themeColor="text1"/>
              </w:rPr>
              <w:t xml:space="preserve">modernizace distribučních soustav  </w:t>
            </w:r>
          </w:p>
        </w:tc>
        <w:tc>
          <w:tcPr>
            <w:tcW w:w="2700" w:type="dxa"/>
            <w:tcMar>
              <w:left w:w="108" w:type="dxa"/>
              <w:right w:w="108" w:type="dxa"/>
            </w:tcMar>
          </w:tcPr>
          <w:p w14:paraId="349D38E0" w14:textId="4DA4F151" w:rsidR="00FA403F" w:rsidRPr="00393D5E" w:rsidRDefault="00FA403F" w:rsidP="00FA403F">
            <w:pPr>
              <w:spacing w:line="276" w:lineRule="auto"/>
              <w:jc w:val="center"/>
            </w:pPr>
            <w:r w:rsidRPr="3E0D70EE">
              <w:rPr>
                <w:rFonts w:ascii="Calibri" w:eastAsia="Calibri" w:hAnsi="Calibri" w:cs="Calibri"/>
              </w:rPr>
              <w:t>6,7</w:t>
            </w:r>
          </w:p>
        </w:tc>
      </w:tr>
      <w:tr w:rsidR="00FA403F" w:rsidRPr="00393D5E" w14:paraId="42672891" w14:textId="77777777" w:rsidTr="35187188">
        <w:trPr>
          <w:trHeight w:val="300"/>
        </w:trPr>
        <w:tc>
          <w:tcPr>
            <w:tcW w:w="2640" w:type="dxa"/>
            <w:vMerge/>
            <w:vAlign w:val="center"/>
          </w:tcPr>
          <w:p w14:paraId="113EE75C" w14:textId="77777777" w:rsidR="00FA403F" w:rsidRPr="00393D5E" w:rsidRDefault="00FA403F" w:rsidP="00FA403F"/>
        </w:tc>
        <w:tc>
          <w:tcPr>
            <w:tcW w:w="4155" w:type="dxa"/>
            <w:tcMar>
              <w:left w:w="108" w:type="dxa"/>
              <w:right w:w="108" w:type="dxa"/>
            </w:tcMar>
          </w:tcPr>
          <w:p w14:paraId="5992E925" w14:textId="68F1D4A4" w:rsidR="00FA403F" w:rsidRDefault="00FA403F" w:rsidP="00FA403F">
            <w:pPr>
              <w:spacing w:line="276" w:lineRule="auto"/>
              <w:rPr>
                <w:rFonts w:eastAsia="Times New Roman"/>
                <w:color w:val="000000" w:themeColor="text1"/>
              </w:rPr>
            </w:pPr>
            <w:r w:rsidRPr="35187188">
              <w:rPr>
                <w:rFonts w:eastAsia="Times New Roman"/>
                <w:color w:val="000000" w:themeColor="text1"/>
              </w:rPr>
              <w:t>Zlepšení předvídatelnosti, transparentnosti a</w:t>
            </w:r>
            <w:r w:rsidR="0003053E">
              <w:rPr>
                <w:rFonts w:eastAsia="Times New Roman"/>
                <w:color w:val="000000" w:themeColor="text1"/>
              </w:rPr>
              <w:t> </w:t>
            </w:r>
            <w:r w:rsidRPr="35187188">
              <w:rPr>
                <w:rFonts w:eastAsia="Times New Roman"/>
                <w:color w:val="000000" w:themeColor="text1"/>
              </w:rPr>
              <w:t>dostupnosti připojení zdrojů k</w:t>
            </w:r>
            <w:r w:rsidR="0003053E">
              <w:rPr>
                <w:rFonts w:eastAsia="Times New Roman"/>
                <w:color w:val="000000" w:themeColor="text1"/>
              </w:rPr>
              <w:t> </w:t>
            </w:r>
            <w:r w:rsidRPr="35187188">
              <w:rPr>
                <w:rFonts w:eastAsia="Times New Roman"/>
                <w:color w:val="000000" w:themeColor="text1"/>
              </w:rPr>
              <w:t>elektrizační soustavě</w:t>
            </w:r>
          </w:p>
        </w:tc>
        <w:tc>
          <w:tcPr>
            <w:tcW w:w="2700" w:type="dxa"/>
            <w:tcMar>
              <w:left w:w="108" w:type="dxa"/>
              <w:right w:w="108" w:type="dxa"/>
            </w:tcMar>
          </w:tcPr>
          <w:p w14:paraId="399FCC23" w14:textId="1BDEF7DE" w:rsidR="00FA403F" w:rsidRPr="00393D5E" w:rsidRDefault="00FA403F" w:rsidP="00FA403F">
            <w:pPr>
              <w:spacing w:line="276" w:lineRule="auto"/>
              <w:jc w:val="center"/>
              <w:rPr>
                <w:rFonts w:ascii="Calibri" w:eastAsia="Calibri" w:hAnsi="Calibri" w:cs="Calibri"/>
              </w:rPr>
            </w:pPr>
            <w:r w:rsidRPr="3E0D70EE">
              <w:rPr>
                <w:rFonts w:eastAsia="Calibri"/>
              </w:rPr>
              <w:t>0</w:t>
            </w:r>
          </w:p>
        </w:tc>
      </w:tr>
      <w:tr w:rsidR="00FA403F" w:rsidRPr="00393D5E" w14:paraId="23E9D164" w14:textId="77777777" w:rsidTr="00FA403F">
        <w:trPr>
          <w:trHeight w:val="300"/>
        </w:trPr>
        <w:tc>
          <w:tcPr>
            <w:tcW w:w="2640" w:type="dxa"/>
            <w:vMerge w:val="restart"/>
            <w:tcMar>
              <w:left w:w="108" w:type="dxa"/>
              <w:right w:w="108" w:type="dxa"/>
            </w:tcMar>
            <w:vAlign w:val="center"/>
          </w:tcPr>
          <w:p w14:paraId="6F9D08DA" w14:textId="248E41C8" w:rsidR="00FA403F" w:rsidRDefault="00FA403F" w:rsidP="00FA403F">
            <w:pPr>
              <w:spacing w:line="276" w:lineRule="auto"/>
            </w:pPr>
            <w:r w:rsidRPr="35187188">
              <w:rPr>
                <w:rFonts w:eastAsia="Calibri"/>
                <w:color w:val="212121"/>
              </w:rPr>
              <w:t>7.2 Podpora decentralizace a</w:t>
            </w:r>
            <w:r w:rsidR="0003053E">
              <w:rPr>
                <w:rFonts w:eastAsia="Calibri"/>
                <w:color w:val="212121"/>
              </w:rPr>
              <w:t> </w:t>
            </w:r>
            <w:r w:rsidRPr="35187188">
              <w:rPr>
                <w:rFonts w:eastAsia="Calibri"/>
                <w:color w:val="212121"/>
              </w:rPr>
              <w:t>digitalizace odvětví energetiky</w:t>
            </w:r>
          </w:p>
        </w:tc>
        <w:tc>
          <w:tcPr>
            <w:tcW w:w="4155" w:type="dxa"/>
            <w:tcMar>
              <w:left w:w="108" w:type="dxa"/>
              <w:right w:w="108" w:type="dxa"/>
            </w:tcMar>
          </w:tcPr>
          <w:p w14:paraId="4E841377" w14:textId="1C15C283" w:rsidR="00FA403F" w:rsidRDefault="00FA403F" w:rsidP="00FA403F">
            <w:pPr>
              <w:spacing w:line="276" w:lineRule="auto"/>
              <w:rPr>
                <w:rFonts w:ascii="Calibri" w:eastAsia="Calibri" w:hAnsi="Calibri" w:cs="Calibri"/>
                <w:color w:val="000000" w:themeColor="text1"/>
              </w:rPr>
            </w:pPr>
            <w:r w:rsidRPr="35187188">
              <w:rPr>
                <w:rFonts w:ascii="Calibri" w:eastAsia="Calibri" w:hAnsi="Calibri" w:cs="Calibri"/>
                <w:color w:val="000000" w:themeColor="text1"/>
              </w:rPr>
              <w:t>Energetická společenství</w:t>
            </w:r>
          </w:p>
        </w:tc>
        <w:tc>
          <w:tcPr>
            <w:tcW w:w="2700" w:type="dxa"/>
            <w:tcMar>
              <w:left w:w="108" w:type="dxa"/>
              <w:right w:w="108" w:type="dxa"/>
            </w:tcMar>
          </w:tcPr>
          <w:p w14:paraId="13A21BD9" w14:textId="27E7717D" w:rsidR="00FA403F" w:rsidRPr="00393D5E" w:rsidRDefault="00FA403F" w:rsidP="00FA403F">
            <w:pPr>
              <w:spacing w:line="276" w:lineRule="auto"/>
              <w:jc w:val="center"/>
            </w:pPr>
            <w:r w:rsidRPr="3E0D70EE">
              <w:rPr>
                <w:rFonts w:ascii="Calibri" w:eastAsia="Calibri" w:hAnsi="Calibri" w:cs="Calibri"/>
              </w:rPr>
              <w:t>0</w:t>
            </w:r>
          </w:p>
        </w:tc>
      </w:tr>
      <w:tr w:rsidR="00AB4D03" w:rsidRPr="00393D5E" w14:paraId="62D086CA" w14:textId="77777777" w:rsidTr="35187188">
        <w:trPr>
          <w:trHeight w:val="300"/>
        </w:trPr>
        <w:tc>
          <w:tcPr>
            <w:tcW w:w="2640" w:type="dxa"/>
            <w:vMerge/>
            <w:vAlign w:val="center"/>
          </w:tcPr>
          <w:p w14:paraId="4E38B0DC" w14:textId="77777777" w:rsidR="00AB4D03" w:rsidRPr="00393D5E" w:rsidRDefault="00AB4D03" w:rsidP="00AB4D03"/>
        </w:tc>
        <w:tc>
          <w:tcPr>
            <w:tcW w:w="4155" w:type="dxa"/>
            <w:tcMar>
              <w:left w:w="108" w:type="dxa"/>
              <w:right w:w="108" w:type="dxa"/>
            </w:tcMar>
          </w:tcPr>
          <w:p w14:paraId="33176D61" w14:textId="5DD12062" w:rsidR="35187188" w:rsidRDefault="35187188" w:rsidP="35187188">
            <w:pPr>
              <w:spacing w:line="276" w:lineRule="auto"/>
            </w:pPr>
            <w:r w:rsidRPr="35187188">
              <w:rPr>
                <w:rFonts w:ascii="Calibri" w:eastAsia="Calibri" w:hAnsi="Calibri" w:cs="Calibri"/>
              </w:rPr>
              <w:t>Elektroenergetické datové centrum</w:t>
            </w:r>
          </w:p>
        </w:tc>
        <w:tc>
          <w:tcPr>
            <w:tcW w:w="2700" w:type="dxa"/>
            <w:tcMar>
              <w:left w:w="108" w:type="dxa"/>
              <w:right w:w="108" w:type="dxa"/>
            </w:tcMar>
          </w:tcPr>
          <w:p w14:paraId="4D2C8FF7" w14:textId="5178B47F" w:rsidR="00AB4D03" w:rsidRPr="00393D5E" w:rsidRDefault="00AB4D03" w:rsidP="00AB4D03">
            <w:pPr>
              <w:spacing w:line="276" w:lineRule="auto"/>
              <w:jc w:val="center"/>
            </w:pPr>
            <w:r w:rsidRPr="3E0D70EE">
              <w:rPr>
                <w:rFonts w:ascii="Calibri" w:eastAsia="Calibri" w:hAnsi="Calibri" w:cs="Calibri"/>
              </w:rPr>
              <w:t>0,8</w:t>
            </w:r>
          </w:p>
        </w:tc>
      </w:tr>
      <w:tr w:rsidR="00AB4D03" w:rsidRPr="00393D5E" w14:paraId="63EEAAA1" w14:textId="77777777" w:rsidTr="35187188">
        <w:trPr>
          <w:trHeight w:val="300"/>
        </w:trPr>
        <w:tc>
          <w:tcPr>
            <w:tcW w:w="2640" w:type="dxa"/>
            <w:vMerge/>
            <w:vAlign w:val="center"/>
          </w:tcPr>
          <w:p w14:paraId="41E1061F" w14:textId="77777777" w:rsidR="00AB4D03" w:rsidRPr="00393D5E" w:rsidRDefault="00AB4D03" w:rsidP="00AB4D03"/>
        </w:tc>
        <w:tc>
          <w:tcPr>
            <w:tcW w:w="4155" w:type="dxa"/>
            <w:tcMar>
              <w:left w:w="108" w:type="dxa"/>
              <w:right w:w="108" w:type="dxa"/>
            </w:tcMar>
          </w:tcPr>
          <w:p w14:paraId="383C75F8" w14:textId="0B5A85E7" w:rsidR="35187188" w:rsidRDefault="35187188" w:rsidP="35187188">
            <w:pPr>
              <w:spacing w:line="276" w:lineRule="auto"/>
              <w:rPr>
                <w:rFonts w:eastAsiaTheme="minorEastAsia"/>
              </w:rPr>
            </w:pPr>
            <w:r w:rsidRPr="35187188">
              <w:rPr>
                <w:rFonts w:eastAsiaTheme="minorEastAsia"/>
              </w:rPr>
              <w:t>Skladování energie a</w:t>
            </w:r>
            <w:r w:rsidR="0003053E">
              <w:rPr>
                <w:rFonts w:eastAsiaTheme="minorEastAsia"/>
              </w:rPr>
              <w:t> </w:t>
            </w:r>
            <w:r w:rsidRPr="35187188">
              <w:rPr>
                <w:rFonts w:eastAsiaTheme="minorEastAsia"/>
              </w:rPr>
              <w:t>rámec flexibility pro nefosilní zdroje</w:t>
            </w:r>
          </w:p>
        </w:tc>
        <w:tc>
          <w:tcPr>
            <w:tcW w:w="2700" w:type="dxa"/>
            <w:tcMar>
              <w:left w:w="108" w:type="dxa"/>
              <w:right w:w="108" w:type="dxa"/>
            </w:tcMar>
          </w:tcPr>
          <w:p w14:paraId="5DBAD79E" w14:textId="0E50B8F9" w:rsidR="00AB4D03" w:rsidRPr="00393D5E" w:rsidRDefault="00AB4D03" w:rsidP="00AB4D03">
            <w:pPr>
              <w:spacing w:line="276" w:lineRule="auto"/>
              <w:jc w:val="center"/>
              <w:rPr>
                <w:rFonts w:ascii="Calibri" w:eastAsia="Calibri" w:hAnsi="Calibri" w:cs="Calibri"/>
              </w:rPr>
            </w:pPr>
            <w:r w:rsidRPr="3E0D70EE">
              <w:rPr>
                <w:rFonts w:ascii="Calibri" w:eastAsia="Calibri" w:hAnsi="Calibri" w:cs="Calibri"/>
              </w:rPr>
              <w:t>0</w:t>
            </w:r>
          </w:p>
        </w:tc>
      </w:tr>
      <w:tr w:rsidR="000D34A9" w:rsidRPr="00393D5E" w14:paraId="7BC8A775" w14:textId="77777777" w:rsidTr="35187188">
        <w:trPr>
          <w:trHeight w:val="680"/>
        </w:trPr>
        <w:tc>
          <w:tcPr>
            <w:tcW w:w="2640" w:type="dxa"/>
            <w:vMerge w:val="restart"/>
            <w:tcMar>
              <w:left w:w="108" w:type="dxa"/>
              <w:right w:w="108" w:type="dxa"/>
            </w:tcMar>
          </w:tcPr>
          <w:p w14:paraId="059FA070" w14:textId="7998E53E" w:rsidR="35187188" w:rsidRDefault="00FA403F" w:rsidP="35187188">
            <w:pPr>
              <w:spacing w:line="276" w:lineRule="auto"/>
              <w:rPr>
                <w:rFonts w:ascii="Calibri" w:eastAsia="Calibri" w:hAnsi="Calibri" w:cs="Calibri"/>
              </w:rPr>
            </w:pPr>
            <w:r w:rsidRPr="35187188">
              <w:rPr>
                <w:rFonts w:eastAsia="Calibri"/>
                <w:color w:val="212121"/>
              </w:rPr>
              <w:t>7.3 Komplexní reforma poradenství týkajícího se renovační vlny v</w:t>
            </w:r>
            <w:r w:rsidR="0003053E">
              <w:rPr>
                <w:rFonts w:eastAsia="Calibri"/>
                <w:color w:val="212121"/>
              </w:rPr>
              <w:t> </w:t>
            </w:r>
            <w:r w:rsidRPr="35187188">
              <w:rPr>
                <w:rFonts w:eastAsia="Calibri"/>
                <w:color w:val="212121"/>
              </w:rPr>
              <w:t>ČR</w:t>
            </w:r>
          </w:p>
        </w:tc>
        <w:tc>
          <w:tcPr>
            <w:tcW w:w="4155" w:type="dxa"/>
            <w:tcMar>
              <w:left w:w="108" w:type="dxa"/>
              <w:right w:w="108" w:type="dxa"/>
            </w:tcMar>
          </w:tcPr>
          <w:p w14:paraId="050377DD" w14:textId="75563C0E" w:rsidR="35187188" w:rsidRDefault="35187188" w:rsidP="35187188">
            <w:pPr>
              <w:spacing w:line="276" w:lineRule="auto"/>
            </w:pPr>
            <w:r w:rsidRPr="35187188">
              <w:rPr>
                <w:rFonts w:ascii="Calibri" w:eastAsia="Calibri" w:hAnsi="Calibri" w:cs="Calibri"/>
              </w:rPr>
              <w:t>Jednotná kontaktní místa pro energetické komunity a</w:t>
            </w:r>
            <w:r w:rsidR="0003053E">
              <w:rPr>
                <w:rFonts w:ascii="Calibri" w:eastAsia="Calibri" w:hAnsi="Calibri" w:cs="Calibri"/>
              </w:rPr>
              <w:t> </w:t>
            </w:r>
            <w:r w:rsidRPr="35187188">
              <w:rPr>
                <w:rFonts w:ascii="Calibri" w:eastAsia="Calibri" w:hAnsi="Calibri" w:cs="Calibri"/>
              </w:rPr>
              <w:t>energeticky účinné renovace</w:t>
            </w:r>
          </w:p>
        </w:tc>
        <w:tc>
          <w:tcPr>
            <w:tcW w:w="2700" w:type="dxa"/>
            <w:vMerge w:val="restart"/>
            <w:tcMar>
              <w:left w:w="108" w:type="dxa"/>
              <w:right w:w="108" w:type="dxa"/>
            </w:tcMar>
          </w:tcPr>
          <w:p w14:paraId="0E202A4F" w14:textId="20765DA9" w:rsidR="000D34A9" w:rsidRPr="00393D5E" w:rsidRDefault="000D34A9" w:rsidP="00AB4D03">
            <w:pPr>
              <w:spacing w:line="276" w:lineRule="auto"/>
              <w:jc w:val="center"/>
            </w:pPr>
            <w:r w:rsidRPr="3E0D70EE">
              <w:rPr>
                <w:rFonts w:ascii="Calibri" w:eastAsia="Calibri" w:hAnsi="Calibri" w:cs="Calibri"/>
              </w:rPr>
              <w:t>4</w:t>
            </w:r>
          </w:p>
        </w:tc>
      </w:tr>
      <w:tr w:rsidR="000D34A9" w:rsidRPr="00393D5E" w14:paraId="0CFB5364" w14:textId="77777777" w:rsidTr="35187188">
        <w:trPr>
          <w:trHeight w:val="655"/>
        </w:trPr>
        <w:tc>
          <w:tcPr>
            <w:tcW w:w="2640" w:type="dxa"/>
            <w:vMerge/>
            <w:tcMar>
              <w:left w:w="108" w:type="dxa"/>
              <w:right w:w="108" w:type="dxa"/>
            </w:tcMar>
          </w:tcPr>
          <w:p w14:paraId="3B6567D6" w14:textId="77777777" w:rsidR="000D34A9" w:rsidRPr="00393D5E" w:rsidRDefault="000D34A9" w:rsidP="000D34A9">
            <w:pPr>
              <w:spacing w:line="276" w:lineRule="auto"/>
              <w:rPr>
                <w:rFonts w:ascii="Calibri" w:eastAsia="Calibri" w:hAnsi="Calibri" w:cs="Calibri"/>
              </w:rPr>
            </w:pPr>
          </w:p>
        </w:tc>
        <w:tc>
          <w:tcPr>
            <w:tcW w:w="4155" w:type="dxa"/>
            <w:tcMar>
              <w:left w:w="108" w:type="dxa"/>
              <w:right w:w="108" w:type="dxa"/>
            </w:tcMar>
          </w:tcPr>
          <w:p w14:paraId="3695D8B9" w14:textId="3C341AAA" w:rsidR="35187188" w:rsidRDefault="35187188" w:rsidP="35187188">
            <w:pPr>
              <w:spacing w:line="276" w:lineRule="auto"/>
            </w:pPr>
            <w:r w:rsidRPr="35187188">
              <w:rPr>
                <w:rFonts w:ascii="Calibri" w:eastAsia="Calibri" w:hAnsi="Calibri" w:cs="Calibri"/>
              </w:rPr>
              <w:t>Údaje a</w:t>
            </w:r>
            <w:r w:rsidR="0003053E">
              <w:rPr>
                <w:rFonts w:ascii="Calibri" w:eastAsia="Calibri" w:hAnsi="Calibri" w:cs="Calibri"/>
              </w:rPr>
              <w:t> </w:t>
            </w:r>
            <w:r w:rsidRPr="35187188">
              <w:rPr>
                <w:rFonts w:ascii="Calibri" w:eastAsia="Calibri" w:hAnsi="Calibri" w:cs="Calibri"/>
              </w:rPr>
              <w:t>metodické pokyny pro informační systém</w:t>
            </w:r>
          </w:p>
        </w:tc>
        <w:tc>
          <w:tcPr>
            <w:tcW w:w="2700" w:type="dxa"/>
            <w:vMerge/>
            <w:tcMar>
              <w:left w:w="108" w:type="dxa"/>
              <w:right w:w="108" w:type="dxa"/>
            </w:tcMar>
          </w:tcPr>
          <w:p w14:paraId="7BAF3E70" w14:textId="77777777" w:rsidR="000D34A9" w:rsidRPr="3E0D70EE" w:rsidRDefault="000D34A9" w:rsidP="000D34A9">
            <w:pPr>
              <w:spacing w:line="276" w:lineRule="auto"/>
              <w:jc w:val="center"/>
              <w:rPr>
                <w:rFonts w:ascii="Calibri" w:eastAsia="Calibri" w:hAnsi="Calibri" w:cs="Calibri"/>
              </w:rPr>
            </w:pPr>
          </w:p>
        </w:tc>
      </w:tr>
      <w:tr w:rsidR="000D34A9" w:rsidRPr="00393D5E" w14:paraId="00A749CE" w14:textId="77777777" w:rsidTr="35187188">
        <w:trPr>
          <w:trHeight w:val="693"/>
        </w:trPr>
        <w:tc>
          <w:tcPr>
            <w:tcW w:w="2640" w:type="dxa"/>
            <w:vMerge/>
            <w:tcMar>
              <w:left w:w="108" w:type="dxa"/>
              <w:right w:w="108" w:type="dxa"/>
            </w:tcMar>
          </w:tcPr>
          <w:p w14:paraId="15BC3D2F" w14:textId="77777777" w:rsidR="000D34A9" w:rsidRPr="00393D5E" w:rsidRDefault="000D34A9" w:rsidP="000D34A9">
            <w:pPr>
              <w:spacing w:line="276" w:lineRule="auto"/>
              <w:rPr>
                <w:rFonts w:ascii="Calibri" w:eastAsia="Calibri" w:hAnsi="Calibri" w:cs="Calibri"/>
              </w:rPr>
            </w:pPr>
          </w:p>
        </w:tc>
        <w:tc>
          <w:tcPr>
            <w:tcW w:w="4155" w:type="dxa"/>
            <w:tcMar>
              <w:left w:w="108" w:type="dxa"/>
              <w:right w:w="108" w:type="dxa"/>
            </w:tcMar>
          </w:tcPr>
          <w:p w14:paraId="50846706" w14:textId="628DA2E3" w:rsidR="35187188" w:rsidRDefault="35187188" w:rsidP="35187188">
            <w:pPr>
              <w:spacing w:line="276" w:lineRule="auto"/>
            </w:pPr>
            <w:r w:rsidRPr="35187188">
              <w:rPr>
                <w:rFonts w:ascii="Calibri" w:eastAsia="Calibri" w:hAnsi="Calibri" w:cs="Calibri"/>
              </w:rPr>
              <w:t xml:space="preserve">Poskytování poradenských služeb domácnostem </w:t>
            </w:r>
          </w:p>
        </w:tc>
        <w:tc>
          <w:tcPr>
            <w:tcW w:w="2700" w:type="dxa"/>
            <w:vMerge/>
            <w:tcMar>
              <w:left w:w="108" w:type="dxa"/>
              <w:right w:w="108" w:type="dxa"/>
            </w:tcMar>
          </w:tcPr>
          <w:p w14:paraId="6E2E48AF" w14:textId="77777777" w:rsidR="000D34A9" w:rsidRPr="3E0D70EE" w:rsidRDefault="000D34A9" w:rsidP="000D34A9">
            <w:pPr>
              <w:spacing w:line="276" w:lineRule="auto"/>
              <w:jc w:val="center"/>
              <w:rPr>
                <w:rFonts w:ascii="Calibri" w:eastAsia="Calibri" w:hAnsi="Calibri" w:cs="Calibri"/>
              </w:rPr>
            </w:pPr>
          </w:p>
        </w:tc>
      </w:tr>
      <w:tr w:rsidR="000D34A9" w:rsidRPr="00393D5E" w14:paraId="3737E6EE" w14:textId="77777777" w:rsidTr="35187188">
        <w:trPr>
          <w:trHeight w:val="419"/>
        </w:trPr>
        <w:tc>
          <w:tcPr>
            <w:tcW w:w="2640" w:type="dxa"/>
            <w:vMerge/>
            <w:tcMar>
              <w:left w:w="108" w:type="dxa"/>
              <w:right w:w="108" w:type="dxa"/>
            </w:tcMar>
          </w:tcPr>
          <w:p w14:paraId="01AA898D" w14:textId="77777777" w:rsidR="000D34A9" w:rsidRPr="00393D5E" w:rsidRDefault="000D34A9" w:rsidP="000D34A9">
            <w:pPr>
              <w:spacing w:line="276" w:lineRule="auto"/>
              <w:rPr>
                <w:rFonts w:ascii="Calibri" w:eastAsia="Calibri" w:hAnsi="Calibri" w:cs="Calibri"/>
              </w:rPr>
            </w:pPr>
          </w:p>
        </w:tc>
        <w:tc>
          <w:tcPr>
            <w:tcW w:w="4155" w:type="dxa"/>
            <w:tcMar>
              <w:left w:w="108" w:type="dxa"/>
              <w:right w:w="108" w:type="dxa"/>
            </w:tcMar>
          </w:tcPr>
          <w:p w14:paraId="1F55ABFD" w14:textId="47977AF5" w:rsidR="35187188" w:rsidRDefault="35187188" w:rsidP="35187188">
            <w:pPr>
              <w:spacing w:line="276" w:lineRule="auto"/>
            </w:pPr>
            <w:r w:rsidRPr="35187188">
              <w:rPr>
                <w:rFonts w:ascii="Calibri" w:eastAsia="Calibri" w:hAnsi="Calibri" w:cs="Calibri"/>
              </w:rPr>
              <w:t>Zvyšování informovanosti</w:t>
            </w:r>
          </w:p>
        </w:tc>
        <w:tc>
          <w:tcPr>
            <w:tcW w:w="2700" w:type="dxa"/>
            <w:vMerge/>
            <w:tcMar>
              <w:left w:w="108" w:type="dxa"/>
              <w:right w:w="108" w:type="dxa"/>
            </w:tcMar>
          </w:tcPr>
          <w:p w14:paraId="6A220C1F" w14:textId="77777777" w:rsidR="000D34A9" w:rsidRPr="3E0D70EE" w:rsidRDefault="000D34A9" w:rsidP="000D34A9">
            <w:pPr>
              <w:spacing w:line="276" w:lineRule="auto"/>
              <w:jc w:val="center"/>
              <w:rPr>
                <w:rFonts w:ascii="Calibri" w:eastAsia="Calibri" w:hAnsi="Calibri" w:cs="Calibri"/>
              </w:rPr>
            </w:pPr>
          </w:p>
        </w:tc>
      </w:tr>
      <w:tr w:rsidR="00FA403F" w:rsidRPr="00393D5E" w14:paraId="67919AE2" w14:textId="77777777" w:rsidTr="35187188">
        <w:trPr>
          <w:trHeight w:val="300"/>
        </w:trPr>
        <w:tc>
          <w:tcPr>
            <w:tcW w:w="2640" w:type="dxa"/>
            <w:vMerge w:val="restart"/>
            <w:tcMar>
              <w:left w:w="108" w:type="dxa"/>
              <w:right w:w="108" w:type="dxa"/>
            </w:tcMar>
          </w:tcPr>
          <w:p w14:paraId="26C71F78" w14:textId="7C11B8EE" w:rsidR="00FA403F" w:rsidRDefault="00FA403F" w:rsidP="00FA403F">
            <w:pPr>
              <w:spacing w:line="276" w:lineRule="auto"/>
            </w:pPr>
            <w:r w:rsidRPr="35187188">
              <w:rPr>
                <w:rFonts w:ascii="Calibri" w:eastAsia="Calibri" w:hAnsi="Calibri" w:cs="Calibri"/>
              </w:rPr>
              <w:t>7.5 Dekarbonizace silniční dopravy</w:t>
            </w:r>
          </w:p>
        </w:tc>
        <w:tc>
          <w:tcPr>
            <w:tcW w:w="4155" w:type="dxa"/>
            <w:tcMar>
              <w:left w:w="108" w:type="dxa"/>
              <w:right w:w="108" w:type="dxa"/>
            </w:tcMar>
          </w:tcPr>
          <w:p w14:paraId="490FCF43" w14:textId="70CF52A1" w:rsidR="00FA403F" w:rsidRDefault="00FA403F" w:rsidP="00FA403F">
            <w:pPr>
              <w:spacing w:line="276" w:lineRule="auto"/>
              <w:rPr>
                <w:rFonts w:ascii="Calibri" w:eastAsia="Calibri" w:hAnsi="Calibri" w:cs="Calibri"/>
              </w:rPr>
            </w:pPr>
            <w:r w:rsidRPr="35187188">
              <w:rPr>
                <w:rFonts w:ascii="Calibri" w:eastAsia="Calibri" w:hAnsi="Calibri" w:cs="Calibri"/>
              </w:rPr>
              <w:t>Národní akční plán čisté mobility a</w:t>
            </w:r>
            <w:r w:rsidR="0003053E">
              <w:rPr>
                <w:rFonts w:ascii="Calibri" w:eastAsia="Calibri" w:hAnsi="Calibri" w:cs="Calibri"/>
              </w:rPr>
              <w:t> </w:t>
            </w:r>
            <w:r w:rsidRPr="35187188">
              <w:rPr>
                <w:rFonts w:ascii="Calibri" w:eastAsia="Calibri" w:hAnsi="Calibri" w:cs="Calibri"/>
              </w:rPr>
              <w:t>cíle zavádění mobility s</w:t>
            </w:r>
            <w:r w:rsidR="0003053E">
              <w:rPr>
                <w:rFonts w:ascii="Calibri" w:eastAsia="Calibri" w:hAnsi="Calibri" w:cs="Calibri"/>
              </w:rPr>
              <w:t> </w:t>
            </w:r>
            <w:r w:rsidRPr="35187188">
              <w:rPr>
                <w:rFonts w:ascii="Calibri" w:eastAsia="Calibri" w:hAnsi="Calibri" w:cs="Calibri"/>
              </w:rPr>
              <w:t>nulovými emisemi</w:t>
            </w:r>
          </w:p>
        </w:tc>
        <w:tc>
          <w:tcPr>
            <w:tcW w:w="2700" w:type="dxa"/>
            <w:tcMar>
              <w:left w:w="108" w:type="dxa"/>
              <w:right w:w="108" w:type="dxa"/>
            </w:tcMar>
          </w:tcPr>
          <w:p w14:paraId="713C88A7" w14:textId="16A7F600" w:rsidR="00FA403F" w:rsidRPr="00393D5E" w:rsidRDefault="00FA403F" w:rsidP="00FA403F">
            <w:pPr>
              <w:spacing w:line="276" w:lineRule="auto"/>
              <w:jc w:val="center"/>
            </w:pPr>
            <w:r w:rsidRPr="3E0D70EE">
              <w:rPr>
                <w:rFonts w:ascii="Calibri" w:eastAsia="Calibri" w:hAnsi="Calibri" w:cs="Calibri"/>
              </w:rPr>
              <w:t>0</w:t>
            </w:r>
          </w:p>
        </w:tc>
      </w:tr>
      <w:tr w:rsidR="00FA403F" w:rsidRPr="00393D5E" w14:paraId="553999A6" w14:textId="77777777" w:rsidTr="35187188">
        <w:trPr>
          <w:trHeight w:val="300"/>
        </w:trPr>
        <w:tc>
          <w:tcPr>
            <w:tcW w:w="2640" w:type="dxa"/>
            <w:vMerge/>
            <w:vAlign w:val="center"/>
          </w:tcPr>
          <w:p w14:paraId="033B866A" w14:textId="77777777" w:rsidR="00FA403F" w:rsidRPr="00393D5E" w:rsidRDefault="00FA403F" w:rsidP="00FA403F"/>
        </w:tc>
        <w:tc>
          <w:tcPr>
            <w:tcW w:w="4155" w:type="dxa"/>
            <w:tcMar>
              <w:left w:w="108" w:type="dxa"/>
              <w:right w:w="108" w:type="dxa"/>
            </w:tcMar>
          </w:tcPr>
          <w:p w14:paraId="42C5C8B5" w14:textId="466E2B65" w:rsidR="00FA403F" w:rsidRDefault="00FA403F" w:rsidP="00FA403F">
            <w:pPr>
              <w:spacing w:after="165" w:line="276" w:lineRule="auto"/>
              <w:rPr>
                <w:rFonts w:ascii="Calibri" w:eastAsia="Calibri" w:hAnsi="Calibri" w:cs="Calibri"/>
                <w:color w:val="000000" w:themeColor="text1"/>
              </w:rPr>
            </w:pPr>
            <w:r w:rsidRPr="35187188">
              <w:rPr>
                <w:rFonts w:ascii="Calibri" w:eastAsia="Calibri" w:hAnsi="Calibri" w:cs="Calibri"/>
                <w:color w:val="000000" w:themeColor="text1"/>
              </w:rPr>
              <w:t>Daňová opatření na podporu mobility s</w:t>
            </w:r>
            <w:r w:rsidR="0003053E">
              <w:rPr>
                <w:rFonts w:ascii="Calibri" w:eastAsia="Calibri" w:hAnsi="Calibri" w:cs="Calibri"/>
                <w:color w:val="000000" w:themeColor="text1"/>
              </w:rPr>
              <w:t> </w:t>
            </w:r>
            <w:r w:rsidRPr="35187188">
              <w:rPr>
                <w:rFonts w:ascii="Calibri" w:eastAsia="Calibri" w:hAnsi="Calibri" w:cs="Calibri"/>
                <w:color w:val="000000" w:themeColor="text1"/>
              </w:rPr>
              <w:t xml:space="preserve">nulovými emisemi </w:t>
            </w:r>
          </w:p>
        </w:tc>
        <w:tc>
          <w:tcPr>
            <w:tcW w:w="2700" w:type="dxa"/>
            <w:tcMar>
              <w:left w:w="108" w:type="dxa"/>
              <w:right w:w="108" w:type="dxa"/>
            </w:tcMar>
          </w:tcPr>
          <w:p w14:paraId="08EA3944" w14:textId="73739E44" w:rsidR="00FA403F" w:rsidRPr="00393D5E" w:rsidRDefault="00FA403F" w:rsidP="00FA403F">
            <w:pPr>
              <w:spacing w:line="276" w:lineRule="auto"/>
              <w:jc w:val="center"/>
            </w:pPr>
            <w:r w:rsidRPr="3E0D70EE">
              <w:rPr>
                <w:rFonts w:ascii="Calibri" w:eastAsia="Calibri" w:hAnsi="Calibri" w:cs="Calibri"/>
              </w:rPr>
              <w:t>0</w:t>
            </w:r>
          </w:p>
        </w:tc>
      </w:tr>
      <w:tr w:rsidR="00FA403F" w:rsidRPr="00393D5E" w14:paraId="43692AE3" w14:textId="77777777" w:rsidTr="35187188">
        <w:trPr>
          <w:trHeight w:val="300"/>
        </w:trPr>
        <w:tc>
          <w:tcPr>
            <w:tcW w:w="2640" w:type="dxa"/>
            <w:vMerge/>
            <w:vAlign w:val="center"/>
          </w:tcPr>
          <w:p w14:paraId="4DF60252" w14:textId="77777777" w:rsidR="00FA403F" w:rsidRPr="00393D5E" w:rsidRDefault="00FA403F" w:rsidP="00FA403F"/>
        </w:tc>
        <w:tc>
          <w:tcPr>
            <w:tcW w:w="4155" w:type="dxa"/>
            <w:tcMar>
              <w:left w:w="108" w:type="dxa"/>
              <w:right w:w="108" w:type="dxa"/>
            </w:tcMar>
          </w:tcPr>
          <w:p w14:paraId="3188C4AA" w14:textId="548D8F95" w:rsidR="00FA403F" w:rsidRDefault="00FA403F" w:rsidP="00FA403F">
            <w:pPr>
              <w:spacing w:after="165" w:line="276" w:lineRule="auto"/>
            </w:pPr>
            <w:r w:rsidRPr="35187188">
              <w:rPr>
                <w:rFonts w:ascii="Calibri" w:eastAsia="Calibri" w:hAnsi="Calibri" w:cs="Calibri"/>
                <w:color w:val="000000" w:themeColor="text1"/>
              </w:rPr>
              <w:t>Základní podmínky pro infrastrukturu alternativních paliv s</w:t>
            </w:r>
            <w:r w:rsidR="0003053E">
              <w:rPr>
                <w:rFonts w:ascii="Calibri" w:eastAsia="Calibri" w:hAnsi="Calibri" w:cs="Calibri"/>
                <w:color w:val="000000" w:themeColor="text1"/>
              </w:rPr>
              <w:t> </w:t>
            </w:r>
            <w:r w:rsidRPr="35187188">
              <w:rPr>
                <w:rFonts w:ascii="Calibri" w:eastAsia="Calibri" w:hAnsi="Calibri" w:cs="Calibri"/>
                <w:color w:val="000000" w:themeColor="text1"/>
              </w:rPr>
              <w:t>nulovými emisemi</w:t>
            </w:r>
          </w:p>
        </w:tc>
        <w:tc>
          <w:tcPr>
            <w:tcW w:w="2700" w:type="dxa"/>
            <w:tcMar>
              <w:left w:w="108" w:type="dxa"/>
              <w:right w:w="108" w:type="dxa"/>
            </w:tcMar>
          </w:tcPr>
          <w:p w14:paraId="7F1B8C1D" w14:textId="2F8E8FFA" w:rsidR="00FA403F" w:rsidRPr="00393D5E" w:rsidRDefault="00FA403F" w:rsidP="00FA403F">
            <w:pPr>
              <w:spacing w:line="276" w:lineRule="auto"/>
              <w:jc w:val="center"/>
            </w:pPr>
            <w:r w:rsidRPr="3E0D70EE">
              <w:rPr>
                <w:rFonts w:ascii="Calibri" w:eastAsia="Calibri" w:hAnsi="Calibri" w:cs="Calibri"/>
              </w:rPr>
              <w:t>0</w:t>
            </w:r>
          </w:p>
        </w:tc>
      </w:tr>
      <w:tr w:rsidR="00FA403F" w:rsidRPr="00393D5E" w14:paraId="57023182" w14:textId="77777777" w:rsidTr="35187188">
        <w:trPr>
          <w:trHeight w:val="300"/>
        </w:trPr>
        <w:tc>
          <w:tcPr>
            <w:tcW w:w="2640" w:type="dxa"/>
            <w:vMerge/>
            <w:vAlign w:val="center"/>
          </w:tcPr>
          <w:p w14:paraId="2F693B76" w14:textId="77777777" w:rsidR="00FA403F" w:rsidRPr="00393D5E" w:rsidRDefault="00FA403F" w:rsidP="00FA403F"/>
        </w:tc>
        <w:tc>
          <w:tcPr>
            <w:tcW w:w="4155" w:type="dxa"/>
            <w:tcMar>
              <w:left w:w="108" w:type="dxa"/>
              <w:right w:w="108" w:type="dxa"/>
            </w:tcMar>
          </w:tcPr>
          <w:p w14:paraId="5F127476" w14:textId="49FA5240" w:rsidR="00FA403F" w:rsidRDefault="00FA403F" w:rsidP="00FA403F">
            <w:pPr>
              <w:spacing w:line="276" w:lineRule="auto"/>
              <w:rPr>
                <w:rFonts w:ascii="Calibri" w:eastAsia="Calibri" w:hAnsi="Calibri" w:cs="Calibri"/>
                <w:color w:val="000000" w:themeColor="text1"/>
              </w:rPr>
            </w:pPr>
            <w:r w:rsidRPr="35187188">
              <w:rPr>
                <w:rFonts w:ascii="Calibri" w:eastAsia="Calibri" w:hAnsi="Calibri" w:cs="Calibri"/>
                <w:color w:val="000000" w:themeColor="text1"/>
              </w:rPr>
              <w:t>Zlepšení regulačního rámce pro vodík z</w:t>
            </w:r>
            <w:r w:rsidR="0003053E">
              <w:rPr>
                <w:rFonts w:ascii="Calibri" w:eastAsia="Calibri" w:hAnsi="Calibri" w:cs="Calibri"/>
                <w:color w:val="000000" w:themeColor="text1"/>
              </w:rPr>
              <w:t> </w:t>
            </w:r>
            <w:r w:rsidRPr="35187188">
              <w:rPr>
                <w:rFonts w:ascii="Calibri" w:eastAsia="Calibri" w:hAnsi="Calibri" w:cs="Calibri"/>
                <w:color w:val="000000" w:themeColor="text1"/>
              </w:rPr>
              <w:t>obnovitelných zdrojů</w:t>
            </w:r>
          </w:p>
        </w:tc>
        <w:tc>
          <w:tcPr>
            <w:tcW w:w="2700" w:type="dxa"/>
            <w:tcMar>
              <w:left w:w="108" w:type="dxa"/>
              <w:right w:w="108" w:type="dxa"/>
            </w:tcMar>
          </w:tcPr>
          <w:p w14:paraId="6EDAE574" w14:textId="556934A7" w:rsidR="00FA403F" w:rsidRPr="00393D5E" w:rsidRDefault="00FA403F" w:rsidP="00FA403F">
            <w:pPr>
              <w:spacing w:line="276" w:lineRule="auto"/>
              <w:jc w:val="center"/>
            </w:pPr>
            <w:r w:rsidRPr="3E0D70EE">
              <w:rPr>
                <w:rFonts w:ascii="Calibri" w:eastAsia="Calibri" w:hAnsi="Calibri" w:cs="Calibri"/>
              </w:rPr>
              <w:t>0</w:t>
            </w:r>
          </w:p>
        </w:tc>
      </w:tr>
      <w:tr w:rsidR="00FA403F" w:rsidRPr="00393D5E" w14:paraId="0DF8BE34" w14:textId="77777777" w:rsidTr="35187188">
        <w:trPr>
          <w:trHeight w:val="300"/>
        </w:trPr>
        <w:tc>
          <w:tcPr>
            <w:tcW w:w="2640" w:type="dxa"/>
            <w:vMerge/>
            <w:vAlign w:val="center"/>
          </w:tcPr>
          <w:p w14:paraId="3705CFA1" w14:textId="77777777" w:rsidR="00FA403F" w:rsidRPr="00393D5E" w:rsidRDefault="00FA403F" w:rsidP="00FA403F"/>
        </w:tc>
        <w:tc>
          <w:tcPr>
            <w:tcW w:w="4155" w:type="dxa"/>
            <w:tcMar>
              <w:left w:w="108" w:type="dxa"/>
              <w:right w:w="108" w:type="dxa"/>
            </w:tcMar>
          </w:tcPr>
          <w:p w14:paraId="313D0C9E" w14:textId="627C7F90" w:rsidR="00FA403F" w:rsidRDefault="00FA403F" w:rsidP="0077311F">
            <w:pPr>
              <w:spacing w:line="276" w:lineRule="auto"/>
            </w:pPr>
            <w:r w:rsidRPr="35187188">
              <w:rPr>
                <w:rFonts w:ascii="Calibri" w:eastAsia="Calibri" w:hAnsi="Calibri" w:cs="Calibri"/>
              </w:rPr>
              <w:t>Pobídky pro mobilitu s</w:t>
            </w:r>
            <w:r w:rsidR="0003053E">
              <w:rPr>
                <w:rFonts w:ascii="Calibri" w:eastAsia="Calibri" w:hAnsi="Calibri" w:cs="Calibri"/>
              </w:rPr>
              <w:t> </w:t>
            </w:r>
            <w:r w:rsidRPr="35187188">
              <w:rPr>
                <w:rFonts w:ascii="Calibri" w:eastAsia="Calibri" w:hAnsi="Calibri" w:cs="Calibri"/>
              </w:rPr>
              <w:t>nulovými emisemi prostřednictvím změn nákladů na dálniční známky a</w:t>
            </w:r>
            <w:r w:rsidR="0003053E">
              <w:rPr>
                <w:rFonts w:ascii="Calibri" w:eastAsia="Calibri" w:hAnsi="Calibri" w:cs="Calibri"/>
              </w:rPr>
              <w:t> </w:t>
            </w:r>
            <w:r w:rsidRPr="005D741B">
              <w:rPr>
                <w:rFonts w:ascii="Calibri" w:eastAsia="Calibri" w:hAnsi="Calibri" w:cs="Calibri"/>
              </w:rPr>
              <w:t>struktury</w:t>
            </w:r>
          </w:p>
        </w:tc>
        <w:tc>
          <w:tcPr>
            <w:tcW w:w="2700" w:type="dxa"/>
            <w:tcMar>
              <w:left w:w="108" w:type="dxa"/>
              <w:right w:w="108" w:type="dxa"/>
            </w:tcMar>
          </w:tcPr>
          <w:p w14:paraId="21FCBB86" w14:textId="219C22A6" w:rsidR="00FA403F" w:rsidRPr="00393D5E" w:rsidRDefault="0077311F" w:rsidP="00FA403F">
            <w:pPr>
              <w:spacing w:line="276" w:lineRule="auto"/>
              <w:jc w:val="center"/>
            </w:pPr>
            <w:r>
              <w:t>0</w:t>
            </w:r>
          </w:p>
        </w:tc>
      </w:tr>
      <w:tr w:rsidR="00FA403F" w:rsidRPr="00393D5E" w14:paraId="6CBFE06C" w14:textId="77777777" w:rsidTr="35187188">
        <w:trPr>
          <w:trHeight w:val="300"/>
        </w:trPr>
        <w:tc>
          <w:tcPr>
            <w:tcW w:w="2640" w:type="dxa"/>
            <w:vMerge/>
            <w:vAlign w:val="center"/>
          </w:tcPr>
          <w:p w14:paraId="54E00696" w14:textId="77777777" w:rsidR="00FA403F" w:rsidRPr="00393D5E" w:rsidRDefault="00FA403F" w:rsidP="00FA403F"/>
        </w:tc>
        <w:tc>
          <w:tcPr>
            <w:tcW w:w="4155" w:type="dxa"/>
            <w:tcMar>
              <w:left w:w="108" w:type="dxa"/>
              <w:right w:w="108" w:type="dxa"/>
            </w:tcMar>
          </w:tcPr>
          <w:p w14:paraId="1643A94D" w14:textId="68A71260" w:rsidR="00FA403F" w:rsidRDefault="00FA403F" w:rsidP="00FA403F">
            <w:pPr>
              <w:spacing w:line="276" w:lineRule="auto"/>
            </w:pPr>
            <w:r w:rsidRPr="35187188">
              <w:rPr>
                <w:rFonts w:ascii="Calibri" w:eastAsia="Calibri" w:hAnsi="Calibri" w:cs="Calibri"/>
              </w:rPr>
              <w:t>Rozšíření opatření: Podpora na nákup vozidel – vozidel s</w:t>
            </w:r>
            <w:r w:rsidR="0003053E">
              <w:rPr>
                <w:rFonts w:ascii="Calibri" w:eastAsia="Calibri" w:hAnsi="Calibri" w:cs="Calibri"/>
              </w:rPr>
              <w:t> </w:t>
            </w:r>
            <w:r w:rsidRPr="35187188">
              <w:rPr>
                <w:rFonts w:ascii="Calibri" w:eastAsia="Calibri" w:hAnsi="Calibri" w:cs="Calibri"/>
              </w:rPr>
              <w:t>nulovými emisemi a</w:t>
            </w:r>
            <w:r w:rsidR="0003053E">
              <w:rPr>
                <w:rFonts w:ascii="Calibri" w:eastAsia="Calibri" w:hAnsi="Calibri" w:cs="Calibri"/>
              </w:rPr>
              <w:t> </w:t>
            </w:r>
            <w:r w:rsidRPr="35187188">
              <w:rPr>
                <w:rFonts w:ascii="Calibri" w:eastAsia="Calibri" w:hAnsi="Calibri" w:cs="Calibri"/>
              </w:rPr>
              <w:t>nákladní elektrokol pro soukromé společnosti</w:t>
            </w:r>
          </w:p>
        </w:tc>
        <w:tc>
          <w:tcPr>
            <w:tcW w:w="2700" w:type="dxa"/>
            <w:tcMar>
              <w:left w:w="108" w:type="dxa"/>
              <w:right w:w="108" w:type="dxa"/>
            </w:tcMar>
          </w:tcPr>
          <w:p w14:paraId="24BD95CB" w14:textId="05D042B7" w:rsidR="00FA403F" w:rsidRPr="00393D5E" w:rsidRDefault="0077311F" w:rsidP="00FA403F">
            <w:pPr>
              <w:spacing w:line="276" w:lineRule="auto"/>
              <w:jc w:val="center"/>
            </w:pPr>
            <w:r w:rsidRPr="3E0D70EE">
              <w:rPr>
                <w:rFonts w:ascii="Calibri" w:eastAsia="Calibri" w:hAnsi="Calibri" w:cs="Calibri"/>
              </w:rPr>
              <w:t>0,76</w:t>
            </w:r>
          </w:p>
        </w:tc>
      </w:tr>
      <w:tr w:rsidR="00FA403F" w:rsidRPr="00393D5E" w14:paraId="15AAE50F" w14:textId="77777777" w:rsidTr="35187188">
        <w:trPr>
          <w:trHeight w:val="420"/>
        </w:trPr>
        <w:tc>
          <w:tcPr>
            <w:tcW w:w="2640" w:type="dxa"/>
            <w:tcMar>
              <w:left w:w="108" w:type="dxa"/>
              <w:right w:w="108" w:type="dxa"/>
            </w:tcMar>
          </w:tcPr>
          <w:p w14:paraId="52C06E72" w14:textId="3B0FD047" w:rsidR="00FA403F" w:rsidRDefault="00FA403F" w:rsidP="00FA403F">
            <w:pPr>
              <w:spacing w:line="276" w:lineRule="auto"/>
            </w:pPr>
            <w:r w:rsidRPr="35187188">
              <w:rPr>
                <w:rFonts w:ascii="Calibri" w:eastAsia="Calibri" w:hAnsi="Calibri" w:cs="Calibri"/>
              </w:rPr>
              <w:lastRenderedPageBreak/>
              <w:t>7.6 Elektrifikace železniční dopravy</w:t>
            </w:r>
          </w:p>
        </w:tc>
        <w:tc>
          <w:tcPr>
            <w:tcW w:w="4155" w:type="dxa"/>
            <w:tcMar>
              <w:left w:w="108" w:type="dxa"/>
              <w:right w:w="108" w:type="dxa"/>
            </w:tcMar>
          </w:tcPr>
          <w:p w14:paraId="3E23A297" w14:textId="725A95E8" w:rsidR="00FA403F" w:rsidRDefault="00FA403F" w:rsidP="00FA403F">
            <w:pPr>
              <w:spacing w:line="276" w:lineRule="auto"/>
            </w:pPr>
            <w:r w:rsidRPr="35187188">
              <w:rPr>
                <w:rFonts w:ascii="Calibri" w:eastAsia="Calibri" w:hAnsi="Calibri" w:cs="Calibri"/>
                <w:color w:val="000000" w:themeColor="text1"/>
              </w:rPr>
              <w:t>Investice Elektrifikace v</w:t>
            </w:r>
            <w:r w:rsidR="0003053E">
              <w:rPr>
                <w:rFonts w:ascii="Calibri" w:eastAsia="Calibri" w:hAnsi="Calibri" w:cs="Calibri"/>
                <w:color w:val="000000" w:themeColor="text1"/>
              </w:rPr>
              <w:t> </w:t>
            </w:r>
            <w:r w:rsidRPr="35187188">
              <w:rPr>
                <w:rFonts w:ascii="Calibri" w:eastAsia="Calibri" w:hAnsi="Calibri" w:cs="Calibri"/>
                <w:color w:val="000000" w:themeColor="text1"/>
              </w:rPr>
              <w:t>Brněnském regionu</w:t>
            </w:r>
          </w:p>
          <w:p w14:paraId="14F3AF41" w14:textId="6C592C58" w:rsidR="00FA403F" w:rsidRDefault="00FA403F" w:rsidP="00FA403F">
            <w:pPr>
              <w:spacing w:line="276" w:lineRule="auto"/>
            </w:pPr>
            <w:r w:rsidRPr="35187188">
              <w:rPr>
                <w:rFonts w:ascii="Calibri" w:eastAsia="Calibri" w:hAnsi="Calibri" w:cs="Calibri"/>
              </w:rPr>
              <w:t xml:space="preserve"> </w:t>
            </w:r>
          </w:p>
        </w:tc>
        <w:tc>
          <w:tcPr>
            <w:tcW w:w="2700" w:type="dxa"/>
            <w:tcMar>
              <w:left w:w="108" w:type="dxa"/>
              <w:right w:w="108" w:type="dxa"/>
            </w:tcMar>
          </w:tcPr>
          <w:p w14:paraId="61177B09" w14:textId="499A56E3" w:rsidR="00FA403F" w:rsidRPr="00393D5E" w:rsidRDefault="00FA403F" w:rsidP="00FA403F">
            <w:pPr>
              <w:spacing w:line="276" w:lineRule="auto"/>
              <w:jc w:val="center"/>
            </w:pPr>
            <w:r w:rsidRPr="3E0D70EE">
              <w:rPr>
                <w:rFonts w:ascii="Calibri" w:eastAsia="Calibri" w:hAnsi="Calibri" w:cs="Calibri"/>
              </w:rPr>
              <w:t>1,3</w:t>
            </w:r>
          </w:p>
          <w:p w14:paraId="66103950" w14:textId="7A8CC014" w:rsidR="00FA403F" w:rsidRDefault="00FA403F" w:rsidP="00FA403F">
            <w:pPr>
              <w:spacing w:line="276" w:lineRule="auto"/>
              <w:jc w:val="center"/>
            </w:pPr>
          </w:p>
          <w:p w14:paraId="6DD39531" w14:textId="638F7FA9" w:rsidR="00FA403F" w:rsidRPr="00393D5E" w:rsidRDefault="00FA403F" w:rsidP="00FA403F">
            <w:pPr>
              <w:spacing w:line="276" w:lineRule="auto"/>
              <w:jc w:val="center"/>
            </w:pPr>
          </w:p>
        </w:tc>
      </w:tr>
      <w:tr w:rsidR="00FA403F" w:rsidRPr="00393D5E" w14:paraId="2A01977B" w14:textId="77777777" w:rsidTr="35187188">
        <w:trPr>
          <w:trHeight w:val="420"/>
        </w:trPr>
        <w:tc>
          <w:tcPr>
            <w:tcW w:w="2640" w:type="dxa"/>
            <w:tcMar>
              <w:left w:w="108" w:type="dxa"/>
              <w:right w:w="108" w:type="dxa"/>
            </w:tcMar>
          </w:tcPr>
          <w:p w14:paraId="5486EEB1" w14:textId="1C104EA1" w:rsidR="00FA403F" w:rsidRDefault="00FA403F" w:rsidP="00FA403F">
            <w:pPr>
              <w:spacing w:before="120" w:after="120" w:line="276" w:lineRule="auto"/>
              <w:rPr>
                <w:rFonts w:eastAsia="Calibri"/>
                <w:color w:val="000000" w:themeColor="text1"/>
              </w:rPr>
            </w:pPr>
            <w:r w:rsidRPr="35187188">
              <w:rPr>
                <w:rFonts w:ascii="Calibri" w:eastAsia="Calibri" w:hAnsi="Calibri" w:cs="Calibri"/>
              </w:rPr>
              <w:t xml:space="preserve">7.7 </w:t>
            </w:r>
            <w:r w:rsidRPr="35187188">
              <w:rPr>
                <w:rFonts w:eastAsia="Calibri"/>
                <w:color w:val="000000" w:themeColor="text1"/>
              </w:rPr>
              <w:t>Zjednodušení povolovacích řízení v</w:t>
            </w:r>
            <w:r w:rsidR="0003053E">
              <w:rPr>
                <w:rFonts w:eastAsia="Calibri"/>
                <w:color w:val="000000" w:themeColor="text1"/>
              </w:rPr>
              <w:t> </w:t>
            </w:r>
            <w:r w:rsidRPr="35187188">
              <w:rPr>
                <w:rFonts w:eastAsia="Calibri"/>
                <w:color w:val="000000" w:themeColor="text1"/>
              </w:rPr>
              <w:t>oblasti životního prostředí a</w:t>
            </w:r>
            <w:r w:rsidR="0003053E">
              <w:rPr>
                <w:rFonts w:eastAsia="Calibri"/>
                <w:color w:val="000000" w:themeColor="text1"/>
              </w:rPr>
              <w:t> </w:t>
            </w:r>
            <w:r w:rsidRPr="35187188">
              <w:rPr>
                <w:rFonts w:eastAsia="Calibri"/>
                <w:color w:val="000000" w:themeColor="text1"/>
              </w:rPr>
              <w:t>vymezení oblastí pro rozvoj obnovitelných zdrojů energie</w:t>
            </w:r>
          </w:p>
        </w:tc>
        <w:tc>
          <w:tcPr>
            <w:tcW w:w="4155" w:type="dxa"/>
            <w:tcMar>
              <w:left w:w="108" w:type="dxa"/>
              <w:right w:w="108" w:type="dxa"/>
            </w:tcMar>
          </w:tcPr>
          <w:p w14:paraId="5BEB636D" w14:textId="50869ACB" w:rsidR="00FA403F" w:rsidRDefault="00FA403F" w:rsidP="00FA403F">
            <w:pPr>
              <w:spacing w:line="276" w:lineRule="auto"/>
              <w:rPr>
                <w:rFonts w:eastAsia="Calibri"/>
                <w:color w:val="000000" w:themeColor="text1"/>
              </w:rPr>
            </w:pPr>
            <w:r w:rsidRPr="35187188">
              <w:rPr>
                <w:rFonts w:ascii="Calibri" w:eastAsia="Calibri" w:hAnsi="Calibri" w:cs="Calibri"/>
                <w:color w:val="000000" w:themeColor="text1"/>
              </w:rPr>
              <w:t>Jednotné enviro</w:t>
            </w:r>
            <w:r w:rsidRPr="35187188">
              <w:rPr>
                <w:rFonts w:eastAsia="Calibri"/>
                <w:color w:val="000000" w:themeColor="text1"/>
              </w:rPr>
              <w:t>nmentální stanovisko</w:t>
            </w:r>
          </w:p>
          <w:p w14:paraId="481C953D" w14:textId="1837976D" w:rsidR="00FA403F" w:rsidRDefault="00FA403F" w:rsidP="00FA403F">
            <w:pPr>
              <w:spacing w:line="276" w:lineRule="auto"/>
              <w:jc w:val="both"/>
            </w:pPr>
          </w:p>
          <w:p w14:paraId="72348C2F" w14:textId="77A442A0" w:rsidR="00FA403F" w:rsidRDefault="00FA403F" w:rsidP="00FA403F">
            <w:pPr>
              <w:spacing w:before="120" w:after="120" w:line="276" w:lineRule="auto"/>
              <w:jc w:val="both"/>
            </w:pPr>
            <w:r w:rsidRPr="35187188">
              <w:rPr>
                <w:rFonts w:eastAsia="Calibri"/>
                <w:color w:val="000000" w:themeColor="text1"/>
              </w:rPr>
              <w:t xml:space="preserve">Oblasti pro urychlené zavádění obnovitelných zdrojů energie </w:t>
            </w:r>
            <w:r w:rsidRPr="35187188">
              <w:rPr>
                <w:rFonts w:ascii="Calibri" w:eastAsia="Calibri" w:hAnsi="Calibri" w:cs="Calibri"/>
                <w:color w:val="000000" w:themeColor="text1"/>
              </w:rPr>
              <w:t xml:space="preserve"> </w:t>
            </w:r>
          </w:p>
        </w:tc>
        <w:tc>
          <w:tcPr>
            <w:tcW w:w="2700" w:type="dxa"/>
            <w:tcMar>
              <w:left w:w="108" w:type="dxa"/>
              <w:right w:w="108" w:type="dxa"/>
            </w:tcMar>
          </w:tcPr>
          <w:p w14:paraId="2A5F2FAF" w14:textId="7AE44608" w:rsidR="00FA403F" w:rsidRPr="00393D5E" w:rsidRDefault="00FA403F" w:rsidP="00FA403F">
            <w:pPr>
              <w:spacing w:line="276" w:lineRule="auto"/>
              <w:jc w:val="center"/>
            </w:pPr>
            <w:r w:rsidRPr="3E0D70EE">
              <w:rPr>
                <w:rFonts w:ascii="Calibri" w:eastAsia="Calibri" w:hAnsi="Calibri" w:cs="Calibri"/>
              </w:rPr>
              <w:t>0,35</w:t>
            </w:r>
          </w:p>
        </w:tc>
      </w:tr>
    </w:tbl>
    <w:p w14:paraId="3480F675" w14:textId="35A35F3F" w:rsidR="00175113" w:rsidRPr="00393D5E" w:rsidRDefault="00AB4978" w:rsidP="00AB4978">
      <w:pPr>
        <w:pStyle w:val="Titulek"/>
        <w:rPr>
          <w:noProof w:val="0"/>
          <w:sz w:val="20"/>
          <w:szCs w:val="20"/>
          <w:highlight w:val="yellow"/>
        </w:rPr>
      </w:pPr>
      <w:bookmarkStart w:id="274" w:name="_Toc151444589"/>
      <w:r w:rsidRPr="00393D5E">
        <w:rPr>
          <w:noProof w:val="0"/>
        </w:rPr>
        <w:t xml:space="preserve">Tabulka </w:t>
      </w:r>
      <w:r w:rsidRPr="00393D5E">
        <w:rPr>
          <w:noProof w:val="0"/>
        </w:rPr>
        <w:fldChar w:fldCharType="begin"/>
      </w:r>
      <w:r w:rsidRPr="00393D5E">
        <w:rPr>
          <w:noProof w:val="0"/>
        </w:rPr>
        <w:instrText xml:space="preserve"> SEQ Tabulka \* ARABIC </w:instrText>
      </w:r>
      <w:r w:rsidRPr="00393D5E">
        <w:rPr>
          <w:noProof w:val="0"/>
        </w:rPr>
        <w:fldChar w:fldCharType="separate"/>
      </w:r>
      <w:r w:rsidR="00E25A73">
        <w:t>4</w:t>
      </w:r>
      <w:r w:rsidRPr="00393D5E">
        <w:rPr>
          <w:noProof w:val="0"/>
        </w:rPr>
        <w:fldChar w:fldCharType="end"/>
      </w:r>
      <w:r w:rsidR="00E25A73">
        <w:rPr>
          <w:noProof w:val="0"/>
        </w:rPr>
        <w:t>:</w:t>
      </w:r>
      <w:r w:rsidR="00D371D0" w:rsidRPr="00393D5E">
        <w:rPr>
          <w:noProof w:val="0"/>
        </w:rPr>
        <w:t xml:space="preserve"> Opatření REPowerEU kapitoly s</w:t>
      </w:r>
      <w:r w:rsidR="0003053E">
        <w:rPr>
          <w:noProof w:val="0"/>
        </w:rPr>
        <w:t> </w:t>
      </w:r>
      <w:r w:rsidR="00D371D0" w:rsidRPr="00393D5E">
        <w:rPr>
          <w:noProof w:val="0"/>
        </w:rPr>
        <w:t>přeshraničním rozměrem či dopadem na více zemí</w:t>
      </w:r>
      <w:r w:rsidR="32D974B0" w:rsidRPr="00393D5E">
        <w:rPr>
          <w:noProof w:val="0"/>
        </w:rPr>
        <w:t xml:space="preserve"> (hodnoty jsou zaokrouhleny)</w:t>
      </w:r>
      <w:bookmarkEnd w:id="274"/>
    </w:p>
    <w:p w14:paraId="17EB8FE7" w14:textId="65B1C6A9" w:rsidR="00227D22" w:rsidRPr="00393D5E" w:rsidRDefault="00227D22" w:rsidP="00316A1B">
      <w:pPr>
        <w:spacing w:line="276" w:lineRule="auto"/>
        <w:jc w:val="both"/>
        <w:rPr>
          <w:sz w:val="20"/>
          <w:szCs w:val="20"/>
        </w:rPr>
      </w:pPr>
    </w:p>
    <w:p w14:paraId="701F36F4" w14:textId="77777777" w:rsidR="00685653" w:rsidRPr="00393D5E" w:rsidRDefault="00685653" w:rsidP="00316A1B">
      <w:pPr>
        <w:spacing w:line="276" w:lineRule="auto"/>
        <w:jc w:val="both"/>
        <w:rPr>
          <w:sz w:val="20"/>
          <w:szCs w:val="20"/>
        </w:rPr>
      </w:pPr>
    </w:p>
    <w:p w14:paraId="42FC6058" w14:textId="14CBB186" w:rsidR="005B5D90" w:rsidRPr="00393D5E" w:rsidRDefault="6D2BA0C2" w:rsidP="00CE14E6">
      <w:pPr>
        <w:pStyle w:val="Nadpis4"/>
        <w:numPr>
          <w:ilvl w:val="3"/>
          <w:numId w:val="4"/>
        </w:numPr>
        <w:spacing w:line="276" w:lineRule="auto"/>
      </w:pPr>
      <w:bookmarkStart w:id="275" w:name="_Toc151444347"/>
      <w:bookmarkStart w:id="276" w:name="_Hlk132716705"/>
      <w:r>
        <w:t>Konzultace s</w:t>
      </w:r>
      <w:r w:rsidR="0003053E">
        <w:t> </w:t>
      </w:r>
      <w:r>
        <w:t>místními a</w:t>
      </w:r>
      <w:r w:rsidR="0003053E">
        <w:t> </w:t>
      </w:r>
      <w:r>
        <w:t>regionálními orgány a</w:t>
      </w:r>
      <w:r w:rsidR="0003053E">
        <w:t> </w:t>
      </w:r>
      <w:r>
        <w:t>s dalšími relevantními zúčastněnými stranami</w:t>
      </w:r>
      <w:bookmarkEnd w:id="275"/>
    </w:p>
    <w:bookmarkEnd w:id="276"/>
    <w:p w14:paraId="59581A64" w14:textId="6D4491AC" w:rsidR="00CD6765" w:rsidRPr="00393D5E" w:rsidRDefault="01931342" w:rsidP="00316A1B">
      <w:pPr>
        <w:spacing w:line="276" w:lineRule="auto"/>
        <w:jc w:val="both"/>
      </w:pPr>
      <w:r>
        <w:t>Hlavní konzultační platformou během přípravy rozšíření plánu, včetně investic a</w:t>
      </w:r>
      <w:r w:rsidR="0003053E">
        <w:t> </w:t>
      </w:r>
      <w:r>
        <w:t>reforem spojených s</w:t>
      </w:r>
      <w:r w:rsidR="0003053E">
        <w:t> </w:t>
      </w:r>
      <w:r>
        <w:t>REPowerEU</w:t>
      </w:r>
      <w:r w:rsidR="1BA550DC">
        <w:t>,</w:t>
      </w:r>
      <w:r>
        <w:t xml:space="preserve"> byl Výbor NPO a</w:t>
      </w:r>
      <w:r w:rsidR="0003053E">
        <w:t> </w:t>
      </w:r>
      <w:r>
        <w:t>jeho jednotlivé podvýbory (podvýbor pro územní dimenzi</w:t>
      </w:r>
      <w:r w:rsidR="0BEECED6">
        <w:t>,</w:t>
      </w:r>
      <w:r>
        <w:t xml:space="preserve"> podvýbor pro podnikání</w:t>
      </w:r>
      <w:r w:rsidR="0BEECED6">
        <w:t xml:space="preserve"> a</w:t>
      </w:r>
      <w:r w:rsidR="0003053E">
        <w:t> </w:t>
      </w:r>
      <w:r w:rsidR="0BEECED6">
        <w:t>podvýbor pro sociální oblast a</w:t>
      </w:r>
      <w:r w:rsidR="0003053E">
        <w:t> </w:t>
      </w:r>
      <w:r w:rsidR="0BEECED6">
        <w:t>zaměstnanost</w:t>
      </w:r>
      <w:r>
        <w:t>). Výbor NPO se konal v</w:t>
      </w:r>
      <w:r w:rsidR="0003053E">
        <w:t> </w:t>
      </w:r>
      <w:r>
        <w:t>termínech 23.</w:t>
      </w:r>
      <w:r w:rsidR="224321DE">
        <w:t> </w:t>
      </w:r>
      <w:r>
        <w:t>6.</w:t>
      </w:r>
      <w:r w:rsidR="224321DE">
        <w:t> </w:t>
      </w:r>
      <w:r>
        <w:t>2022, 20.</w:t>
      </w:r>
      <w:r w:rsidR="224321DE">
        <w:t> </w:t>
      </w:r>
      <w:r>
        <w:t>12.</w:t>
      </w:r>
      <w:r w:rsidR="224321DE">
        <w:t> </w:t>
      </w:r>
      <w:r>
        <w:t>2022, 6.</w:t>
      </w:r>
      <w:r w:rsidR="224321DE">
        <w:t> </w:t>
      </w:r>
      <w:r>
        <w:t>3.</w:t>
      </w:r>
      <w:r w:rsidR="224321DE">
        <w:t> </w:t>
      </w:r>
      <w:r>
        <w:t>202</w:t>
      </w:r>
      <w:r w:rsidR="2D0AF416">
        <w:t>3</w:t>
      </w:r>
      <w:r w:rsidR="4E63BA6A">
        <w:t>, 3.5.2023 a</w:t>
      </w:r>
      <w:r w:rsidR="0003053E">
        <w:t> </w:t>
      </w:r>
      <w:r w:rsidR="4E63BA6A">
        <w:t>18.7.2023</w:t>
      </w:r>
      <w:r>
        <w:t xml:space="preserve"> za účasti sociálních partnerů</w:t>
      </w:r>
      <w:r w:rsidR="76697736">
        <w:t xml:space="preserve">, </w:t>
      </w:r>
      <w:r>
        <w:t>zástupců místních a</w:t>
      </w:r>
      <w:r w:rsidR="0003053E">
        <w:t> </w:t>
      </w:r>
      <w:r>
        <w:t>regionálních samospráv a</w:t>
      </w:r>
      <w:r w:rsidR="0003053E">
        <w:t> </w:t>
      </w:r>
      <w:r>
        <w:t>dalších relevantních partnerů.  (Detailněji popsáno v</w:t>
      </w:r>
      <w:r w:rsidR="0003053E">
        <w:t> </w:t>
      </w:r>
      <w:r>
        <w:t xml:space="preserve">kapitole III.4 Konzultace se zúčastněnými stranami.) </w:t>
      </w:r>
    </w:p>
    <w:p w14:paraId="23F95535" w14:textId="2840553D" w:rsidR="00CD6765" w:rsidRPr="00393D5E" w:rsidRDefault="4B2CD709" w:rsidP="00316A1B">
      <w:pPr>
        <w:spacing w:line="276" w:lineRule="auto"/>
        <w:jc w:val="both"/>
      </w:pPr>
      <w:r>
        <w:t>Zúčastněné skupiny měly možnost připomínkovat aktivity připravované pro kapitolu REPowerEU i</w:t>
      </w:r>
      <w:r w:rsidR="0003053E">
        <w:t> </w:t>
      </w:r>
      <w:r>
        <w:t xml:space="preserve">v rámci </w:t>
      </w:r>
      <w:r w:rsidRPr="05AB2BC1">
        <w:rPr>
          <w:b/>
          <w:bCs/>
        </w:rPr>
        <w:t>meziresortních připomínkových řízení</w:t>
      </w:r>
      <w:r>
        <w:t>, která probíhají standardně při přípravě materiálů na jednání vlády. V</w:t>
      </w:r>
      <w:r w:rsidR="0003053E">
        <w:t> </w:t>
      </w:r>
      <w:r>
        <w:t>souvislosti s</w:t>
      </w:r>
      <w:r w:rsidR="0003053E">
        <w:t> </w:t>
      </w:r>
      <w:r>
        <w:t>aktualizací NPO včetně kapitoly REPowerEU se konala připomínková řízení k</w:t>
      </w:r>
      <w:r w:rsidR="0003053E">
        <w:t> </w:t>
      </w:r>
      <w:r>
        <w:t>obecnému záměru půjčky z</w:t>
      </w:r>
      <w:r w:rsidR="0003053E">
        <w:t> </w:t>
      </w:r>
      <w:r>
        <w:t>RRF před jednáním vlády 12.</w:t>
      </w:r>
      <w:r w:rsidR="58B55F94">
        <w:t> </w:t>
      </w:r>
      <w:r>
        <w:t>10.</w:t>
      </w:r>
      <w:r w:rsidR="58B55F94">
        <w:t> </w:t>
      </w:r>
      <w:r>
        <w:t>2022, k</w:t>
      </w:r>
      <w:r w:rsidR="0003053E">
        <w:t> </w:t>
      </w:r>
      <w:r>
        <w:t>aktualizaci NPO před jednáním vlády 9.</w:t>
      </w:r>
      <w:r w:rsidR="58B55F94">
        <w:t> </w:t>
      </w:r>
      <w:r>
        <w:t>11.</w:t>
      </w:r>
      <w:r w:rsidR="58B55F94">
        <w:t> </w:t>
      </w:r>
      <w:r>
        <w:t xml:space="preserve">2022, ke </w:t>
      </w:r>
      <w:r w:rsidR="5E6E7C6E">
        <w:t>specifickému záměru</w:t>
      </w:r>
      <w:r>
        <w:t xml:space="preserve"> půjčky před jednáním vlády 29.</w:t>
      </w:r>
      <w:r w:rsidR="58B55F94">
        <w:t> </w:t>
      </w:r>
      <w:r>
        <w:t>3.</w:t>
      </w:r>
      <w:r w:rsidR="58B55F94">
        <w:t> </w:t>
      </w:r>
      <w:r>
        <w:t>202</w:t>
      </w:r>
      <w:r w:rsidR="4D0965ED">
        <w:t>3</w:t>
      </w:r>
      <w:r>
        <w:t xml:space="preserve"> a</w:t>
      </w:r>
      <w:r w:rsidR="0003053E">
        <w:t> </w:t>
      </w:r>
      <w:r w:rsidR="5E6E7C6E">
        <w:t>nakonec připomínkové</w:t>
      </w:r>
      <w:r>
        <w:t xml:space="preserve"> řízení k</w:t>
      </w:r>
      <w:r w:rsidR="0003053E">
        <w:t> </w:t>
      </w:r>
      <w:r>
        <w:t xml:space="preserve">celkové revizi Národního plánu obnovy, které proběhlo od </w:t>
      </w:r>
      <w:r w:rsidR="730C858C">
        <w:t>18. 5.</w:t>
      </w:r>
      <w:r w:rsidR="58B55F94">
        <w:t> </w:t>
      </w:r>
      <w:r w:rsidR="730C858C">
        <w:t>2023</w:t>
      </w:r>
      <w:r>
        <w:t xml:space="preserve"> do </w:t>
      </w:r>
      <w:r w:rsidR="730C858C">
        <w:t>24.</w:t>
      </w:r>
      <w:r w:rsidR="58B55F94">
        <w:t> </w:t>
      </w:r>
      <w:r w:rsidR="730C858C">
        <w:t>5.</w:t>
      </w:r>
      <w:r w:rsidR="58B55F94">
        <w:t> </w:t>
      </w:r>
      <w:r w:rsidR="730C858C">
        <w:t>2023</w:t>
      </w:r>
      <w:r>
        <w:t xml:space="preserve"> před finálním schválením vládou</w:t>
      </w:r>
      <w:r w:rsidR="70AE5BFB">
        <w:t xml:space="preserve"> </w:t>
      </w:r>
      <w:r w:rsidR="70E1E9AC">
        <w:t>14</w:t>
      </w:r>
      <w:r w:rsidR="70AE5BFB">
        <w:t>.</w:t>
      </w:r>
      <w:r w:rsidR="58B55F94">
        <w:t> </w:t>
      </w:r>
      <w:r w:rsidR="24CF4B5F">
        <w:t>6</w:t>
      </w:r>
      <w:r w:rsidR="70AE5BFB">
        <w:t>.</w:t>
      </w:r>
      <w:r w:rsidR="58B55F94">
        <w:t> </w:t>
      </w:r>
      <w:r w:rsidR="70AE5BFB">
        <w:t>2023</w:t>
      </w:r>
      <w:r w:rsidR="5CB6FAA7">
        <w:t xml:space="preserve"> a</w:t>
      </w:r>
      <w:r w:rsidR="0003053E">
        <w:t> </w:t>
      </w:r>
      <w:r w:rsidR="5CB6FAA7">
        <w:t>úpravami schválenými vládou 23.8.2023</w:t>
      </w:r>
      <w:r w:rsidR="730C858C">
        <w:t>.</w:t>
      </w:r>
      <w:r>
        <w:t xml:space="preserve"> Připomínkových řízení se zúčastnili kromě ministerstev i</w:t>
      </w:r>
      <w:r w:rsidR="0003053E">
        <w:t> </w:t>
      </w:r>
      <w:r>
        <w:t>zástupci sociálních partnerů, místních a</w:t>
      </w:r>
      <w:r w:rsidR="0003053E">
        <w:t> </w:t>
      </w:r>
      <w:r>
        <w:t>regionálních samospráv, akademické obce a</w:t>
      </w:r>
      <w:r w:rsidR="0003053E">
        <w:t> </w:t>
      </w:r>
      <w:r>
        <w:t xml:space="preserve">profesních asociací. </w:t>
      </w:r>
      <w:r w:rsidR="1DC11CE4">
        <w:t>V</w:t>
      </w:r>
      <w:r w:rsidR="0003053E">
        <w:t> </w:t>
      </w:r>
      <w:r w:rsidR="1DC11CE4">
        <w:t>rámci meziresortního připomínkového řízení bylo na základě podnětů jednotlivých partnerů upraveno znění komponent, došlo k</w:t>
      </w:r>
      <w:r w:rsidR="0003053E">
        <w:t> </w:t>
      </w:r>
      <w:r w:rsidR="1DC11CE4">
        <w:t>rozšíření okruhu příjemců či k</w:t>
      </w:r>
      <w:r w:rsidR="0003053E">
        <w:t> </w:t>
      </w:r>
      <w:r w:rsidR="1DC11CE4">
        <w:t>zohlednění podnětů neziskového sektoru.</w:t>
      </w:r>
    </w:p>
    <w:p w14:paraId="2F4694CB" w14:textId="6DE861DF" w:rsidR="00CD6765" w:rsidRPr="00393D5E" w:rsidRDefault="00CD6765" w:rsidP="00316A1B">
      <w:pPr>
        <w:spacing w:line="276" w:lineRule="auto"/>
        <w:jc w:val="both"/>
      </w:pPr>
      <w:r w:rsidRPr="00393D5E">
        <w:t xml:space="preserve">Příprava kapitoly REPowerEU probíhala paralelně </w:t>
      </w:r>
      <w:r w:rsidRPr="00393D5E">
        <w:rPr>
          <w:b/>
        </w:rPr>
        <w:t>s</w:t>
      </w:r>
      <w:r w:rsidR="0003053E">
        <w:rPr>
          <w:b/>
        </w:rPr>
        <w:t> </w:t>
      </w:r>
      <w:r w:rsidRPr="00393D5E">
        <w:rPr>
          <w:b/>
        </w:rPr>
        <w:t>přípravou či aktualizací strategických dokumentů v</w:t>
      </w:r>
      <w:r w:rsidR="0003053E">
        <w:rPr>
          <w:b/>
        </w:rPr>
        <w:t> </w:t>
      </w:r>
      <w:r w:rsidRPr="00393D5E">
        <w:rPr>
          <w:b/>
        </w:rPr>
        <w:t>oblasti energetiky a</w:t>
      </w:r>
      <w:r w:rsidR="0003053E">
        <w:rPr>
          <w:b/>
        </w:rPr>
        <w:t> </w:t>
      </w:r>
      <w:r w:rsidRPr="00393D5E">
        <w:rPr>
          <w:b/>
        </w:rPr>
        <w:t>klimatu</w:t>
      </w:r>
      <w:r w:rsidRPr="00393D5E">
        <w:t>, které jsou rovněž podrobeny intenzivní konzultaci se všemi relevantními partnery. Jedná se zejména o</w:t>
      </w:r>
      <w:r w:rsidR="0003053E">
        <w:t> </w:t>
      </w:r>
      <w:r w:rsidRPr="00393D5E">
        <w:t>aktualizaci Státní energetické koncepce, která má být předložena vládě do konce roku 2023. Konzultace se sociálními partnery bude zajištěna skrze ustavenou Platformu a</w:t>
      </w:r>
      <w:r w:rsidR="0003053E">
        <w:t> </w:t>
      </w:r>
      <w:r w:rsidRPr="00393D5E">
        <w:t>pravidelné diskuze na RHSD (tripartita). Dalším důležitým dokumentem je Vnitrostátní plán ČR v</w:t>
      </w:r>
      <w:r w:rsidR="0003053E">
        <w:t> </w:t>
      </w:r>
      <w:r w:rsidRPr="00393D5E">
        <w:t>oblasti energetiky a</w:t>
      </w:r>
      <w:r w:rsidR="0003053E">
        <w:t> </w:t>
      </w:r>
      <w:r w:rsidRPr="00393D5E">
        <w:t>klimatu, jehož aktualizace by měla být v</w:t>
      </w:r>
      <w:r w:rsidR="0003053E">
        <w:t> </w:t>
      </w:r>
      <w:r w:rsidRPr="00393D5E">
        <w:t>souladu s</w:t>
      </w:r>
      <w:r w:rsidR="0003053E">
        <w:t> </w:t>
      </w:r>
      <w:r w:rsidRPr="00393D5E">
        <w:t>legislativou EU předložena Evropské komisi do 30.</w:t>
      </w:r>
      <w:r w:rsidR="00C703E9" w:rsidRPr="00393D5E">
        <w:t> </w:t>
      </w:r>
      <w:r w:rsidRPr="00393D5E">
        <w:t>června 2023. Tato aktualizace bude mimo jiné reflektovat REPowerEU a</w:t>
      </w:r>
      <w:r w:rsidR="0003053E">
        <w:t> </w:t>
      </w:r>
      <w:r w:rsidRPr="00393D5E">
        <w:t>bude také podléhat konzultaci s</w:t>
      </w:r>
      <w:r w:rsidR="0003053E">
        <w:t> </w:t>
      </w:r>
      <w:r w:rsidRPr="00393D5E">
        <w:t>odbornou veřejností.</w:t>
      </w:r>
    </w:p>
    <w:p w14:paraId="41C6EE9C" w14:textId="7765C92A" w:rsidR="00CD6765" w:rsidRPr="00393D5E" w:rsidRDefault="00CD6765" w:rsidP="00316A1B">
      <w:pPr>
        <w:spacing w:line="276" w:lineRule="auto"/>
        <w:jc w:val="both"/>
      </w:pPr>
      <w:r w:rsidRPr="00393D5E">
        <w:t xml:space="preserve">Ke konkrétním podnětům navrženým pro kapitolu REPowerEU proběhla rovněž řada </w:t>
      </w:r>
      <w:r w:rsidRPr="00393D5E">
        <w:rPr>
          <w:b/>
        </w:rPr>
        <w:t>individuálních konzultací</w:t>
      </w:r>
      <w:r w:rsidRPr="00393D5E">
        <w:t xml:space="preserve"> se sociálními partnery, zástupci místních a</w:t>
      </w:r>
      <w:r w:rsidR="0003053E">
        <w:t> </w:t>
      </w:r>
      <w:r w:rsidRPr="00393D5E">
        <w:t>regionálních samospráv i</w:t>
      </w:r>
      <w:r w:rsidR="0003053E">
        <w:t> </w:t>
      </w:r>
      <w:r w:rsidRPr="00393D5E">
        <w:t xml:space="preserve">s neziskovými organizacemi. </w:t>
      </w:r>
      <w:r w:rsidRPr="00393D5E">
        <w:lastRenderedPageBreak/>
        <w:t>Tyto konzultace zejména v</w:t>
      </w:r>
      <w:r w:rsidR="0003053E">
        <w:t> </w:t>
      </w:r>
      <w:r w:rsidRPr="00393D5E">
        <w:t xml:space="preserve">počáteční fázi sestavování </w:t>
      </w:r>
      <w:r w:rsidR="0011396F" w:rsidRPr="00393D5E">
        <w:t>podnětů zásadním</w:t>
      </w:r>
      <w:r w:rsidRPr="00393D5E">
        <w:t xml:space="preserve"> způsobem napomohly akcentovat konkrétní výzvy a</w:t>
      </w:r>
      <w:r w:rsidR="0003053E">
        <w:t> </w:t>
      </w:r>
      <w:r w:rsidRPr="00393D5E">
        <w:t>zahrnout je tak do kapitoly REPower</w:t>
      </w:r>
      <w:r w:rsidR="00E545A6">
        <w:t>EU</w:t>
      </w:r>
      <w:r w:rsidRPr="00393D5E">
        <w:t>. Zejména se jednalo o</w:t>
      </w:r>
      <w:r w:rsidR="0003053E">
        <w:t> </w:t>
      </w:r>
      <w:r w:rsidRPr="00393D5E">
        <w:t>následující témata (výčet témat i</w:t>
      </w:r>
      <w:r w:rsidR="0003053E">
        <w:t> </w:t>
      </w:r>
      <w:r w:rsidRPr="00393D5E">
        <w:t xml:space="preserve">stakeholderů zapojených do konzultace není vyčerpávající, zaměřuje se pouze na nejdůležitější témata se zásadním přínosem zapojení stakeholders): </w:t>
      </w:r>
    </w:p>
    <w:p w14:paraId="07BCBFBA" w14:textId="42FBE5BC" w:rsidR="00CD6765" w:rsidRPr="00393D5E" w:rsidRDefault="00CD6765" w:rsidP="00CE14E6">
      <w:pPr>
        <w:pStyle w:val="Odstavecseseznamem"/>
        <w:numPr>
          <w:ilvl w:val="1"/>
          <w:numId w:val="7"/>
        </w:numPr>
        <w:spacing w:line="276" w:lineRule="auto"/>
        <w:ind w:left="426" w:hanging="426"/>
        <w:jc w:val="both"/>
      </w:pPr>
      <w:r w:rsidRPr="05AB2BC1">
        <w:rPr>
          <w:i/>
          <w:iCs/>
        </w:rPr>
        <w:t xml:space="preserve">energetická </w:t>
      </w:r>
      <w:r w:rsidR="0011396F" w:rsidRPr="05AB2BC1">
        <w:rPr>
          <w:i/>
          <w:iCs/>
        </w:rPr>
        <w:t>chudoba</w:t>
      </w:r>
      <w:r w:rsidR="0011396F">
        <w:t xml:space="preserve"> – diskutováno</w:t>
      </w:r>
      <w:r>
        <w:t xml:space="preserve"> </w:t>
      </w:r>
      <w:r w:rsidR="00AE169D">
        <w:t>například</w:t>
      </w:r>
      <w:r>
        <w:t xml:space="preserve"> s</w:t>
      </w:r>
      <w:r w:rsidR="0003053E">
        <w:t> </w:t>
      </w:r>
      <w:r>
        <w:t>neziskovými organizacemi (Hnutí Duha, Unie komunitní energetiky, Platforma pro sociální bydlení) a</w:t>
      </w:r>
      <w:r w:rsidR="0003053E">
        <w:t> </w:t>
      </w:r>
      <w:r>
        <w:t>zástupci měst a</w:t>
      </w:r>
      <w:r w:rsidR="0003053E">
        <w:t> </w:t>
      </w:r>
      <w:r>
        <w:t>obcí (Svaz měst a</w:t>
      </w:r>
      <w:r w:rsidR="0003053E">
        <w:t> </w:t>
      </w:r>
      <w:r>
        <w:t>obcí) -&gt; do kapitoly REPowerEU zahrnuto zejména v</w:t>
      </w:r>
      <w:r w:rsidR="0003053E">
        <w:t> </w:t>
      </w:r>
      <w:r>
        <w:t>podobě podpory energetického poradenství pro nízkopříjmové domácnosti, výhodných půjček pro nízko-</w:t>
      </w:r>
      <w:r w:rsidR="6CC4B228">
        <w:t xml:space="preserve"> </w:t>
      </w:r>
      <w:r>
        <w:t>a</w:t>
      </w:r>
      <w:r w:rsidR="0003053E">
        <w:t> </w:t>
      </w:r>
      <w:r>
        <w:t>středně</w:t>
      </w:r>
      <w:r w:rsidR="00C37D39">
        <w:t>-</w:t>
      </w:r>
      <w:r>
        <w:t>příjmové domácnosti na energetickou účinnost, dodatečné podpory výměny nevyhovujících kotlů (na uhlí) v</w:t>
      </w:r>
      <w:r w:rsidR="0003053E">
        <w:t> </w:t>
      </w:r>
      <w:r>
        <w:t xml:space="preserve">domácnostech; </w:t>
      </w:r>
    </w:p>
    <w:p w14:paraId="6F13E902" w14:textId="1BE86F73" w:rsidR="00CD6765" w:rsidRPr="00393D5E" w:rsidRDefault="30EB9AE2" w:rsidP="00CE14E6">
      <w:pPr>
        <w:pStyle w:val="Odstavecseseznamem"/>
        <w:numPr>
          <w:ilvl w:val="1"/>
          <w:numId w:val="7"/>
        </w:numPr>
        <w:spacing w:line="276" w:lineRule="auto"/>
        <w:ind w:left="426" w:hanging="426"/>
        <w:jc w:val="both"/>
        <w:rPr>
          <w:i/>
          <w:iCs/>
        </w:rPr>
      </w:pPr>
      <w:r w:rsidRPr="00393D5E">
        <w:rPr>
          <w:i/>
          <w:iCs/>
        </w:rPr>
        <w:t xml:space="preserve">komunitní </w:t>
      </w:r>
      <w:r w:rsidR="2330E811" w:rsidRPr="00393D5E">
        <w:rPr>
          <w:i/>
          <w:iCs/>
        </w:rPr>
        <w:t xml:space="preserve">energetika – </w:t>
      </w:r>
      <w:r w:rsidR="2330E811" w:rsidRPr="00393D5E">
        <w:t>diskutováno</w:t>
      </w:r>
      <w:r w:rsidRPr="00393D5E">
        <w:t xml:space="preserve"> </w:t>
      </w:r>
      <w:r w:rsidR="00AE169D">
        <w:t>například</w:t>
      </w:r>
      <w:r w:rsidRPr="00393D5E">
        <w:t xml:space="preserve"> s</w:t>
      </w:r>
      <w:r w:rsidR="0003053E">
        <w:t> </w:t>
      </w:r>
      <w:r w:rsidRPr="00393D5E">
        <w:t>neziskovými organizacemi (Komorou obnovitelných zdrojů energie, Unií komunitní energetiky) -&gt; v</w:t>
      </w:r>
      <w:r w:rsidR="0003053E">
        <w:t> </w:t>
      </w:r>
      <w:r w:rsidRPr="00393D5E">
        <w:t>REPowerEU kapitole zohledněno v</w:t>
      </w:r>
      <w:r w:rsidR="0003053E">
        <w:t> </w:t>
      </w:r>
      <w:r w:rsidRPr="00393D5E">
        <w:t xml:space="preserve">legislativních reformách na podporu komunitní energetiky (Lex OZE II), zřízení Elektroenergetického datového </w:t>
      </w:r>
      <w:r w:rsidR="20BFEF5A" w:rsidRPr="00393D5E">
        <w:t>centra, posílení</w:t>
      </w:r>
      <w:r w:rsidRPr="00393D5E">
        <w:t xml:space="preserve"> podpory energetického poradenství; </w:t>
      </w:r>
    </w:p>
    <w:p w14:paraId="69DED288" w14:textId="255AF7B6" w:rsidR="00CD6765" w:rsidRPr="00393D5E" w:rsidRDefault="30EB9AE2" w:rsidP="00CE14E6">
      <w:pPr>
        <w:pStyle w:val="Odstavecseseznamem"/>
        <w:numPr>
          <w:ilvl w:val="1"/>
          <w:numId w:val="7"/>
        </w:numPr>
        <w:spacing w:line="276" w:lineRule="auto"/>
        <w:ind w:left="426" w:hanging="426"/>
        <w:jc w:val="both"/>
        <w:rPr>
          <w:i/>
          <w:iCs/>
        </w:rPr>
      </w:pPr>
      <w:r w:rsidRPr="00393D5E">
        <w:rPr>
          <w:i/>
          <w:iCs/>
        </w:rPr>
        <w:t>zvýšení výrobní kapacity obnovitelných zdrojů energie a</w:t>
      </w:r>
      <w:r w:rsidR="0003053E">
        <w:rPr>
          <w:i/>
          <w:iCs/>
        </w:rPr>
        <w:t> </w:t>
      </w:r>
      <w:r w:rsidRPr="00393D5E">
        <w:rPr>
          <w:i/>
          <w:iCs/>
        </w:rPr>
        <w:t>posílení kapacity sítě pro připojování OZE</w:t>
      </w:r>
      <w:r w:rsidR="470AA41D" w:rsidRPr="00393D5E">
        <w:rPr>
          <w:i/>
          <w:iCs/>
        </w:rPr>
        <w:t xml:space="preserve"> - </w:t>
      </w:r>
      <w:r w:rsidRPr="00393D5E">
        <w:t>diskutováno zejména se zástupci průmyslu (Svaz průmyslu a</w:t>
      </w:r>
      <w:r w:rsidR="0003053E">
        <w:t> </w:t>
      </w:r>
      <w:r w:rsidRPr="00393D5E">
        <w:t>dopravy, Hospodářská komora, ČEZ,  distribuční společnosti), Energetickým regulačním úřadem, ČEPS, neziskovými organizacemi (např.</w:t>
      </w:r>
      <w:r w:rsidR="12E24CFB" w:rsidRPr="00393D5E">
        <w:t xml:space="preserve"> </w:t>
      </w:r>
      <w:r w:rsidRPr="00393D5E">
        <w:t>Komora obnovitelných zdrojů energie, České sdružení pro biomasu) -&gt; v</w:t>
      </w:r>
      <w:r w:rsidR="0003053E">
        <w:t> </w:t>
      </w:r>
      <w:r w:rsidRPr="00393D5E">
        <w:t>kapitole REPowerEU zohledněno v</w:t>
      </w:r>
      <w:r w:rsidR="0003053E">
        <w:t> </w:t>
      </w:r>
      <w:r w:rsidRPr="00393D5E">
        <w:t xml:space="preserve">podobě legislativních změn pro rozvoj obnovitelných zdrojů energie, včetně zjednodušení povolovacích řízení  (Lex OZE I, Lex OZE II, Jednotné environmentální stanovisko), návrhu pro zavedení </w:t>
      </w:r>
      <w:r w:rsidR="00E05D5A" w:rsidRPr="00393D5E">
        <w:t>akceleračních zón</w:t>
      </w:r>
      <w:r w:rsidRPr="00393D5E">
        <w:t>, posílení distribučních sítí, posílení výroby fotovoltaické energie ve firmách, záruční</w:t>
      </w:r>
      <w:r w:rsidR="00D70836">
        <w:t>ho</w:t>
      </w:r>
      <w:r w:rsidRPr="00393D5E">
        <w:t xml:space="preserve"> schéma</w:t>
      </w:r>
      <w:r w:rsidR="00D70836">
        <w:t>tu</w:t>
      </w:r>
      <w:r w:rsidRPr="00393D5E">
        <w:t xml:space="preserve"> pro zřízení Elektroenergetického datového centra, vodíkové strategie, přípravě dlouhodobých projektů na využívání a</w:t>
      </w:r>
      <w:r w:rsidR="0003053E">
        <w:t> </w:t>
      </w:r>
      <w:r w:rsidRPr="00393D5E">
        <w:t xml:space="preserve">skladování obnovitelné zdroje energie;    </w:t>
      </w:r>
    </w:p>
    <w:p w14:paraId="37CFE68E" w14:textId="1C990E91" w:rsidR="00CD6765" w:rsidRPr="00393D5E" w:rsidRDefault="00CD6765" w:rsidP="00CE14E6">
      <w:pPr>
        <w:pStyle w:val="Odstavecseseznamem"/>
        <w:numPr>
          <w:ilvl w:val="1"/>
          <w:numId w:val="7"/>
        </w:numPr>
        <w:spacing w:line="276" w:lineRule="auto"/>
        <w:ind w:left="426" w:hanging="426"/>
        <w:jc w:val="both"/>
        <w:rPr>
          <w:i/>
        </w:rPr>
      </w:pPr>
      <w:r w:rsidRPr="00393D5E">
        <w:rPr>
          <w:i/>
        </w:rPr>
        <w:t xml:space="preserve">zelené dovednosti – </w:t>
      </w:r>
      <w:r w:rsidRPr="00393D5E">
        <w:t>diskutováno se zástupci vysokých škol (např. Konference rektorů vysokých škol) a</w:t>
      </w:r>
      <w:r w:rsidR="0003053E">
        <w:t> </w:t>
      </w:r>
      <w:r w:rsidRPr="00393D5E">
        <w:t>průmyslu (</w:t>
      </w:r>
      <w:r w:rsidR="00947D5F" w:rsidRPr="00393D5E">
        <w:t>např.</w:t>
      </w:r>
      <w:r w:rsidRPr="00393D5E">
        <w:t xml:space="preserve"> Svaz průmyslu a</w:t>
      </w:r>
      <w:r w:rsidR="0003053E">
        <w:t> </w:t>
      </w:r>
      <w:r w:rsidRPr="00393D5E">
        <w:t>dopravy), dále v</w:t>
      </w:r>
      <w:r w:rsidR="0003053E">
        <w:t> </w:t>
      </w:r>
      <w:r w:rsidRPr="00393D5E">
        <w:t>Národním poradenském fóru pro kariérové poradenství -&gt; v</w:t>
      </w:r>
      <w:r w:rsidR="0003053E">
        <w:t> </w:t>
      </w:r>
      <w:r w:rsidRPr="00393D5E">
        <w:t>kapitole REPowerEU zohledněno v</w:t>
      </w:r>
      <w:r w:rsidR="0003053E">
        <w:t> </w:t>
      </w:r>
      <w:r w:rsidRPr="00393D5E">
        <w:t xml:space="preserve">podobě nových vysokoškolských programů zaměřených na zelené dovednosti; </w:t>
      </w:r>
    </w:p>
    <w:p w14:paraId="3DCCA04A" w14:textId="60C908AC" w:rsidR="00CD6765" w:rsidRPr="00393D5E" w:rsidRDefault="30EB9AE2" w:rsidP="00CE14E6">
      <w:pPr>
        <w:pStyle w:val="Odstavecseseznamem"/>
        <w:numPr>
          <w:ilvl w:val="1"/>
          <w:numId w:val="7"/>
        </w:numPr>
        <w:spacing w:line="276" w:lineRule="auto"/>
        <w:ind w:left="426" w:hanging="426"/>
        <w:jc w:val="both"/>
        <w:rPr>
          <w:i/>
          <w:iCs/>
        </w:rPr>
      </w:pPr>
      <w:r w:rsidRPr="00393D5E">
        <w:rPr>
          <w:i/>
          <w:iCs/>
        </w:rPr>
        <w:t>zajištění energetické bezpečnosti dodávek ropy a</w:t>
      </w:r>
      <w:r w:rsidR="0003053E">
        <w:rPr>
          <w:i/>
          <w:iCs/>
        </w:rPr>
        <w:t> </w:t>
      </w:r>
      <w:r w:rsidRPr="00393D5E">
        <w:rPr>
          <w:i/>
          <w:iCs/>
        </w:rPr>
        <w:t>plynu</w:t>
      </w:r>
      <w:r w:rsidR="0699EE39" w:rsidRPr="00393D5E">
        <w:rPr>
          <w:i/>
          <w:iCs/>
        </w:rPr>
        <w:t xml:space="preserve"> - </w:t>
      </w:r>
      <w:r w:rsidRPr="00393D5E">
        <w:t>diskutováno s</w:t>
      </w:r>
      <w:r w:rsidR="0003053E">
        <w:t> </w:t>
      </w:r>
      <w:r w:rsidRPr="00393D5E">
        <w:t>experty na energetickou bezpečnost a</w:t>
      </w:r>
      <w:r w:rsidR="0003053E">
        <w:t> </w:t>
      </w:r>
      <w:r w:rsidRPr="00393D5E">
        <w:t>přepravními společnostmi pro ropu, ropné produkty a</w:t>
      </w:r>
      <w:r w:rsidR="0003053E">
        <w:t> </w:t>
      </w:r>
      <w:r w:rsidRPr="00393D5E">
        <w:t xml:space="preserve">zemní plyn, širší mezinárodní konzultace se zahraničními partnery (Německo, Polsko), na širších souvislostech diskutováno na Výroční konferenci NPO dne 24. ledna 2023 nebo </w:t>
      </w:r>
      <w:r w:rsidR="198A1ACE" w:rsidRPr="00393D5E">
        <w:t>u</w:t>
      </w:r>
      <w:r w:rsidR="0003053E">
        <w:t> </w:t>
      </w:r>
      <w:r w:rsidRPr="00393D5E">
        <w:t>Kulaté</w:t>
      </w:r>
      <w:r w:rsidR="3ED83D06" w:rsidRPr="00393D5E">
        <w:t>ho</w:t>
      </w:r>
      <w:r w:rsidRPr="00393D5E">
        <w:t xml:space="preserve"> stolu Národního plánu reforem dne 14.</w:t>
      </w:r>
      <w:r w:rsidR="7013F2DF" w:rsidRPr="00393D5E">
        <w:t> </w:t>
      </w:r>
      <w:r w:rsidRPr="00393D5E">
        <w:t xml:space="preserve">března 2023 </w:t>
      </w:r>
      <w:r w:rsidR="4DF959D7" w:rsidRPr="00393D5E">
        <w:t>-&gt; konzultace vedly k</w:t>
      </w:r>
      <w:r w:rsidR="0003053E">
        <w:t> </w:t>
      </w:r>
      <w:r w:rsidR="4DF959D7" w:rsidRPr="00393D5E">
        <w:t>přípravě projektů pro diverzifikaci dodávek ropy a</w:t>
      </w:r>
      <w:r w:rsidR="0003053E">
        <w:t> </w:t>
      </w:r>
      <w:r w:rsidR="4DF959D7" w:rsidRPr="00393D5E">
        <w:t>zemního plynu (TAL a</w:t>
      </w:r>
      <w:r w:rsidR="0003053E">
        <w:t> </w:t>
      </w:r>
      <w:r w:rsidR="4DF959D7" w:rsidRPr="00393D5E">
        <w:t>STORK)</w:t>
      </w:r>
      <w:r w:rsidR="2102D1CA" w:rsidRPr="00393D5E">
        <w:t>, u</w:t>
      </w:r>
      <w:r w:rsidR="0003053E">
        <w:t> </w:t>
      </w:r>
      <w:r w:rsidR="2102D1CA" w:rsidRPr="00393D5E">
        <w:t>kterých nakonec vláda zvolila financování z</w:t>
      </w:r>
      <w:r w:rsidR="0003053E">
        <w:t> </w:t>
      </w:r>
      <w:r w:rsidR="2102D1CA" w:rsidRPr="00393D5E">
        <w:t>národních zdrojů.</w:t>
      </w:r>
      <w:r w:rsidRPr="00393D5E">
        <w:t xml:space="preserve"> </w:t>
      </w:r>
    </w:p>
    <w:p w14:paraId="6E2E1464" w14:textId="2E8A83AD" w:rsidR="00CD6765" w:rsidRPr="00393D5E" w:rsidRDefault="00CD6765" w:rsidP="00316A1B">
      <w:pPr>
        <w:spacing w:line="276" w:lineRule="auto"/>
        <w:jc w:val="both"/>
        <w:rPr>
          <w:rFonts w:ascii="Calibri" w:eastAsia="Times New Roman" w:hAnsi="Calibri" w:cs="Calibri"/>
          <w:i/>
          <w:color w:val="000000"/>
          <w:lang w:eastAsia="cs-CZ"/>
        </w:rPr>
      </w:pPr>
      <w:r w:rsidRPr="00393D5E">
        <w:rPr>
          <w:b/>
        </w:rPr>
        <w:t>Seznam konzultovaných partnerů</w:t>
      </w:r>
      <w:r w:rsidR="006D1181" w:rsidRPr="00393D5E">
        <w:rPr>
          <w:b/>
        </w:rPr>
        <w:t xml:space="preserve"> (členů Výboru NPO)</w:t>
      </w:r>
      <w:r w:rsidRPr="00393D5E">
        <w:rPr>
          <w:b/>
        </w:rPr>
        <w:t xml:space="preserve">:  </w:t>
      </w:r>
      <w:r w:rsidR="006D1181" w:rsidRPr="00393D5E">
        <w:rPr>
          <w:rFonts w:ascii="Calibri" w:eastAsia="Times New Roman" w:hAnsi="Calibri" w:cs="Calibri"/>
          <w:i/>
          <w:color w:val="000000"/>
          <w:lang w:eastAsia="cs-CZ"/>
        </w:rPr>
        <w:t>AMSP ČR-Asociace malých a</w:t>
      </w:r>
      <w:r w:rsidR="0003053E">
        <w:rPr>
          <w:rFonts w:ascii="Calibri" w:eastAsia="Times New Roman" w:hAnsi="Calibri" w:cs="Calibri"/>
          <w:i/>
          <w:color w:val="000000"/>
          <w:lang w:eastAsia="cs-CZ"/>
        </w:rPr>
        <w:t> </w:t>
      </w:r>
      <w:r w:rsidR="006D1181" w:rsidRPr="00393D5E">
        <w:rPr>
          <w:rFonts w:ascii="Calibri" w:eastAsia="Times New Roman" w:hAnsi="Calibri" w:cs="Calibri"/>
          <w:i/>
          <w:color w:val="000000"/>
          <w:lang w:eastAsia="cs-CZ"/>
        </w:rPr>
        <w:t>středních podniků a</w:t>
      </w:r>
      <w:r w:rsidR="0003053E">
        <w:rPr>
          <w:rFonts w:ascii="Calibri" w:eastAsia="Times New Roman" w:hAnsi="Calibri" w:cs="Calibri"/>
          <w:i/>
          <w:color w:val="000000"/>
          <w:lang w:eastAsia="cs-CZ"/>
        </w:rPr>
        <w:t> </w:t>
      </w:r>
      <w:r w:rsidR="006D1181" w:rsidRPr="00393D5E">
        <w:rPr>
          <w:rFonts w:ascii="Calibri" w:eastAsia="Times New Roman" w:hAnsi="Calibri" w:cs="Calibri"/>
          <w:i/>
          <w:color w:val="000000"/>
          <w:lang w:eastAsia="cs-CZ"/>
        </w:rPr>
        <w:t>živnostníků ČR, Hnutí Duha, Konfederace zaměstnavatelských a</w:t>
      </w:r>
      <w:r w:rsidR="0003053E">
        <w:rPr>
          <w:rFonts w:ascii="Calibri" w:eastAsia="Times New Roman" w:hAnsi="Calibri" w:cs="Calibri"/>
          <w:i/>
          <w:color w:val="000000"/>
          <w:lang w:eastAsia="cs-CZ"/>
        </w:rPr>
        <w:t> </w:t>
      </w:r>
      <w:r w:rsidR="006D1181" w:rsidRPr="00393D5E">
        <w:rPr>
          <w:rFonts w:ascii="Calibri" w:eastAsia="Times New Roman" w:hAnsi="Calibri" w:cs="Calibri"/>
          <w:i/>
          <w:color w:val="000000"/>
          <w:lang w:eastAsia="cs-CZ"/>
        </w:rPr>
        <w:t>podnikatel</w:t>
      </w:r>
      <w:r w:rsidR="00674CB7" w:rsidRPr="00393D5E">
        <w:rPr>
          <w:rFonts w:ascii="Calibri" w:eastAsia="Times New Roman" w:hAnsi="Calibri" w:cs="Calibri"/>
          <w:i/>
          <w:color w:val="000000"/>
          <w:lang w:eastAsia="cs-CZ"/>
        </w:rPr>
        <w:t>s</w:t>
      </w:r>
      <w:r w:rsidR="006D1181" w:rsidRPr="00393D5E">
        <w:rPr>
          <w:rFonts w:ascii="Calibri" w:eastAsia="Times New Roman" w:hAnsi="Calibri" w:cs="Calibri"/>
          <w:i/>
          <w:color w:val="000000"/>
          <w:lang w:eastAsia="cs-CZ"/>
        </w:rPr>
        <w:t xml:space="preserve">kých svazů, </w:t>
      </w:r>
      <w:r w:rsidR="006D1181" w:rsidRPr="00393D5E">
        <w:rPr>
          <w:i/>
        </w:rPr>
        <w:t>Svaz průmyslu a</w:t>
      </w:r>
      <w:r w:rsidR="0003053E">
        <w:rPr>
          <w:i/>
        </w:rPr>
        <w:t> </w:t>
      </w:r>
      <w:r w:rsidR="006D1181" w:rsidRPr="00393D5E">
        <w:rPr>
          <w:i/>
        </w:rPr>
        <w:t>dopravy, Svaz měst a</w:t>
      </w:r>
      <w:r w:rsidR="0003053E">
        <w:rPr>
          <w:i/>
        </w:rPr>
        <w:t> </w:t>
      </w:r>
      <w:r w:rsidR="006D1181" w:rsidRPr="00393D5E">
        <w:rPr>
          <w:i/>
        </w:rPr>
        <w:t xml:space="preserve">obcí, Asociace krajů, Hospodářská komora ČR, Asociace samostatných odborů, Sdružení místních samospráv, Českomoravská konfederace odborových svazů, </w:t>
      </w:r>
      <w:r w:rsidR="006D1181" w:rsidRPr="00393D5E">
        <w:rPr>
          <w:rFonts w:ascii="Calibri" w:eastAsia="Times New Roman" w:hAnsi="Calibri" w:cs="Calibri"/>
          <w:i/>
          <w:color w:val="000000"/>
          <w:lang w:eastAsia="cs-CZ"/>
        </w:rPr>
        <w:t xml:space="preserve">Asociace výzkumných organizací, Akademie věd ČR, Magistrát </w:t>
      </w:r>
      <w:r w:rsidR="00674CB7" w:rsidRPr="00393D5E">
        <w:rPr>
          <w:rFonts w:ascii="Calibri" w:eastAsia="Times New Roman" w:hAnsi="Calibri" w:cs="Calibri"/>
          <w:i/>
          <w:color w:val="000000"/>
          <w:lang w:eastAsia="cs-CZ"/>
        </w:rPr>
        <w:t>hlavního města Prahy, Agentura Rady vysokých škol, Otevřená společnost, NAKIT, Beleco, Transparency International, Rada pro výzkum, vývoj a</w:t>
      </w:r>
      <w:r w:rsidR="0003053E">
        <w:rPr>
          <w:rFonts w:ascii="Calibri" w:eastAsia="Times New Roman" w:hAnsi="Calibri" w:cs="Calibri"/>
          <w:i/>
          <w:color w:val="000000"/>
          <w:lang w:eastAsia="cs-CZ"/>
        </w:rPr>
        <w:t> </w:t>
      </w:r>
      <w:r w:rsidR="00674CB7" w:rsidRPr="00393D5E">
        <w:rPr>
          <w:rFonts w:ascii="Calibri" w:eastAsia="Times New Roman" w:hAnsi="Calibri" w:cs="Calibri"/>
          <w:i/>
          <w:color w:val="000000"/>
          <w:lang w:eastAsia="cs-CZ"/>
        </w:rPr>
        <w:t>inovace</w:t>
      </w:r>
    </w:p>
    <w:p w14:paraId="78D1348A" w14:textId="77777777" w:rsidR="006B5A17" w:rsidRPr="00393D5E" w:rsidRDefault="006B5A17" w:rsidP="00316A1B">
      <w:pPr>
        <w:spacing w:line="276" w:lineRule="auto"/>
        <w:jc w:val="both"/>
        <w:rPr>
          <w:rFonts w:ascii="Calibri" w:eastAsia="Times New Roman" w:hAnsi="Calibri" w:cs="Calibri"/>
          <w:i/>
          <w:color w:val="000000"/>
          <w:lang w:eastAsia="cs-CZ"/>
        </w:rPr>
      </w:pPr>
    </w:p>
    <w:p w14:paraId="0CD987D9" w14:textId="77777777" w:rsidR="005B5D90" w:rsidRPr="00393D5E" w:rsidRDefault="6D2BA0C2" w:rsidP="3E0D70EE">
      <w:pPr>
        <w:pStyle w:val="Nadpis4"/>
        <w:numPr>
          <w:ilvl w:val="3"/>
          <w:numId w:val="4"/>
        </w:numPr>
        <w:spacing w:line="276" w:lineRule="auto"/>
        <w:rPr>
          <w:sz w:val="22"/>
        </w:rPr>
      </w:pPr>
      <w:bookmarkStart w:id="277" w:name="_Toc151444348"/>
      <w:r w:rsidRPr="3E0D70EE">
        <w:rPr>
          <w:sz w:val="22"/>
        </w:rPr>
        <w:lastRenderedPageBreak/>
        <w:t>Digitální aspekt</w:t>
      </w:r>
      <w:bookmarkEnd w:id="277"/>
    </w:p>
    <w:p w14:paraId="1B5CE794" w14:textId="6E7B0573" w:rsidR="00FF0E7D" w:rsidRPr="00393D5E" w:rsidRDefault="7A590E91" w:rsidP="00316A1B">
      <w:pPr>
        <w:spacing w:line="276" w:lineRule="auto"/>
        <w:jc w:val="both"/>
      </w:pPr>
      <w:r>
        <w:t xml:space="preserve">Celkový plán </w:t>
      </w:r>
      <w:r w:rsidR="2BBA88CF">
        <w:t xml:space="preserve">obsahuje řadu digitálních opatření (celkem </w:t>
      </w:r>
      <w:r w:rsidR="1998B4B4">
        <w:t>2</w:t>
      </w:r>
      <w:r w:rsidR="695A13E8">
        <w:t>2</w:t>
      </w:r>
      <w:r w:rsidR="1FE486B6">
        <w:t>,</w:t>
      </w:r>
      <w:r w:rsidR="00AE169D">
        <w:t>8</w:t>
      </w:r>
      <w:r w:rsidR="2BBA88CF">
        <w:t xml:space="preserve"> % z</w:t>
      </w:r>
      <w:r w:rsidR="0003053E">
        <w:t> </w:t>
      </w:r>
      <w:r w:rsidR="2BBA88CF">
        <w:t>plánu)</w:t>
      </w:r>
      <w:r w:rsidR="3205C526">
        <w:t xml:space="preserve">, přičemž je nutné dosáhnout </w:t>
      </w:r>
      <w:r w:rsidR="2BBA88CF">
        <w:t>min. 20 % celkové alokace k</w:t>
      </w:r>
      <w:r w:rsidR="0003053E">
        <w:t> </w:t>
      </w:r>
      <w:r w:rsidR="2BBA88CF">
        <w:t>digitálním opatřením</w:t>
      </w:r>
      <w:r w:rsidR="0B5B47D3">
        <w:t xml:space="preserve">. </w:t>
      </w:r>
      <w:r w:rsidR="2BBA88CF">
        <w:t>Nejvíce digitálních opatření je v</w:t>
      </w:r>
      <w:r w:rsidR="0003053E">
        <w:t> </w:t>
      </w:r>
      <w:r w:rsidR="2BBA88CF">
        <w:t xml:space="preserve">pilíři Digitální transformace. Detailní informace jsou uvedeny </w:t>
      </w:r>
      <w:r w:rsidR="677DEBD3">
        <w:t>v</w:t>
      </w:r>
      <w:r w:rsidR="0003053E">
        <w:t> </w:t>
      </w:r>
      <w:r w:rsidR="677DEBD3">
        <w:t>příloze costing.</w:t>
      </w:r>
    </w:p>
    <w:p w14:paraId="562CD4C8" w14:textId="684ED028" w:rsidR="005B5D90" w:rsidRPr="00393D5E" w:rsidRDefault="6D2BA0C2" w:rsidP="18B68733">
      <w:pPr>
        <w:pStyle w:val="Nadpis4"/>
        <w:numPr>
          <w:ilvl w:val="3"/>
          <w:numId w:val="4"/>
        </w:numPr>
        <w:spacing w:line="276" w:lineRule="auto"/>
        <w:rPr>
          <w:sz w:val="22"/>
        </w:rPr>
      </w:pPr>
      <w:bookmarkStart w:id="278" w:name="_Toc151444349"/>
      <w:r w:rsidRPr="18B68733">
        <w:rPr>
          <w:sz w:val="22"/>
        </w:rPr>
        <w:t>Označování v</w:t>
      </w:r>
      <w:r w:rsidR="0003053E">
        <w:rPr>
          <w:sz w:val="22"/>
        </w:rPr>
        <w:t> </w:t>
      </w:r>
      <w:r w:rsidRPr="18B68733">
        <w:rPr>
          <w:sz w:val="22"/>
        </w:rPr>
        <w:t>oblasti klimatu a</w:t>
      </w:r>
      <w:r w:rsidR="0003053E">
        <w:rPr>
          <w:sz w:val="22"/>
        </w:rPr>
        <w:t> </w:t>
      </w:r>
      <w:r w:rsidRPr="18B68733">
        <w:rPr>
          <w:sz w:val="22"/>
        </w:rPr>
        <w:t>životního prostředí</w:t>
      </w:r>
      <w:bookmarkEnd w:id="278"/>
    </w:p>
    <w:p w14:paraId="10EBE975" w14:textId="6E00DEC8" w:rsidR="005B5D90" w:rsidRPr="00393D5E" w:rsidRDefault="677DEBD3" w:rsidP="00316A1B">
      <w:pPr>
        <w:spacing w:line="276" w:lineRule="auto"/>
        <w:jc w:val="both"/>
      </w:pPr>
      <w:r>
        <w:t>K</w:t>
      </w:r>
      <w:r w:rsidR="41DF244F">
        <w:t xml:space="preserve">limatický taging </w:t>
      </w:r>
      <w:r>
        <w:t xml:space="preserve">ve výši </w:t>
      </w:r>
      <w:r w:rsidR="1712DC53">
        <w:t xml:space="preserve">37 </w:t>
      </w:r>
      <w:r w:rsidR="41DF244F">
        <w:t>% platí pro celý plán i</w:t>
      </w:r>
      <w:r w:rsidR="0003053E">
        <w:t> </w:t>
      </w:r>
      <w:r w:rsidR="41DF244F">
        <w:t>pro kap</w:t>
      </w:r>
      <w:r w:rsidR="663EDCE2">
        <w:t>itolu</w:t>
      </w:r>
      <w:r w:rsidR="41DF244F">
        <w:t xml:space="preserve"> REPowerEU separátně</w:t>
      </w:r>
      <w:r>
        <w:t xml:space="preserve">. </w:t>
      </w:r>
      <w:r w:rsidR="2BBA88CF">
        <w:t>Plán splňuje minimální podmínku 37 %</w:t>
      </w:r>
      <w:r w:rsidR="663EDCE2">
        <w:t>, přičemž aktuální výše klimatického tagu je 4</w:t>
      </w:r>
      <w:r w:rsidR="49470BDD">
        <w:t>2,</w:t>
      </w:r>
      <w:r w:rsidR="00AE169D">
        <w:t>9</w:t>
      </w:r>
      <w:r w:rsidR="663EDCE2">
        <w:t xml:space="preserve"> %. </w:t>
      </w:r>
      <w:r>
        <w:t>Celkové shrnutí je uvedeno v</w:t>
      </w:r>
      <w:r w:rsidR="0003053E">
        <w:t> </w:t>
      </w:r>
      <w:r>
        <w:t>tabulce costingu.</w:t>
      </w:r>
    </w:p>
    <w:p w14:paraId="3BB35FED" w14:textId="77777777" w:rsidR="005B5D90" w:rsidRPr="00393D5E" w:rsidRDefault="6D2BA0C2" w:rsidP="3E0D70EE">
      <w:pPr>
        <w:pStyle w:val="Nadpis4"/>
        <w:numPr>
          <w:ilvl w:val="3"/>
          <w:numId w:val="4"/>
        </w:numPr>
        <w:spacing w:line="276" w:lineRule="auto"/>
        <w:rPr>
          <w:sz w:val="22"/>
        </w:rPr>
      </w:pPr>
      <w:bookmarkStart w:id="279" w:name="_Toc151444350"/>
      <w:r w:rsidRPr="3E0D70EE">
        <w:rPr>
          <w:sz w:val="22"/>
        </w:rPr>
        <w:t>Zásada „významně nepoškozovat“</w:t>
      </w:r>
      <w:bookmarkEnd w:id="279"/>
    </w:p>
    <w:p w14:paraId="20BB5D60" w14:textId="4A5483D1" w:rsidR="594F3165" w:rsidRPr="00393D5E" w:rsidRDefault="0C6EA951" w:rsidP="00316A1B">
      <w:pPr>
        <w:spacing w:line="276" w:lineRule="auto"/>
        <w:jc w:val="both"/>
        <w:rPr>
          <w:rFonts w:ascii="Calibri" w:eastAsia="Calibri" w:hAnsi="Calibri" w:cs="Calibri"/>
        </w:rPr>
      </w:pPr>
      <w:r w:rsidRPr="00393D5E">
        <w:rPr>
          <w:rFonts w:ascii="Calibri" w:eastAsia="Calibri" w:hAnsi="Calibri" w:cs="Calibri"/>
        </w:rPr>
        <w:t>Horizontální podmínkou RRF pro způsobilost opatření plánu je soulad se zásadou „významně nepoškozovat“ (</w:t>
      </w:r>
      <w:r w:rsidRPr="00393D5E">
        <w:rPr>
          <w:rFonts w:ascii="Calibri" w:eastAsia="Calibri" w:hAnsi="Calibri" w:cs="Calibri"/>
          <w:i/>
          <w:iCs/>
        </w:rPr>
        <w:t>do no significant harm</w:t>
      </w:r>
      <w:r w:rsidRPr="00393D5E">
        <w:rPr>
          <w:rFonts w:ascii="Calibri" w:eastAsia="Calibri" w:hAnsi="Calibri" w:cs="Calibri"/>
        </w:rPr>
        <w:t xml:space="preserve"> – DNSH) životní prostředí, resp. environmentální cíle Taxonomie EU. Opatření přispívající k</w:t>
      </w:r>
      <w:r w:rsidR="0003053E">
        <w:rPr>
          <w:rFonts w:ascii="Calibri" w:eastAsia="Calibri" w:hAnsi="Calibri" w:cs="Calibri"/>
        </w:rPr>
        <w:t> </w:t>
      </w:r>
      <w:r w:rsidRPr="00393D5E">
        <w:rPr>
          <w:rFonts w:ascii="Calibri" w:eastAsia="Calibri" w:hAnsi="Calibri" w:cs="Calibri"/>
        </w:rPr>
        <w:t>cílům RRF-REPowerEU z</w:t>
      </w:r>
      <w:r w:rsidR="0003053E">
        <w:rPr>
          <w:rFonts w:ascii="Calibri" w:eastAsia="Calibri" w:hAnsi="Calibri" w:cs="Calibri"/>
        </w:rPr>
        <w:t> </w:t>
      </w:r>
      <w:r w:rsidRPr="00393D5E">
        <w:rPr>
          <w:rFonts w:ascii="Calibri" w:eastAsia="Calibri" w:hAnsi="Calibri" w:cs="Calibri"/>
        </w:rPr>
        <w:t>již přijatých plánů pro oživení a</w:t>
      </w:r>
      <w:r w:rsidR="0003053E">
        <w:rPr>
          <w:rFonts w:ascii="Calibri" w:eastAsia="Calibri" w:hAnsi="Calibri" w:cs="Calibri"/>
        </w:rPr>
        <w:t> </w:t>
      </w:r>
      <w:r w:rsidRPr="00393D5E">
        <w:rPr>
          <w:rFonts w:ascii="Calibri" w:eastAsia="Calibri" w:hAnsi="Calibri" w:cs="Calibri"/>
        </w:rPr>
        <w:t>odolnost byla už kladně posouzena co do souladu se zásadou DNSH. Úprava posouzení rozšířených/navýšených částí takových opatření proto není nutná, ledaže povaha jejich změn opatření může ovlivnit posouzení DNSH. U</w:t>
      </w:r>
      <w:r w:rsidR="0003053E">
        <w:rPr>
          <w:rFonts w:ascii="Calibri" w:eastAsia="Calibri" w:hAnsi="Calibri" w:cs="Calibri"/>
        </w:rPr>
        <w:t> </w:t>
      </w:r>
      <w:r w:rsidRPr="00393D5E">
        <w:rPr>
          <w:rFonts w:ascii="Calibri" w:eastAsia="Calibri" w:hAnsi="Calibri" w:cs="Calibri"/>
        </w:rPr>
        <w:t>nových opatření je ale třeba předložit informace o</w:t>
      </w:r>
      <w:r w:rsidR="0003053E">
        <w:rPr>
          <w:rFonts w:ascii="Calibri" w:eastAsia="Calibri" w:hAnsi="Calibri" w:cs="Calibri"/>
        </w:rPr>
        <w:t> </w:t>
      </w:r>
      <w:r w:rsidRPr="00393D5E">
        <w:rPr>
          <w:rFonts w:ascii="Calibri" w:eastAsia="Calibri" w:hAnsi="Calibri" w:cs="Calibri"/>
        </w:rPr>
        <w:t>jejich souladu se zásadou DNSH.</w:t>
      </w:r>
    </w:p>
    <w:p w14:paraId="028DD336" w14:textId="7D172878" w:rsidR="6162F0CC" w:rsidRPr="00393D5E" w:rsidRDefault="38A2C64E" w:rsidP="009E6ABB">
      <w:pPr>
        <w:spacing w:line="276" w:lineRule="auto"/>
        <w:jc w:val="both"/>
        <w:rPr>
          <w:rFonts w:ascii="Calibri" w:eastAsia="Calibri" w:hAnsi="Calibri" w:cs="Calibri"/>
        </w:rPr>
      </w:pPr>
      <w:r w:rsidRPr="00393D5E">
        <w:rPr>
          <w:rFonts w:ascii="Calibri" w:eastAsia="Calibri" w:hAnsi="Calibri" w:cs="Calibri"/>
        </w:rPr>
        <w:t>Všechna opatření předložen</w:t>
      </w:r>
      <w:r w:rsidR="2F8C8A56" w:rsidRPr="00393D5E">
        <w:rPr>
          <w:rFonts w:ascii="Calibri" w:eastAsia="Calibri" w:hAnsi="Calibri" w:cs="Calibri"/>
        </w:rPr>
        <w:t>á v</w:t>
      </w:r>
      <w:r w:rsidR="0003053E">
        <w:rPr>
          <w:rFonts w:ascii="Calibri" w:eastAsia="Calibri" w:hAnsi="Calibri" w:cs="Calibri"/>
        </w:rPr>
        <w:t> </w:t>
      </w:r>
      <w:r w:rsidRPr="00393D5E">
        <w:rPr>
          <w:rFonts w:ascii="Calibri" w:eastAsia="Calibri" w:hAnsi="Calibri" w:cs="Calibri"/>
        </w:rPr>
        <w:t xml:space="preserve">rozšiřující aktualizaci plánu plní zásadu významně </w:t>
      </w:r>
      <w:r w:rsidR="4864F5A4" w:rsidRPr="00393D5E">
        <w:rPr>
          <w:rFonts w:ascii="Calibri" w:eastAsia="Calibri" w:hAnsi="Calibri" w:cs="Calibri"/>
        </w:rPr>
        <w:t>nepoškozovat – podrobněji</w:t>
      </w:r>
      <w:r w:rsidRPr="00393D5E">
        <w:rPr>
          <w:rFonts w:ascii="Calibri" w:eastAsia="Calibri" w:hAnsi="Calibri" w:cs="Calibri"/>
        </w:rPr>
        <w:t xml:space="preserve"> viz tabulka </w:t>
      </w:r>
      <w:r w:rsidRPr="00393D5E">
        <w:rPr>
          <w:rFonts w:ascii="Calibri" w:eastAsia="Calibri" w:hAnsi="Calibri" w:cs="Calibri"/>
          <w:i/>
          <w:iCs/>
        </w:rPr>
        <w:t xml:space="preserve">ex-ante </w:t>
      </w:r>
      <w:r w:rsidRPr="00393D5E">
        <w:rPr>
          <w:rFonts w:ascii="Calibri" w:eastAsia="Calibri" w:hAnsi="Calibri" w:cs="Calibri"/>
        </w:rPr>
        <w:t>sebehodnocení</w:t>
      </w:r>
      <w:r w:rsidRPr="00393D5E">
        <w:rPr>
          <w:rFonts w:ascii="Calibri" w:eastAsia="Calibri" w:hAnsi="Calibri" w:cs="Calibri"/>
          <w:i/>
          <w:iCs/>
        </w:rPr>
        <w:t xml:space="preserve"> </w:t>
      </w:r>
      <w:r w:rsidRPr="00393D5E">
        <w:rPr>
          <w:rFonts w:ascii="Calibri" w:eastAsia="Calibri" w:hAnsi="Calibri" w:cs="Calibri"/>
        </w:rPr>
        <w:t>souladu s</w:t>
      </w:r>
      <w:r w:rsidR="0003053E">
        <w:rPr>
          <w:rFonts w:ascii="Calibri" w:eastAsia="Calibri" w:hAnsi="Calibri" w:cs="Calibri"/>
        </w:rPr>
        <w:t> </w:t>
      </w:r>
      <w:r w:rsidRPr="00393D5E">
        <w:rPr>
          <w:rFonts w:ascii="Calibri" w:eastAsia="Calibri" w:hAnsi="Calibri" w:cs="Calibri"/>
        </w:rPr>
        <w:t>DNSH v</w:t>
      </w:r>
      <w:r w:rsidR="0003053E">
        <w:rPr>
          <w:rFonts w:ascii="Calibri" w:eastAsia="Calibri" w:hAnsi="Calibri" w:cs="Calibri"/>
        </w:rPr>
        <w:t> </w:t>
      </w:r>
      <w:r w:rsidRPr="00393D5E">
        <w:rPr>
          <w:rFonts w:ascii="Calibri" w:eastAsia="Calibri" w:hAnsi="Calibri" w:cs="Calibri"/>
        </w:rPr>
        <w:t xml:space="preserve">příloze ve formátu Excel na listu </w:t>
      </w:r>
      <w:r w:rsidRPr="00393D5E">
        <w:rPr>
          <w:rFonts w:ascii="Calibri" w:eastAsia="Calibri" w:hAnsi="Calibri" w:cs="Calibri"/>
          <w:i/>
          <w:iCs/>
        </w:rPr>
        <w:t>T2 Green Digital and Costs</w:t>
      </w:r>
      <w:r w:rsidRPr="00393D5E">
        <w:rPr>
          <w:rFonts w:ascii="Calibri" w:eastAsia="Calibri" w:hAnsi="Calibri" w:cs="Calibri"/>
        </w:rPr>
        <w:t xml:space="preserve">. </w:t>
      </w:r>
    </w:p>
    <w:p w14:paraId="39E1C839" w14:textId="021C1AE0" w:rsidR="62A00635" w:rsidRPr="00393D5E" w:rsidRDefault="62A00635" w:rsidP="00316A1B">
      <w:pPr>
        <w:spacing w:line="276" w:lineRule="auto"/>
        <w:jc w:val="both"/>
      </w:pPr>
    </w:p>
    <w:p w14:paraId="4F98EBE8" w14:textId="376A8F2A" w:rsidR="005B5D90" w:rsidRPr="00393D5E" w:rsidRDefault="6D2BA0C2" w:rsidP="3E0D70EE">
      <w:pPr>
        <w:pStyle w:val="Nadpis4"/>
        <w:numPr>
          <w:ilvl w:val="3"/>
          <w:numId w:val="4"/>
        </w:numPr>
        <w:spacing w:line="276" w:lineRule="auto"/>
        <w:rPr>
          <w:sz w:val="22"/>
        </w:rPr>
      </w:pPr>
      <w:bookmarkStart w:id="280" w:name="_Toc151444351"/>
      <w:r w:rsidRPr="3E0D70EE">
        <w:rPr>
          <w:sz w:val="22"/>
        </w:rPr>
        <w:t>Financování a</w:t>
      </w:r>
      <w:r w:rsidR="0003053E">
        <w:rPr>
          <w:sz w:val="22"/>
        </w:rPr>
        <w:t> </w:t>
      </w:r>
      <w:r w:rsidRPr="3E0D70EE">
        <w:rPr>
          <w:sz w:val="22"/>
        </w:rPr>
        <w:t>náklady</w:t>
      </w:r>
      <w:bookmarkEnd w:id="280"/>
    </w:p>
    <w:p w14:paraId="32182F80" w14:textId="255364B1" w:rsidR="00AA1B70" w:rsidRPr="00393D5E" w:rsidRDefault="007B0933" w:rsidP="713C50A1">
      <w:pPr>
        <w:spacing w:line="276" w:lineRule="auto"/>
        <w:jc w:val="both"/>
      </w:pPr>
      <w:r w:rsidRPr="00393D5E">
        <w:t>U</w:t>
      </w:r>
      <w:bookmarkEnd w:id="265"/>
      <w:r w:rsidRPr="00393D5E">
        <w:t>vedeno v</w:t>
      </w:r>
      <w:r w:rsidR="0003053E">
        <w:t> </w:t>
      </w:r>
      <w:r w:rsidRPr="00393D5E">
        <w:t>příloze costing.</w:t>
      </w:r>
    </w:p>
    <w:p w14:paraId="6A3DD2E2" w14:textId="77777777" w:rsidR="00AA1B70" w:rsidRPr="00393D5E" w:rsidRDefault="00AA1B70" w:rsidP="713C50A1">
      <w:pPr>
        <w:spacing w:line="276" w:lineRule="auto"/>
        <w:jc w:val="both"/>
      </w:pPr>
    </w:p>
    <w:p w14:paraId="546D5C0A" w14:textId="4747904A" w:rsidR="00CE7EC7" w:rsidRPr="00393D5E" w:rsidRDefault="6023217B" w:rsidP="3E0D70EE">
      <w:pPr>
        <w:pStyle w:val="Nadpis4"/>
        <w:rPr>
          <w:rFonts w:eastAsia="Calibri"/>
        </w:rPr>
      </w:pPr>
      <w:bookmarkStart w:id="281" w:name="_Toc151444352"/>
      <w:r w:rsidRPr="3E0D70EE">
        <w:rPr>
          <w:rFonts w:eastAsia="Calibri"/>
        </w:rPr>
        <w:t>Žádost o</w:t>
      </w:r>
      <w:r w:rsidR="0003053E">
        <w:rPr>
          <w:rFonts w:eastAsia="Calibri"/>
        </w:rPr>
        <w:t> </w:t>
      </w:r>
      <w:r w:rsidRPr="3E0D70EE">
        <w:rPr>
          <w:rFonts w:eastAsia="Calibri"/>
        </w:rPr>
        <w:t>předfinancování</w:t>
      </w:r>
      <w:bookmarkEnd w:id="281"/>
    </w:p>
    <w:p w14:paraId="76A27A7A" w14:textId="7020E850" w:rsidR="00CE7EC7" w:rsidRPr="00393D5E" w:rsidRDefault="79C89C06" w:rsidP="713C50A1">
      <w:pPr>
        <w:spacing w:after="0" w:line="276" w:lineRule="auto"/>
      </w:pPr>
      <w:r w:rsidRPr="00393D5E">
        <w:rPr>
          <w:rFonts w:ascii="Calibri" w:eastAsia="Calibri" w:hAnsi="Calibri" w:cs="Calibri"/>
        </w:rPr>
        <w:t xml:space="preserve"> </w:t>
      </w:r>
    </w:p>
    <w:p w14:paraId="7B9C0913" w14:textId="0F429986" w:rsidR="00CE7EC7" w:rsidRPr="00393D5E" w:rsidRDefault="79C89C06" w:rsidP="00AA1B70">
      <w:pPr>
        <w:spacing w:after="0" w:line="276" w:lineRule="auto"/>
        <w:jc w:val="both"/>
      </w:pPr>
      <w:r w:rsidRPr="00393D5E">
        <w:rPr>
          <w:rFonts w:ascii="Calibri" w:eastAsia="Calibri" w:hAnsi="Calibri" w:cs="Calibri"/>
        </w:rPr>
        <w:t>V návaznosti na přijetí prováděcího rozhodnutí Rady uvedeného v</w:t>
      </w:r>
      <w:r w:rsidR="0003053E">
        <w:rPr>
          <w:rFonts w:ascii="Calibri" w:eastAsia="Calibri" w:hAnsi="Calibri" w:cs="Calibri"/>
        </w:rPr>
        <w:t> </w:t>
      </w:r>
      <w:r w:rsidRPr="00393D5E">
        <w:rPr>
          <w:rFonts w:ascii="Calibri" w:eastAsia="Calibri" w:hAnsi="Calibri" w:cs="Calibri"/>
        </w:rPr>
        <w:t>čl. 20 odst. 1 nařízení (EU) 2021/241 bychom rádi požádali o</w:t>
      </w:r>
      <w:r w:rsidR="0003053E">
        <w:rPr>
          <w:rFonts w:ascii="Calibri" w:eastAsia="Calibri" w:hAnsi="Calibri" w:cs="Calibri"/>
        </w:rPr>
        <w:t> </w:t>
      </w:r>
      <w:r w:rsidRPr="00393D5E">
        <w:rPr>
          <w:rFonts w:ascii="Calibri" w:eastAsia="Calibri" w:hAnsi="Calibri" w:cs="Calibri"/>
        </w:rPr>
        <w:t>dvě předběžné platby v</w:t>
      </w:r>
      <w:r w:rsidR="0003053E">
        <w:rPr>
          <w:rFonts w:ascii="Calibri" w:eastAsia="Calibri" w:hAnsi="Calibri" w:cs="Calibri"/>
        </w:rPr>
        <w:t> </w:t>
      </w:r>
      <w:r w:rsidRPr="00393D5E">
        <w:rPr>
          <w:rFonts w:ascii="Calibri" w:eastAsia="Calibri" w:hAnsi="Calibri" w:cs="Calibri"/>
        </w:rPr>
        <w:t>celkové výši 20 % dodatečných finančních prostředků požadovaných na financování kapitoly REPowerEU. Jsme si vědomi toho, že v</w:t>
      </w:r>
      <w:r w:rsidR="0003053E">
        <w:rPr>
          <w:rFonts w:ascii="Calibri" w:eastAsia="Calibri" w:hAnsi="Calibri" w:cs="Calibri"/>
        </w:rPr>
        <w:t> </w:t>
      </w:r>
      <w:r w:rsidRPr="00393D5E">
        <w:rPr>
          <w:rFonts w:ascii="Calibri" w:eastAsia="Calibri" w:hAnsi="Calibri" w:cs="Calibri"/>
        </w:rPr>
        <w:t>rámci možností a</w:t>
      </w:r>
      <w:r w:rsidR="0003053E">
        <w:rPr>
          <w:rFonts w:ascii="Calibri" w:eastAsia="Calibri" w:hAnsi="Calibri" w:cs="Calibri"/>
        </w:rPr>
        <w:t> </w:t>
      </w:r>
      <w:r w:rsidRPr="00393D5E">
        <w:rPr>
          <w:rFonts w:ascii="Calibri" w:eastAsia="Calibri" w:hAnsi="Calibri" w:cs="Calibri"/>
        </w:rPr>
        <w:t>v závislosti na dostupných zdrojích bude předběžné financování vyplaceno ve dvou platbách: první platba předběžného financování do dvou měsíců od uzavření individuálního právního závazku uvedeného v</w:t>
      </w:r>
      <w:r w:rsidR="0003053E">
        <w:rPr>
          <w:rFonts w:ascii="Calibri" w:eastAsia="Calibri" w:hAnsi="Calibri" w:cs="Calibri"/>
        </w:rPr>
        <w:t> </w:t>
      </w:r>
      <w:r w:rsidRPr="00393D5E">
        <w:rPr>
          <w:rFonts w:ascii="Calibri" w:eastAsia="Calibri" w:hAnsi="Calibri" w:cs="Calibri"/>
        </w:rPr>
        <w:t>článku 23 nařízení 2021/241 Komisí a</w:t>
      </w:r>
      <w:r w:rsidR="0003053E">
        <w:rPr>
          <w:rFonts w:ascii="Calibri" w:eastAsia="Calibri" w:hAnsi="Calibri" w:cs="Calibri"/>
        </w:rPr>
        <w:t> </w:t>
      </w:r>
      <w:r w:rsidRPr="00393D5E">
        <w:rPr>
          <w:rFonts w:ascii="Calibri" w:eastAsia="Calibri" w:hAnsi="Calibri" w:cs="Calibri"/>
        </w:rPr>
        <w:t>Českou republikou a</w:t>
      </w:r>
      <w:r w:rsidR="0003053E">
        <w:rPr>
          <w:rFonts w:ascii="Calibri" w:eastAsia="Calibri" w:hAnsi="Calibri" w:cs="Calibri"/>
        </w:rPr>
        <w:t> </w:t>
      </w:r>
      <w:r w:rsidRPr="00393D5E">
        <w:rPr>
          <w:rFonts w:ascii="Calibri" w:eastAsia="Calibri" w:hAnsi="Calibri" w:cs="Calibri"/>
        </w:rPr>
        <w:t>druhá platba předběžného financování do dvanácti měsíců od vstupu v</w:t>
      </w:r>
      <w:r w:rsidR="0003053E">
        <w:rPr>
          <w:rFonts w:ascii="Calibri" w:eastAsia="Calibri" w:hAnsi="Calibri" w:cs="Calibri"/>
        </w:rPr>
        <w:t> </w:t>
      </w:r>
      <w:r w:rsidRPr="00393D5E">
        <w:rPr>
          <w:rFonts w:ascii="Calibri" w:eastAsia="Calibri" w:hAnsi="Calibri" w:cs="Calibri"/>
        </w:rPr>
        <w:t>platnost prováděcího rozhodnutí Rady, kterým se schvaluje posouzení plánu obnovy a</w:t>
      </w:r>
      <w:r w:rsidR="0003053E">
        <w:rPr>
          <w:rFonts w:ascii="Calibri" w:eastAsia="Calibri" w:hAnsi="Calibri" w:cs="Calibri"/>
        </w:rPr>
        <w:t> </w:t>
      </w:r>
      <w:r w:rsidRPr="00393D5E">
        <w:rPr>
          <w:rFonts w:ascii="Calibri" w:eastAsia="Calibri" w:hAnsi="Calibri" w:cs="Calibri"/>
        </w:rPr>
        <w:t>zvýšení odolnosti včetně kapitoly REPowerEU."</w:t>
      </w:r>
    </w:p>
    <w:p w14:paraId="7204EAB3" w14:textId="25409E68" w:rsidR="00CE7EC7" w:rsidRPr="00393D5E" w:rsidRDefault="00CE7EC7" w:rsidP="713C50A1">
      <w:pPr>
        <w:spacing w:line="276" w:lineRule="auto"/>
      </w:pPr>
    </w:p>
    <w:p w14:paraId="4D685AC0" w14:textId="22B3A4A4" w:rsidR="00B834B4" w:rsidRPr="00393D5E" w:rsidRDefault="07F06DE2" w:rsidP="00316A1B">
      <w:pPr>
        <w:pStyle w:val="Nadpis2"/>
        <w:spacing w:line="276" w:lineRule="auto"/>
      </w:pPr>
      <w:bookmarkStart w:id="282" w:name="_Toc151444353"/>
      <w:r>
        <w:t xml:space="preserve">Pozměněné </w:t>
      </w:r>
      <w:r w:rsidR="3C6945D8">
        <w:t>milníky a</w:t>
      </w:r>
      <w:r w:rsidR="0003053E">
        <w:t> </w:t>
      </w:r>
      <w:r w:rsidR="3C6945D8">
        <w:t>cíle</w:t>
      </w:r>
      <w:bookmarkEnd w:id="282"/>
    </w:p>
    <w:p w14:paraId="614BE88B" w14:textId="471E7055" w:rsidR="00E05D5A" w:rsidRPr="00393D5E" w:rsidRDefault="00E05D5A" w:rsidP="00E05D5A">
      <w:pPr>
        <w:pStyle w:val="Odrka"/>
        <w:numPr>
          <w:ilvl w:val="0"/>
          <w:numId w:val="0"/>
        </w:numPr>
        <w:spacing w:line="276" w:lineRule="auto"/>
        <w:rPr>
          <w:rFonts w:eastAsiaTheme="minorEastAsia"/>
          <w:sz w:val="22"/>
        </w:rPr>
      </w:pPr>
      <w:r w:rsidRPr="00393D5E">
        <w:rPr>
          <w:rFonts w:ascii="Calibri" w:eastAsia="Calibri" w:hAnsi="Calibri" w:cs="Calibri"/>
          <w:sz w:val="22"/>
        </w:rPr>
        <w:t>Upravované investice a</w:t>
      </w:r>
      <w:r w:rsidR="0003053E">
        <w:rPr>
          <w:rFonts w:ascii="Calibri" w:eastAsia="Calibri" w:hAnsi="Calibri" w:cs="Calibri"/>
          <w:sz w:val="22"/>
        </w:rPr>
        <w:t> </w:t>
      </w:r>
      <w:r w:rsidRPr="00393D5E">
        <w:rPr>
          <w:rFonts w:ascii="Calibri" w:eastAsia="Calibri" w:hAnsi="Calibri" w:cs="Calibri"/>
          <w:sz w:val="22"/>
        </w:rPr>
        <w:t>reformy jsou v</w:t>
      </w:r>
      <w:r w:rsidR="0003053E">
        <w:rPr>
          <w:rFonts w:ascii="Calibri" w:eastAsia="Calibri" w:hAnsi="Calibri" w:cs="Calibri"/>
          <w:sz w:val="22"/>
        </w:rPr>
        <w:t> </w:t>
      </w:r>
      <w:r w:rsidRPr="00393D5E">
        <w:rPr>
          <w:rFonts w:ascii="Calibri" w:eastAsia="Calibri" w:hAnsi="Calibri" w:cs="Calibri"/>
          <w:sz w:val="22"/>
        </w:rPr>
        <w:t>samostatné příloze k</w:t>
      </w:r>
      <w:r w:rsidR="0003053E">
        <w:rPr>
          <w:rFonts w:ascii="Calibri" w:eastAsia="Calibri" w:hAnsi="Calibri" w:cs="Calibri"/>
          <w:sz w:val="22"/>
        </w:rPr>
        <w:t> </w:t>
      </w:r>
      <w:r w:rsidRPr="00393D5E">
        <w:rPr>
          <w:rFonts w:ascii="Calibri" w:eastAsia="Calibri" w:hAnsi="Calibri" w:cs="Calibri"/>
          <w:sz w:val="22"/>
        </w:rPr>
        <w:t>materiálu. Indikativní výčet je uveden níže.</w:t>
      </w:r>
    </w:p>
    <w:p w14:paraId="0EF36C44" w14:textId="77777777" w:rsidR="00E05D5A" w:rsidRPr="00393D5E" w:rsidRDefault="00E05D5A" w:rsidP="00E05D5A"/>
    <w:p w14:paraId="472C4951" w14:textId="1E0BE101" w:rsidR="007B0933" w:rsidRPr="00393D5E" w:rsidRDefault="5949047C" w:rsidP="001E0204">
      <w:pPr>
        <w:spacing w:line="276" w:lineRule="auto"/>
        <w:jc w:val="both"/>
        <w:rPr>
          <w:rFonts w:asciiTheme="majorHAnsi" w:eastAsiaTheme="majorEastAsia" w:hAnsiTheme="majorHAnsi" w:cstheme="majorBidi"/>
          <w:b/>
          <w:color w:val="000000" w:themeColor="text1"/>
          <w:sz w:val="26"/>
          <w:szCs w:val="26"/>
        </w:rPr>
      </w:pPr>
      <w:r w:rsidRPr="00393D5E">
        <w:rPr>
          <w:rFonts w:asciiTheme="majorHAnsi" w:eastAsiaTheme="majorEastAsia" w:hAnsiTheme="majorHAnsi" w:cstheme="majorBidi"/>
          <w:b/>
          <w:color w:val="000000" w:themeColor="text1"/>
          <w:sz w:val="26"/>
          <w:szCs w:val="26"/>
        </w:rPr>
        <w:t xml:space="preserve">Komponenta 1.1 </w:t>
      </w:r>
      <w:r w:rsidR="00FD4D5A" w:rsidRPr="00393D5E">
        <w:rPr>
          <w:rFonts w:asciiTheme="majorHAnsi" w:eastAsiaTheme="majorEastAsia" w:hAnsiTheme="majorHAnsi" w:cstheme="majorBidi"/>
          <w:b/>
          <w:color w:val="000000" w:themeColor="text1"/>
          <w:sz w:val="26"/>
          <w:szCs w:val="26"/>
        </w:rPr>
        <w:t>DIGITÁLNÍ SLUŽBY OBČANŮM A</w:t>
      </w:r>
      <w:r w:rsidR="0003053E">
        <w:rPr>
          <w:rFonts w:asciiTheme="majorHAnsi" w:eastAsiaTheme="majorEastAsia" w:hAnsiTheme="majorHAnsi" w:cstheme="majorBidi"/>
          <w:b/>
          <w:color w:val="000000" w:themeColor="text1"/>
          <w:sz w:val="26"/>
          <w:szCs w:val="26"/>
        </w:rPr>
        <w:t> </w:t>
      </w:r>
      <w:r w:rsidR="00FD4D5A" w:rsidRPr="00393D5E">
        <w:rPr>
          <w:rFonts w:asciiTheme="majorHAnsi" w:eastAsiaTheme="majorEastAsia" w:hAnsiTheme="majorHAnsi" w:cstheme="majorBidi"/>
          <w:b/>
          <w:color w:val="000000" w:themeColor="text1"/>
          <w:sz w:val="26"/>
          <w:szCs w:val="26"/>
        </w:rPr>
        <w:t>FIRMÁM</w:t>
      </w:r>
    </w:p>
    <w:p w14:paraId="62736CC0" w14:textId="7B14FD95" w:rsidR="007B0933" w:rsidRPr="00393D5E" w:rsidRDefault="5949047C" w:rsidP="001E0204">
      <w:pPr>
        <w:spacing w:line="276" w:lineRule="auto"/>
        <w:ind w:firstLine="708"/>
        <w:jc w:val="both"/>
      </w:pPr>
      <w:r w:rsidRPr="00393D5E">
        <w:lastRenderedPageBreak/>
        <w:t xml:space="preserve">Reforma 2 </w:t>
      </w:r>
      <w:r w:rsidR="00781D1F">
        <w:rPr>
          <w:b/>
          <w:bCs/>
        </w:rPr>
        <w:t>E</w:t>
      </w:r>
      <w:r w:rsidRPr="00393D5E">
        <w:rPr>
          <w:b/>
          <w:bCs/>
        </w:rPr>
        <w:t>lektronické zdravotnictví</w:t>
      </w:r>
    </w:p>
    <w:p w14:paraId="330460A5" w14:textId="12A1063A" w:rsidR="007B0933" w:rsidRPr="00393D5E" w:rsidRDefault="5949047C" w:rsidP="001E0204">
      <w:pPr>
        <w:spacing w:line="276" w:lineRule="auto"/>
        <w:ind w:left="708" w:firstLine="708"/>
        <w:jc w:val="both"/>
      </w:pPr>
      <w:r w:rsidRPr="00393D5E">
        <w:t>Cíl 5 Dokončení projektů vedoucích k</w:t>
      </w:r>
      <w:r w:rsidR="0003053E">
        <w:t> </w:t>
      </w:r>
      <w:r w:rsidRPr="00393D5E">
        <w:t>zavedení nových digitálních zdravotnických služeb</w:t>
      </w:r>
    </w:p>
    <w:p w14:paraId="7DFAD0ED" w14:textId="1E9FE83C" w:rsidR="00781D1F" w:rsidRDefault="5949047C" w:rsidP="00781D1F">
      <w:pPr>
        <w:spacing w:line="276" w:lineRule="auto"/>
        <w:ind w:left="1416"/>
        <w:jc w:val="both"/>
      </w:pPr>
      <w:r w:rsidRPr="00393D5E">
        <w:t xml:space="preserve">Cíl 6 </w:t>
      </w:r>
      <w:r w:rsidR="00781D1F">
        <w:t>Připojení poskytovatelů zdravotní péče k</w:t>
      </w:r>
      <w:r w:rsidR="0003053E">
        <w:t> </w:t>
      </w:r>
      <w:r w:rsidR="00781D1F">
        <w:t xml:space="preserve">systému interoperability podle pravidel interoperability pro služby elektronického zdravotnictví </w:t>
      </w:r>
    </w:p>
    <w:p w14:paraId="7243903C" w14:textId="200F173A" w:rsidR="007B0933" w:rsidRPr="00393D5E" w:rsidRDefault="5949047C" w:rsidP="00781D1F">
      <w:pPr>
        <w:spacing w:line="276" w:lineRule="auto"/>
        <w:ind w:firstLine="708"/>
        <w:jc w:val="both"/>
      </w:pPr>
      <w:r w:rsidRPr="00393D5E">
        <w:t xml:space="preserve">Investice 1 </w:t>
      </w:r>
      <w:r w:rsidRPr="00393D5E">
        <w:rPr>
          <w:b/>
          <w:bCs/>
        </w:rPr>
        <w:t>Digitální služby pro koncové uživatele</w:t>
      </w:r>
    </w:p>
    <w:p w14:paraId="78D2901E" w14:textId="1F4AC81F" w:rsidR="007B0933" w:rsidRPr="00393D5E" w:rsidRDefault="5949047C" w:rsidP="001E0204">
      <w:pPr>
        <w:spacing w:line="276" w:lineRule="auto"/>
        <w:ind w:left="708" w:firstLine="708"/>
        <w:jc w:val="both"/>
      </w:pPr>
      <w:r w:rsidRPr="00393D5E">
        <w:t xml:space="preserve">Milník 7 </w:t>
      </w:r>
      <w:r w:rsidR="00781D1F">
        <w:t>Úp</w:t>
      </w:r>
      <w:r w:rsidRPr="00393D5E">
        <w:t>lné fungování jednotné digitální brány</w:t>
      </w:r>
    </w:p>
    <w:p w14:paraId="2D9D0764" w14:textId="77777777" w:rsidR="00781D1F" w:rsidRDefault="5949047C" w:rsidP="001E0204">
      <w:pPr>
        <w:spacing w:line="276" w:lineRule="auto"/>
        <w:ind w:left="708" w:firstLine="708"/>
        <w:jc w:val="both"/>
      </w:pPr>
      <w:r w:rsidRPr="00393D5E">
        <w:t xml:space="preserve">Milník 8 </w:t>
      </w:r>
      <w:r w:rsidR="00781D1F">
        <w:t>Dokončení nových informačních systémů</w:t>
      </w:r>
    </w:p>
    <w:p w14:paraId="395D7CAE" w14:textId="0CC9C0DD" w:rsidR="00781D1F" w:rsidRDefault="5949047C" w:rsidP="00781D1F">
      <w:pPr>
        <w:spacing w:line="276" w:lineRule="auto"/>
        <w:ind w:left="1416"/>
        <w:jc w:val="both"/>
      </w:pPr>
      <w:r w:rsidRPr="00393D5E">
        <w:t xml:space="preserve">Cíl 10 </w:t>
      </w:r>
      <w:r w:rsidR="00781D1F">
        <w:t>Dokončení vyjmenovaných projektů, které povede k</w:t>
      </w:r>
      <w:r w:rsidR="0003053E">
        <w:t> </w:t>
      </w:r>
      <w:r w:rsidR="00781D1F">
        <w:t>zvýšení počtu vyplněných formulářů zaslaných fyzickými a</w:t>
      </w:r>
      <w:r w:rsidR="0003053E">
        <w:t> </w:t>
      </w:r>
      <w:r w:rsidR="00781D1F">
        <w:t>právnickými osobami státním orgánům digitálně (prostřednictvím portálů nebo digitálních schránek)</w:t>
      </w:r>
    </w:p>
    <w:p w14:paraId="28AE1245" w14:textId="0791D9C5" w:rsidR="007B0933" w:rsidRPr="00393D5E" w:rsidRDefault="007B0933" w:rsidP="00781D1F">
      <w:pPr>
        <w:spacing w:line="276" w:lineRule="auto"/>
        <w:ind w:firstLine="708"/>
        <w:jc w:val="both"/>
        <w:rPr>
          <w:b/>
          <w:bCs/>
        </w:rPr>
      </w:pPr>
      <w:r w:rsidRPr="00393D5E">
        <w:t xml:space="preserve">Investice 2 </w:t>
      </w:r>
      <w:r w:rsidRPr="00393D5E">
        <w:rPr>
          <w:b/>
          <w:bCs/>
        </w:rPr>
        <w:t>Rozvoj otevřených dat a</w:t>
      </w:r>
      <w:r w:rsidR="0003053E">
        <w:rPr>
          <w:b/>
          <w:bCs/>
        </w:rPr>
        <w:t> </w:t>
      </w:r>
      <w:r w:rsidRPr="00393D5E">
        <w:rPr>
          <w:b/>
          <w:bCs/>
        </w:rPr>
        <w:t>veřejného datového fondu</w:t>
      </w:r>
    </w:p>
    <w:p w14:paraId="38FFA2EE" w14:textId="45317B0C" w:rsidR="007B0933" w:rsidRPr="00393D5E" w:rsidRDefault="007B0933" w:rsidP="001E0204">
      <w:pPr>
        <w:spacing w:line="276" w:lineRule="auto"/>
        <w:ind w:firstLine="708"/>
        <w:jc w:val="both"/>
      </w:pPr>
      <w:r w:rsidRPr="00393D5E">
        <w:tab/>
        <w:t>Milník 11 Rozšíření Národního katalogu otevřených dat s</w:t>
      </w:r>
      <w:r w:rsidR="0003053E">
        <w:t> </w:t>
      </w:r>
      <w:r w:rsidRPr="00393D5E">
        <w:t>pokročilými funkcionalitami</w:t>
      </w:r>
    </w:p>
    <w:p w14:paraId="49FDF989" w14:textId="39F0427A" w:rsidR="00781D1F" w:rsidRDefault="5949047C" w:rsidP="001E0204">
      <w:pPr>
        <w:spacing w:line="276" w:lineRule="auto"/>
        <w:ind w:left="1418"/>
        <w:jc w:val="both"/>
      </w:pPr>
      <w:r w:rsidRPr="00393D5E">
        <w:t xml:space="preserve">Cíl 12 </w:t>
      </w:r>
      <w:r w:rsidR="00781D1F">
        <w:t>Zvýšení počtu subjektů zveřejňujících otevřená data ve veřejné správě, kteří otevřená data zveřejňují v</w:t>
      </w:r>
      <w:r w:rsidR="0003053E">
        <w:t> </w:t>
      </w:r>
      <w:r w:rsidR="00781D1F">
        <w:t xml:space="preserve">Národním katalogu otevřených dat. </w:t>
      </w:r>
    </w:p>
    <w:p w14:paraId="14252F41" w14:textId="31F9F4FD" w:rsidR="00A4615F" w:rsidRPr="00393D5E" w:rsidRDefault="5949047C" w:rsidP="00781D1F">
      <w:pPr>
        <w:spacing w:line="276" w:lineRule="auto"/>
        <w:ind w:left="1418"/>
        <w:jc w:val="both"/>
      </w:pPr>
      <w:r w:rsidRPr="00393D5E">
        <w:t xml:space="preserve">NOVÝ </w:t>
      </w:r>
      <w:r w:rsidR="001E0204">
        <w:t>C</w:t>
      </w:r>
      <w:r w:rsidRPr="00393D5E">
        <w:t xml:space="preserve">íl </w:t>
      </w:r>
      <w:r w:rsidR="00B546CB">
        <w:t>245</w:t>
      </w:r>
      <w:r w:rsidRPr="00393D5E">
        <w:t xml:space="preserve"> </w:t>
      </w:r>
      <w:r w:rsidR="00781D1F">
        <w:t>Zvýšení počtu nových nebo vylepšených souborů otevřených dat zveřejněných v</w:t>
      </w:r>
      <w:r w:rsidR="0003053E">
        <w:t> </w:t>
      </w:r>
      <w:r w:rsidR="00781D1F">
        <w:t>Národním katalogu otevřených dat</w:t>
      </w:r>
    </w:p>
    <w:p w14:paraId="3FD44C41" w14:textId="77777777" w:rsidR="007B0933" w:rsidRPr="00393D5E" w:rsidRDefault="007B0933" w:rsidP="001E0204">
      <w:pPr>
        <w:spacing w:line="276" w:lineRule="auto"/>
        <w:jc w:val="both"/>
        <w:rPr>
          <w:rFonts w:asciiTheme="majorHAnsi" w:hAnsiTheme="majorHAnsi" w:cstheme="majorHAnsi"/>
          <w:b/>
          <w:sz w:val="26"/>
          <w:szCs w:val="26"/>
        </w:rPr>
      </w:pPr>
      <w:r w:rsidRPr="00393D5E">
        <w:rPr>
          <w:rFonts w:asciiTheme="majorHAnsi" w:hAnsiTheme="majorHAnsi" w:cstheme="majorHAnsi"/>
          <w:b/>
          <w:sz w:val="26"/>
          <w:szCs w:val="26"/>
        </w:rPr>
        <w:t xml:space="preserve">Komponenta 1.2 </w:t>
      </w:r>
      <w:r w:rsidRPr="00393D5E">
        <w:rPr>
          <w:rFonts w:asciiTheme="majorHAnsi" w:hAnsiTheme="majorHAnsi" w:cstheme="majorHAnsi"/>
          <w:b/>
          <w:bCs/>
          <w:smallCaps/>
          <w:sz w:val="26"/>
          <w:szCs w:val="26"/>
        </w:rPr>
        <w:t>DIGITÁLNÍ SYSTÉMY VEŘEJNÉ SPRÁVY</w:t>
      </w:r>
    </w:p>
    <w:p w14:paraId="4E7E2EF5" w14:textId="5644B5B1" w:rsidR="007B0933" w:rsidRPr="00393D5E" w:rsidRDefault="007B0933" w:rsidP="001E0204">
      <w:pPr>
        <w:spacing w:line="276" w:lineRule="auto"/>
        <w:jc w:val="both"/>
        <w:rPr>
          <w:b/>
        </w:rPr>
      </w:pPr>
      <w:r w:rsidRPr="00393D5E">
        <w:tab/>
        <w:t xml:space="preserve">Investice 1 </w:t>
      </w:r>
      <w:r w:rsidRPr="00393D5E">
        <w:rPr>
          <w:b/>
        </w:rPr>
        <w:t>Budování a</w:t>
      </w:r>
      <w:r w:rsidR="0003053E">
        <w:rPr>
          <w:b/>
        </w:rPr>
        <w:t> </w:t>
      </w:r>
      <w:r w:rsidRPr="00393D5E">
        <w:rPr>
          <w:b/>
        </w:rPr>
        <w:t>rozvoj jednotlivých informačních systémů</w:t>
      </w:r>
    </w:p>
    <w:p w14:paraId="7796EE5C" w14:textId="37C010B2" w:rsidR="00B546CB" w:rsidRDefault="00B546CB" w:rsidP="001E0204">
      <w:pPr>
        <w:spacing w:line="276" w:lineRule="auto"/>
        <w:ind w:left="1416"/>
        <w:jc w:val="both"/>
      </w:pPr>
      <w:r>
        <w:t>Milník 15 Zřízení a</w:t>
      </w:r>
      <w:r w:rsidR="0003053E">
        <w:t> </w:t>
      </w:r>
      <w:r>
        <w:t xml:space="preserve">fungování systémů </w:t>
      </w:r>
      <w:proofErr w:type="spellStart"/>
      <w:r>
        <w:t>CzechPOINT</w:t>
      </w:r>
      <w:proofErr w:type="spellEnd"/>
      <w:r>
        <w:t xml:space="preserve"> 2.0 a</w:t>
      </w:r>
      <w:r w:rsidR="0003053E">
        <w:t> </w:t>
      </w:r>
      <w:r>
        <w:t>CAAIS</w:t>
      </w:r>
    </w:p>
    <w:p w14:paraId="079D20C7" w14:textId="5694FA97" w:rsidR="00781D1F" w:rsidRDefault="5949047C" w:rsidP="001E0204">
      <w:pPr>
        <w:spacing w:line="276" w:lineRule="auto"/>
        <w:ind w:left="1416"/>
        <w:jc w:val="both"/>
      </w:pPr>
      <w:r w:rsidRPr="00393D5E">
        <w:t xml:space="preserve">Milník 16 </w:t>
      </w:r>
      <w:r w:rsidR="00781D1F">
        <w:t>Úspěšná modernizace a</w:t>
      </w:r>
      <w:r w:rsidR="0003053E">
        <w:t> </w:t>
      </w:r>
      <w:r w:rsidR="00781D1F">
        <w:t>provoz elektronického systému pro pasy (ePasy) a</w:t>
      </w:r>
      <w:r w:rsidR="0003053E">
        <w:t> </w:t>
      </w:r>
      <w:r w:rsidR="00781D1F">
        <w:t xml:space="preserve">vízového systému (EVC2) </w:t>
      </w:r>
    </w:p>
    <w:p w14:paraId="4F581A56" w14:textId="38637DD4" w:rsidR="00781D1F" w:rsidRDefault="5949047C" w:rsidP="001E0204">
      <w:pPr>
        <w:spacing w:line="276" w:lineRule="auto"/>
        <w:ind w:left="1416"/>
        <w:jc w:val="both"/>
      </w:pPr>
      <w:r w:rsidRPr="00393D5E">
        <w:t xml:space="preserve">Milník 17 </w:t>
      </w:r>
      <w:r w:rsidR="00781D1F">
        <w:t>Úspěšné fungování integrovaného cizineckého systému snižujícího administrativní zátěž cizinců i</w:t>
      </w:r>
      <w:r w:rsidR="0003053E">
        <w:t> </w:t>
      </w:r>
      <w:r w:rsidR="00781D1F">
        <w:t>státních zaměstnanců</w:t>
      </w:r>
    </w:p>
    <w:p w14:paraId="08033203" w14:textId="1599559B" w:rsidR="00B546CB" w:rsidRPr="00393D5E" w:rsidRDefault="00B546CB" w:rsidP="001E0204">
      <w:pPr>
        <w:spacing w:line="276" w:lineRule="auto"/>
        <w:ind w:left="1416"/>
        <w:jc w:val="both"/>
      </w:pPr>
      <w:r>
        <w:t>Milník 19 Úspěšné fungování nových nebo zmodernizovaných informačních systémů veřejné správy (dokončení projektů zadaných v</w:t>
      </w:r>
      <w:r w:rsidR="0003053E">
        <w:t> </w:t>
      </w:r>
      <w:r>
        <w:t>rámci cíle č. 18)</w:t>
      </w:r>
    </w:p>
    <w:p w14:paraId="76DD8242" w14:textId="07B02916" w:rsidR="007B0933" w:rsidRPr="00393D5E" w:rsidRDefault="007B0933" w:rsidP="001E0204">
      <w:pPr>
        <w:spacing w:line="276" w:lineRule="auto"/>
        <w:jc w:val="both"/>
        <w:rPr>
          <w:b/>
        </w:rPr>
      </w:pPr>
      <w:r w:rsidRPr="00393D5E">
        <w:tab/>
        <w:t xml:space="preserve">Investice 2 </w:t>
      </w:r>
      <w:r w:rsidRPr="00393D5E">
        <w:rPr>
          <w:b/>
        </w:rPr>
        <w:t>Budování a</w:t>
      </w:r>
      <w:r w:rsidR="0003053E">
        <w:rPr>
          <w:b/>
        </w:rPr>
        <w:t> </w:t>
      </w:r>
      <w:r w:rsidRPr="00393D5E">
        <w:rPr>
          <w:b/>
        </w:rPr>
        <w:t>rozvoj základních registrů a</w:t>
      </w:r>
      <w:r w:rsidR="0003053E">
        <w:rPr>
          <w:b/>
        </w:rPr>
        <w:t> </w:t>
      </w:r>
      <w:r w:rsidRPr="00393D5E">
        <w:rPr>
          <w:b/>
        </w:rPr>
        <w:t>zázemí pro eGovernment</w:t>
      </w:r>
    </w:p>
    <w:p w14:paraId="2ADB1903" w14:textId="31E7C567" w:rsidR="007B0933" w:rsidRPr="00393D5E" w:rsidRDefault="5949047C" w:rsidP="001E0204">
      <w:pPr>
        <w:spacing w:line="276" w:lineRule="auto"/>
        <w:ind w:left="1418"/>
        <w:jc w:val="both"/>
      </w:pPr>
      <w:r w:rsidRPr="00393D5E">
        <w:t>Milník 21 Dokončení vyjmenovaných projektů, které zvýší přenosovou kapacitu centrálního</w:t>
      </w:r>
      <w:r w:rsidR="545C66D7" w:rsidRPr="00393D5E">
        <w:t xml:space="preserve"> </w:t>
      </w:r>
      <w:r w:rsidRPr="00393D5E">
        <w:t>místa služeb a</w:t>
      </w:r>
      <w:r w:rsidR="0003053E">
        <w:t> </w:t>
      </w:r>
      <w:r w:rsidRPr="00393D5E">
        <w:t>zajistí modernizaci a</w:t>
      </w:r>
      <w:r w:rsidR="0003053E">
        <w:t> </w:t>
      </w:r>
      <w:r w:rsidRPr="00393D5E">
        <w:t>optimalizaci komunikační a</w:t>
      </w:r>
      <w:r w:rsidR="0003053E">
        <w:t> </w:t>
      </w:r>
      <w:r w:rsidRPr="00393D5E">
        <w:t>informační infrastruktury a</w:t>
      </w:r>
      <w:r w:rsidR="0003053E">
        <w:t> </w:t>
      </w:r>
      <w:r w:rsidRPr="00393D5E">
        <w:t>informačních</w:t>
      </w:r>
      <w:r w:rsidR="0D4FA888" w:rsidRPr="00393D5E">
        <w:t xml:space="preserve"> </w:t>
      </w:r>
      <w:r w:rsidRPr="00393D5E">
        <w:t>systémů</w:t>
      </w:r>
    </w:p>
    <w:p w14:paraId="325B4575" w14:textId="7F6B3570" w:rsidR="007B0933" w:rsidRDefault="007B0933" w:rsidP="001E0204">
      <w:pPr>
        <w:spacing w:line="276" w:lineRule="auto"/>
        <w:jc w:val="both"/>
        <w:rPr>
          <w:b/>
        </w:rPr>
      </w:pPr>
      <w:r w:rsidRPr="00393D5E">
        <w:tab/>
        <w:t xml:space="preserve">Investice 3 </w:t>
      </w:r>
      <w:r w:rsidRPr="00393D5E">
        <w:rPr>
          <w:b/>
        </w:rPr>
        <w:t>Kybernetická bezpečnost</w:t>
      </w:r>
    </w:p>
    <w:p w14:paraId="4EEDF79B" w14:textId="0FCDB821" w:rsidR="00B546CB" w:rsidRPr="00393D5E" w:rsidRDefault="00B546CB" w:rsidP="00B546CB">
      <w:pPr>
        <w:spacing w:line="276" w:lineRule="auto"/>
        <w:ind w:left="1416"/>
        <w:jc w:val="both"/>
      </w:pPr>
      <w:r>
        <w:t>Milník 23 Modernizace bezpečnostního informačního systému a</w:t>
      </w:r>
      <w:r w:rsidR="0003053E">
        <w:t> </w:t>
      </w:r>
      <w:r>
        <w:t>systému správy událostí policie ČR a</w:t>
      </w:r>
      <w:r w:rsidR="0003053E">
        <w:t> </w:t>
      </w:r>
      <w:r>
        <w:t>rozšíření jeho využití na ochranu kybernetické bezpečnosti dalších pěti informačních systémů</w:t>
      </w:r>
    </w:p>
    <w:p w14:paraId="72846A46" w14:textId="1A79B4A9" w:rsidR="007B0933" w:rsidRDefault="007B0933" w:rsidP="001E0204">
      <w:pPr>
        <w:spacing w:line="276" w:lineRule="auto"/>
        <w:ind w:left="1418"/>
        <w:jc w:val="both"/>
      </w:pPr>
      <w:r w:rsidRPr="00393D5E">
        <w:lastRenderedPageBreak/>
        <w:t>Cíl 24 Počet informačních systémů, jejichž kybernetická bezpečnost byla posílena v</w:t>
      </w:r>
      <w:r w:rsidR="0003053E">
        <w:t> </w:t>
      </w:r>
      <w:r w:rsidRPr="00393D5E">
        <w:t>souladu se zákonem č. 181/2014 Sb., o</w:t>
      </w:r>
      <w:r w:rsidR="0003053E">
        <w:t> </w:t>
      </w:r>
      <w:r w:rsidRPr="00393D5E">
        <w:t>kybernetické bezpečnosti</w:t>
      </w:r>
    </w:p>
    <w:p w14:paraId="2D7B569C" w14:textId="0D2C54FD" w:rsidR="00B546CB" w:rsidRDefault="00B546CB" w:rsidP="00781D1F">
      <w:pPr>
        <w:spacing w:line="276" w:lineRule="auto"/>
        <w:ind w:left="705"/>
        <w:jc w:val="both"/>
      </w:pPr>
      <w:r>
        <w:t xml:space="preserve">Reforma 1 </w:t>
      </w:r>
      <w:r w:rsidR="00781D1F">
        <w:t>Kompetenční centra pro podporu eGovernmentu, kybernetické bezpečnosti a</w:t>
      </w:r>
      <w:r w:rsidR="0003053E">
        <w:t> </w:t>
      </w:r>
      <w:r w:rsidR="00781D1F">
        <w:t>elektronického zdravotnictví</w:t>
      </w:r>
    </w:p>
    <w:p w14:paraId="430C8FDC" w14:textId="2FC3B688" w:rsidR="00B546CB" w:rsidRDefault="00B546CB" w:rsidP="001E0204">
      <w:pPr>
        <w:spacing w:line="276" w:lineRule="auto"/>
        <w:ind w:left="1418"/>
        <w:jc w:val="both"/>
      </w:pPr>
      <w:r>
        <w:t>Milník 25 Úplné fungování tří kompetenčních center, která poskytují konzultační služby orgánům provádějícím změny v</w:t>
      </w:r>
      <w:r w:rsidR="0003053E">
        <w:t> </w:t>
      </w:r>
      <w:r>
        <w:t>informačních systémech a</w:t>
      </w:r>
      <w:r w:rsidR="0003053E">
        <w:t> </w:t>
      </w:r>
      <w:r>
        <w:t>v ekosystému eGovernmentu, jež jsou plánovány v</w:t>
      </w:r>
      <w:r w:rsidR="0003053E">
        <w:t> </w:t>
      </w:r>
      <w:r>
        <w:t xml:space="preserve">rámci složky č. </w:t>
      </w:r>
      <w:proofErr w:type="gramStart"/>
      <w:r>
        <w:t>1.1  a</w:t>
      </w:r>
      <w:proofErr w:type="gramEnd"/>
      <w:r w:rsidR="0003053E">
        <w:t> </w:t>
      </w:r>
      <w:r>
        <w:t>č. 1.2</w:t>
      </w:r>
    </w:p>
    <w:p w14:paraId="35F8916E" w14:textId="4252EBD6" w:rsidR="00781D1F" w:rsidRPr="00393D5E" w:rsidRDefault="00781D1F" w:rsidP="001E0204">
      <w:pPr>
        <w:spacing w:line="276" w:lineRule="auto"/>
        <w:ind w:left="1418"/>
        <w:jc w:val="both"/>
      </w:pPr>
      <w:r>
        <w:t>Cíl 26 Konzultace a</w:t>
      </w:r>
      <w:r w:rsidR="0003053E">
        <w:t> </w:t>
      </w:r>
      <w:r>
        <w:t>pomoc týkající se témat souvisejících s</w:t>
      </w:r>
      <w:r w:rsidR="0003053E">
        <w:t> </w:t>
      </w:r>
      <w:r>
        <w:t>opatřeními v</w:t>
      </w:r>
      <w:r w:rsidR="0003053E">
        <w:t> </w:t>
      </w:r>
      <w:r>
        <w:t>rámci složky č. 1.1 a</w:t>
      </w:r>
      <w:r w:rsidR="0003053E">
        <w:t> </w:t>
      </w:r>
      <w:r>
        <w:t>č. 1.2 v</w:t>
      </w:r>
      <w:r w:rsidR="0003053E">
        <w:t> </w:t>
      </w:r>
      <w:r>
        <w:t>rozsahu nejméně pěti člověkodnů, které budou poskytnuty konkrétním orgánům veřejné správy</w:t>
      </w:r>
    </w:p>
    <w:p w14:paraId="5CEDF84A" w14:textId="4326FC5D" w:rsidR="007B0933" w:rsidRPr="00393D5E" w:rsidRDefault="007B0933" w:rsidP="001E0204">
      <w:pPr>
        <w:spacing w:line="276" w:lineRule="auto"/>
        <w:jc w:val="both"/>
        <w:rPr>
          <w:b/>
        </w:rPr>
      </w:pPr>
      <w:r w:rsidRPr="00393D5E">
        <w:tab/>
        <w:t>Reforma 2</w:t>
      </w:r>
      <w:r w:rsidRPr="00393D5E">
        <w:rPr>
          <w:b/>
        </w:rPr>
        <w:t xml:space="preserve"> Budování a</w:t>
      </w:r>
      <w:r w:rsidR="0003053E">
        <w:rPr>
          <w:b/>
        </w:rPr>
        <w:t> </w:t>
      </w:r>
      <w:r w:rsidRPr="00393D5E">
        <w:rPr>
          <w:b/>
        </w:rPr>
        <w:t>rozvoj systémů podporujících digitalizaci zdravotnictví</w:t>
      </w:r>
    </w:p>
    <w:p w14:paraId="305B0846" w14:textId="3AACA708" w:rsidR="007B0933" w:rsidRPr="00393D5E" w:rsidRDefault="007B0933" w:rsidP="001E0204">
      <w:pPr>
        <w:spacing w:line="276" w:lineRule="auto"/>
        <w:ind w:left="1418"/>
        <w:jc w:val="both"/>
      </w:pPr>
      <w:r w:rsidRPr="00393D5E">
        <w:t>Milník 28 Dokončení projektů pro konsolidaci a</w:t>
      </w:r>
      <w:r w:rsidR="0003053E">
        <w:t> </w:t>
      </w:r>
      <w:r w:rsidRPr="00393D5E">
        <w:t>rozvoj infrastruktury elektronického zdravotnictví s</w:t>
      </w:r>
      <w:r w:rsidR="0003053E">
        <w:t> </w:t>
      </w:r>
      <w:r w:rsidRPr="00393D5E">
        <w:t>cílem vytvořit propojené databáze a</w:t>
      </w:r>
      <w:r w:rsidR="0003053E">
        <w:t> </w:t>
      </w:r>
      <w:r w:rsidRPr="00393D5E">
        <w:t>zlepšit digitální zdravotnické služby</w:t>
      </w:r>
    </w:p>
    <w:p w14:paraId="23AE9F55" w14:textId="77777777" w:rsidR="00CE7EC7" w:rsidRPr="00393D5E" w:rsidRDefault="00CE7EC7" w:rsidP="00316A1B">
      <w:pPr>
        <w:spacing w:line="276" w:lineRule="auto"/>
        <w:jc w:val="both"/>
        <w:rPr>
          <w:b/>
        </w:rPr>
      </w:pPr>
    </w:p>
    <w:p w14:paraId="2F5933A8" w14:textId="11D140C6" w:rsidR="007B0933" w:rsidRPr="00393D5E" w:rsidRDefault="007B0933" w:rsidP="00316A1B">
      <w:pPr>
        <w:spacing w:line="276" w:lineRule="auto"/>
        <w:jc w:val="both"/>
        <w:rPr>
          <w:rFonts w:asciiTheme="majorHAnsi" w:hAnsiTheme="majorHAnsi" w:cstheme="majorHAnsi"/>
          <w:b/>
          <w:sz w:val="26"/>
          <w:szCs w:val="26"/>
        </w:rPr>
      </w:pPr>
      <w:r w:rsidRPr="00393D5E">
        <w:rPr>
          <w:rFonts w:asciiTheme="majorHAnsi" w:hAnsiTheme="majorHAnsi" w:cstheme="majorHAnsi"/>
          <w:b/>
          <w:sz w:val="26"/>
          <w:szCs w:val="26"/>
        </w:rPr>
        <w:t xml:space="preserve">Komponenta 1.3 </w:t>
      </w:r>
      <w:r w:rsidRPr="00393D5E">
        <w:rPr>
          <w:rFonts w:asciiTheme="majorHAnsi" w:hAnsiTheme="majorHAnsi" w:cstheme="majorHAnsi"/>
          <w:b/>
          <w:bCs/>
          <w:smallCaps/>
          <w:sz w:val="26"/>
          <w:szCs w:val="26"/>
        </w:rPr>
        <w:t>DIGITÁLNÍ VYSOKOKAPACITNÍ SÍTĚ</w:t>
      </w:r>
    </w:p>
    <w:p w14:paraId="0C1F7FCA" w14:textId="141A4DF2" w:rsidR="007B0933" w:rsidRPr="00393D5E" w:rsidRDefault="007B0933" w:rsidP="00316A1B">
      <w:pPr>
        <w:spacing w:line="276" w:lineRule="auto"/>
        <w:jc w:val="both"/>
        <w:rPr>
          <w:b/>
        </w:rPr>
      </w:pPr>
      <w:r w:rsidRPr="00393D5E">
        <w:tab/>
        <w:t>Reforma 1</w:t>
      </w:r>
      <w:r w:rsidRPr="00393D5E">
        <w:rPr>
          <w:b/>
        </w:rPr>
        <w:t xml:space="preserve"> Zlepšení prostředí pro budování sítí elektronických komunikací</w:t>
      </w:r>
    </w:p>
    <w:p w14:paraId="502CFE7A" w14:textId="5AC203AE" w:rsidR="00497548" w:rsidRPr="00393D5E" w:rsidRDefault="00497548" w:rsidP="00497548">
      <w:pPr>
        <w:spacing w:line="276" w:lineRule="auto"/>
        <w:ind w:left="1416"/>
        <w:jc w:val="both"/>
        <w:rPr>
          <w:color w:val="000000" w:themeColor="text1"/>
        </w:rPr>
      </w:pPr>
      <w:r w:rsidRPr="00393D5E">
        <w:rPr>
          <w:color w:val="000000" w:themeColor="text1"/>
        </w:rPr>
        <w:t>Milník 32 Vstup v</w:t>
      </w:r>
      <w:r w:rsidR="0003053E">
        <w:rPr>
          <w:color w:val="000000" w:themeColor="text1"/>
        </w:rPr>
        <w:t> </w:t>
      </w:r>
      <w:r w:rsidRPr="00393D5E">
        <w:rPr>
          <w:color w:val="000000" w:themeColor="text1"/>
        </w:rPr>
        <w:t>platnost opatření připravených Ministerstvem průmyslu a</w:t>
      </w:r>
      <w:r w:rsidR="0003053E">
        <w:rPr>
          <w:color w:val="000000" w:themeColor="text1"/>
        </w:rPr>
        <w:t> </w:t>
      </w:r>
      <w:r w:rsidRPr="00393D5E">
        <w:rPr>
          <w:color w:val="000000" w:themeColor="text1"/>
        </w:rPr>
        <w:t>obchodu, jejichž cílem je vytvořit databázi plánů investičních projektů a</w:t>
      </w:r>
      <w:r w:rsidR="0003053E">
        <w:rPr>
          <w:color w:val="000000" w:themeColor="text1"/>
        </w:rPr>
        <w:t> </w:t>
      </w:r>
      <w:r w:rsidRPr="00393D5E">
        <w:rPr>
          <w:color w:val="000000" w:themeColor="text1"/>
        </w:rPr>
        <w:t>zvýšit počet měření kvality sítě</w:t>
      </w:r>
    </w:p>
    <w:p w14:paraId="306352D6" w14:textId="77777777" w:rsidR="007B0933" w:rsidRPr="00393D5E" w:rsidRDefault="007B0933" w:rsidP="00316A1B">
      <w:pPr>
        <w:spacing w:line="276" w:lineRule="auto"/>
        <w:jc w:val="both"/>
      </w:pPr>
      <w:r w:rsidRPr="00393D5E">
        <w:tab/>
        <w:t xml:space="preserve">Investice 1 </w:t>
      </w:r>
      <w:r w:rsidRPr="00393D5E">
        <w:rPr>
          <w:b/>
        </w:rPr>
        <w:t>Vybudování vysokokapacitního připojení</w:t>
      </w:r>
    </w:p>
    <w:p w14:paraId="6D6DB162" w14:textId="39BDCDDE" w:rsidR="007B0933" w:rsidRPr="00393D5E" w:rsidRDefault="007B0933" w:rsidP="00316A1B">
      <w:pPr>
        <w:spacing w:line="276" w:lineRule="auto"/>
        <w:jc w:val="both"/>
      </w:pPr>
      <w:r w:rsidRPr="00393D5E">
        <w:tab/>
      </w:r>
      <w:r w:rsidRPr="00393D5E">
        <w:tab/>
        <w:t>Cíl 39 Dokončení adresních míst připojených k</w:t>
      </w:r>
      <w:r w:rsidR="0003053E">
        <w:t> </w:t>
      </w:r>
      <w:r w:rsidRPr="00393D5E">
        <w:t>síti s</w:t>
      </w:r>
      <w:r w:rsidR="0003053E">
        <w:t> </w:t>
      </w:r>
      <w:r w:rsidRPr="00393D5E">
        <w:t>velmi vysokou kapacitou (VHCN)</w:t>
      </w:r>
    </w:p>
    <w:p w14:paraId="243AEE0C" w14:textId="393B300B" w:rsidR="007B0933" w:rsidRPr="00393D5E" w:rsidRDefault="007B0933" w:rsidP="00316A1B">
      <w:pPr>
        <w:spacing w:line="276" w:lineRule="auto"/>
        <w:jc w:val="both"/>
        <w:rPr>
          <w:b/>
        </w:rPr>
      </w:pPr>
      <w:r w:rsidRPr="00393D5E">
        <w:tab/>
        <w:t xml:space="preserve">Investice 2 </w:t>
      </w:r>
      <w:r w:rsidRPr="00393D5E">
        <w:rPr>
          <w:b/>
        </w:rPr>
        <w:t>Dokrytí 5G koridorů a</w:t>
      </w:r>
      <w:r w:rsidR="0003053E">
        <w:rPr>
          <w:b/>
        </w:rPr>
        <w:t> </w:t>
      </w:r>
      <w:r w:rsidRPr="00393D5E">
        <w:rPr>
          <w:b/>
        </w:rPr>
        <w:t>podpora rozvoje 5G</w:t>
      </w:r>
    </w:p>
    <w:p w14:paraId="03CAF624" w14:textId="4BDA381F" w:rsidR="007B0933" w:rsidRPr="00393D5E" w:rsidRDefault="007B0933" w:rsidP="00316A1B">
      <w:pPr>
        <w:spacing w:line="276" w:lineRule="auto"/>
        <w:jc w:val="both"/>
      </w:pPr>
      <w:r w:rsidRPr="00393D5E">
        <w:tab/>
      </w:r>
      <w:r w:rsidRPr="00393D5E">
        <w:tab/>
        <w:t>Cíl 40 Dokončení pokrytí zvýšenou úrovní signálu 5G ve vybraných železničních koridorech</w:t>
      </w:r>
    </w:p>
    <w:p w14:paraId="0DA7E484" w14:textId="093F0A64" w:rsidR="00D44365" w:rsidRPr="00393D5E" w:rsidRDefault="00D44365" w:rsidP="00D44365">
      <w:pPr>
        <w:spacing w:line="276" w:lineRule="auto"/>
        <w:ind w:left="1416"/>
        <w:jc w:val="both"/>
        <w:rPr>
          <w:color w:val="000000" w:themeColor="text1"/>
        </w:rPr>
      </w:pPr>
      <w:r w:rsidRPr="00393D5E">
        <w:rPr>
          <w:color w:val="000000" w:themeColor="text1"/>
        </w:rPr>
        <w:t>Cíl 41 Dokončení vybavení železničních vagonů opakovači pro pokrytí mobilním signálem a</w:t>
      </w:r>
      <w:r w:rsidR="0003053E">
        <w:rPr>
          <w:color w:val="000000" w:themeColor="text1"/>
        </w:rPr>
        <w:t> </w:t>
      </w:r>
      <w:r w:rsidRPr="00393D5E">
        <w:rPr>
          <w:color w:val="000000" w:themeColor="text1"/>
        </w:rPr>
        <w:t>pasivními stěnami</w:t>
      </w:r>
    </w:p>
    <w:p w14:paraId="1C5163E6" w14:textId="53123DA3" w:rsidR="007B0933" w:rsidRPr="00393D5E" w:rsidRDefault="007B0933" w:rsidP="00316A1B">
      <w:pPr>
        <w:spacing w:line="276" w:lineRule="auto"/>
        <w:ind w:left="1560" w:hanging="852"/>
        <w:jc w:val="both"/>
        <w:rPr>
          <w:b/>
        </w:rPr>
      </w:pPr>
      <w:r w:rsidRPr="00393D5E">
        <w:t xml:space="preserve">Investice 3 </w:t>
      </w:r>
      <w:r w:rsidRPr="00393D5E">
        <w:rPr>
          <w:b/>
        </w:rPr>
        <w:t>Podpora rozvoje mobilní infrastruktury sítí 5G v</w:t>
      </w:r>
      <w:r w:rsidR="0003053E">
        <w:rPr>
          <w:b/>
        </w:rPr>
        <w:t> </w:t>
      </w:r>
      <w:r w:rsidRPr="00393D5E">
        <w:rPr>
          <w:b/>
        </w:rPr>
        <w:t>investičně náročných bílých místech na venkově</w:t>
      </w:r>
    </w:p>
    <w:p w14:paraId="79723775" w14:textId="77777777" w:rsidR="007B0933" w:rsidRPr="00393D5E" w:rsidRDefault="007B0933" w:rsidP="00316A1B">
      <w:pPr>
        <w:spacing w:line="276" w:lineRule="auto"/>
        <w:jc w:val="both"/>
      </w:pPr>
      <w:r w:rsidRPr="00393D5E">
        <w:tab/>
      </w:r>
      <w:r w:rsidRPr="00393D5E">
        <w:tab/>
        <w:t>Cíl 44 Dokončení základnových stanic pro signál 5G</w:t>
      </w:r>
    </w:p>
    <w:p w14:paraId="2DC67998" w14:textId="200195AF" w:rsidR="007B0933" w:rsidRPr="00393D5E" w:rsidRDefault="007B0933" w:rsidP="00316A1B">
      <w:pPr>
        <w:spacing w:line="276" w:lineRule="auto"/>
        <w:ind w:left="708"/>
        <w:jc w:val="both"/>
        <w:rPr>
          <w:b/>
        </w:rPr>
      </w:pPr>
      <w:r w:rsidRPr="00393D5E">
        <w:t xml:space="preserve">Investice 4 </w:t>
      </w:r>
      <w:r w:rsidRPr="00393D5E">
        <w:rPr>
          <w:b/>
        </w:rPr>
        <w:t>Vědeckovýzkumné činnosti související s</w:t>
      </w:r>
      <w:r w:rsidR="0003053E">
        <w:rPr>
          <w:b/>
        </w:rPr>
        <w:t> </w:t>
      </w:r>
      <w:r w:rsidRPr="00393D5E">
        <w:rPr>
          <w:b/>
        </w:rPr>
        <w:t>rozvojem sítí a</w:t>
      </w:r>
      <w:r w:rsidR="0003053E">
        <w:rPr>
          <w:b/>
        </w:rPr>
        <w:t> </w:t>
      </w:r>
      <w:r w:rsidRPr="00393D5E">
        <w:rPr>
          <w:b/>
        </w:rPr>
        <w:t>služeb 5G</w:t>
      </w:r>
    </w:p>
    <w:p w14:paraId="323379E3" w14:textId="1B5FA562" w:rsidR="007B0933" w:rsidRPr="00393D5E" w:rsidRDefault="007B0933" w:rsidP="00316A1B">
      <w:pPr>
        <w:spacing w:line="276" w:lineRule="auto"/>
        <w:jc w:val="both"/>
      </w:pPr>
      <w:r w:rsidRPr="00393D5E">
        <w:tab/>
      </w:r>
      <w:r w:rsidRPr="00393D5E">
        <w:tab/>
        <w:t>Cíl 46 Dokončení projektů vědeckého výzkumu souvisejících se sítěmi 5G</w:t>
      </w:r>
    </w:p>
    <w:p w14:paraId="3F58593F" w14:textId="77777777" w:rsidR="00CE7EC7" w:rsidRPr="00393D5E" w:rsidRDefault="00CE7EC7" w:rsidP="00316A1B">
      <w:pPr>
        <w:spacing w:line="276" w:lineRule="auto"/>
        <w:jc w:val="both"/>
        <w:rPr>
          <w:rFonts w:eastAsia="Times New Roman"/>
        </w:rPr>
      </w:pPr>
    </w:p>
    <w:p w14:paraId="7BD7BFBF" w14:textId="57430CB1" w:rsidR="007B0933" w:rsidRPr="00393D5E" w:rsidRDefault="007B0933" w:rsidP="00316A1B">
      <w:pPr>
        <w:spacing w:line="276" w:lineRule="auto"/>
        <w:jc w:val="both"/>
        <w:rPr>
          <w:b/>
          <w:bCs/>
          <w:smallCaps/>
        </w:rPr>
      </w:pPr>
      <w:r w:rsidRPr="00393D5E">
        <w:rPr>
          <w:rFonts w:asciiTheme="majorHAnsi" w:hAnsiTheme="majorHAnsi" w:cstheme="majorHAnsi"/>
          <w:b/>
          <w:sz w:val="26"/>
          <w:szCs w:val="26"/>
        </w:rPr>
        <w:t xml:space="preserve">Komponenta 1.4 </w:t>
      </w:r>
      <w:r w:rsidRPr="00393D5E">
        <w:rPr>
          <w:rFonts w:asciiTheme="majorHAnsi" w:hAnsiTheme="majorHAnsi" w:cstheme="majorHAnsi"/>
          <w:b/>
          <w:bCs/>
          <w:smallCaps/>
          <w:sz w:val="26"/>
          <w:szCs w:val="26"/>
        </w:rPr>
        <w:t>DIGITÁLNÍ EKONOMIKA A</w:t>
      </w:r>
      <w:r w:rsidR="0003053E">
        <w:rPr>
          <w:rFonts w:asciiTheme="majorHAnsi" w:hAnsiTheme="majorHAnsi" w:cstheme="majorHAnsi"/>
          <w:b/>
          <w:bCs/>
          <w:smallCaps/>
          <w:sz w:val="26"/>
          <w:szCs w:val="26"/>
        </w:rPr>
        <w:t> </w:t>
      </w:r>
      <w:r w:rsidRPr="00393D5E">
        <w:rPr>
          <w:rFonts w:asciiTheme="majorHAnsi" w:hAnsiTheme="majorHAnsi" w:cstheme="majorHAnsi"/>
          <w:b/>
          <w:bCs/>
          <w:smallCaps/>
          <w:sz w:val="26"/>
          <w:szCs w:val="26"/>
        </w:rPr>
        <w:t>SPOLEČNOST, INOVATIVNÍ START-UPY A</w:t>
      </w:r>
      <w:r w:rsidR="0003053E">
        <w:rPr>
          <w:rFonts w:asciiTheme="majorHAnsi" w:hAnsiTheme="majorHAnsi" w:cstheme="majorHAnsi"/>
          <w:b/>
          <w:bCs/>
          <w:smallCaps/>
          <w:sz w:val="26"/>
          <w:szCs w:val="26"/>
        </w:rPr>
        <w:t> </w:t>
      </w:r>
      <w:r w:rsidRPr="00393D5E">
        <w:rPr>
          <w:rFonts w:asciiTheme="majorHAnsi" w:hAnsiTheme="majorHAnsi" w:cstheme="majorHAnsi"/>
          <w:b/>
          <w:bCs/>
          <w:smallCaps/>
          <w:sz w:val="26"/>
          <w:szCs w:val="26"/>
        </w:rPr>
        <w:t>NOVÉ TECHNOLOGI</w:t>
      </w:r>
      <w:r w:rsidRPr="00393D5E">
        <w:rPr>
          <w:b/>
          <w:bCs/>
          <w:smallCaps/>
          <w:sz w:val="26"/>
          <w:szCs w:val="26"/>
        </w:rPr>
        <w:t>E</w:t>
      </w:r>
    </w:p>
    <w:p w14:paraId="1EE3EAC4" w14:textId="115ACC66" w:rsidR="007B0933" w:rsidRPr="00393D5E" w:rsidRDefault="007B0933" w:rsidP="00FD4D5A">
      <w:pPr>
        <w:spacing w:line="276" w:lineRule="auto"/>
        <w:ind w:left="709"/>
        <w:jc w:val="both"/>
      </w:pPr>
      <w:r w:rsidRPr="00393D5E">
        <w:lastRenderedPageBreak/>
        <w:t xml:space="preserve">Reforma 1 </w:t>
      </w:r>
      <w:r w:rsidRPr="00393D5E">
        <w:rPr>
          <w:b/>
        </w:rPr>
        <w:t>Institucionální reforma systému koordinace a</w:t>
      </w:r>
      <w:r w:rsidR="0003053E">
        <w:rPr>
          <w:b/>
        </w:rPr>
        <w:t> </w:t>
      </w:r>
      <w:r w:rsidRPr="00393D5E">
        <w:rPr>
          <w:b/>
        </w:rPr>
        <w:t>podpory digitální agendy a</w:t>
      </w:r>
      <w:r w:rsidR="0003053E">
        <w:rPr>
          <w:b/>
        </w:rPr>
        <w:t> </w:t>
      </w:r>
      <w:r w:rsidRPr="00393D5E">
        <w:rPr>
          <w:b/>
        </w:rPr>
        <w:t>digitální transformace, vč. strategie RIS 3</w:t>
      </w:r>
    </w:p>
    <w:p w14:paraId="28B215BB" w14:textId="77777777" w:rsidR="007B0933" w:rsidRPr="00393D5E" w:rsidRDefault="007B0933" w:rsidP="00316A1B">
      <w:pPr>
        <w:spacing w:line="276" w:lineRule="auto"/>
        <w:ind w:left="1418"/>
        <w:jc w:val="both"/>
      </w:pPr>
      <w:r w:rsidRPr="00393D5E">
        <w:t>Milník 47 Provedení organizačních změn za účelem reformy struktury veřejných orgánů zajišťujících dohled nad digitální transformací hospodářství</w:t>
      </w:r>
    </w:p>
    <w:p w14:paraId="52F86712" w14:textId="6106F4BF" w:rsidR="007B0933" w:rsidRPr="00393D5E" w:rsidRDefault="007B0933" w:rsidP="00FD4D5A">
      <w:pPr>
        <w:spacing w:line="276" w:lineRule="auto"/>
        <w:ind w:left="709"/>
        <w:jc w:val="both"/>
        <w:rPr>
          <w:b/>
        </w:rPr>
      </w:pPr>
      <w:r w:rsidRPr="00393D5E">
        <w:t>Reforma 2</w:t>
      </w:r>
      <w:r w:rsidRPr="00393D5E">
        <w:rPr>
          <w:b/>
        </w:rPr>
        <w:t xml:space="preserve"> Skupina pro podporu a</w:t>
      </w:r>
      <w:r w:rsidR="0003053E">
        <w:rPr>
          <w:b/>
        </w:rPr>
        <w:t> </w:t>
      </w:r>
      <w:r w:rsidRPr="00393D5E">
        <w:rPr>
          <w:b/>
        </w:rPr>
        <w:t>certifikaci společných strategických technologií s</w:t>
      </w:r>
      <w:r w:rsidR="0003053E">
        <w:rPr>
          <w:b/>
        </w:rPr>
        <w:t> </w:t>
      </w:r>
      <w:r w:rsidRPr="00393D5E">
        <w:rPr>
          <w:b/>
        </w:rPr>
        <w:t>Radou pro</w:t>
      </w:r>
      <w:r w:rsidR="00FD4D5A" w:rsidRPr="00393D5E">
        <w:rPr>
          <w:b/>
        </w:rPr>
        <w:t xml:space="preserve"> </w:t>
      </w:r>
      <w:r w:rsidRPr="00393D5E">
        <w:rPr>
          <w:b/>
        </w:rPr>
        <w:t>strategické technologie</w:t>
      </w:r>
    </w:p>
    <w:p w14:paraId="1E9709F6" w14:textId="7DF828C4" w:rsidR="007B0933" w:rsidRPr="00393D5E" w:rsidRDefault="007B0933" w:rsidP="00316A1B">
      <w:pPr>
        <w:spacing w:line="276" w:lineRule="auto"/>
        <w:jc w:val="both"/>
      </w:pPr>
      <w:r w:rsidRPr="00393D5E">
        <w:tab/>
      </w:r>
      <w:r w:rsidRPr="00393D5E">
        <w:tab/>
        <w:t>Milník 48 Zřízení a</w:t>
      </w:r>
      <w:r w:rsidR="0003053E">
        <w:t> </w:t>
      </w:r>
      <w:r w:rsidRPr="00393D5E">
        <w:t>jmenování sítě certifikačních orgánů</w:t>
      </w:r>
    </w:p>
    <w:p w14:paraId="2365F5D7" w14:textId="77777777" w:rsidR="007B0933" w:rsidRPr="00393D5E" w:rsidRDefault="007B0933" w:rsidP="00316A1B">
      <w:pPr>
        <w:spacing w:line="276" w:lineRule="auto"/>
        <w:jc w:val="both"/>
      </w:pPr>
      <w:r w:rsidRPr="00393D5E">
        <w:tab/>
      </w:r>
      <w:r w:rsidRPr="00393D5E">
        <w:tab/>
        <w:t>Cíl 49 Počet společností, jimž byla udělena certifikace</w:t>
      </w:r>
    </w:p>
    <w:p w14:paraId="1994F9EC" w14:textId="36345266" w:rsidR="007B0933" w:rsidRPr="00393D5E" w:rsidRDefault="007B0933" w:rsidP="00316A1B">
      <w:pPr>
        <w:spacing w:line="276" w:lineRule="auto"/>
        <w:jc w:val="both"/>
        <w:rPr>
          <w:b/>
        </w:rPr>
      </w:pPr>
      <w:r w:rsidRPr="00393D5E">
        <w:tab/>
        <w:t xml:space="preserve">Investice 1 </w:t>
      </w:r>
      <w:r w:rsidRPr="00393D5E">
        <w:rPr>
          <w:b/>
        </w:rPr>
        <w:t>Zahájení činnosti Evropského centra excelence v</w:t>
      </w:r>
      <w:r w:rsidR="0003053E">
        <w:rPr>
          <w:b/>
        </w:rPr>
        <w:t> </w:t>
      </w:r>
      <w:r w:rsidRPr="00393D5E">
        <w:rPr>
          <w:b/>
        </w:rPr>
        <w:t>AI „pro bezpečnější společnost“</w:t>
      </w:r>
    </w:p>
    <w:p w14:paraId="03448AC9" w14:textId="3D680265" w:rsidR="007B0933" w:rsidRPr="00393D5E" w:rsidRDefault="007B0933" w:rsidP="00316A1B">
      <w:pPr>
        <w:spacing w:line="276" w:lineRule="auto"/>
        <w:ind w:left="1418"/>
        <w:jc w:val="both"/>
      </w:pPr>
      <w:r w:rsidRPr="00393D5E">
        <w:t>Cíl 50 Zahájení činnosti Evropského centra excelence v</w:t>
      </w:r>
      <w:r w:rsidR="0003053E">
        <w:t> </w:t>
      </w:r>
      <w:r w:rsidRPr="00393D5E">
        <w:t>oblasti umělé inteligence pro bezpečnost a</w:t>
      </w:r>
      <w:r w:rsidR="0003053E">
        <w:t> </w:t>
      </w:r>
      <w:r w:rsidRPr="00393D5E">
        <w:t>ochranu občanů</w:t>
      </w:r>
    </w:p>
    <w:p w14:paraId="56B09020" w14:textId="1E8171C9" w:rsidR="00B26F4F" w:rsidRPr="00393D5E" w:rsidRDefault="009569B9" w:rsidP="00B26F4F">
      <w:pPr>
        <w:spacing w:line="276" w:lineRule="auto"/>
        <w:jc w:val="both"/>
        <w:rPr>
          <w:b/>
          <w:color w:val="000000" w:themeColor="text1"/>
        </w:rPr>
      </w:pPr>
      <w:r w:rsidRPr="00393D5E">
        <w:tab/>
      </w:r>
      <w:r w:rsidRPr="00393D5E">
        <w:rPr>
          <w:color w:val="000000" w:themeColor="text1"/>
        </w:rPr>
        <w:t xml:space="preserve">Investice č. 2: </w:t>
      </w:r>
      <w:r w:rsidRPr="00393D5E">
        <w:rPr>
          <w:b/>
          <w:color w:val="000000" w:themeColor="text1"/>
        </w:rPr>
        <w:t>Evropské centrum pro sledování digitálních médií (EDMO)</w:t>
      </w:r>
    </w:p>
    <w:p w14:paraId="66F6E770" w14:textId="1A8C68EF" w:rsidR="009569B9" w:rsidRPr="00393D5E" w:rsidRDefault="009569B9" w:rsidP="00FD4D5A">
      <w:pPr>
        <w:spacing w:line="276" w:lineRule="auto"/>
        <w:ind w:left="1416"/>
        <w:jc w:val="both"/>
        <w:rPr>
          <w:b/>
          <w:color w:val="000000" w:themeColor="text1"/>
        </w:rPr>
      </w:pPr>
      <w:r w:rsidRPr="00393D5E">
        <w:rPr>
          <w:b/>
          <w:color w:val="000000" w:themeColor="text1"/>
        </w:rPr>
        <w:t xml:space="preserve">Nový milník: </w:t>
      </w:r>
      <w:r w:rsidRPr="00393D5E">
        <w:rPr>
          <w:color w:val="000000" w:themeColor="text1"/>
        </w:rPr>
        <w:t>Zahájení činnosti rozšířeného centra CEDMO spolufinancovaného v</w:t>
      </w:r>
      <w:r w:rsidR="0003053E">
        <w:rPr>
          <w:color w:val="000000" w:themeColor="text1"/>
        </w:rPr>
        <w:t> </w:t>
      </w:r>
      <w:r w:rsidRPr="00393D5E">
        <w:rPr>
          <w:color w:val="000000" w:themeColor="text1"/>
        </w:rPr>
        <w:t>rámci programu Digitální Evropa (DEP</w:t>
      </w:r>
      <w:r w:rsidR="00391155" w:rsidRPr="00393D5E">
        <w:rPr>
          <w:color w:val="000000" w:themeColor="text1"/>
        </w:rPr>
        <w:t>)</w:t>
      </w:r>
    </w:p>
    <w:p w14:paraId="778CEF66" w14:textId="0C1B4805" w:rsidR="007B0933" w:rsidRPr="00393D5E" w:rsidRDefault="007B0933" w:rsidP="00FD4D5A">
      <w:pPr>
        <w:spacing w:line="276" w:lineRule="auto"/>
        <w:ind w:left="709"/>
        <w:jc w:val="both"/>
      </w:pPr>
      <w:r w:rsidRPr="00393D5E">
        <w:t xml:space="preserve">Investice 3 </w:t>
      </w:r>
      <w:r w:rsidRPr="00393D5E">
        <w:rPr>
          <w:b/>
        </w:rPr>
        <w:t>Přenos zahraniční nejlepší praxe a</w:t>
      </w:r>
      <w:r w:rsidR="0003053E">
        <w:rPr>
          <w:b/>
        </w:rPr>
        <w:t> </w:t>
      </w:r>
      <w:r w:rsidRPr="00393D5E">
        <w:rPr>
          <w:b/>
        </w:rPr>
        <w:t>know-how pro digitální transformaci, monitoring</w:t>
      </w:r>
      <w:r w:rsidR="00FD4D5A" w:rsidRPr="00393D5E">
        <w:rPr>
          <w:b/>
        </w:rPr>
        <w:t xml:space="preserve"> </w:t>
      </w:r>
      <w:r w:rsidRPr="00393D5E">
        <w:rPr>
          <w:b/>
        </w:rPr>
        <w:t>a</w:t>
      </w:r>
      <w:r w:rsidR="0003053E">
        <w:rPr>
          <w:b/>
        </w:rPr>
        <w:t> </w:t>
      </w:r>
      <w:r w:rsidRPr="00393D5E">
        <w:rPr>
          <w:b/>
        </w:rPr>
        <w:t>výzkum socio-ekonomických dopadů krize (Samuel Neaman Institute)</w:t>
      </w:r>
    </w:p>
    <w:p w14:paraId="74C9069A" w14:textId="0A2BE656" w:rsidR="007B0933" w:rsidRPr="00393D5E" w:rsidRDefault="007B0933" w:rsidP="00316A1B">
      <w:pPr>
        <w:spacing w:line="276" w:lineRule="auto"/>
        <w:ind w:left="1418"/>
        <w:jc w:val="both"/>
      </w:pPr>
      <w:r w:rsidRPr="00393D5E">
        <w:t>Cíl 53 Založení českého institutu Samuela Neamana s</w:t>
      </w:r>
      <w:r w:rsidR="0003053E">
        <w:t> </w:t>
      </w:r>
      <w:r w:rsidRPr="00393D5E">
        <w:t>mezinárodním dosahem včetně pěti dohod o</w:t>
      </w:r>
      <w:r w:rsidR="0003053E">
        <w:t> </w:t>
      </w:r>
      <w:r w:rsidRPr="00393D5E">
        <w:t>mezinárodní spolupráci ve formě memorand s</w:t>
      </w:r>
      <w:r w:rsidR="0003053E">
        <w:t> </w:t>
      </w:r>
      <w:r w:rsidRPr="00393D5E">
        <w:t>cílem přenést osvědčené postupy v</w:t>
      </w:r>
      <w:r w:rsidR="0003053E">
        <w:t> </w:t>
      </w:r>
      <w:r w:rsidRPr="00393D5E">
        <w:t>oblasti digitální transformace</w:t>
      </w:r>
    </w:p>
    <w:p w14:paraId="5F0F3E1A" w14:textId="77777777" w:rsidR="007B0933" w:rsidRPr="00393D5E" w:rsidRDefault="5949047C" w:rsidP="5BC52D6A">
      <w:pPr>
        <w:spacing w:line="276" w:lineRule="auto"/>
        <w:ind w:left="708"/>
        <w:jc w:val="both"/>
        <w:rPr>
          <w:b/>
          <w:bCs/>
        </w:rPr>
      </w:pPr>
      <w:r w:rsidRPr="00393D5E">
        <w:t xml:space="preserve">Investice 4 </w:t>
      </w:r>
      <w:r w:rsidRPr="00393D5E">
        <w:rPr>
          <w:b/>
          <w:bCs/>
        </w:rPr>
        <w:t>Platforma pro vzdělávání managementu SME pro post-COVID-19 digitální transformaci</w:t>
      </w:r>
    </w:p>
    <w:p w14:paraId="66CE4488" w14:textId="1837ACF5" w:rsidR="007B0933" w:rsidRPr="00393D5E" w:rsidRDefault="007B0933" w:rsidP="00316A1B">
      <w:pPr>
        <w:spacing w:line="276" w:lineRule="auto"/>
        <w:ind w:left="1418"/>
        <w:jc w:val="both"/>
      </w:pPr>
      <w:r w:rsidRPr="00393D5E">
        <w:t>Cíl 54 Zahájení činnosti platformy pro vzdělávání managementu malých a</w:t>
      </w:r>
      <w:r w:rsidR="0003053E">
        <w:t> </w:t>
      </w:r>
      <w:r w:rsidRPr="00393D5E">
        <w:t>středních podniků a</w:t>
      </w:r>
      <w:r w:rsidR="0003053E">
        <w:t> </w:t>
      </w:r>
      <w:r w:rsidRPr="00393D5E">
        <w:t>zapojení managementu nejméně 200 malých a</w:t>
      </w:r>
      <w:r w:rsidR="0003053E">
        <w:t> </w:t>
      </w:r>
      <w:r w:rsidRPr="00393D5E">
        <w:t>středních podniků do činností týkajících se zvyšování kvalifikací a</w:t>
      </w:r>
      <w:r w:rsidR="0003053E">
        <w:t> </w:t>
      </w:r>
      <w:r w:rsidRPr="00393D5E">
        <w:t>rekvalifikací se zaměřením na digitální transformaci</w:t>
      </w:r>
    </w:p>
    <w:p w14:paraId="1228147D" w14:textId="43ABEC6A" w:rsidR="007B0933" w:rsidRPr="00393D5E" w:rsidRDefault="007B0933" w:rsidP="00316A1B">
      <w:pPr>
        <w:spacing w:line="276" w:lineRule="auto"/>
        <w:ind w:left="708"/>
        <w:jc w:val="both"/>
        <w:rPr>
          <w:b/>
        </w:rPr>
      </w:pPr>
      <w:r w:rsidRPr="00393D5E">
        <w:t>Investice 5</w:t>
      </w:r>
      <w:r w:rsidRPr="00393D5E">
        <w:rPr>
          <w:b/>
        </w:rPr>
        <w:t xml:space="preserve"> Evropský projekt pro DLT financování digitalizace SME pro překonání krize (evropská infrastruktura blockchainových služeb – EBSI) – dluhopisy DLT pro financování malých a</w:t>
      </w:r>
      <w:r w:rsidR="0003053E">
        <w:rPr>
          <w:b/>
        </w:rPr>
        <w:t> </w:t>
      </w:r>
      <w:r w:rsidRPr="00393D5E">
        <w:rPr>
          <w:b/>
        </w:rPr>
        <w:t>středních podniků</w:t>
      </w:r>
    </w:p>
    <w:p w14:paraId="26A6B549" w14:textId="2B682C58" w:rsidR="007B0933" w:rsidRPr="00393D5E" w:rsidRDefault="5949047C" w:rsidP="5BC52D6A">
      <w:pPr>
        <w:spacing w:line="276" w:lineRule="auto"/>
        <w:ind w:left="1416"/>
        <w:jc w:val="both"/>
      </w:pPr>
      <w:r w:rsidRPr="00393D5E">
        <w:t>Milník 55 Start implementace EBSI (evropské infrastruktury blockchainových služeb) v</w:t>
      </w:r>
      <w:r w:rsidR="0003053E">
        <w:t> </w:t>
      </w:r>
      <w:r w:rsidRPr="00393D5E">
        <w:t>případech použití a</w:t>
      </w:r>
      <w:r w:rsidR="0003053E">
        <w:t> </w:t>
      </w:r>
      <w:r w:rsidRPr="00393D5E">
        <w:t>příprava pilotní fáze malých a</w:t>
      </w:r>
      <w:r w:rsidR="0003053E">
        <w:t> </w:t>
      </w:r>
      <w:r w:rsidRPr="00393D5E">
        <w:t>středních podniků</w:t>
      </w:r>
    </w:p>
    <w:p w14:paraId="64857BFF" w14:textId="41CB17E3" w:rsidR="007B0933" w:rsidRPr="00393D5E" w:rsidRDefault="5949047C" w:rsidP="5BC52D6A">
      <w:pPr>
        <w:spacing w:line="276" w:lineRule="auto"/>
        <w:ind w:left="1416"/>
        <w:jc w:val="both"/>
      </w:pPr>
      <w:r w:rsidRPr="00393D5E">
        <w:t>Cíl 56 Počet malých a</w:t>
      </w:r>
      <w:r w:rsidR="0003053E">
        <w:t> </w:t>
      </w:r>
      <w:r w:rsidRPr="00393D5E">
        <w:t>středních podniků připravených na pilotní fázi a</w:t>
      </w:r>
      <w:r w:rsidR="0003053E">
        <w:t> </w:t>
      </w:r>
      <w:r w:rsidRPr="00393D5E">
        <w:t>nabídka digitálních dluhopisů na EBSI</w:t>
      </w:r>
    </w:p>
    <w:p w14:paraId="6FF2D49A" w14:textId="31FED173" w:rsidR="007B0933" w:rsidRPr="00393D5E" w:rsidRDefault="5949047C" w:rsidP="5BC52D6A">
      <w:pPr>
        <w:spacing w:line="276" w:lineRule="auto"/>
        <w:ind w:left="708"/>
        <w:jc w:val="both"/>
      </w:pPr>
      <w:r>
        <w:t xml:space="preserve">Investice 6 </w:t>
      </w:r>
      <w:r w:rsidRPr="05AB2BC1">
        <w:rPr>
          <w:b/>
          <w:bCs/>
        </w:rPr>
        <w:t>Demonstrativní projekty rozvoje aplikací pro města a</w:t>
      </w:r>
      <w:r w:rsidR="0003053E">
        <w:rPr>
          <w:b/>
          <w:bCs/>
        </w:rPr>
        <w:t> </w:t>
      </w:r>
      <w:r w:rsidRPr="05AB2BC1">
        <w:rPr>
          <w:b/>
          <w:bCs/>
        </w:rPr>
        <w:t>průmyslové oblasti</w:t>
      </w:r>
      <w:r>
        <w:tab/>
      </w:r>
      <w:r w:rsidRPr="05AB2BC1">
        <w:rPr>
          <w:b/>
          <w:bCs/>
        </w:rPr>
        <w:t>(např. 5G)</w:t>
      </w:r>
    </w:p>
    <w:p w14:paraId="51D31886" w14:textId="38EEC2D8" w:rsidR="007B0933" w:rsidRPr="00393D5E" w:rsidRDefault="007B0933" w:rsidP="00316A1B">
      <w:pPr>
        <w:spacing w:line="276" w:lineRule="auto"/>
        <w:jc w:val="both"/>
      </w:pPr>
      <w:r w:rsidRPr="00393D5E">
        <w:tab/>
      </w:r>
      <w:r w:rsidRPr="00393D5E">
        <w:tab/>
        <w:t>Cíl 58 Rozvoj aplikací případů použití pro Inteligentní města a</w:t>
      </w:r>
      <w:r w:rsidR="0003053E">
        <w:t> </w:t>
      </w:r>
      <w:r w:rsidRPr="00393D5E">
        <w:t>pro Průmysl 4.0</w:t>
      </w:r>
    </w:p>
    <w:p w14:paraId="2A609AD5" w14:textId="77777777" w:rsidR="007B0933" w:rsidRPr="00393D5E" w:rsidRDefault="007B0933" w:rsidP="00316A1B">
      <w:pPr>
        <w:spacing w:line="276" w:lineRule="auto"/>
        <w:jc w:val="both"/>
        <w:rPr>
          <w:b/>
        </w:rPr>
      </w:pPr>
      <w:r w:rsidRPr="00393D5E">
        <w:tab/>
        <w:t xml:space="preserve">Investice 7 </w:t>
      </w:r>
      <w:r w:rsidRPr="00393D5E">
        <w:rPr>
          <w:b/>
        </w:rPr>
        <w:t>Programy Czech Rise-Up</w:t>
      </w:r>
    </w:p>
    <w:p w14:paraId="5720A229" w14:textId="2A6A21B1" w:rsidR="007B0933" w:rsidRPr="00393D5E" w:rsidRDefault="5949047C" w:rsidP="5BC52D6A">
      <w:pPr>
        <w:spacing w:line="276" w:lineRule="auto"/>
        <w:ind w:left="1416"/>
        <w:jc w:val="both"/>
      </w:pPr>
      <w:r w:rsidRPr="00393D5E">
        <w:lastRenderedPageBreak/>
        <w:t>Cíl 59 Podpora projektů zaměřených na inovace v</w:t>
      </w:r>
      <w:r w:rsidR="0003053E">
        <w:t> </w:t>
      </w:r>
      <w:r w:rsidRPr="00393D5E">
        <w:t>oblasti lékařských a</w:t>
      </w:r>
      <w:r w:rsidR="0003053E">
        <w:t> </w:t>
      </w:r>
      <w:r w:rsidRPr="00393D5E">
        <w:t>digitálních řešení s</w:t>
      </w:r>
      <w:r w:rsidR="0003053E">
        <w:t> </w:t>
      </w:r>
      <w:r w:rsidRPr="00393D5E">
        <w:t>cílem vypořádat se s</w:t>
      </w:r>
      <w:r w:rsidR="0003053E">
        <w:t> </w:t>
      </w:r>
      <w:r w:rsidRPr="00393D5E">
        <w:t>dopady onemocnění COVID-19 a</w:t>
      </w:r>
      <w:r w:rsidR="0003053E">
        <w:t> </w:t>
      </w:r>
      <w:r w:rsidRPr="00393D5E">
        <w:t>s jeho hospodářskými a</w:t>
      </w:r>
      <w:r w:rsidR="0003053E">
        <w:t> </w:t>
      </w:r>
      <w:r w:rsidRPr="00393D5E">
        <w:t>sociálními důsledky</w:t>
      </w:r>
    </w:p>
    <w:p w14:paraId="19F9F55C" w14:textId="7FB04E6C" w:rsidR="007B0933" w:rsidRPr="00393D5E" w:rsidRDefault="5949047C" w:rsidP="5BC52D6A">
      <w:pPr>
        <w:spacing w:line="276" w:lineRule="auto"/>
        <w:ind w:left="708"/>
        <w:jc w:val="both"/>
        <w:rPr>
          <w:b/>
          <w:bCs/>
        </w:rPr>
      </w:pPr>
      <w:r w:rsidRPr="00393D5E">
        <w:t>Investice 9</w:t>
      </w:r>
      <w:r w:rsidR="77236D22" w:rsidRPr="00393D5E">
        <w:t xml:space="preserve"> </w:t>
      </w:r>
      <w:r w:rsidRPr="00393D5E">
        <w:rPr>
          <w:b/>
          <w:bCs/>
        </w:rPr>
        <w:t>Pilotní fondy společného investování pro rozvoj pre-seedových investic, strategických technologií a</w:t>
      </w:r>
      <w:r w:rsidR="0003053E">
        <w:rPr>
          <w:b/>
          <w:bCs/>
        </w:rPr>
        <w:t> </w:t>
      </w:r>
      <w:r w:rsidRPr="00393D5E">
        <w:rPr>
          <w:b/>
          <w:bCs/>
        </w:rPr>
        <w:t>univerzitních spin-offů v</w:t>
      </w:r>
      <w:r w:rsidR="0003053E">
        <w:rPr>
          <w:b/>
          <w:bCs/>
        </w:rPr>
        <w:t> </w:t>
      </w:r>
      <w:r w:rsidRPr="00393D5E">
        <w:rPr>
          <w:b/>
          <w:bCs/>
        </w:rPr>
        <w:t>rámci evropských středisek excelence</w:t>
      </w:r>
    </w:p>
    <w:p w14:paraId="25468491" w14:textId="308A6572" w:rsidR="007B0933" w:rsidRPr="00393D5E" w:rsidRDefault="5949047C" w:rsidP="5BC52D6A">
      <w:pPr>
        <w:spacing w:line="276" w:lineRule="auto"/>
        <w:ind w:left="1417"/>
        <w:jc w:val="both"/>
      </w:pPr>
      <w:r w:rsidRPr="00393D5E">
        <w:t>Milník 61 Zahájení činnosti Fondu fondů a</w:t>
      </w:r>
      <w:r w:rsidR="0003053E">
        <w:t> </w:t>
      </w:r>
      <w:r w:rsidRPr="00393D5E">
        <w:t>investice tří speciálně vyhrazených fondů (pre-seedové, strategické technologie a</w:t>
      </w:r>
      <w:r w:rsidR="0003053E">
        <w:t> </w:t>
      </w:r>
      <w:r w:rsidRPr="00393D5E">
        <w:t>spin-offy) a</w:t>
      </w:r>
      <w:r w:rsidR="0003053E">
        <w:t> </w:t>
      </w:r>
      <w:r w:rsidRPr="00393D5E">
        <w:t>schválení 50 % závazků k</w:t>
      </w:r>
      <w:r w:rsidR="0003053E">
        <w:t> </w:t>
      </w:r>
      <w:r w:rsidRPr="00393D5E">
        <w:t xml:space="preserve">financování </w:t>
      </w:r>
    </w:p>
    <w:p w14:paraId="1D5886B8" w14:textId="309D7182" w:rsidR="007B0933" w:rsidRPr="00393D5E" w:rsidRDefault="007B0933" w:rsidP="05AB2BC1">
      <w:pPr>
        <w:spacing w:line="276" w:lineRule="auto"/>
        <w:ind w:left="1417"/>
        <w:jc w:val="both"/>
        <w:rPr>
          <w:color w:val="000000" w:themeColor="text1"/>
        </w:rPr>
      </w:pPr>
      <w:r w:rsidRPr="00393D5E">
        <w:rPr>
          <w:color w:val="000000" w:themeColor="text1"/>
        </w:rPr>
        <w:t>Cíl 62 Investice do pre-seedových a</w:t>
      </w:r>
      <w:r w:rsidR="0003053E">
        <w:rPr>
          <w:color w:val="000000" w:themeColor="text1"/>
        </w:rPr>
        <w:t> </w:t>
      </w:r>
      <w:r w:rsidRPr="00393D5E">
        <w:rPr>
          <w:color w:val="000000" w:themeColor="text1"/>
        </w:rPr>
        <w:t>technologických start-upů a</w:t>
      </w:r>
      <w:r w:rsidR="0003053E">
        <w:rPr>
          <w:color w:val="000000" w:themeColor="text1"/>
        </w:rPr>
        <w:t> </w:t>
      </w:r>
      <w:r w:rsidRPr="00393D5E">
        <w:rPr>
          <w:color w:val="000000" w:themeColor="text1"/>
        </w:rPr>
        <w:t>spin-offů</w:t>
      </w:r>
    </w:p>
    <w:p w14:paraId="0D80C11E" w14:textId="67E07806" w:rsidR="009569B9" w:rsidRPr="00393D5E" w:rsidRDefault="009569B9" w:rsidP="00FD4D5A">
      <w:pPr>
        <w:spacing w:line="276" w:lineRule="auto"/>
        <w:ind w:left="1416"/>
        <w:jc w:val="both"/>
        <w:rPr>
          <w:color w:val="000000" w:themeColor="text1"/>
        </w:rPr>
      </w:pPr>
      <w:r w:rsidRPr="00393D5E">
        <w:rPr>
          <w:color w:val="000000" w:themeColor="text1"/>
        </w:rPr>
        <w:t>Nový Milník Finanční nebo investiční operace ve výši 100 % celkové částky finančních nebo investičních cílů schválených investičním výborem do 30. června 2026.</w:t>
      </w:r>
    </w:p>
    <w:p w14:paraId="683504BA" w14:textId="27ED7E28" w:rsidR="007B0933" w:rsidRPr="00393D5E" w:rsidRDefault="007B0933" w:rsidP="5BC52D6A">
      <w:pPr>
        <w:spacing w:line="276" w:lineRule="auto"/>
        <w:jc w:val="both"/>
        <w:rPr>
          <w:b/>
          <w:bCs/>
        </w:rPr>
      </w:pPr>
      <w:r w:rsidRPr="00393D5E">
        <w:tab/>
      </w:r>
      <w:r w:rsidR="5949047C" w:rsidRPr="00393D5E">
        <w:t xml:space="preserve">Investice 11 </w:t>
      </w:r>
      <w:r w:rsidR="5949047C" w:rsidRPr="00393D5E">
        <w:rPr>
          <w:b/>
          <w:bCs/>
        </w:rPr>
        <w:t>Digitální</w:t>
      </w:r>
      <w:r w:rsidR="5949047C" w:rsidRPr="00393D5E">
        <w:t xml:space="preserve"> </w:t>
      </w:r>
      <w:r w:rsidR="5949047C" w:rsidRPr="00393D5E">
        <w:rPr>
          <w:b/>
          <w:bCs/>
        </w:rPr>
        <w:t>regulační pískoviště (sandboxy) v</w:t>
      </w:r>
      <w:r w:rsidR="0003053E">
        <w:rPr>
          <w:b/>
          <w:bCs/>
        </w:rPr>
        <w:t> </w:t>
      </w:r>
      <w:r w:rsidR="5949047C" w:rsidRPr="00393D5E">
        <w:rPr>
          <w:b/>
          <w:bCs/>
        </w:rPr>
        <w:t>souladu s</w:t>
      </w:r>
      <w:r w:rsidR="0003053E">
        <w:rPr>
          <w:b/>
          <w:bCs/>
        </w:rPr>
        <w:t> </w:t>
      </w:r>
      <w:r w:rsidR="5949047C" w:rsidRPr="00393D5E">
        <w:rPr>
          <w:b/>
          <w:bCs/>
        </w:rPr>
        <w:t>prioritami EU</w:t>
      </w:r>
    </w:p>
    <w:p w14:paraId="55034323" w14:textId="56E0E577" w:rsidR="007B0933" w:rsidRPr="00393D5E" w:rsidRDefault="007B0933" w:rsidP="00316A1B">
      <w:pPr>
        <w:spacing w:line="276" w:lineRule="auto"/>
        <w:ind w:left="1418"/>
        <w:jc w:val="both"/>
      </w:pPr>
      <w:r w:rsidRPr="00393D5E">
        <w:t xml:space="preserve">Milník 64 Zahájení činnosti digitálního regulačního </w:t>
      </w:r>
      <w:r w:rsidR="006D03D6" w:rsidRPr="00393D5E">
        <w:t>pískoviště</w:t>
      </w:r>
      <w:r w:rsidRPr="00393D5E">
        <w:t xml:space="preserve"> s</w:t>
      </w:r>
      <w:r w:rsidR="0003053E">
        <w:t> </w:t>
      </w:r>
      <w:r w:rsidRPr="00393D5E">
        <w:t>pilotním zaměřením v</w:t>
      </w:r>
      <w:r w:rsidR="0003053E">
        <w:t> </w:t>
      </w:r>
      <w:r w:rsidRPr="00393D5E">
        <w:t>oblasti fintech</w:t>
      </w:r>
    </w:p>
    <w:p w14:paraId="7933814F" w14:textId="77777777" w:rsidR="007B0933" w:rsidRPr="00393D5E" w:rsidRDefault="007B0933" w:rsidP="00316A1B">
      <w:pPr>
        <w:spacing w:line="276" w:lineRule="auto"/>
        <w:jc w:val="both"/>
      </w:pPr>
      <w:r w:rsidRPr="00393D5E">
        <w:tab/>
      </w:r>
      <w:r w:rsidRPr="00393D5E">
        <w:tab/>
        <w:t>Cíl 65 Účastníci regulačních pískovišť podpoření pískovišti</w:t>
      </w:r>
    </w:p>
    <w:p w14:paraId="47F4AD9B" w14:textId="5DA220AB" w:rsidR="007B0933" w:rsidRPr="00393D5E" w:rsidRDefault="007B0933" w:rsidP="00316A1B">
      <w:pPr>
        <w:spacing w:line="276" w:lineRule="auto"/>
        <w:jc w:val="both"/>
      </w:pPr>
      <w:r w:rsidRPr="00393D5E">
        <w:tab/>
        <w:t xml:space="preserve">Investice 13 </w:t>
      </w:r>
      <w:r w:rsidRPr="00393D5E">
        <w:rPr>
          <w:b/>
        </w:rPr>
        <w:t>Podpora výzkumu a</w:t>
      </w:r>
      <w:r w:rsidR="0003053E">
        <w:rPr>
          <w:b/>
        </w:rPr>
        <w:t> </w:t>
      </w:r>
      <w:r w:rsidRPr="00393D5E">
        <w:rPr>
          <w:b/>
        </w:rPr>
        <w:t>inovací v</w:t>
      </w:r>
      <w:r w:rsidR="0003053E">
        <w:rPr>
          <w:b/>
        </w:rPr>
        <w:t> </w:t>
      </w:r>
      <w:r w:rsidRPr="00393D5E">
        <w:rPr>
          <w:b/>
        </w:rPr>
        <w:t>leteckém průmyslu</w:t>
      </w:r>
    </w:p>
    <w:p w14:paraId="10B50188" w14:textId="340EBCE4" w:rsidR="007B0933" w:rsidRDefault="5949047C" w:rsidP="5BC52D6A">
      <w:pPr>
        <w:spacing w:line="276" w:lineRule="auto"/>
        <w:ind w:left="1416"/>
        <w:jc w:val="both"/>
      </w:pPr>
      <w:r w:rsidRPr="00393D5E">
        <w:t>Cíl 67 Plný provoz nejméně jednoho zkušebního prostředí na základě digitální souběžné technologie a</w:t>
      </w:r>
      <w:r w:rsidR="0003053E">
        <w:t> </w:t>
      </w:r>
      <w:r w:rsidRPr="00393D5E">
        <w:t>zařízení pro digitální transformaci v</w:t>
      </w:r>
      <w:r w:rsidR="0003053E">
        <w:t> </w:t>
      </w:r>
      <w:r w:rsidRPr="00393D5E">
        <w:t>leteckém průmyslu</w:t>
      </w:r>
    </w:p>
    <w:p w14:paraId="5470716D" w14:textId="77777777" w:rsidR="00393D5E" w:rsidRPr="00393D5E" w:rsidRDefault="00393D5E" w:rsidP="5BC52D6A">
      <w:pPr>
        <w:spacing w:line="276" w:lineRule="auto"/>
        <w:ind w:left="1416"/>
        <w:jc w:val="both"/>
      </w:pPr>
    </w:p>
    <w:p w14:paraId="171F0B7D" w14:textId="77777777" w:rsidR="00CE7EC7" w:rsidRPr="00393D5E" w:rsidRDefault="00CE7EC7" w:rsidP="00316A1B">
      <w:pPr>
        <w:spacing w:line="276" w:lineRule="auto"/>
        <w:ind w:left="1418" w:hanging="1418"/>
        <w:jc w:val="both"/>
      </w:pPr>
    </w:p>
    <w:p w14:paraId="0B08794E" w14:textId="793BD0D7" w:rsidR="007B0933" w:rsidRPr="00393D5E" w:rsidRDefault="007B0933" w:rsidP="00316A1B">
      <w:pPr>
        <w:spacing w:line="276" w:lineRule="auto"/>
        <w:jc w:val="both"/>
        <w:rPr>
          <w:rFonts w:asciiTheme="majorHAnsi" w:hAnsiTheme="majorHAnsi" w:cstheme="majorHAnsi"/>
          <w:b/>
          <w:bCs/>
          <w:smallCaps/>
          <w:sz w:val="26"/>
          <w:szCs w:val="26"/>
        </w:rPr>
      </w:pPr>
      <w:r w:rsidRPr="00393D5E">
        <w:rPr>
          <w:rFonts w:asciiTheme="majorHAnsi" w:hAnsiTheme="majorHAnsi" w:cstheme="majorHAnsi"/>
          <w:b/>
          <w:sz w:val="26"/>
          <w:szCs w:val="26"/>
        </w:rPr>
        <w:t xml:space="preserve">Komponenta 1.5 </w:t>
      </w:r>
      <w:r w:rsidR="009C1135" w:rsidRPr="00393D5E">
        <w:rPr>
          <w:rFonts w:asciiTheme="majorHAnsi" w:hAnsiTheme="majorHAnsi" w:cstheme="majorHAnsi"/>
          <w:b/>
          <w:sz w:val="26"/>
          <w:szCs w:val="26"/>
        </w:rPr>
        <w:t>DIGITÁLNÍ TRANSFORMACE PODNIKŮ</w:t>
      </w:r>
    </w:p>
    <w:p w14:paraId="5F224FF8" w14:textId="77777777" w:rsidR="007B0933" w:rsidRPr="00393D5E" w:rsidRDefault="007B0933" w:rsidP="00316A1B">
      <w:pPr>
        <w:spacing w:line="276" w:lineRule="auto"/>
        <w:jc w:val="both"/>
      </w:pPr>
      <w:r w:rsidRPr="00393D5E">
        <w:tab/>
        <w:t xml:space="preserve">Reforma 1 </w:t>
      </w:r>
      <w:r w:rsidRPr="00393D5E">
        <w:rPr>
          <w:b/>
        </w:rPr>
        <w:t>Vytvoření platformy pro digitalizaci hospodářství</w:t>
      </w:r>
    </w:p>
    <w:p w14:paraId="4262C47F" w14:textId="2CAFDD85" w:rsidR="007B0933" w:rsidRPr="00393D5E" w:rsidRDefault="007B0933" w:rsidP="00316A1B">
      <w:pPr>
        <w:spacing w:line="276" w:lineRule="auto"/>
        <w:jc w:val="both"/>
      </w:pPr>
      <w:r w:rsidRPr="00393D5E">
        <w:tab/>
      </w:r>
      <w:r w:rsidRPr="00393D5E">
        <w:tab/>
        <w:t>Milník 68 Vytvoření platformy pro digitalizaci hospodářství</w:t>
      </w:r>
    </w:p>
    <w:p w14:paraId="71D1FA99" w14:textId="782B1912" w:rsidR="00FB61A8" w:rsidRPr="00393D5E" w:rsidRDefault="00FB61A8" w:rsidP="00316A1B">
      <w:pPr>
        <w:spacing w:line="276" w:lineRule="auto"/>
        <w:jc w:val="both"/>
        <w:rPr>
          <w:color w:val="000000" w:themeColor="text1"/>
        </w:rPr>
      </w:pPr>
      <w:r w:rsidRPr="00393D5E">
        <w:rPr>
          <w:color w:val="000000" w:themeColor="text1"/>
        </w:rPr>
        <w:tab/>
        <w:t xml:space="preserve">Investice č. 2: </w:t>
      </w:r>
      <w:r w:rsidRPr="00393D5E">
        <w:rPr>
          <w:b/>
          <w:color w:val="000000" w:themeColor="text1"/>
        </w:rPr>
        <w:t>Evropské referenční testovací a</w:t>
      </w:r>
      <w:r w:rsidR="0003053E">
        <w:rPr>
          <w:b/>
          <w:color w:val="000000" w:themeColor="text1"/>
        </w:rPr>
        <w:t> </w:t>
      </w:r>
      <w:r w:rsidRPr="00393D5E">
        <w:rPr>
          <w:b/>
          <w:color w:val="000000" w:themeColor="text1"/>
        </w:rPr>
        <w:t>experimentální zařízení</w:t>
      </w:r>
    </w:p>
    <w:p w14:paraId="62190916" w14:textId="12B20285" w:rsidR="007B0933" w:rsidRPr="00393D5E" w:rsidRDefault="007B0933" w:rsidP="00316A1B">
      <w:pPr>
        <w:spacing w:line="276" w:lineRule="auto"/>
        <w:jc w:val="both"/>
      </w:pPr>
      <w:r w:rsidRPr="00393D5E">
        <w:tab/>
      </w:r>
      <w:r w:rsidRPr="00393D5E">
        <w:tab/>
        <w:t>Cíl 70 Vytvoření Evropského referenčního a</w:t>
      </w:r>
      <w:r w:rsidR="0003053E">
        <w:t> </w:t>
      </w:r>
      <w:r w:rsidRPr="00393D5E">
        <w:t>testovacího nástroje</w:t>
      </w:r>
    </w:p>
    <w:p w14:paraId="130FF477" w14:textId="49505F75" w:rsidR="00FB61A8" w:rsidRPr="00393D5E" w:rsidRDefault="00FB61A8" w:rsidP="00316A1B">
      <w:pPr>
        <w:spacing w:line="276" w:lineRule="auto"/>
        <w:jc w:val="both"/>
      </w:pPr>
      <w:r w:rsidRPr="00393D5E">
        <w:tab/>
      </w:r>
      <w:r w:rsidRPr="00393D5E">
        <w:tab/>
      </w:r>
    </w:p>
    <w:p w14:paraId="757E7FBC" w14:textId="173BD1A5" w:rsidR="007B0933" w:rsidRPr="00393D5E" w:rsidRDefault="5949047C" w:rsidP="5BC52D6A">
      <w:pPr>
        <w:spacing w:line="276" w:lineRule="auto"/>
        <w:ind w:left="708"/>
        <w:jc w:val="both"/>
      </w:pPr>
      <w:r w:rsidRPr="00393D5E">
        <w:t>Investice 3</w:t>
      </w:r>
      <w:r w:rsidRPr="00393D5E">
        <w:rPr>
          <w:b/>
          <w:bCs/>
        </w:rPr>
        <w:t xml:space="preserve"> Digitální transformace zpracovatelských a</w:t>
      </w:r>
      <w:r w:rsidR="0003053E">
        <w:rPr>
          <w:b/>
          <w:bCs/>
        </w:rPr>
        <w:t> </w:t>
      </w:r>
      <w:r w:rsidRPr="00393D5E">
        <w:rPr>
          <w:b/>
          <w:bCs/>
        </w:rPr>
        <w:t>nevýrobních podniků a</w:t>
      </w:r>
      <w:r w:rsidR="0003053E">
        <w:rPr>
          <w:b/>
          <w:bCs/>
        </w:rPr>
        <w:t> </w:t>
      </w:r>
      <w:r w:rsidRPr="00393D5E">
        <w:rPr>
          <w:b/>
          <w:bCs/>
        </w:rPr>
        <w:t>zvýšení jejich odolnosti</w:t>
      </w:r>
    </w:p>
    <w:p w14:paraId="10F73AF9" w14:textId="1D088411" w:rsidR="007B0933" w:rsidRPr="00393D5E" w:rsidRDefault="007B0933" w:rsidP="00316A1B">
      <w:pPr>
        <w:spacing w:line="276" w:lineRule="auto"/>
        <w:jc w:val="both"/>
      </w:pPr>
      <w:r w:rsidRPr="00393D5E">
        <w:tab/>
      </w:r>
      <w:r w:rsidRPr="00393D5E">
        <w:tab/>
        <w:t>Cíl 71 Přímá podpora pro podniky pro účely digitální transformace</w:t>
      </w:r>
    </w:p>
    <w:p w14:paraId="6ABF48DB" w14:textId="77777777" w:rsidR="00CE7EC7" w:rsidRPr="00393D5E" w:rsidRDefault="00CE7EC7" w:rsidP="00316A1B">
      <w:pPr>
        <w:spacing w:line="276" w:lineRule="auto"/>
        <w:jc w:val="both"/>
      </w:pPr>
    </w:p>
    <w:p w14:paraId="779E16AE" w14:textId="607A51C1" w:rsidR="007B0933" w:rsidRPr="00393D5E" w:rsidRDefault="007B0933" w:rsidP="00316A1B">
      <w:pPr>
        <w:spacing w:line="276" w:lineRule="auto"/>
        <w:jc w:val="both"/>
        <w:rPr>
          <w:rFonts w:asciiTheme="majorHAnsi" w:hAnsiTheme="majorHAnsi" w:cstheme="majorHAnsi"/>
          <w:b/>
          <w:sz w:val="26"/>
          <w:szCs w:val="26"/>
        </w:rPr>
      </w:pPr>
      <w:r w:rsidRPr="00393D5E">
        <w:rPr>
          <w:rFonts w:asciiTheme="majorHAnsi" w:hAnsiTheme="majorHAnsi" w:cstheme="majorHAnsi"/>
          <w:b/>
          <w:sz w:val="26"/>
          <w:szCs w:val="26"/>
        </w:rPr>
        <w:t xml:space="preserve">Komponenta 1.6 </w:t>
      </w:r>
      <w:r w:rsidRPr="00393D5E">
        <w:rPr>
          <w:rFonts w:asciiTheme="majorHAnsi" w:hAnsiTheme="majorHAnsi" w:cstheme="majorHAnsi"/>
          <w:b/>
          <w:bCs/>
          <w:smallCaps/>
          <w:sz w:val="26"/>
          <w:szCs w:val="26"/>
        </w:rPr>
        <w:t>ZRYCHLENÍ A</w:t>
      </w:r>
      <w:r w:rsidR="0003053E">
        <w:rPr>
          <w:rFonts w:asciiTheme="majorHAnsi" w:hAnsiTheme="majorHAnsi" w:cstheme="majorHAnsi"/>
          <w:b/>
          <w:bCs/>
          <w:smallCaps/>
          <w:sz w:val="26"/>
          <w:szCs w:val="26"/>
        </w:rPr>
        <w:t> </w:t>
      </w:r>
      <w:r w:rsidRPr="00393D5E">
        <w:rPr>
          <w:rFonts w:asciiTheme="majorHAnsi" w:hAnsiTheme="majorHAnsi" w:cstheme="majorHAnsi"/>
          <w:b/>
          <w:bCs/>
          <w:smallCaps/>
          <w:sz w:val="26"/>
          <w:szCs w:val="26"/>
        </w:rPr>
        <w:t>DIGITALIZACE STAVEBNÍHO ŘÍZENÍ</w:t>
      </w:r>
    </w:p>
    <w:p w14:paraId="06D90235" w14:textId="2BBCF1EE" w:rsidR="007B0933" w:rsidRPr="00393D5E" w:rsidRDefault="007B0933" w:rsidP="00316A1B">
      <w:pPr>
        <w:spacing w:line="276" w:lineRule="auto"/>
        <w:jc w:val="both"/>
        <w:rPr>
          <w:b/>
        </w:rPr>
      </w:pPr>
      <w:r w:rsidRPr="00393D5E">
        <w:tab/>
        <w:t xml:space="preserve">Reforma 1 </w:t>
      </w:r>
      <w:r w:rsidRPr="00393D5E">
        <w:rPr>
          <w:b/>
        </w:rPr>
        <w:t>Zavedení nového stavebního zákona a</w:t>
      </w:r>
      <w:r w:rsidR="0003053E">
        <w:rPr>
          <w:b/>
        </w:rPr>
        <w:t> </w:t>
      </w:r>
      <w:r w:rsidRPr="00393D5E">
        <w:rPr>
          <w:b/>
        </w:rPr>
        <w:t>pozemkového zákona do praxe</w:t>
      </w:r>
    </w:p>
    <w:p w14:paraId="4E365B6F" w14:textId="4C4686C1" w:rsidR="007B0933" w:rsidRPr="00393D5E" w:rsidRDefault="007B0933" w:rsidP="00316A1B">
      <w:pPr>
        <w:spacing w:line="276" w:lineRule="auto"/>
        <w:jc w:val="both"/>
      </w:pPr>
      <w:r w:rsidRPr="00393D5E">
        <w:tab/>
      </w:r>
      <w:r w:rsidRPr="00393D5E">
        <w:tab/>
        <w:t>Milník 73 Zahájení činnosti nové struktury stavebních úřadů</w:t>
      </w:r>
    </w:p>
    <w:p w14:paraId="48AC66B1" w14:textId="5403C3BB" w:rsidR="00FB61A8" w:rsidRPr="00393D5E" w:rsidRDefault="00FB61A8" w:rsidP="00316A1B">
      <w:pPr>
        <w:spacing w:line="276" w:lineRule="auto"/>
        <w:jc w:val="both"/>
        <w:rPr>
          <w:color w:val="FF0000"/>
        </w:rPr>
      </w:pPr>
      <w:r w:rsidRPr="00393D5E">
        <w:lastRenderedPageBreak/>
        <w:tab/>
      </w:r>
      <w:r w:rsidRPr="00393D5E">
        <w:tab/>
      </w:r>
      <w:r w:rsidRPr="00393D5E">
        <w:rPr>
          <w:color w:val="000000" w:themeColor="text1"/>
        </w:rPr>
        <w:t>Milník 74 Zkrácení procesu povolování staveb nejméně o</w:t>
      </w:r>
      <w:r w:rsidR="0003053E">
        <w:rPr>
          <w:color w:val="000000" w:themeColor="text1"/>
        </w:rPr>
        <w:t> </w:t>
      </w:r>
      <w:r w:rsidRPr="00393D5E">
        <w:rPr>
          <w:color w:val="000000" w:themeColor="text1"/>
        </w:rPr>
        <w:t>dva roky</w:t>
      </w:r>
    </w:p>
    <w:p w14:paraId="165E834C" w14:textId="77777777" w:rsidR="007B0933" w:rsidRPr="00393D5E" w:rsidRDefault="007B0933" w:rsidP="00316A1B">
      <w:pPr>
        <w:spacing w:line="276" w:lineRule="auto"/>
        <w:jc w:val="both"/>
        <w:rPr>
          <w:b/>
        </w:rPr>
      </w:pPr>
      <w:r w:rsidRPr="00393D5E">
        <w:tab/>
        <w:t xml:space="preserve">Investice 1 </w:t>
      </w:r>
      <w:r w:rsidRPr="00393D5E">
        <w:rPr>
          <w:b/>
        </w:rPr>
        <w:t>Agendový informační systému („AIS“)</w:t>
      </w:r>
    </w:p>
    <w:p w14:paraId="42DFC982" w14:textId="475ADABE" w:rsidR="007B0933" w:rsidRPr="00393D5E" w:rsidRDefault="007B0933" w:rsidP="00316A1B">
      <w:pPr>
        <w:spacing w:line="276" w:lineRule="auto"/>
        <w:jc w:val="both"/>
      </w:pPr>
      <w:r w:rsidRPr="00393D5E">
        <w:tab/>
      </w:r>
      <w:r w:rsidRPr="00393D5E">
        <w:tab/>
        <w:t>Milník 75 Plná funkčnost agendového informačního systému</w:t>
      </w:r>
    </w:p>
    <w:p w14:paraId="0386750E" w14:textId="77777777" w:rsidR="00CE7EC7" w:rsidRPr="00393D5E" w:rsidRDefault="00CE7EC7" w:rsidP="00316A1B">
      <w:pPr>
        <w:spacing w:line="276" w:lineRule="auto"/>
        <w:jc w:val="both"/>
      </w:pPr>
    </w:p>
    <w:p w14:paraId="1E426455" w14:textId="77777777" w:rsidR="007B0933" w:rsidRPr="00393D5E" w:rsidRDefault="007B0933" w:rsidP="00316A1B">
      <w:pPr>
        <w:spacing w:line="276" w:lineRule="auto"/>
        <w:jc w:val="both"/>
        <w:rPr>
          <w:rFonts w:asciiTheme="majorHAnsi" w:hAnsiTheme="majorHAnsi" w:cstheme="majorHAnsi"/>
          <w:b/>
          <w:bCs/>
          <w:smallCaps/>
          <w:sz w:val="26"/>
          <w:szCs w:val="26"/>
        </w:rPr>
      </w:pPr>
      <w:r w:rsidRPr="00393D5E">
        <w:rPr>
          <w:rFonts w:asciiTheme="majorHAnsi" w:hAnsiTheme="majorHAnsi" w:cstheme="majorHAnsi"/>
          <w:b/>
          <w:sz w:val="26"/>
          <w:szCs w:val="26"/>
        </w:rPr>
        <w:t xml:space="preserve">Komponenta 2.1 </w:t>
      </w:r>
      <w:r w:rsidRPr="00393D5E">
        <w:rPr>
          <w:rFonts w:asciiTheme="majorHAnsi" w:hAnsiTheme="majorHAnsi" w:cstheme="majorHAnsi"/>
          <w:b/>
          <w:bCs/>
          <w:smallCaps/>
          <w:sz w:val="26"/>
          <w:szCs w:val="26"/>
        </w:rPr>
        <w:t>Udržitelná doprava</w:t>
      </w:r>
    </w:p>
    <w:p w14:paraId="740FDE21" w14:textId="77777777" w:rsidR="007B0933" w:rsidRPr="00393D5E" w:rsidRDefault="007B0933" w:rsidP="00316A1B">
      <w:pPr>
        <w:spacing w:line="276" w:lineRule="auto"/>
        <w:jc w:val="both"/>
        <w:rPr>
          <w:b/>
        </w:rPr>
      </w:pPr>
      <w:r w:rsidRPr="00393D5E">
        <w:tab/>
        <w:t>Investice 3</w:t>
      </w:r>
      <w:r w:rsidRPr="00393D5E">
        <w:rPr>
          <w:b/>
        </w:rPr>
        <w:t xml:space="preserve"> Podpora železniční infrastruktury</w:t>
      </w:r>
    </w:p>
    <w:p w14:paraId="1FC97C3F" w14:textId="447EA1CF" w:rsidR="007B0933" w:rsidRPr="00393D5E" w:rsidRDefault="007B0933" w:rsidP="00316A1B">
      <w:pPr>
        <w:spacing w:line="276" w:lineRule="auto"/>
        <w:jc w:val="both"/>
      </w:pPr>
      <w:r w:rsidRPr="00393D5E">
        <w:tab/>
      </w:r>
      <w:r w:rsidRPr="00393D5E">
        <w:tab/>
        <w:t>Cíl 91 Dokončení 1</w:t>
      </w:r>
      <w:r w:rsidR="7041E4EB" w:rsidRPr="00393D5E">
        <w:t>1</w:t>
      </w:r>
      <w:r w:rsidRPr="00393D5E">
        <w:t xml:space="preserve"> dalších projektů z</w:t>
      </w:r>
      <w:r w:rsidR="0003053E">
        <w:t> </w:t>
      </w:r>
      <w:r w:rsidRPr="00393D5E">
        <w:t>předem definovaného souboru projektů</w:t>
      </w:r>
    </w:p>
    <w:p w14:paraId="0FB031DD" w14:textId="613673BC" w:rsidR="007B0933" w:rsidRPr="00393D5E" w:rsidRDefault="007B0933" w:rsidP="00316A1B">
      <w:pPr>
        <w:spacing w:line="276" w:lineRule="auto"/>
        <w:jc w:val="both"/>
      </w:pPr>
      <w:r w:rsidRPr="00393D5E">
        <w:tab/>
      </w:r>
      <w:r w:rsidRPr="00393D5E">
        <w:tab/>
        <w:t xml:space="preserve">NOVÝ cíl </w:t>
      </w:r>
      <w:r w:rsidR="0077311F">
        <w:t>261</w:t>
      </w:r>
      <w:r w:rsidRPr="00393D5E">
        <w:t xml:space="preserve"> Dokončení 1</w:t>
      </w:r>
      <w:r w:rsidR="5E96446D" w:rsidRPr="00393D5E">
        <w:t>9</w:t>
      </w:r>
      <w:r w:rsidRPr="00393D5E">
        <w:t xml:space="preserve"> dalších projektů z</w:t>
      </w:r>
      <w:r w:rsidR="0003053E">
        <w:t> </w:t>
      </w:r>
      <w:r w:rsidRPr="00393D5E">
        <w:t>předem definovaného souboru projektů</w:t>
      </w:r>
    </w:p>
    <w:p w14:paraId="7863C076" w14:textId="77777777" w:rsidR="00CE7EC7" w:rsidRPr="00393D5E" w:rsidRDefault="00CE7EC7" w:rsidP="00316A1B">
      <w:pPr>
        <w:spacing w:line="276" w:lineRule="auto"/>
        <w:jc w:val="both"/>
      </w:pPr>
    </w:p>
    <w:p w14:paraId="7575AEDE" w14:textId="77777777" w:rsidR="007B0933" w:rsidRPr="00393D5E" w:rsidRDefault="007B0933" w:rsidP="00316A1B">
      <w:pPr>
        <w:spacing w:line="276" w:lineRule="auto"/>
        <w:jc w:val="both"/>
        <w:rPr>
          <w:rFonts w:asciiTheme="majorHAnsi" w:hAnsiTheme="majorHAnsi" w:cstheme="majorHAnsi"/>
          <w:b/>
          <w:smallCaps/>
          <w:sz w:val="26"/>
          <w:szCs w:val="26"/>
        </w:rPr>
      </w:pPr>
      <w:r w:rsidRPr="00393D5E">
        <w:rPr>
          <w:rFonts w:asciiTheme="majorHAnsi" w:hAnsiTheme="majorHAnsi" w:cstheme="majorHAnsi"/>
          <w:b/>
          <w:sz w:val="26"/>
          <w:szCs w:val="26"/>
        </w:rPr>
        <w:t xml:space="preserve">Komponenta 2.2 </w:t>
      </w:r>
      <w:r w:rsidRPr="00393D5E">
        <w:rPr>
          <w:rFonts w:asciiTheme="majorHAnsi" w:hAnsiTheme="majorHAnsi" w:cstheme="majorHAnsi"/>
          <w:b/>
          <w:bCs/>
          <w:smallCaps/>
          <w:sz w:val="26"/>
          <w:szCs w:val="26"/>
        </w:rPr>
        <w:t>Snižování spotřeby energie ve veřejném sektoru</w:t>
      </w:r>
    </w:p>
    <w:p w14:paraId="3EC274B5" w14:textId="77777777" w:rsidR="007B0933" w:rsidRPr="00393D5E" w:rsidRDefault="007B0933" w:rsidP="00316A1B">
      <w:pPr>
        <w:spacing w:line="276" w:lineRule="auto"/>
        <w:jc w:val="both"/>
      </w:pPr>
      <w:r w:rsidRPr="00393D5E">
        <w:tab/>
        <w:t xml:space="preserve">Investice 1 </w:t>
      </w:r>
      <w:r w:rsidRPr="00393D5E">
        <w:rPr>
          <w:b/>
        </w:rPr>
        <w:t>Snížení energetické náročnosti budov ve vlastnictví organizačních složek státu</w:t>
      </w:r>
    </w:p>
    <w:p w14:paraId="4504198C" w14:textId="77777777" w:rsidR="007B0933" w:rsidRPr="00393D5E" w:rsidRDefault="5949047C" w:rsidP="5BC52D6A">
      <w:pPr>
        <w:spacing w:line="276" w:lineRule="auto"/>
        <w:ind w:left="1416"/>
        <w:jc w:val="both"/>
      </w:pPr>
      <w:r w:rsidRPr="00393D5E">
        <w:t>Cíl 103 Zadání 75 % všech veřejných zakázek na projekty renovace budov dosahujících alespoň 30 % úspor primární energie</w:t>
      </w:r>
    </w:p>
    <w:p w14:paraId="4954E8E0" w14:textId="77777777" w:rsidR="007B0933" w:rsidRPr="00393D5E" w:rsidRDefault="007B0933" w:rsidP="00316A1B">
      <w:pPr>
        <w:spacing w:line="276" w:lineRule="auto"/>
        <w:jc w:val="both"/>
      </w:pPr>
      <w:r w:rsidRPr="00393D5E">
        <w:tab/>
      </w:r>
      <w:r w:rsidRPr="00393D5E">
        <w:tab/>
        <w:t>Cíl 104 Snižování spotřeby energie</w:t>
      </w:r>
    </w:p>
    <w:p w14:paraId="5976AB1F" w14:textId="77777777" w:rsidR="007B0933" w:rsidRPr="00393D5E" w:rsidRDefault="007B0933" w:rsidP="00316A1B">
      <w:pPr>
        <w:spacing w:line="276" w:lineRule="auto"/>
        <w:jc w:val="both"/>
        <w:rPr>
          <w:b/>
        </w:rPr>
      </w:pPr>
      <w:r w:rsidRPr="00393D5E">
        <w:tab/>
        <w:t xml:space="preserve">Investice 2 </w:t>
      </w:r>
      <w:r w:rsidRPr="00393D5E">
        <w:rPr>
          <w:b/>
        </w:rPr>
        <w:t>Zvýšení energetické účinnosti systémů veřejného osvětlení</w:t>
      </w:r>
    </w:p>
    <w:p w14:paraId="388FA49F" w14:textId="77777777" w:rsidR="007B0933" w:rsidRPr="00393D5E" w:rsidRDefault="5949047C" w:rsidP="5BC52D6A">
      <w:pPr>
        <w:spacing w:line="276" w:lineRule="auto"/>
        <w:ind w:left="1416"/>
        <w:jc w:val="both"/>
      </w:pPr>
      <w:r w:rsidRPr="00393D5E">
        <w:t>Cíl 106 Zadání 80 % všech veřejných zakázek na projekty renovace systémů veřejného osvětlení dosahujících alespoň 30 % úspor primární energie</w:t>
      </w:r>
    </w:p>
    <w:p w14:paraId="79AB31DD" w14:textId="77777777" w:rsidR="007B0933" w:rsidRPr="00393D5E" w:rsidRDefault="5949047C" w:rsidP="5BC52D6A">
      <w:pPr>
        <w:spacing w:line="276" w:lineRule="auto"/>
        <w:ind w:left="708"/>
        <w:jc w:val="both"/>
        <w:rPr>
          <w:b/>
          <w:bCs/>
        </w:rPr>
      </w:pPr>
      <w:r w:rsidRPr="00393D5E">
        <w:t>Investice 3</w:t>
      </w:r>
      <w:r w:rsidRPr="00393D5E">
        <w:rPr>
          <w:b/>
          <w:bCs/>
        </w:rPr>
        <w:t xml:space="preserve"> Snížení energetické náročnosti budov ve vlastnictví veřejných subjektů</w:t>
      </w:r>
    </w:p>
    <w:p w14:paraId="37A4DDC7" w14:textId="77777777" w:rsidR="007B0933" w:rsidRPr="00393D5E" w:rsidRDefault="5949047C" w:rsidP="5BC52D6A">
      <w:pPr>
        <w:spacing w:line="276" w:lineRule="auto"/>
        <w:ind w:left="1416"/>
        <w:jc w:val="both"/>
      </w:pPr>
      <w:r w:rsidRPr="00393D5E">
        <w:t>Cíl 108 Zadání 75 % všech veřejných zakázek na projekty renovace budov dosahujících alespoň 30 % úspor primární energie</w:t>
      </w:r>
    </w:p>
    <w:p w14:paraId="4ADCE3C0" w14:textId="25DB6122" w:rsidR="007B0933" w:rsidRPr="00393D5E" w:rsidRDefault="007B0933" w:rsidP="00316A1B">
      <w:pPr>
        <w:spacing w:line="276" w:lineRule="auto"/>
        <w:jc w:val="both"/>
      </w:pPr>
      <w:r w:rsidRPr="00393D5E">
        <w:tab/>
      </w:r>
      <w:r w:rsidRPr="00393D5E">
        <w:tab/>
        <w:t>Cíl 109 Snižování spotřeby energie</w:t>
      </w:r>
    </w:p>
    <w:p w14:paraId="6C2A2F57" w14:textId="77777777" w:rsidR="00CE7EC7" w:rsidRPr="00393D5E" w:rsidRDefault="00CE7EC7" w:rsidP="00316A1B">
      <w:pPr>
        <w:spacing w:line="276" w:lineRule="auto"/>
        <w:jc w:val="both"/>
      </w:pPr>
    </w:p>
    <w:p w14:paraId="171A0908" w14:textId="2966FC37" w:rsidR="007B0933" w:rsidRPr="00393D5E" w:rsidRDefault="007B0933" w:rsidP="00316A1B">
      <w:pPr>
        <w:spacing w:line="276" w:lineRule="auto"/>
        <w:jc w:val="both"/>
        <w:rPr>
          <w:rFonts w:asciiTheme="majorHAnsi" w:hAnsiTheme="majorHAnsi" w:cstheme="majorHAnsi"/>
          <w:b/>
          <w:bCs/>
          <w:smallCaps/>
          <w:sz w:val="26"/>
          <w:szCs w:val="26"/>
        </w:rPr>
      </w:pPr>
      <w:r w:rsidRPr="00393D5E">
        <w:rPr>
          <w:rFonts w:asciiTheme="majorHAnsi" w:hAnsiTheme="majorHAnsi" w:cstheme="majorHAnsi"/>
          <w:b/>
          <w:sz w:val="26"/>
          <w:szCs w:val="26"/>
        </w:rPr>
        <w:t xml:space="preserve">Komponenta 2.3 </w:t>
      </w:r>
      <w:r w:rsidRPr="00393D5E">
        <w:rPr>
          <w:rFonts w:asciiTheme="majorHAnsi" w:hAnsiTheme="majorHAnsi" w:cstheme="majorHAnsi"/>
          <w:b/>
          <w:bCs/>
          <w:smallCaps/>
          <w:sz w:val="26"/>
          <w:szCs w:val="26"/>
        </w:rPr>
        <w:t>PŘECHOD NA ČISTŠÍ ZDROJE ENERGIE</w:t>
      </w:r>
    </w:p>
    <w:p w14:paraId="6EE69B20" w14:textId="63BE06CC" w:rsidR="00CE7EC7" w:rsidRPr="00393D5E" w:rsidRDefault="004F79B6" w:rsidP="004F79B6">
      <w:pPr>
        <w:spacing w:line="276" w:lineRule="auto"/>
        <w:ind w:firstLine="708"/>
        <w:jc w:val="both"/>
        <w:rPr>
          <w:b/>
        </w:rPr>
      </w:pPr>
      <w:r w:rsidRPr="00393D5E">
        <w:t xml:space="preserve">Reforma č. 1: </w:t>
      </w:r>
      <w:r w:rsidRPr="00393D5E">
        <w:rPr>
          <w:b/>
        </w:rPr>
        <w:t>Modernizace distribuce tepla v</w:t>
      </w:r>
      <w:r w:rsidR="0003053E">
        <w:rPr>
          <w:b/>
        </w:rPr>
        <w:t> </w:t>
      </w:r>
      <w:r w:rsidRPr="00393D5E">
        <w:rPr>
          <w:b/>
        </w:rPr>
        <w:t>soustavách dálkového vytápění</w:t>
      </w:r>
    </w:p>
    <w:p w14:paraId="54873BA8" w14:textId="054DE4CF" w:rsidR="004F79B6" w:rsidRPr="00393D5E" w:rsidRDefault="004F79B6" w:rsidP="004F79B6">
      <w:pPr>
        <w:spacing w:line="276" w:lineRule="auto"/>
        <w:ind w:firstLine="708"/>
        <w:jc w:val="both"/>
      </w:pPr>
      <w:r w:rsidRPr="00393D5E">
        <w:tab/>
        <w:t>Milník 110 Posouzení dekarbonizace dálkového vytápění v</w:t>
      </w:r>
      <w:r w:rsidR="0003053E">
        <w:t> </w:t>
      </w:r>
      <w:r w:rsidRPr="00393D5E">
        <w:t>Česku</w:t>
      </w:r>
    </w:p>
    <w:p w14:paraId="55D2259F" w14:textId="3C7615CF" w:rsidR="004F79B6" w:rsidRPr="00393D5E" w:rsidRDefault="004F79B6" w:rsidP="004F79B6">
      <w:pPr>
        <w:spacing w:line="276" w:lineRule="auto"/>
        <w:ind w:firstLine="708"/>
        <w:jc w:val="both"/>
        <w:rPr>
          <w:b/>
        </w:rPr>
      </w:pPr>
      <w:r w:rsidRPr="00393D5E">
        <w:t xml:space="preserve">Reforma č. 2: </w:t>
      </w:r>
      <w:r w:rsidRPr="00393D5E">
        <w:rPr>
          <w:b/>
        </w:rPr>
        <w:t>Modernizace distribuce tepla v</w:t>
      </w:r>
      <w:r w:rsidR="0003053E">
        <w:rPr>
          <w:b/>
        </w:rPr>
        <w:t> </w:t>
      </w:r>
      <w:r w:rsidRPr="00393D5E">
        <w:rPr>
          <w:b/>
        </w:rPr>
        <w:t>soustavách dálkového vytápění</w:t>
      </w:r>
    </w:p>
    <w:p w14:paraId="343E2E6B" w14:textId="4C530832" w:rsidR="004F79B6" w:rsidRPr="00393D5E" w:rsidRDefault="004F79B6" w:rsidP="004F79B6">
      <w:pPr>
        <w:spacing w:line="276" w:lineRule="auto"/>
        <w:ind w:firstLine="708"/>
        <w:jc w:val="both"/>
      </w:pPr>
      <w:r w:rsidRPr="00393D5E">
        <w:tab/>
        <w:t>Milník 111 Posouzení trajektorií udržitelných dodávek biomasy v</w:t>
      </w:r>
      <w:r w:rsidR="0003053E">
        <w:t> </w:t>
      </w:r>
      <w:r w:rsidRPr="00393D5E">
        <w:t>Česku</w:t>
      </w:r>
    </w:p>
    <w:p w14:paraId="5CD927EF" w14:textId="77777777" w:rsidR="007B0933" w:rsidRPr="00393D5E" w:rsidRDefault="007B0933" w:rsidP="00316A1B">
      <w:pPr>
        <w:spacing w:line="276" w:lineRule="auto"/>
        <w:jc w:val="both"/>
        <w:rPr>
          <w:rFonts w:asciiTheme="majorHAnsi" w:hAnsiTheme="majorHAnsi" w:cstheme="majorHAnsi"/>
          <w:b/>
          <w:bCs/>
          <w:smallCaps/>
          <w:sz w:val="26"/>
          <w:szCs w:val="26"/>
        </w:rPr>
      </w:pPr>
      <w:r w:rsidRPr="00393D5E">
        <w:rPr>
          <w:rFonts w:asciiTheme="majorHAnsi" w:hAnsiTheme="majorHAnsi" w:cstheme="majorHAnsi"/>
          <w:b/>
          <w:sz w:val="26"/>
          <w:szCs w:val="26"/>
        </w:rPr>
        <w:t xml:space="preserve">Komponenta 2.4 </w:t>
      </w:r>
      <w:r w:rsidRPr="00393D5E">
        <w:rPr>
          <w:rFonts w:asciiTheme="majorHAnsi" w:hAnsiTheme="majorHAnsi" w:cstheme="majorHAnsi"/>
          <w:b/>
          <w:bCs/>
          <w:smallCaps/>
          <w:sz w:val="26"/>
          <w:szCs w:val="26"/>
        </w:rPr>
        <w:t>ČISTÁ MOBILITA</w:t>
      </w:r>
    </w:p>
    <w:p w14:paraId="11DDE63A" w14:textId="77777777" w:rsidR="007B0933" w:rsidRPr="00393D5E" w:rsidRDefault="007B0933" w:rsidP="00316A1B">
      <w:pPr>
        <w:spacing w:line="276" w:lineRule="auto"/>
        <w:jc w:val="both"/>
      </w:pPr>
      <w:r w:rsidRPr="00393D5E">
        <w:tab/>
        <w:t xml:space="preserve">Investice 1 </w:t>
      </w:r>
      <w:r w:rsidRPr="00393D5E">
        <w:rPr>
          <w:b/>
        </w:rPr>
        <w:t>Budování infrastruktury pro veřejnou dopravu (Praha)</w:t>
      </w:r>
    </w:p>
    <w:p w14:paraId="08D5EFDA" w14:textId="77777777" w:rsidR="007B0933" w:rsidRPr="00393D5E" w:rsidRDefault="007B0933" w:rsidP="00316A1B">
      <w:pPr>
        <w:spacing w:line="276" w:lineRule="auto"/>
        <w:jc w:val="both"/>
      </w:pPr>
      <w:r w:rsidRPr="00393D5E">
        <w:tab/>
      </w:r>
      <w:r w:rsidRPr="00393D5E">
        <w:tab/>
        <w:t>Cíl 116 Počet kilometrů dynamických dobíjecích komunikací pro hl. m. Praha</w:t>
      </w:r>
    </w:p>
    <w:p w14:paraId="125F3B31" w14:textId="77777777" w:rsidR="007B0933" w:rsidRPr="00393D5E" w:rsidRDefault="007B0933" w:rsidP="00316A1B">
      <w:pPr>
        <w:spacing w:line="276" w:lineRule="auto"/>
        <w:jc w:val="both"/>
      </w:pPr>
      <w:r w:rsidRPr="00393D5E">
        <w:lastRenderedPageBreak/>
        <w:tab/>
        <w:t xml:space="preserve">Investice 2 </w:t>
      </w:r>
      <w:r w:rsidRPr="00393D5E">
        <w:rPr>
          <w:b/>
          <w:bCs/>
        </w:rPr>
        <w:t>Budování neveřejné infrastruktury – dobíjecí body pro soukromé společnosti</w:t>
      </w:r>
    </w:p>
    <w:p w14:paraId="6A6E74BB" w14:textId="77777777" w:rsidR="007B0933" w:rsidRPr="00393D5E" w:rsidRDefault="007B0933" w:rsidP="00316A1B">
      <w:pPr>
        <w:spacing w:line="276" w:lineRule="auto"/>
        <w:jc w:val="both"/>
      </w:pPr>
      <w:r w:rsidRPr="00393D5E">
        <w:tab/>
      </w:r>
      <w:r w:rsidRPr="00393D5E">
        <w:tab/>
        <w:t>Cíl 117 Počet dobíjecích stanic rozmístěných pro soukromé společnosti</w:t>
      </w:r>
    </w:p>
    <w:p w14:paraId="2A811109" w14:textId="77777777" w:rsidR="007B0933" w:rsidRPr="00393D5E" w:rsidRDefault="5949047C" w:rsidP="5BC52D6A">
      <w:pPr>
        <w:spacing w:line="276" w:lineRule="auto"/>
        <w:ind w:left="708"/>
        <w:jc w:val="both"/>
      </w:pPr>
      <w:r w:rsidRPr="00393D5E">
        <w:t xml:space="preserve">Investice 4 </w:t>
      </w:r>
      <w:r w:rsidRPr="00393D5E">
        <w:rPr>
          <w:b/>
          <w:bCs/>
        </w:rPr>
        <w:t>Podpora nákupu vozidel – vozidla (elektrická, H2, e-cargokola) pro podnikatelské subjekty</w:t>
      </w:r>
    </w:p>
    <w:p w14:paraId="34775DB6" w14:textId="1FDA0FF7" w:rsidR="007B0933" w:rsidRPr="00393D5E" w:rsidRDefault="007B0933" w:rsidP="00316A1B">
      <w:pPr>
        <w:spacing w:line="276" w:lineRule="auto"/>
        <w:jc w:val="both"/>
      </w:pPr>
      <w:r w:rsidRPr="00393D5E">
        <w:tab/>
      </w:r>
      <w:r w:rsidRPr="00393D5E">
        <w:tab/>
        <w:t>Cíl 119 Počet vozidel (elektrických, H2, elektrokol) pro soukromé společnosti</w:t>
      </w:r>
    </w:p>
    <w:p w14:paraId="0BA33B98" w14:textId="77777777" w:rsidR="00CE7EC7" w:rsidRPr="00393D5E" w:rsidRDefault="00CE7EC7" w:rsidP="00316A1B">
      <w:pPr>
        <w:spacing w:line="276" w:lineRule="auto"/>
        <w:jc w:val="both"/>
      </w:pPr>
    </w:p>
    <w:p w14:paraId="6252E7FB" w14:textId="289D17E8" w:rsidR="007B0933" w:rsidRPr="00393D5E" w:rsidRDefault="007B0933" w:rsidP="00316A1B">
      <w:pPr>
        <w:spacing w:line="276" w:lineRule="auto"/>
        <w:jc w:val="both"/>
        <w:rPr>
          <w:rFonts w:asciiTheme="majorHAnsi" w:hAnsiTheme="majorHAnsi" w:cstheme="majorHAnsi"/>
          <w:b/>
          <w:bCs/>
          <w:smallCaps/>
          <w:sz w:val="26"/>
          <w:szCs w:val="26"/>
        </w:rPr>
      </w:pPr>
      <w:r w:rsidRPr="00393D5E">
        <w:rPr>
          <w:rFonts w:asciiTheme="majorHAnsi" w:hAnsiTheme="majorHAnsi" w:cstheme="majorHAnsi"/>
          <w:b/>
          <w:sz w:val="26"/>
          <w:szCs w:val="26"/>
        </w:rPr>
        <w:t xml:space="preserve">Komponenta 2.5 </w:t>
      </w:r>
      <w:r w:rsidRPr="00393D5E">
        <w:rPr>
          <w:rFonts w:asciiTheme="majorHAnsi" w:hAnsiTheme="majorHAnsi" w:cstheme="majorHAnsi"/>
          <w:b/>
          <w:bCs/>
          <w:smallCaps/>
          <w:sz w:val="26"/>
          <w:szCs w:val="26"/>
        </w:rPr>
        <w:t>RENOVACE BUDOV A</w:t>
      </w:r>
      <w:r w:rsidR="0003053E">
        <w:rPr>
          <w:rFonts w:asciiTheme="majorHAnsi" w:hAnsiTheme="majorHAnsi" w:cstheme="majorHAnsi"/>
          <w:b/>
          <w:bCs/>
          <w:smallCaps/>
          <w:sz w:val="26"/>
          <w:szCs w:val="26"/>
        </w:rPr>
        <w:t> </w:t>
      </w:r>
      <w:r w:rsidRPr="00393D5E">
        <w:rPr>
          <w:rFonts w:asciiTheme="majorHAnsi" w:hAnsiTheme="majorHAnsi" w:cstheme="majorHAnsi"/>
          <w:b/>
          <w:bCs/>
          <w:smallCaps/>
          <w:sz w:val="26"/>
          <w:szCs w:val="26"/>
        </w:rPr>
        <w:t>OCHRANA OVZDUŠÍ</w:t>
      </w:r>
    </w:p>
    <w:p w14:paraId="219A725C" w14:textId="127493D3" w:rsidR="007B0933" w:rsidRPr="00393D5E" w:rsidRDefault="007B0933" w:rsidP="00316A1B">
      <w:pPr>
        <w:spacing w:line="276" w:lineRule="auto"/>
        <w:jc w:val="both"/>
      </w:pPr>
      <w:r w:rsidRPr="00393D5E">
        <w:tab/>
        <w:t xml:space="preserve">Investice 1 </w:t>
      </w:r>
      <w:r w:rsidRPr="00393D5E">
        <w:rPr>
          <w:b/>
          <w:bCs/>
        </w:rPr>
        <w:t>Renovace a</w:t>
      </w:r>
      <w:r w:rsidR="0003053E">
        <w:rPr>
          <w:b/>
          <w:bCs/>
        </w:rPr>
        <w:t> </w:t>
      </w:r>
      <w:r w:rsidRPr="00393D5E">
        <w:rPr>
          <w:b/>
          <w:bCs/>
        </w:rPr>
        <w:t>revitalizace budov pro úspory energie</w:t>
      </w:r>
    </w:p>
    <w:p w14:paraId="3D21F5A9" w14:textId="6145C467" w:rsidR="007B0933" w:rsidRPr="00393D5E" w:rsidRDefault="594F3165" w:rsidP="00316A1B">
      <w:pPr>
        <w:spacing w:line="276" w:lineRule="auto"/>
        <w:ind w:left="1416"/>
        <w:jc w:val="both"/>
      </w:pPr>
      <w:r w:rsidRPr="00393D5E">
        <w:t xml:space="preserve">Cíl 125 </w:t>
      </w:r>
      <w:r w:rsidR="00D70836" w:rsidRPr="00804DA3">
        <w:t>Zadány zakázky na projekty týkající se snižování spotřeby energie</w:t>
      </w:r>
    </w:p>
    <w:p w14:paraId="5ADA1DBF" w14:textId="4C8234D6" w:rsidR="007B0933" w:rsidRPr="00393D5E" w:rsidRDefault="007B0933" w:rsidP="00316A1B">
      <w:pPr>
        <w:spacing w:line="276" w:lineRule="auto"/>
        <w:jc w:val="both"/>
      </w:pPr>
      <w:r w:rsidRPr="00393D5E">
        <w:tab/>
      </w:r>
      <w:r w:rsidRPr="00393D5E">
        <w:tab/>
        <w:t>Cíl 126 Snížení spotřeby energie a</w:t>
      </w:r>
      <w:r w:rsidR="0003053E">
        <w:t> </w:t>
      </w:r>
      <w:r w:rsidRPr="00393D5E">
        <w:t>snížení emisí CO2</w:t>
      </w:r>
    </w:p>
    <w:p w14:paraId="7CB421EB" w14:textId="254B696A" w:rsidR="007B0933" w:rsidRPr="00393D5E" w:rsidRDefault="53E31113" w:rsidP="5BC52D6A">
      <w:pPr>
        <w:spacing w:line="276" w:lineRule="auto"/>
        <w:ind w:left="708"/>
        <w:jc w:val="both"/>
        <w:rPr>
          <w:b/>
          <w:bCs/>
        </w:rPr>
      </w:pPr>
      <w:r w:rsidRPr="00393D5E">
        <w:t xml:space="preserve">Investice 2 </w:t>
      </w:r>
      <w:r w:rsidRPr="00393D5E">
        <w:rPr>
          <w:b/>
          <w:bCs/>
        </w:rPr>
        <w:t>Nahrazení stacionárních zdrojů znečištění v</w:t>
      </w:r>
      <w:r w:rsidR="0003053E">
        <w:rPr>
          <w:b/>
          <w:bCs/>
        </w:rPr>
        <w:t> </w:t>
      </w:r>
      <w:r w:rsidRPr="00393D5E">
        <w:rPr>
          <w:b/>
          <w:bCs/>
        </w:rPr>
        <w:t>domácnostech obnovitelnými zdroji energie</w:t>
      </w:r>
    </w:p>
    <w:p w14:paraId="6857FC5F" w14:textId="115EAE9D" w:rsidR="007B0933" w:rsidRPr="00393D5E" w:rsidRDefault="594F3165" w:rsidP="00316A1B">
      <w:pPr>
        <w:spacing w:line="276" w:lineRule="auto"/>
        <w:ind w:left="1416"/>
        <w:jc w:val="both"/>
      </w:pPr>
      <w:r w:rsidRPr="00393D5E">
        <w:t xml:space="preserve">Cíl 127 </w:t>
      </w:r>
      <w:r w:rsidR="00D70836" w:rsidRPr="00804DA3">
        <w:t>Zadány zakázky na projekty týkající se snižování spotřeby energie</w:t>
      </w:r>
    </w:p>
    <w:p w14:paraId="1279BD07" w14:textId="7F9AF9A3" w:rsidR="007B0933" w:rsidRPr="00393D5E" w:rsidRDefault="007B0933" w:rsidP="00316A1B">
      <w:pPr>
        <w:spacing w:line="276" w:lineRule="auto"/>
        <w:jc w:val="both"/>
      </w:pPr>
      <w:r w:rsidRPr="00393D5E">
        <w:tab/>
      </w:r>
      <w:r w:rsidRPr="00393D5E">
        <w:tab/>
        <w:t>Cíl 128 Snížení spotřeby energie a</w:t>
      </w:r>
      <w:r w:rsidR="0003053E">
        <w:t> </w:t>
      </w:r>
      <w:r w:rsidRPr="00393D5E">
        <w:t>emisí CO2 (35 % provedeno)</w:t>
      </w:r>
    </w:p>
    <w:p w14:paraId="63557A53" w14:textId="65B9A7F6" w:rsidR="007B0933" w:rsidRDefault="007B0933" w:rsidP="00316A1B">
      <w:pPr>
        <w:spacing w:line="276" w:lineRule="auto"/>
        <w:jc w:val="both"/>
      </w:pPr>
      <w:r w:rsidRPr="00393D5E">
        <w:tab/>
      </w:r>
      <w:r w:rsidRPr="00393D5E">
        <w:tab/>
        <w:t>Cíl 129 Snížení spotřeby energie a</w:t>
      </w:r>
      <w:r w:rsidR="0003053E">
        <w:t> </w:t>
      </w:r>
      <w:r w:rsidRPr="00393D5E">
        <w:t>snížení emisí CO2</w:t>
      </w:r>
    </w:p>
    <w:p w14:paraId="5BADB53F" w14:textId="77777777" w:rsidR="001E0204" w:rsidRPr="00393D5E" w:rsidRDefault="001E0204" w:rsidP="00316A1B">
      <w:pPr>
        <w:spacing w:line="276" w:lineRule="auto"/>
        <w:jc w:val="both"/>
      </w:pPr>
    </w:p>
    <w:p w14:paraId="6574C81E" w14:textId="77777777" w:rsidR="00CE7EC7" w:rsidRPr="00393D5E" w:rsidRDefault="00CE7EC7" w:rsidP="00316A1B">
      <w:pPr>
        <w:spacing w:line="276" w:lineRule="auto"/>
        <w:jc w:val="both"/>
      </w:pPr>
    </w:p>
    <w:p w14:paraId="6142B89D" w14:textId="676E4521" w:rsidR="007B0933" w:rsidRPr="00393D5E" w:rsidRDefault="007B0933" w:rsidP="00316A1B">
      <w:pPr>
        <w:spacing w:line="276" w:lineRule="auto"/>
        <w:jc w:val="both"/>
        <w:rPr>
          <w:rFonts w:asciiTheme="majorHAnsi" w:hAnsiTheme="majorHAnsi" w:cstheme="majorHAnsi"/>
          <w:b/>
          <w:sz w:val="26"/>
          <w:szCs w:val="26"/>
        </w:rPr>
      </w:pPr>
      <w:r w:rsidRPr="00393D5E">
        <w:rPr>
          <w:rFonts w:asciiTheme="majorHAnsi" w:hAnsiTheme="majorHAnsi" w:cstheme="majorHAnsi"/>
          <w:b/>
          <w:sz w:val="26"/>
          <w:szCs w:val="26"/>
        </w:rPr>
        <w:t>Komponenta 2.6 OCHRANA PŘÍRODY A</w:t>
      </w:r>
      <w:r w:rsidR="0003053E">
        <w:rPr>
          <w:rFonts w:asciiTheme="majorHAnsi" w:hAnsiTheme="majorHAnsi" w:cstheme="majorHAnsi"/>
          <w:b/>
          <w:sz w:val="26"/>
          <w:szCs w:val="26"/>
        </w:rPr>
        <w:t> </w:t>
      </w:r>
      <w:r w:rsidRPr="00393D5E">
        <w:rPr>
          <w:rFonts w:asciiTheme="majorHAnsi" w:hAnsiTheme="majorHAnsi" w:cstheme="majorHAnsi"/>
          <w:b/>
          <w:sz w:val="26"/>
          <w:szCs w:val="26"/>
        </w:rPr>
        <w:t>ADAPTACE NA ZMĚNU KLIMATU</w:t>
      </w:r>
    </w:p>
    <w:p w14:paraId="57B13F8B" w14:textId="77777777" w:rsidR="007B0933" w:rsidRPr="00393D5E" w:rsidRDefault="007B0933" w:rsidP="00316A1B">
      <w:pPr>
        <w:spacing w:line="276" w:lineRule="auto"/>
        <w:jc w:val="both"/>
      </w:pPr>
      <w:r w:rsidRPr="00393D5E">
        <w:tab/>
        <w:t xml:space="preserve">Investice 1 </w:t>
      </w:r>
      <w:r w:rsidRPr="00393D5E">
        <w:rPr>
          <w:b/>
        </w:rPr>
        <w:t>Protipovodňová ochrana</w:t>
      </w:r>
    </w:p>
    <w:p w14:paraId="2C926505" w14:textId="04254FDA" w:rsidR="007B0933" w:rsidRPr="00393D5E" w:rsidRDefault="007B0933" w:rsidP="00316A1B">
      <w:pPr>
        <w:spacing w:line="276" w:lineRule="auto"/>
        <w:ind w:left="1418" w:hanging="2"/>
        <w:jc w:val="both"/>
      </w:pPr>
      <w:r w:rsidRPr="00393D5E">
        <w:t xml:space="preserve">Cíl 132 C1: Dokončení </w:t>
      </w:r>
      <w:r w:rsidR="002B4334">
        <w:t>15</w:t>
      </w:r>
      <w:r w:rsidRPr="00393D5E">
        <w:t xml:space="preserve"> projektů zaměřených na vybudování odolné protipovodňové ochrany</w:t>
      </w:r>
    </w:p>
    <w:p w14:paraId="073A3A06" w14:textId="6D1E904A" w:rsidR="007B0933" w:rsidRPr="00393D5E" w:rsidRDefault="5949047C" w:rsidP="5BC52D6A">
      <w:pPr>
        <w:spacing w:line="276" w:lineRule="auto"/>
        <w:ind w:left="1416"/>
        <w:jc w:val="both"/>
      </w:pPr>
      <w:r w:rsidRPr="00393D5E">
        <w:t xml:space="preserve">Cíl 133 C2: Dokončení dalších </w:t>
      </w:r>
      <w:r w:rsidR="002B4334">
        <w:t>23</w:t>
      </w:r>
      <w:r w:rsidRPr="00393D5E">
        <w:t xml:space="preserve"> projektů zaměřených na vybudování odolné protipovodňové ochrany.</w:t>
      </w:r>
    </w:p>
    <w:p w14:paraId="5FD0BD69" w14:textId="2F9233F2" w:rsidR="007B0933" w:rsidRPr="00393D5E" w:rsidRDefault="007B0933" w:rsidP="00316A1B">
      <w:pPr>
        <w:spacing w:line="276" w:lineRule="auto"/>
        <w:ind w:firstLine="708"/>
        <w:jc w:val="both"/>
      </w:pPr>
      <w:r w:rsidRPr="00393D5E">
        <w:t xml:space="preserve">Investice 2 </w:t>
      </w:r>
      <w:r w:rsidRPr="00393D5E">
        <w:rPr>
          <w:b/>
        </w:rPr>
        <w:t>Malé vodní toky a</w:t>
      </w:r>
      <w:r w:rsidR="0003053E">
        <w:rPr>
          <w:b/>
        </w:rPr>
        <w:t> </w:t>
      </w:r>
      <w:r w:rsidRPr="00393D5E">
        <w:rPr>
          <w:b/>
        </w:rPr>
        <w:t>vodní nádrže</w:t>
      </w:r>
    </w:p>
    <w:p w14:paraId="65FF5F0D" w14:textId="1B44E2DC" w:rsidR="007B0933" w:rsidRPr="00393D5E" w:rsidRDefault="007B0933" w:rsidP="00316A1B">
      <w:pPr>
        <w:spacing w:line="276" w:lineRule="auto"/>
        <w:ind w:firstLine="708"/>
        <w:jc w:val="both"/>
      </w:pPr>
      <w:r w:rsidRPr="00393D5E">
        <w:tab/>
        <w:t>Cíl 135 Dokončení 50 % projektů pro malé vodní toky a</w:t>
      </w:r>
      <w:r w:rsidR="0003053E">
        <w:t> </w:t>
      </w:r>
      <w:r w:rsidRPr="00393D5E">
        <w:t>vodní nádrže</w:t>
      </w:r>
    </w:p>
    <w:p w14:paraId="10EE63DF" w14:textId="24FBE09B" w:rsidR="007B0933" w:rsidRPr="00393D5E" w:rsidRDefault="007B0933" w:rsidP="00316A1B">
      <w:pPr>
        <w:spacing w:line="276" w:lineRule="auto"/>
        <w:ind w:firstLine="708"/>
        <w:jc w:val="both"/>
      </w:pPr>
      <w:r w:rsidRPr="00393D5E">
        <w:tab/>
        <w:t>Cíl 136 Dokončení dalších 50 % projektů pro malé vodní toky a</w:t>
      </w:r>
      <w:r w:rsidR="0003053E">
        <w:t> </w:t>
      </w:r>
      <w:r w:rsidRPr="00393D5E">
        <w:t>vodní nádrže</w:t>
      </w:r>
    </w:p>
    <w:p w14:paraId="247A15F0" w14:textId="77777777" w:rsidR="007B0933" w:rsidRPr="00393D5E" w:rsidRDefault="007B0933" w:rsidP="00316A1B">
      <w:pPr>
        <w:spacing w:line="276" w:lineRule="auto"/>
        <w:jc w:val="both"/>
        <w:rPr>
          <w:b/>
        </w:rPr>
      </w:pPr>
      <w:r w:rsidRPr="00393D5E">
        <w:tab/>
        <w:t xml:space="preserve">Investice 3 </w:t>
      </w:r>
      <w:r w:rsidRPr="00393D5E">
        <w:rPr>
          <w:b/>
        </w:rPr>
        <w:t xml:space="preserve">Provádění pozemkových úprav </w:t>
      </w:r>
    </w:p>
    <w:p w14:paraId="7AA86D4E" w14:textId="5390D634" w:rsidR="007B0933" w:rsidRPr="00393D5E" w:rsidRDefault="5949047C" w:rsidP="5BC52D6A">
      <w:pPr>
        <w:spacing w:line="276" w:lineRule="auto"/>
        <w:ind w:left="1416"/>
        <w:jc w:val="both"/>
      </w:pPr>
      <w:r w:rsidRPr="00393D5E">
        <w:t>Cíl 137 Dokončení zelené infrastruktury na podporu biologické rozmanitosti, včetně biocenter, biokoridorů a</w:t>
      </w:r>
      <w:r w:rsidR="0003053E">
        <w:t> </w:t>
      </w:r>
      <w:r w:rsidRPr="00393D5E">
        <w:t>výsadby místně typické zeleně v</w:t>
      </w:r>
      <w:r w:rsidR="0003053E">
        <w:t> </w:t>
      </w:r>
      <w:r w:rsidRPr="00393D5E">
        <w:t>zemědělské krajině (v ha půdy, na níž se investice uskuteční).</w:t>
      </w:r>
    </w:p>
    <w:p w14:paraId="2A76305D" w14:textId="38B8FA75" w:rsidR="007B0933" w:rsidRPr="00393D5E" w:rsidRDefault="5949047C" w:rsidP="5BC52D6A">
      <w:pPr>
        <w:spacing w:line="276" w:lineRule="auto"/>
        <w:ind w:left="1416"/>
        <w:jc w:val="both"/>
      </w:pPr>
      <w:r w:rsidRPr="00393D5E">
        <w:t>Cíl 138 Dokončení činností na ochranu životního prostředí a</w:t>
      </w:r>
      <w:r w:rsidR="0003053E">
        <w:t> </w:t>
      </w:r>
      <w:r w:rsidRPr="00393D5E">
        <w:t>přizpůsobení se změně klimatu (v ha půdy, na níž se investice uskuteční)</w:t>
      </w:r>
    </w:p>
    <w:p w14:paraId="21684494" w14:textId="77777777" w:rsidR="00CE7EC7" w:rsidRPr="00393D5E" w:rsidRDefault="00CE7EC7" w:rsidP="00316A1B">
      <w:pPr>
        <w:spacing w:line="276" w:lineRule="auto"/>
        <w:ind w:left="1418" w:hanging="1418"/>
        <w:jc w:val="both"/>
      </w:pPr>
    </w:p>
    <w:p w14:paraId="132A3056" w14:textId="161F356C" w:rsidR="007B0933" w:rsidRPr="00393D5E" w:rsidRDefault="007B0933" w:rsidP="00316A1B">
      <w:pPr>
        <w:spacing w:line="276" w:lineRule="auto"/>
        <w:jc w:val="both"/>
        <w:rPr>
          <w:rFonts w:asciiTheme="majorHAnsi" w:hAnsiTheme="majorHAnsi" w:cstheme="majorHAnsi"/>
          <w:b/>
          <w:bCs/>
          <w:smallCaps/>
          <w:sz w:val="26"/>
          <w:szCs w:val="26"/>
        </w:rPr>
      </w:pPr>
      <w:r w:rsidRPr="00393D5E">
        <w:rPr>
          <w:rFonts w:asciiTheme="majorHAnsi" w:hAnsiTheme="majorHAnsi" w:cstheme="majorHAnsi"/>
          <w:b/>
          <w:sz w:val="26"/>
          <w:szCs w:val="26"/>
        </w:rPr>
        <w:t xml:space="preserve">Komponenta 2.7 </w:t>
      </w:r>
      <w:r w:rsidRPr="00393D5E">
        <w:rPr>
          <w:rFonts w:asciiTheme="majorHAnsi" w:hAnsiTheme="majorHAnsi" w:cstheme="majorHAnsi"/>
          <w:b/>
          <w:bCs/>
          <w:smallCaps/>
          <w:sz w:val="26"/>
          <w:szCs w:val="26"/>
        </w:rPr>
        <w:t>CIRKULÁRNÍ EKONOMIKA, RECYKLACE A</w:t>
      </w:r>
      <w:r w:rsidR="0003053E">
        <w:rPr>
          <w:rFonts w:asciiTheme="majorHAnsi" w:hAnsiTheme="majorHAnsi" w:cstheme="majorHAnsi"/>
          <w:b/>
          <w:bCs/>
          <w:smallCaps/>
          <w:sz w:val="26"/>
          <w:szCs w:val="26"/>
        </w:rPr>
        <w:t> </w:t>
      </w:r>
      <w:r w:rsidRPr="00393D5E">
        <w:rPr>
          <w:rFonts w:asciiTheme="majorHAnsi" w:hAnsiTheme="majorHAnsi" w:cstheme="majorHAnsi"/>
          <w:b/>
          <w:bCs/>
          <w:smallCaps/>
          <w:sz w:val="26"/>
          <w:szCs w:val="26"/>
        </w:rPr>
        <w:t>PRŮMYSLOVÁ VODA</w:t>
      </w:r>
    </w:p>
    <w:p w14:paraId="548D10D5" w14:textId="77777777" w:rsidR="007B0933" w:rsidRPr="00393D5E" w:rsidRDefault="007B0933" w:rsidP="00316A1B">
      <w:pPr>
        <w:spacing w:line="276" w:lineRule="auto"/>
        <w:jc w:val="both"/>
      </w:pPr>
      <w:r w:rsidRPr="00393D5E">
        <w:tab/>
        <w:t xml:space="preserve">Investice 1 </w:t>
      </w:r>
      <w:r w:rsidRPr="00393D5E">
        <w:rPr>
          <w:b/>
        </w:rPr>
        <w:t>Budování recyklační infrastruktury</w:t>
      </w:r>
    </w:p>
    <w:p w14:paraId="42CBA10F" w14:textId="785D6A97" w:rsidR="007B0933" w:rsidRPr="00393D5E" w:rsidRDefault="5949047C" w:rsidP="5BC52D6A">
      <w:pPr>
        <w:spacing w:line="276" w:lineRule="auto"/>
        <w:ind w:left="1416"/>
        <w:jc w:val="both"/>
      </w:pPr>
      <w:r w:rsidRPr="00393D5E">
        <w:t>Milník 148 Zadání veřejných zakázek na projekty investic do recyklační infrastruktury Ministerstvem životního prostředí</w:t>
      </w:r>
    </w:p>
    <w:p w14:paraId="18EE8296" w14:textId="77777777" w:rsidR="007B0933" w:rsidRPr="00393D5E" w:rsidRDefault="007B0933" w:rsidP="00316A1B">
      <w:pPr>
        <w:spacing w:line="276" w:lineRule="auto"/>
        <w:jc w:val="both"/>
      </w:pPr>
      <w:r w:rsidRPr="00393D5E">
        <w:tab/>
      </w:r>
      <w:r w:rsidRPr="00393D5E">
        <w:tab/>
        <w:t>Cíl 149 Dokončení projektů investic do recyklační infrastruktury</w:t>
      </w:r>
    </w:p>
    <w:p w14:paraId="11146892" w14:textId="325DC895" w:rsidR="007B0933" w:rsidRPr="00393D5E" w:rsidRDefault="007B0933" w:rsidP="00316A1B">
      <w:pPr>
        <w:spacing w:line="276" w:lineRule="auto"/>
        <w:jc w:val="both"/>
      </w:pPr>
      <w:r w:rsidRPr="00393D5E">
        <w:tab/>
        <w:t xml:space="preserve">Investice 3 </w:t>
      </w:r>
      <w:r w:rsidRPr="00393D5E">
        <w:rPr>
          <w:b/>
        </w:rPr>
        <w:t>Úspora vody v</w:t>
      </w:r>
      <w:r w:rsidR="0003053E">
        <w:rPr>
          <w:b/>
        </w:rPr>
        <w:t> </w:t>
      </w:r>
      <w:r w:rsidRPr="00393D5E">
        <w:rPr>
          <w:b/>
        </w:rPr>
        <w:t>průmyslu</w:t>
      </w:r>
    </w:p>
    <w:p w14:paraId="56FC65BB" w14:textId="1B943802" w:rsidR="007B0933" w:rsidRPr="00393D5E" w:rsidRDefault="007B0933" w:rsidP="00316A1B">
      <w:pPr>
        <w:spacing w:line="276" w:lineRule="auto"/>
        <w:jc w:val="both"/>
      </w:pPr>
      <w:r w:rsidRPr="00393D5E">
        <w:tab/>
      </w:r>
      <w:r w:rsidRPr="00393D5E">
        <w:tab/>
        <w:t>Cíl 153 Dokončení projektů na úsporu a</w:t>
      </w:r>
      <w:r w:rsidR="0003053E">
        <w:t> </w:t>
      </w:r>
      <w:r w:rsidRPr="00393D5E">
        <w:t>optimalizaci spotřeby vody v</w:t>
      </w:r>
      <w:r w:rsidR="0003053E">
        <w:t> </w:t>
      </w:r>
      <w:r w:rsidRPr="00393D5E">
        <w:t>průmyslu</w:t>
      </w:r>
    </w:p>
    <w:p w14:paraId="15645B42" w14:textId="77777777" w:rsidR="00CE7EC7" w:rsidRPr="00393D5E" w:rsidRDefault="00CE7EC7" w:rsidP="00316A1B">
      <w:pPr>
        <w:spacing w:line="276" w:lineRule="auto"/>
        <w:jc w:val="both"/>
      </w:pPr>
    </w:p>
    <w:p w14:paraId="2BD795B8" w14:textId="77777777" w:rsidR="007B0933" w:rsidRPr="00393D5E" w:rsidRDefault="007B0933" w:rsidP="00316A1B">
      <w:pPr>
        <w:spacing w:line="276" w:lineRule="auto"/>
        <w:jc w:val="both"/>
        <w:rPr>
          <w:rFonts w:asciiTheme="majorHAnsi" w:hAnsiTheme="majorHAnsi" w:cstheme="majorHAnsi"/>
          <w:b/>
          <w:bCs/>
          <w:smallCaps/>
          <w:sz w:val="26"/>
          <w:szCs w:val="26"/>
        </w:rPr>
      </w:pPr>
      <w:r w:rsidRPr="00393D5E">
        <w:rPr>
          <w:rFonts w:asciiTheme="majorHAnsi" w:hAnsiTheme="majorHAnsi" w:cstheme="majorHAnsi"/>
          <w:b/>
          <w:sz w:val="26"/>
          <w:szCs w:val="26"/>
        </w:rPr>
        <w:t xml:space="preserve">Komponenta 2.8 </w:t>
      </w:r>
      <w:r w:rsidRPr="00393D5E">
        <w:rPr>
          <w:rFonts w:asciiTheme="majorHAnsi" w:hAnsiTheme="majorHAnsi" w:cstheme="majorHAnsi"/>
          <w:b/>
          <w:bCs/>
          <w:smallCaps/>
          <w:sz w:val="26"/>
          <w:szCs w:val="26"/>
        </w:rPr>
        <w:t>REVITALIZACE ÚZEMÍ SE STAROU STAVEBNÍ ZÁTĚŽÍ</w:t>
      </w:r>
    </w:p>
    <w:p w14:paraId="08978512" w14:textId="77777777" w:rsidR="007B0933" w:rsidRPr="00393D5E" w:rsidRDefault="007B0933" w:rsidP="00316A1B">
      <w:pPr>
        <w:spacing w:line="276" w:lineRule="auto"/>
        <w:jc w:val="both"/>
      </w:pPr>
      <w:r w:rsidRPr="00393D5E">
        <w:tab/>
        <w:t xml:space="preserve">Investice 1 </w:t>
      </w:r>
      <w:r w:rsidRPr="00393D5E">
        <w:rPr>
          <w:b/>
        </w:rPr>
        <w:t>Podpora revitalizace specifických oblastí</w:t>
      </w:r>
    </w:p>
    <w:p w14:paraId="37D8B31F" w14:textId="41792B5D" w:rsidR="007B0933" w:rsidRPr="00393D5E" w:rsidRDefault="007B0933" w:rsidP="00316A1B">
      <w:pPr>
        <w:spacing w:line="276" w:lineRule="auto"/>
        <w:ind w:left="1418"/>
        <w:jc w:val="both"/>
      </w:pPr>
      <w:r w:rsidRPr="00393D5E">
        <w:t>Milník 154 Podpis všech smluv o</w:t>
      </w:r>
      <w:r w:rsidR="0003053E">
        <w:t> </w:t>
      </w:r>
      <w:r w:rsidRPr="00393D5E">
        <w:t>dotaci mezi Státním fondem investic a</w:t>
      </w:r>
      <w:r w:rsidR="0003053E">
        <w:t> </w:t>
      </w:r>
      <w:r w:rsidRPr="00393D5E">
        <w:t>vybranými majiteli brownfieldů</w:t>
      </w:r>
    </w:p>
    <w:p w14:paraId="0F5C6CDA" w14:textId="77777777" w:rsidR="007B0933" w:rsidRPr="00393D5E" w:rsidRDefault="007B0933" w:rsidP="00316A1B">
      <w:pPr>
        <w:spacing w:line="276" w:lineRule="auto"/>
        <w:ind w:left="1418" w:hanging="2"/>
        <w:jc w:val="both"/>
      </w:pPr>
      <w:r w:rsidRPr="00393D5E">
        <w:t>Cíl 155 Dokončení projektů revitalizace specifických brownfieldů zaměřených na energetickou účinnost</w:t>
      </w:r>
    </w:p>
    <w:p w14:paraId="67C8B0B3" w14:textId="5EB75DE2" w:rsidR="007B0933" w:rsidRPr="00393D5E" w:rsidRDefault="5949047C" w:rsidP="5BC52D6A">
      <w:pPr>
        <w:spacing w:line="276" w:lineRule="auto"/>
        <w:ind w:left="708"/>
        <w:jc w:val="both"/>
      </w:pPr>
      <w:r w:rsidRPr="00393D5E">
        <w:t xml:space="preserve">Investice 2 </w:t>
      </w:r>
      <w:r w:rsidRPr="00393D5E">
        <w:rPr>
          <w:b/>
          <w:bCs/>
        </w:rPr>
        <w:t>Investiční podpora revitalizace oblastí ve vlastnictví obcí a</w:t>
      </w:r>
      <w:r w:rsidR="0003053E">
        <w:rPr>
          <w:b/>
          <w:bCs/>
        </w:rPr>
        <w:t> </w:t>
      </w:r>
      <w:r w:rsidRPr="00393D5E">
        <w:rPr>
          <w:b/>
          <w:bCs/>
        </w:rPr>
        <w:t>krajů pro nepodnikatelské využití</w:t>
      </w:r>
    </w:p>
    <w:p w14:paraId="192FA423" w14:textId="6B96EE6D" w:rsidR="007B0933" w:rsidRPr="00393D5E" w:rsidRDefault="5949047C" w:rsidP="5BC52D6A">
      <w:pPr>
        <w:spacing w:line="276" w:lineRule="auto"/>
        <w:ind w:left="1416"/>
        <w:jc w:val="both"/>
      </w:pPr>
      <w:r w:rsidRPr="00393D5E">
        <w:t>Milník 156 Podpis všech smluv o</w:t>
      </w:r>
      <w:r w:rsidR="0003053E">
        <w:t> </w:t>
      </w:r>
      <w:r w:rsidRPr="00393D5E">
        <w:t>dotaci mezi Státním fondem investic a</w:t>
      </w:r>
      <w:r w:rsidR="0003053E">
        <w:t> </w:t>
      </w:r>
      <w:r w:rsidRPr="00393D5E">
        <w:t>vybranými majiteli brownfieldů</w:t>
      </w:r>
    </w:p>
    <w:p w14:paraId="53B895C6" w14:textId="4510729B" w:rsidR="007B0933" w:rsidRPr="00393D5E" w:rsidRDefault="53E31113" w:rsidP="5BC52D6A">
      <w:pPr>
        <w:spacing w:line="276" w:lineRule="auto"/>
        <w:ind w:left="1416"/>
        <w:jc w:val="both"/>
        <w:rPr>
          <w:color w:val="000000" w:themeColor="text1"/>
        </w:rPr>
      </w:pPr>
      <w:r w:rsidRPr="00393D5E">
        <w:rPr>
          <w:color w:val="000000" w:themeColor="text1"/>
        </w:rPr>
        <w:t>Cíl 157 Dokončení projektů energeticky účinné revitalizace brownfieldů ve vlastnictví obcí a</w:t>
      </w:r>
      <w:r w:rsidR="0003053E">
        <w:rPr>
          <w:color w:val="000000" w:themeColor="text1"/>
        </w:rPr>
        <w:t> </w:t>
      </w:r>
      <w:r w:rsidRPr="00393D5E">
        <w:rPr>
          <w:color w:val="000000" w:themeColor="text1"/>
        </w:rPr>
        <w:t>krajů pro nepodnikatelské využití</w:t>
      </w:r>
    </w:p>
    <w:p w14:paraId="6BB797F5" w14:textId="3B9B879C" w:rsidR="5BC52D6A" w:rsidRPr="00393D5E" w:rsidRDefault="00DF6908" w:rsidP="00DF6908">
      <w:pPr>
        <w:spacing w:line="276" w:lineRule="auto"/>
        <w:ind w:left="708"/>
        <w:jc w:val="both"/>
        <w:rPr>
          <w:b/>
          <w:bCs/>
          <w:color w:val="000000" w:themeColor="text1"/>
        </w:rPr>
      </w:pPr>
      <w:r w:rsidRPr="00393D5E">
        <w:rPr>
          <w:color w:val="000000" w:themeColor="text1"/>
        </w:rPr>
        <w:t xml:space="preserve">Investice 3 </w:t>
      </w:r>
      <w:r w:rsidRPr="00393D5E">
        <w:rPr>
          <w:b/>
          <w:bCs/>
          <w:color w:val="000000" w:themeColor="text1"/>
        </w:rPr>
        <w:t>Investiční podpora regenerace brownfieldů ve vlastnictví obcí a</w:t>
      </w:r>
      <w:r w:rsidR="0003053E">
        <w:rPr>
          <w:b/>
          <w:bCs/>
          <w:color w:val="000000" w:themeColor="text1"/>
        </w:rPr>
        <w:t> </w:t>
      </w:r>
      <w:r w:rsidRPr="00393D5E">
        <w:rPr>
          <w:b/>
          <w:bCs/>
          <w:color w:val="000000" w:themeColor="text1"/>
        </w:rPr>
        <w:t>krajů pro podnikatelské využití</w:t>
      </w:r>
    </w:p>
    <w:p w14:paraId="641FC2DC" w14:textId="6877CF22" w:rsidR="00DF6908" w:rsidRPr="00393D5E" w:rsidRDefault="00DF6908" w:rsidP="00DF6908">
      <w:pPr>
        <w:spacing w:line="276" w:lineRule="auto"/>
        <w:ind w:left="1416"/>
        <w:jc w:val="both"/>
        <w:rPr>
          <w:color w:val="000000" w:themeColor="text1"/>
        </w:rPr>
      </w:pPr>
      <w:r w:rsidRPr="00393D5E">
        <w:rPr>
          <w:color w:val="000000" w:themeColor="text1"/>
        </w:rPr>
        <w:t>Milník 158 Zadání všech veřejných zakázek na regeneraci brownfieldů ve veřejném vlastnictví pro podnikatelské využití</w:t>
      </w:r>
    </w:p>
    <w:p w14:paraId="5752341A" w14:textId="30C76319" w:rsidR="00DF6908" w:rsidRDefault="00DF6908" w:rsidP="00DF6908">
      <w:pPr>
        <w:spacing w:line="276" w:lineRule="auto"/>
        <w:ind w:left="1416"/>
        <w:jc w:val="both"/>
        <w:rPr>
          <w:color w:val="000000" w:themeColor="text1"/>
        </w:rPr>
      </w:pPr>
      <w:r w:rsidRPr="00393D5E">
        <w:rPr>
          <w:color w:val="000000" w:themeColor="text1"/>
        </w:rPr>
        <w:t>Cíl 159 Dokončení projektů revitalizace brownfieldů ve vlastnictví obcí a</w:t>
      </w:r>
      <w:r w:rsidR="0003053E">
        <w:rPr>
          <w:color w:val="000000" w:themeColor="text1"/>
        </w:rPr>
        <w:t> </w:t>
      </w:r>
      <w:r w:rsidRPr="00393D5E">
        <w:rPr>
          <w:color w:val="000000" w:themeColor="text1"/>
        </w:rPr>
        <w:t>krajů zaměřených na energetickou účinnost pro podnikatelské využití.</w:t>
      </w:r>
    </w:p>
    <w:p w14:paraId="6C5B38D6" w14:textId="77777777" w:rsidR="00393D5E" w:rsidRPr="00393D5E" w:rsidRDefault="00393D5E" w:rsidP="00DF6908">
      <w:pPr>
        <w:spacing w:line="276" w:lineRule="auto"/>
        <w:ind w:left="1416"/>
        <w:jc w:val="both"/>
        <w:rPr>
          <w:color w:val="000000" w:themeColor="text1"/>
        </w:rPr>
      </w:pPr>
    </w:p>
    <w:p w14:paraId="6B56BC92" w14:textId="448AC0FC" w:rsidR="007B0933" w:rsidRPr="00393D5E" w:rsidRDefault="007B0933" w:rsidP="00316A1B">
      <w:pPr>
        <w:spacing w:line="276" w:lineRule="auto"/>
        <w:jc w:val="both"/>
        <w:rPr>
          <w:rFonts w:asciiTheme="majorHAnsi" w:hAnsiTheme="majorHAnsi" w:cstheme="majorHAnsi"/>
          <w:b/>
          <w:sz w:val="26"/>
          <w:szCs w:val="26"/>
        </w:rPr>
      </w:pPr>
      <w:r w:rsidRPr="00393D5E">
        <w:rPr>
          <w:rFonts w:asciiTheme="majorHAnsi" w:hAnsiTheme="majorHAnsi" w:cstheme="majorHAnsi"/>
          <w:b/>
          <w:sz w:val="26"/>
          <w:szCs w:val="26"/>
        </w:rPr>
        <w:t xml:space="preserve">Komponenta 2.9 </w:t>
      </w:r>
      <w:r w:rsidRPr="00393D5E">
        <w:rPr>
          <w:rFonts w:asciiTheme="majorHAnsi" w:hAnsiTheme="majorHAnsi" w:cstheme="majorHAnsi"/>
          <w:b/>
          <w:bCs/>
          <w:sz w:val="26"/>
          <w:szCs w:val="26"/>
        </w:rPr>
        <w:t>PODPORA BIODIVERZITY A</w:t>
      </w:r>
      <w:r w:rsidR="0003053E">
        <w:rPr>
          <w:rFonts w:asciiTheme="majorHAnsi" w:hAnsiTheme="majorHAnsi" w:cstheme="majorHAnsi"/>
          <w:b/>
          <w:bCs/>
          <w:sz w:val="26"/>
          <w:szCs w:val="26"/>
        </w:rPr>
        <w:t> </w:t>
      </w:r>
      <w:r w:rsidRPr="00393D5E">
        <w:rPr>
          <w:rFonts w:asciiTheme="majorHAnsi" w:hAnsiTheme="majorHAnsi" w:cstheme="majorHAnsi"/>
          <w:b/>
          <w:bCs/>
          <w:sz w:val="26"/>
          <w:szCs w:val="26"/>
        </w:rPr>
        <w:t>BOJ SE SUCHEM</w:t>
      </w:r>
    </w:p>
    <w:p w14:paraId="798D1F9A" w14:textId="7F63BD4F" w:rsidR="007B0933" w:rsidRPr="00393D5E" w:rsidRDefault="007B0933" w:rsidP="00316A1B">
      <w:pPr>
        <w:spacing w:line="276" w:lineRule="auto"/>
        <w:jc w:val="both"/>
        <w:rPr>
          <w:b/>
        </w:rPr>
      </w:pPr>
      <w:r w:rsidRPr="00393D5E">
        <w:tab/>
        <w:t xml:space="preserve">Investice 2 </w:t>
      </w:r>
      <w:r w:rsidRPr="00393D5E">
        <w:rPr>
          <w:b/>
        </w:rPr>
        <w:t>Hospodaření se srážkovými vodami v</w:t>
      </w:r>
      <w:r w:rsidR="0003053E">
        <w:rPr>
          <w:b/>
        </w:rPr>
        <w:t> </w:t>
      </w:r>
      <w:r w:rsidRPr="00393D5E">
        <w:rPr>
          <w:b/>
        </w:rPr>
        <w:t xml:space="preserve">městských aglomeracích </w:t>
      </w:r>
    </w:p>
    <w:p w14:paraId="36024CCF" w14:textId="4B08B2BD" w:rsidR="007B0933" w:rsidRPr="00393D5E" w:rsidRDefault="53E31113" w:rsidP="5BC52D6A">
      <w:pPr>
        <w:spacing w:line="276" w:lineRule="auto"/>
        <w:ind w:left="1416"/>
        <w:jc w:val="both"/>
      </w:pPr>
      <w:r w:rsidRPr="00393D5E">
        <w:t>Cíl 163 Zvýšení objemu srážkových vod zadržených opatřeními pro hospodaření se srážkovou vodou v</w:t>
      </w:r>
      <w:r w:rsidR="0003053E">
        <w:t> </w:t>
      </w:r>
      <w:r w:rsidRPr="00393D5E">
        <w:t>městských oblastech</w:t>
      </w:r>
    </w:p>
    <w:p w14:paraId="11497067" w14:textId="725685FF" w:rsidR="007B0933" w:rsidRPr="00393D5E" w:rsidRDefault="007B0933" w:rsidP="00316A1B">
      <w:pPr>
        <w:spacing w:line="276" w:lineRule="auto"/>
        <w:jc w:val="both"/>
      </w:pPr>
      <w:r w:rsidRPr="00393D5E">
        <w:tab/>
        <w:t xml:space="preserve">Investice 3 </w:t>
      </w:r>
      <w:r w:rsidRPr="00393D5E">
        <w:rPr>
          <w:b/>
        </w:rPr>
        <w:t>Péče o</w:t>
      </w:r>
      <w:r w:rsidR="0003053E">
        <w:rPr>
          <w:b/>
        </w:rPr>
        <w:t> </w:t>
      </w:r>
      <w:r w:rsidRPr="00393D5E">
        <w:rPr>
          <w:b/>
        </w:rPr>
        <w:t>území soustavy Natura 2000 a</w:t>
      </w:r>
      <w:r w:rsidR="0003053E">
        <w:rPr>
          <w:b/>
        </w:rPr>
        <w:t> </w:t>
      </w:r>
      <w:r w:rsidRPr="00393D5E">
        <w:rPr>
          <w:b/>
        </w:rPr>
        <w:t>péče o</w:t>
      </w:r>
      <w:r w:rsidR="0003053E">
        <w:rPr>
          <w:b/>
        </w:rPr>
        <w:t> </w:t>
      </w:r>
      <w:r w:rsidRPr="00393D5E">
        <w:rPr>
          <w:b/>
        </w:rPr>
        <w:t>chráněné druhy rostlin a</w:t>
      </w:r>
      <w:r w:rsidR="0003053E">
        <w:rPr>
          <w:b/>
        </w:rPr>
        <w:t> </w:t>
      </w:r>
      <w:r w:rsidRPr="00393D5E">
        <w:rPr>
          <w:b/>
        </w:rPr>
        <w:t>živočichů</w:t>
      </w:r>
    </w:p>
    <w:p w14:paraId="4969D2AB" w14:textId="7EF4CE0D" w:rsidR="007B0933" w:rsidRPr="00393D5E" w:rsidRDefault="23EB8E51" w:rsidP="4EF7FFB3">
      <w:pPr>
        <w:spacing w:line="276" w:lineRule="auto"/>
        <w:ind w:left="1416"/>
        <w:jc w:val="both"/>
      </w:pPr>
      <w:r w:rsidRPr="00393D5E">
        <w:lastRenderedPageBreak/>
        <w:t>Cíl 164 Dokončení projektů, jejichž cílem je péče o</w:t>
      </w:r>
      <w:r w:rsidR="0003053E">
        <w:t> </w:t>
      </w:r>
      <w:r w:rsidRPr="00393D5E">
        <w:t>chráněná území a</w:t>
      </w:r>
      <w:r w:rsidR="0003053E">
        <w:t> </w:t>
      </w:r>
      <w:r w:rsidRPr="00393D5E">
        <w:t>území soustavy Natura 2000 a</w:t>
      </w:r>
      <w:r w:rsidR="0003053E">
        <w:t> </w:t>
      </w:r>
      <w:r w:rsidRPr="00393D5E">
        <w:t>péče o</w:t>
      </w:r>
      <w:r w:rsidR="0003053E">
        <w:t> </w:t>
      </w:r>
      <w:r w:rsidRPr="00393D5E">
        <w:t>chráněné druhy rostlin a</w:t>
      </w:r>
      <w:r w:rsidR="0003053E">
        <w:t> </w:t>
      </w:r>
      <w:r w:rsidRPr="00393D5E">
        <w:t>živočichů</w:t>
      </w:r>
    </w:p>
    <w:p w14:paraId="7BC3CD3F" w14:textId="412CBC92" w:rsidR="007B0933" w:rsidRPr="00393D5E" w:rsidRDefault="007B0933" w:rsidP="00316A1B">
      <w:pPr>
        <w:spacing w:line="276" w:lineRule="auto"/>
        <w:jc w:val="both"/>
      </w:pPr>
      <w:r w:rsidRPr="00393D5E">
        <w:tab/>
        <w:t xml:space="preserve">Investice 4 </w:t>
      </w:r>
      <w:r w:rsidRPr="00393D5E">
        <w:rPr>
          <w:b/>
        </w:rPr>
        <w:t>Adaptace vodních, nelesních a</w:t>
      </w:r>
      <w:r w:rsidR="0003053E">
        <w:rPr>
          <w:b/>
        </w:rPr>
        <w:t> </w:t>
      </w:r>
      <w:r w:rsidRPr="00393D5E">
        <w:rPr>
          <w:b/>
        </w:rPr>
        <w:t>lesních ekosystémů na změnu klimatu</w:t>
      </w:r>
    </w:p>
    <w:p w14:paraId="21A5F601" w14:textId="143CE3F5" w:rsidR="007B0933" w:rsidRPr="00393D5E" w:rsidRDefault="53E31113" w:rsidP="5BC52D6A">
      <w:pPr>
        <w:spacing w:line="276" w:lineRule="auto"/>
        <w:ind w:left="1416"/>
        <w:jc w:val="both"/>
      </w:pPr>
      <w:r w:rsidRPr="00393D5E">
        <w:t>Milník 165 Dokončení projektů zaměřených na adaptaci vodních, nelesních a</w:t>
      </w:r>
      <w:r w:rsidR="0003053E">
        <w:t> </w:t>
      </w:r>
      <w:r w:rsidRPr="00393D5E">
        <w:t>lesních ekosystémů na změnu klimatu</w:t>
      </w:r>
    </w:p>
    <w:p w14:paraId="7CA092FF" w14:textId="77777777" w:rsidR="00CE7EC7" w:rsidRPr="00393D5E" w:rsidRDefault="00CE7EC7" w:rsidP="00316A1B">
      <w:pPr>
        <w:spacing w:line="276" w:lineRule="auto"/>
        <w:ind w:left="1418" w:hanging="1418"/>
        <w:jc w:val="both"/>
      </w:pPr>
    </w:p>
    <w:p w14:paraId="76DB519D" w14:textId="77777777" w:rsidR="007B0933" w:rsidRPr="00393D5E" w:rsidRDefault="594F3165" w:rsidP="00316A1B">
      <w:pPr>
        <w:spacing w:line="276" w:lineRule="auto"/>
        <w:jc w:val="both"/>
        <w:rPr>
          <w:rFonts w:asciiTheme="majorHAnsi" w:hAnsiTheme="majorHAnsi" w:cstheme="majorHAnsi"/>
          <w:b/>
          <w:bCs/>
          <w:smallCaps/>
          <w:sz w:val="26"/>
          <w:szCs w:val="26"/>
        </w:rPr>
      </w:pPr>
      <w:r w:rsidRPr="00393D5E">
        <w:rPr>
          <w:rFonts w:asciiTheme="majorHAnsi" w:hAnsiTheme="majorHAnsi" w:cstheme="majorHAnsi"/>
          <w:b/>
          <w:bCs/>
          <w:sz w:val="26"/>
          <w:szCs w:val="26"/>
        </w:rPr>
        <w:t xml:space="preserve">Komponenta 3.2 </w:t>
      </w:r>
      <w:r w:rsidRPr="00393D5E">
        <w:rPr>
          <w:rFonts w:asciiTheme="majorHAnsi" w:hAnsiTheme="majorHAnsi" w:cstheme="majorHAnsi"/>
          <w:b/>
          <w:bCs/>
          <w:smallCaps/>
          <w:sz w:val="26"/>
          <w:szCs w:val="26"/>
        </w:rPr>
        <w:t>ADAPTACE ŠKOLNÍCH PROGRAMŮ</w:t>
      </w:r>
    </w:p>
    <w:p w14:paraId="56D6D84A" w14:textId="77777777" w:rsidR="007B0933" w:rsidRPr="00393D5E" w:rsidRDefault="007B0933" w:rsidP="00316A1B">
      <w:pPr>
        <w:spacing w:line="276" w:lineRule="auto"/>
        <w:jc w:val="both"/>
      </w:pPr>
      <w:r w:rsidRPr="00393D5E">
        <w:tab/>
        <w:t xml:space="preserve">Investice 1 </w:t>
      </w:r>
      <w:r w:rsidRPr="00393D5E">
        <w:rPr>
          <w:b/>
        </w:rPr>
        <w:t>Rozvoj vybraných klíčových akademických pracovišť</w:t>
      </w:r>
    </w:p>
    <w:p w14:paraId="0B346A39" w14:textId="71E98B01" w:rsidR="007B0933" w:rsidRPr="00393D5E" w:rsidRDefault="007B0933" w:rsidP="00316A1B">
      <w:pPr>
        <w:spacing w:line="276" w:lineRule="auto"/>
        <w:jc w:val="both"/>
      </w:pPr>
      <w:r w:rsidRPr="00393D5E">
        <w:tab/>
      </w:r>
      <w:r w:rsidRPr="00393D5E">
        <w:tab/>
        <w:t>Cíl 180 Počet metrů čtverečních nového vysokoškolského areálu</w:t>
      </w:r>
    </w:p>
    <w:p w14:paraId="74DBD04A" w14:textId="77777777" w:rsidR="007B0933" w:rsidRPr="00393D5E" w:rsidRDefault="007B0933" w:rsidP="05AB2BC1">
      <w:pPr>
        <w:spacing w:line="276" w:lineRule="auto"/>
        <w:jc w:val="both"/>
        <w:rPr>
          <w:color w:val="000000" w:themeColor="text1"/>
        </w:rPr>
      </w:pPr>
      <w:r w:rsidRPr="00393D5E">
        <w:tab/>
        <w:t xml:space="preserve">Investice 2 </w:t>
      </w:r>
      <w:r w:rsidRPr="00393D5E">
        <w:rPr>
          <w:b/>
          <w:bCs/>
        </w:rPr>
        <w:t>Doučování žáků</w:t>
      </w:r>
    </w:p>
    <w:p w14:paraId="2FD2A0F1" w14:textId="088FA233" w:rsidR="007B0933" w:rsidRPr="00393D5E" w:rsidRDefault="007B0933" w:rsidP="00316A1B">
      <w:pPr>
        <w:spacing w:line="276" w:lineRule="auto"/>
        <w:jc w:val="both"/>
      </w:pPr>
      <w:r w:rsidRPr="00393D5E">
        <w:tab/>
      </w:r>
      <w:r w:rsidRPr="00393D5E">
        <w:tab/>
        <w:t>Cíl 183 Počet zapsaných žáků na doučovací kurzy u</w:t>
      </w:r>
      <w:r w:rsidR="0003053E">
        <w:t> </w:t>
      </w:r>
      <w:r w:rsidRPr="00393D5E">
        <w:t>žáků ohrožených školním neúspěchem</w:t>
      </w:r>
    </w:p>
    <w:p w14:paraId="6A2CC66A" w14:textId="77777777" w:rsidR="00CE7EC7" w:rsidRPr="00393D5E" w:rsidRDefault="00CE7EC7" w:rsidP="00316A1B">
      <w:pPr>
        <w:spacing w:line="276" w:lineRule="auto"/>
        <w:jc w:val="both"/>
      </w:pPr>
    </w:p>
    <w:p w14:paraId="3E751358" w14:textId="1A598596" w:rsidR="007B0933" w:rsidRPr="00393D5E" w:rsidRDefault="594F3165" w:rsidP="00316A1B">
      <w:pPr>
        <w:spacing w:line="276" w:lineRule="auto"/>
        <w:jc w:val="both"/>
        <w:rPr>
          <w:rFonts w:asciiTheme="majorHAnsi" w:hAnsiTheme="majorHAnsi" w:cstheme="majorHAnsi"/>
          <w:b/>
          <w:bCs/>
          <w:smallCaps/>
          <w:sz w:val="26"/>
          <w:szCs w:val="26"/>
        </w:rPr>
      </w:pPr>
      <w:r w:rsidRPr="00393D5E">
        <w:rPr>
          <w:rFonts w:asciiTheme="majorHAnsi" w:hAnsiTheme="majorHAnsi" w:cstheme="majorHAnsi"/>
          <w:b/>
          <w:bCs/>
          <w:sz w:val="26"/>
          <w:szCs w:val="26"/>
        </w:rPr>
        <w:t xml:space="preserve">Komponenta 3.3 </w:t>
      </w:r>
      <w:r w:rsidRPr="00393D5E">
        <w:rPr>
          <w:rFonts w:asciiTheme="majorHAnsi" w:hAnsiTheme="majorHAnsi" w:cstheme="majorHAnsi"/>
          <w:b/>
          <w:bCs/>
          <w:smallCaps/>
          <w:sz w:val="26"/>
          <w:szCs w:val="26"/>
        </w:rPr>
        <w:t>MODERNIZACE SLUŽEB ZAMĚSTNANOSTI A</w:t>
      </w:r>
      <w:r w:rsidR="0003053E">
        <w:rPr>
          <w:rFonts w:asciiTheme="majorHAnsi" w:hAnsiTheme="majorHAnsi" w:cstheme="majorHAnsi"/>
          <w:b/>
          <w:bCs/>
          <w:smallCaps/>
          <w:sz w:val="26"/>
          <w:szCs w:val="26"/>
        </w:rPr>
        <w:t> </w:t>
      </w:r>
      <w:r w:rsidRPr="00393D5E">
        <w:rPr>
          <w:rFonts w:asciiTheme="majorHAnsi" w:hAnsiTheme="majorHAnsi" w:cstheme="majorHAnsi"/>
          <w:b/>
          <w:bCs/>
          <w:smallCaps/>
          <w:sz w:val="26"/>
          <w:szCs w:val="26"/>
        </w:rPr>
        <w:t>ROZVOJ TRHU PRÁCE</w:t>
      </w:r>
    </w:p>
    <w:p w14:paraId="21B30349" w14:textId="342CEA3B" w:rsidR="41328847" w:rsidRPr="00393D5E" w:rsidRDefault="7DBABBCA" w:rsidP="009E6ABB">
      <w:pPr>
        <w:spacing w:line="276" w:lineRule="auto"/>
        <w:ind w:firstLine="708"/>
        <w:rPr>
          <w:b/>
          <w:bCs/>
          <w:smallCaps/>
        </w:rPr>
      </w:pPr>
      <w:r w:rsidRPr="00393D5E">
        <w:t xml:space="preserve">Reforma 3 </w:t>
      </w:r>
      <w:r w:rsidRPr="00393D5E">
        <w:rPr>
          <w:b/>
          <w:bCs/>
        </w:rPr>
        <w:t>Reforma v</w:t>
      </w:r>
      <w:r w:rsidR="0003053E">
        <w:rPr>
          <w:b/>
          <w:bCs/>
        </w:rPr>
        <w:t> </w:t>
      </w:r>
      <w:r w:rsidRPr="00393D5E">
        <w:rPr>
          <w:b/>
          <w:bCs/>
        </w:rPr>
        <w:t>oblasti dlouhodobé péče</w:t>
      </w:r>
    </w:p>
    <w:p w14:paraId="7EAAB126" w14:textId="5D087B59" w:rsidR="5253AA75" w:rsidRPr="00393D5E" w:rsidRDefault="5253AA75" w:rsidP="00316A1B">
      <w:pPr>
        <w:spacing w:line="276" w:lineRule="auto"/>
      </w:pPr>
      <w:r w:rsidRPr="00393D5E">
        <w:tab/>
      </w:r>
      <w:r w:rsidRPr="00393D5E">
        <w:tab/>
        <w:t>Cíl 193 Přijetí zákona o</w:t>
      </w:r>
      <w:r w:rsidR="0003053E">
        <w:t> </w:t>
      </w:r>
      <w:r w:rsidRPr="00393D5E">
        <w:t>dlouhodobé péči</w:t>
      </w:r>
    </w:p>
    <w:p w14:paraId="0C3F1142" w14:textId="0885417F" w:rsidR="7C4A6047" w:rsidRPr="00393D5E" w:rsidRDefault="00B64A65" w:rsidP="00316A1B">
      <w:pPr>
        <w:spacing w:line="276" w:lineRule="auto"/>
        <w:ind w:firstLine="708"/>
        <w:jc w:val="both"/>
        <w:rPr>
          <w:b/>
          <w:bCs/>
        </w:rPr>
      </w:pPr>
      <w:r w:rsidRPr="00393D5E">
        <w:rPr>
          <w:rFonts w:eastAsiaTheme="minorEastAsia"/>
        </w:rPr>
        <w:t>Investice</w:t>
      </w:r>
      <w:r w:rsidR="7C4A6047" w:rsidRPr="00393D5E">
        <w:rPr>
          <w:rFonts w:eastAsiaTheme="minorEastAsia"/>
        </w:rPr>
        <w:t xml:space="preserve"> 1 </w:t>
      </w:r>
      <w:r w:rsidR="7C4A6047" w:rsidRPr="00393D5E">
        <w:rPr>
          <w:rFonts w:eastAsiaTheme="minorEastAsia"/>
          <w:b/>
          <w:bCs/>
        </w:rPr>
        <w:t>Rozvoj politik zaměstnanosti</w:t>
      </w:r>
    </w:p>
    <w:p w14:paraId="5EA59D59" w14:textId="3B78F24B" w:rsidR="13646A7D" w:rsidRPr="00393D5E" w:rsidRDefault="13646A7D" w:rsidP="009E6ABB">
      <w:pPr>
        <w:spacing w:line="276" w:lineRule="auto"/>
        <w:rPr>
          <w:b/>
          <w:bCs/>
          <w:smallCaps/>
        </w:rPr>
      </w:pPr>
      <w:r w:rsidRPr="00393D5E">
        <w:tab/>
      </w:r>
      <w:r w:rsidRPr="00393D5E">
        <w:tab/>
      </w:r>
      <w:r w:rsidR="64DC5841" w:rsidRPr="00393D5E">
        <w:t>Cíl 187 Počet osob, které získaly rekvalifikaci a</w:t>
      </w:r>
      <w:r w:rsidR="0003053E">
        <w:t> </w:t>
      </w:r>
      <w:r w:rsidR="64DC5841" w:rsidRPr="00393D5E">
        <w:t>zvýšily si kvalifikaci v</w:t>
      </w:r>
      <w:r w:rsidR="0003053E">
        <w:t> </w:t>
      </w:r>
      <w:r w:rsidR="64DC5841" w:rsidRPr="00393D5E">
        <w:t xml:space="preserve">oblasti digitálních </w:t>
      </w:r>
      <w:r w:rsidRPr="00393D5E">
        <w:tab/>
      </w:r>
      <w:r w:rsidRPr="00393D5E">
        <w:tab/>
      </w:r>
      <w:r w:rsidRPr="00393D5E">
        <w:tab/>
      </w:r>
      <w:r w:rsidR="64DC5841" w:rsidRPr="00393D5E">
        <w:t>dovedností a</w:t>
      </w:r>
      <w:r w:rsidR="0003053E">
        <w:t> </w:t>
      </w:r>
      <w:r w:rsidR="64DC5841" w:rsidRPr="00393D5E">
        <w:t>dovedností potřebných pro průmysl 4.0</w:t>
      </w:r>
    </w:p>
    <w:p w14:paraId="2C73EFFC" w14:textId="12BD64F1" w:rsidR="007B0933" w:rsidRPr="00393D5E" w:rsidRDefault="007B0933" w:rsidP="00316A1B">
      <w:pPr>
        <w:spacing w:line="276" w:lineRule="auto"/>
        <w:jc w:val="both"/>
      </w:pPr>
      <w:r w:rsidRPr="00393D5E">
        <w:tab/>
        <w:t xml:space="preserve">Investice 2 </w:t>
      </w:r>
      <w:r w:rsidRPr="00393D5E">
        <w:rPr>
          <w:b/>
          <w:bCs/>
        </w:rPr>
        <w:t>Zvýšení kapacity zařízení péče o</w:t>
      </w:r>
      <w:r w:rsidR="0003053E">
        <w:rPr>
          <w:b/>
          <w:bCs/>
        </w:rPr>
        <w:t> </w:t>
      </w:r>
      <w:r w:rsidRPr="00393D5E">
        <w:rPr>
          <w:b/>
          <w:bCs/>
        </w:rPr>
        <w:t>děti</w:t>
      </w:r>
    </w:p>
    <w:p w14:paraId="76CA684A" w14:textId="77777777" w:rsidR="007B0933" w:rsidRPr="00393D5E" w:rsidRDefault="007B0933" w:rsidP="00316A1B">
      <w:pPr>
        <w:spacing w:line="276" w:lineRule="auto"/>
        <w:jc w:val="both"/>
      </w:pPr>
      <w:r w:rsidRPr="00393D5E">
        <w:tab/>
      </w:r>
      <w:r w:rsidRPr="00393D5E">
        <w:tab/>
        <w:t>Cíl 189 Počet zrekonstruovaných stávajících předškolních zařízení</w:t>
      </w:r>
    </w:p>
    <w:p w14:paraId="4E0FE59A" w14:textId="77777777" w:rsidR="007B0933" w:rsidRPr="00393D5E" w:rsidRDefault="007B0933" w:rsidP="00316A1B">
      <w:pPr>
        <w:spacing w:line="276" w:lineRule="auto"/>
        <w:jc w:val="both"/>
      </w:pPr>
      <w:r w:rsidRPr="00393D5E">
        <w:tab/>
      </w:r>
      <w:r w:rsidRPr="00393D5E">
        <w:tab/>
        <w:t>Cíl 190 Počet nových předškolních zařízení</w:t>
      </w:r>
    </w:p>
    <w:p w14:paraId="52E83590" w14:textId="60011318" w:rsidR="007B0933" w:rsidRPr="00393D5E" w:rsidRDefault="007B0933" w:rsidP="00316A1B">
      <w:pPr>
        <w:spacing w:line="276" w:lineRule="auto"/>
        <w:jc w:val="both"/>
      </w:pPr>
      <w:r w:rsidRPr="00393D5E">
        <w:tab/>
      </w:r>
      <w:r w:rsidRPr="00393D5E">
        <w:tab/>
        <w:t>Cíl 191 Počet nových míst v</w:t>
      </w:r>
      <w:r w:rsidR="0003053E">
        <w:t> </w:t>
      </w:r>
      <w:r w:rsidRPr="00393D5E">
        <w:t>předškolních zařízeních</w:t>
      </w:r>
    </w:p>
    <w:p w14:paraId="315BAF61" w14:textId="3B1D06A8" w:rsidR="007B0933" w:rsidRPr="00393D5E" w:rsidRDefault="007B0933" w:rsidP="00316A1B">
      <w:pPr>
        <w:spacing w:line="276" w:lineRule="auto"/>
        <w:jc w:val="both"/>
      </w:pPr>
      <w:r w:rsidRPr="00393D5E">
        <w:tab/>
      </w:r>
      <w:r w:rsidR="594F3165" w:rsidRPr="00393D5E">
        <w:t xml:space="preserve">Investice 3 </w:t>
      </w:r>
      <w:r w:rsidR="594F3165" w:rsidRPr="00393D5E">
        <w:rPr>
          <w:b/>
          <w:bCs/>
        </w:rPr>
        <w:t>Rozvoj a</w:t>
      </w:r>
      <w:r w:rsidR="0003053E">
        <w:rPr>
          <w:b/>
          <w:bCs/>
        </w:rPr>
        <w:t> </w:t>
      </w:r>
      <w:r w:rsidR="594F3165" w:rsidRPr="00393D5E">
        <w:rPr>
          <w:b/>
          <w:bCs/>
        </w:rPr>
        <w:t>modernizace infrastruktury sociální péče</w:t>
      </w:r>
    </w:p>
    <w:p w14:paraId="2563DC74" w14:textId="6A93894A" w:rsidR="007B0933" w:rsidRPr="00393D5E" w:rsidRDefault="007B0933" w:rsidP="00316A1B">
      <w:pPr>
        <w:spacing w:line="276" w:lineRule="auto"/>
        <w:jc w:val="both"/>
      </w:pPr>
      <w:r w:rsidRPr="00393D5E">
        <w:tab/>
      </w:r>
      <w:r w:rsidRPr="00393D5E">
        <w:tab/>
      </w:r>
      <w:r w:rsidR="53E31113" w:rsidRPr="00393D5E">
        <w:t xml:space="preserve">Cíl 194 C1: </w:t>
      </w:r>
      <w:r w:rsidR="378B5EB0" w:rsidRPr="00393D5E">
        <w:t xml:space="preserve">Počet vybudovaných nebo rekonstruovaných komunitních pobytových, </w:t>
      </w:r>
      <w:r w:rsidRPr="00393D5E">
        <w:tab/>
      </w:r>
      <w:r w:rsidRPr="00393D5E">
        <w:tab/>
      </w:r>
      <w:r w:rsidRPr="00393D5E">
        <w:tab/>
      </w:r>
      <w:r w:rsidR="3B6B7244" w:rsidRPr="00393D5E">
        <w:t>a</w:t>
      </w:r>
      <w:r w:rsidR="378B5EB0" w:rsidRPr="00393D5E">
        <w:t>mbulantních, terénních, preventivních a</w:t>
      </w:r>
      <w:r w:rsidR="0003053E">
        <w:t> </w:t>
      </w:r>
      <w:r w:rsidR="378B5EB0" w:rsidRPr="00393D5E">
        <w:t>poradenských zařízení.</w:t>
      </w:r>
    </w:p>
    <w:p w14:paraId="2598F5C4" w14:textId="55981C49" w:rsidR="007B0933" w:rsidRPr="00393D5E" w:rsidRDefault="53E31113" w:rsidP="00316A1B">
      <w:pPr>
        <w:spacing w:line="276" w:lineRule="auto"/>
        <w:ind w:left="708" w:firstLine="708"/>
        <w:jc w:val="both"/>
      </w:pPr>
      <w:r w:rsidRPr="00393D5E">
        <w:t xml:space="preserve">Cíl 195 C2: </w:t>
      </w:r>
      <w:r w:rsidR="2809BF3D" w:rsidRPr="00393D5E">
        <w:t xml:space="preserve">Počet vybudovaných nebo rekonstruovaných komunitních pobytových, </w:t>
      </w:r>
      <w:r w:rsidR="594F3165" w:rsidRPr="00393D5E">
        <w:tab/>
      </w:r>
      <w:r w:rsidR="594F3165" w:rsidRPr="00393D5E">
        <w:tab/>
      </w:r>
      <w:r w:rsidR="2809BF3D" w:rsidRPr="00393D5E">
        <w:t>ambulantních, terénních, preventivních a</w:t>
      </w:r>
      <w:r w:rsidR="0003053E">
        <w:t> </w:t>
      </w:r>
      <w:r w:rsidR="2809BF3D" w:rsidRPr="00393D5E">
        <w:t>poradenských zařízení.</w:t>
      </w:r>
    </w:p>
    <w:p w14:paraId="28D80FF9" w14:textId="62759AD4" w:rsidR="007B0933" w:rsidRPr="00393D5E" w:rsidRDefault="594F3165" w:rsidP="009E6ABB">
      <w:pPr>
        <w:spacing w:line="276" w:lineRule="auto"/>
        <w:ind w:left="1416"/>
        <w:jc w:val="both"/>
      </w:pPr>
      <w:r w:rsidRPr="00393D5E">
        <w:t>Cíl 196 C1: Počet nízkoemisních vozidel zakoupených pro služby sociální prevence, poradenství a</w:t>
      </w:r>
      <w:r w:rsidR="0003053E">
        <w:t> </w:t>
      </w:r>
      <w:r w:rsidRPr="00393D5E">
        <w:t>domácí péče</w:t>
      </w:r>
    </w:p>
    <w:p w14:paraId="03E984A7" w14:textId="25C43AD9" w:rsidR="007B0933" w:rsidRDefault="594F3165" w:rsidP="009E6ABB">
      <w:pPr>
        <w:spacing w:line="276" w:lineRule="auto"/>
        <w:ind w:left="1416"/>
        <w:jc w:val="both"/>
        <w:rPr>
          <w:color w:val="000000" w:themeColor="text1"/>
        </w:rPr>
      </w:pPr>
      <w:r w:rsidRPr="00393D5E">
        <w:t xml:space="preserve">Cíl 197 C2: Počet nízkoemisních vozidel zakoupených pro služby sociální prevence, </w:t>
      </w:r>
      <w:r w:rsidRPr="00393D5E">
        <w:rPr>
          <w:color w:val="000000" w:themeColor="text1"/>
        </w:rPr>
        <w:t>poradenství a</w:t>
      </w:r>
      <w:r w:rsidR="0003053E">
        <w:rPr>
          <w:color w:val="000000" w:themeColor="text1"/>
        </w:rPr>
        <w:t> </w:t>
      </w:r>
      <w:r w:rsidRPr="00393D5E">
        <w:rPr>
          <w:color w:val="000000" w:themeColor="text1"/>
        </w:rPr>
        <w:t>domácí péče</w:t>
      </w:r>
    </w:p>
    <w:p w14:paraId="5A55F0FA" w14:textId="77777777" w:rsidR="00393D5E" w:rsidRPr="00393D5E" w:rsidRDefault="00393D5E" w:rsidP="009E6ABB">
      <w:pPr>
        <w:spacing w:line="276" w:lineRule="auto"/>
        <w:ind w:left="1416"/>
        <w:jc w:val="both"/>
        <w:rPr>
          <w:color w:val="000000" w:themeColor="text1"/>
        </w:rPr>
      </w:pPr>
    </w:p>
    <w:p w14:paraId="60F56567" w14:textId="6C2B92D5" w:rsidR="00CE7EC7" w:rsidRPr="00393D5E" w:rsidRDefault="00EA26C9" w:rsidP="00316A1B">
      <w:pPr>
        <w:spacing w:line="276" w:lineRule="auto"/>
        <w:ind w:left="1418" w:hanging="1418"/>
        <w:jc w:val="both"/>
        <w:rPr>
          <w:rFonts w:asciiTheme="majorHAnsi" w:hAnsiTheme="majorHAnsi" w:cstheme="majorHAnsi"/>
          <w:b/>
          <w:color w:val="000000" w:themeColor="text1"/>
          <w:sz w:val="26"/>
          <w:szCs w:val="26"/>
        </w:rPr>
      </w:pPr>
      <w:r w:rsidRPr="00393D5E">
        <w:rPr>
          <w:rFonts w:asciiTheme="majorHAnsi" w:hAnsiTheme="majorHAnsi" w:cstheme="majorHAnsi"/>
          <w:b/>
          <w:color w:val="000000" w:themeColor="text1"/>
          <w:sz w:val="26"/>
          <w:szCs w:val="26"/>
        </w:rPr>
        <w:lastRenderedPageBreak/>
        <w:t>Komponenta 4.3 PROTIKORUPČNÍ REFORMY</w:t>
      </w:r>
    </w:p>
    <w:p w14:paraId="03EE8542" w14:textId="3E356164" w:rsidR="00EA26C9" w:rsidRPr="00393D5E" w:rsidRDefault="00EA26C9" w:rsidP="00EA26C9">
      <w:pPr>
        <w:spacing w:line="276" w:lineRule="auto"/>
        <w:ind w:firstLine="708"/>
        <w:jc w:val="both"/>
        <w:rPr>
          <w:b/>
          <w:color w:val="000000" w:themeColor="text1"/>
        </w:rPr>
      </w:pPr>
      <w:r w:rsidRPr="00393D5E">
        <w:rPr>
          <w:color w:val="000000" w:themeColor="text1"/>
        </w:rPr>
        <w:t xml:space="preserve">Reforma č. 1: </w:t>
      </w:r>
      <w:r w:rsidRPr="00393D5E">
        <w:rPr>
          <w:b/>
          <w:color w:val="000000" w:themeColor="text1"/>
        </w:rPr>
        <w:t>Ochrana oznamovatelů korupce</w:t>
      </w:r>
    </w:p>
    <w:p w14:paraId="20E615F1" w14:textId="4EFD90BC" w:rsidR="00EA26C9" w:rsidRPr="00393D5E" w:rsidRDefault="00EA26C9" w:rsidP="00EA26C9">
      <w:pPr>
        <w:spacing w:line="276" w:lineRule="auto"/>
        <w:jc w:val="both"/>
        <w:rPr>
          <w:color w:val="000000" w:themeColor="text1"/>
        </w:rPr>
      </w:pPr>
      <w:r w:rsidRPr="00393D5E">
        <w:rPr>
          <w:b/>
          <w:color w:val="000000" w:themeColor="text1"/>
        </w:rPr>
        <w:tab/>
      </w:r>
      <w:r w:rsidRPr="00393D5E">
        <w:rPr>
          <w:b/>
          <w:color w:val="000000" w:themeColor="text1"/>
        </w:rPr>
        <w:tab/>
      </w:r>
      <w:r w:rsidRPr="00393D5E">
        <w:rPr>
          <w:color w:val="000000" w:themeColor="text1"/>
        </w:rPr>
        <w:t>Milník 202 Ustanovení zákona o</w:t>
      </w:r>
      <w:r w:rsidR="0003053E">
        <w:rPr>
          <w:color w:val="000000" w:themeColor="text1"/>
        </w:rPr>
        <w:t> </w:t>
      </w:r>
      <w:r w:rsidRPr="00393D5E">
        <w:rPr>
          <w:color w:val="000000" w:themeColor="text1"/>
        </w:rPr>
        <w:t>ochraně oznamovatelů s</w:t>
      </w:r>
      <w:r w:rsidR="0003053E">
        <w:rPr>
          <w:color w:val="000000" w:themeColor="text1"/>
        </w:rPr>
        <w:t> </w:t>
      </w:r>
      <w:r w:rsidRPr="00393D5E">
        <w:rPr>
          <w:color w:val="000000" w:themeColor="text1"/>
        </w:rPr>
        <w:t>uvedením vstupu v</w:t>
      </w:r>
      <w:r w:rsidR="0003053E">
        <w:rPr>
          <w:color w:val="000000" w:themeColor="text1"/>
        </w:rPr>
        <w:t> </w:t>
      </w:r>
      <w:r w:rsidRPr="00393D5E">
        <w:rPr>
          <w:color w:val="000000" w:themeColor="text1"/>
        </w:rPr>
        <w:t>platnost</w:t>
      </w:r>
    </w:p>
    <w:p w14:paraId="0DD5FF17" w14:textId="0A07C91E" w:rsidR="00EA26C9" w:rsidRPr="00393D5E" w:rsidRDefault="00EA26C9" w:rsidP="00EA26C9">
      <w:pPr>
        <w:spacing w:line="276" w:lineRule="auto"/>
        <w:ind w:firstLine="708"/>
        <w:jc w:val="both"/>
        <w:rPr>
          <w:b/>
          <w:color w:val="000000" w:themeColor="text1"/>
        </w:rPr>
      </w:pPr>
      <w:r w:rsidRPr="00393D5E">
        <w:rPr>
          <w:color w:val="000000" w:themeColor="text1"/>
        </w:rPr>
        <w:t xml:space="preserve">Reforma č. 4: </w:t>
      </w:r>
      <w:r w:rsidRPr="00393D5E">
        <w:rPr>
          <w:b/>
          <w:color w:val="000000" w:themeColor="text1"/>
        </w:rPr>
        <w:t>Stanovení pravidel pro lobbování</w:t>
      </w:r>
    </w:p>
    <w:p w14:paraId="67BB308E" w14:textId="091DBA43" w:rsidR="00EA26C9" w:rsidRDefault="00EA26C9" w:rsidP="00EA26C9">
      <w:pPr>
        <w:spacing w:line="276" w:lineRule="auto"/>
        <w:ind w:firstLine="708"/>
        <w:jc w:val="both"/>
        <w:rPr>
          <w:color w:val="000000" w:themeColor="text1"/>
        </w:rPr>
      </w:pPr>
      <w:r w:rsidRPr="00393D5E">
        <w:rPr>
          <w:b/>
          <w:color w:val="000000" w:themeColor="text1"/>
        </w:rPr>
        <w:tab/>
      </w:r>
      <w:r w:rsidRPr="00393D5E">
        <w:rPr>
          <w:color w:val="000000" w:themeColor="text1"/>
        </w:rPr>
        <w:t>Milník 206 Ustanovení zákona o</w:t>
      </w:r>
      <w:r w:rsidR="0003053E">
        <w:rPr>
          <w:color w:val="000000" w:themeColor="text1"/>
        </w:rPr>
        <w:t> </w:t>
      </w:r>
      <w:r w:rsidRPr="00393D5E">
        <w:rPr>
          <w:color w:val="000000" w:themeColor="text1"/>
        </w:rPr>
        <w:t>lobbování s</w:t>
      </w:r>
      <w:r w:rsidR="0003053E">
        <w:rPr>
          <w:color w:val="000000" w:themeColor="text1"/>
        </w:rPr>
        <w:t> </w:t>
      </w:r>
      <w:r w:rsidRPr="00393D5E">
        <w:rPr>
          <w:color w:val="000000" w:themeColor="text1"/>
        </w:rPr>
        <w:t>uvedením vstupu v</w:t>
      </w:r>
      <w:r w:rsidR="0003053E">
        <w:rPr>
          <w:color w:val="000000" w:themeColor="text1"/>
        </w:rPr>
        <w:t> </w:t>
      </w:r>
      <w:r w:rsidRPr="00393D5E">
        <w:rPr>
          <w:color w:val="000000" w:themeColor="text1"/>
        </w:rPr>
        <w:t>platnost</w:t>
      </w:r>
    </w:p>
    <w:p w14:paraId="659D490E" w14:textId="77777777" w:rsidR="00393D5E" w:rsidRPr="00393D5E" w:rsidRDefault="00393D5E" w:rsidP="00EA26C9">
      <w:pPr>
        <w:spacing w:line="276" w:lineRule="auto"/>
        <w:ind w:firstLine="708"/>
        <w:jc w:val="both"/>
        <w:rPr>
          <w:color w:val="000000" w:themeColor="text1"/>
        </w:rPr>
      </w:pPr>
    </w:p>
    <w:p w14:paraId="30929FD5" w14:textId="4512B765" w:rsidR="007B0933" w:rsidRPr="00393D5E" w:rsidRDefault="007B0933" w:rsidP="00316A1B">
      <w:pPr>
        <w:spacing w:line="276" w:lineRule="auto"/>
        <w:ind w:left="1418" w:hanging="1418"/>
        <w:jc w:val="both"/>
        <w:rPr>
          <w:rFonts w:asciiTheme="majorHAnsi" w:hAnsiTheme="majorHAnsi" w:cstheme="majorHAnsi"/>
          <w:b/>
          <w:color w:val="000000" w:themeColor="text1"/>
          <w:sz w:val="26"/>
          <w:szCs w:val="26"/>
        </w:rPr>
      </w:pPr>
      <w:r w:rsidRPr="00393D5E">
        <w:rPr>
          <w:rFonts w:asciiTheme="majorHAnsi" w:hAnsiTheme="majorHAnsi" w:cstheme="majorHAnsi"/>
          <w:b/>
          <w:color w:val="000000" w:themeColor="text1"/>
          <w:sz w:val="26"/>
          <w:szCs w:val="26"/>
        </w:rPr>
        <w:t>Komponenta 4.4 ZVÝŠENÍ EFEKTIVITY VÝKONU VEŘEJNÉ SPRÁVY</w:t>
      </w:r>
    </w:p>
    <w:p w14:paraId="1929C080" w14:textId="32B89B83" w:rsidR="00781D1F" w:rsidRPr="00781D1F" w:rsidRDefault="007B0933" w:rsidP="00316A1B">
      <w:pPr>
        <w:spacing w:line="276" w:lineRule="auto"/>
        <w:ind w:left="1418" w:hanging="710"/>
        <w:jc w:val="both"/>
        <w:rPr>
          <w:b/>
        </w:rPr>
      </w:pPr>
      <w:r w:rsidRPr="00393D5E">
        <w:rPr>
          <w:color w:val="000000" w:themeColor="text1"/>
        </w:rPr>
        <w:t>Reforma 1</w:t>
      </w:r>
      <w:r w:rsidRPr="00781D1F">
        <w:rPr>
          <w:rFonts w:cstheme="minorHAnsi"/>
          <w:b/>
          <w:color w:val="000000" w:themeColor="text1"/>
        </w:rPr>
        <w:t xml:space="preserve"> </w:t>
      </w:r>
      <w:r w:rsidR="00781D1F" w:rsidRPr="00781D1F">
        <w:rPr>
          <w:b/>
        </w:rPr>
        <w:t>Zvýšení efektivity, pro-klientské orientace a</w:t>
      </w:r>
      <w:r w:rsidR="0003053E">
        <w:rPr>
          <w:b/>
        </w:rPr>
        <w:t> </w:t>
      </w:r>
      <w:r w:rsidR="00781D1F" w:rsidRPr="00781D1F">
        <w:rPr>
          <w:b/>
        </w:rPr>
        <w:t>využívání zásad informovaného rozhodování ve veřejné správě</w:t>
      </w:r>
    </w:p>
    <w:p w14:paraId="3AB9FFD7" w14:textId="55C82DE1" w:rsidR="00B64A65" w:rsidRPr="00393D5E" w:rsidRDefault="00B64A65" w:rsidP="00316A1B">
      <w:pPr>
        <w:spacing w:line="276" w:lineRule="auto"/>
        <w:ind w:left="1418" w:hanging="710"/>
        <w:jc w:val="both"/>
        <w:rPr>
          <w:color w:val="000000" w:themeColor="text1"/>
        </w:rPr>
      </w:pPr>
      <w:r w:rsidRPr="00393D5E">
        <w:rPr>
          <w:color w:val="000000" w:themeColor="text1"/>
        </w:rPr>
        <w:tab/>
        <w:t xml:space="preserve">Milník 215 </w:t>
      </w:r>
      <w:r w:rsidR="00781D1F">
        <w:t>Dokončení pěti opatření na podporu informovaného rozhodování a</w:t>
      </w:r>
      <w:r w:rsidR="0003053E">
        <w:t> </w:t>
      </w:r>
      <w:r w:rsidR="00781D1F">
        <w:t>zlepšení koordinace politik a</w:t>
      </w:r>
      <w:r w:rsidR="0003053E">
        <w:t> </w:t>
      </w:r>
      <w:r w:rsidR="00781D1F">
        <w:t>strategického plánování v</w:t>
      </w:r>
      <w:r w:rsidR="0003053E">
        <w:t> </w:t>
      </w:r>
      <w:r w:rsidR="00781D1F">
        <w:t>centru vládnutí</w:t>
      </w:r>
    </w:p>
    <w:p w14:paraId="1EF5658B" w14:textId="1993917A" w:rsidR="00D54F71" w:rsidRDefault="00D54F71" w:rsidP="009C1135">
      <w:pPr>
        <w:spacing w:after="0" w:line="276" w:lineRule="auto"/>
        <w:ind w:left="1416"/>
        <w:jc w:val="both"/>
        <w:rPr>
          <w:rFonts w:eastAsiaTheme="minorEastAsia"/>
          <w:color w:val="000000" w:themeColor="text1"/>
        </w:rPr>
      </w:pPr>
      <w:r w:rsidRPr="00393D5E">
        <w:rPr>
          <w:rFonts w:eastAsiaTheme="minorEastAsia"/>
          <w:color w:val="000000" w:themeColor="text1"/>
        </w:rPr>
        <w:t>M</w:t>
      </w:r>
      <w:r w:rsidR="007B0933" w:rsidRPr="00393D5E">
        <w:rPr>
          <w:rFonts w:eastAsiaTheme="minorEastAsia"/>
          <w:color w:val="000000" w:themeColor="text1"/>
        </w:rPr>
        <w:t>ilník 2</w:t>
      </w:r>
      <w:r w:rsidR="00781D1F">
        <w:rPr>
          <w:rFonts w:eastAsiaTheme="minorEastAsia"/>
          <w:color w:val="000000" w:themeColor="text1"/>
        </w:rPr>
        <w:t>89</w:t>
      </w:r>
      <w:r w:rsidR="007B0933" w:rsidRPr="00393D5E">
        <w:rPr>
          <w:rFonts w:eastAsiaTheme="minorEastAsia"/>
          <w:color w:val="000000" w:themeColor="text1"/>
        </w:rPr>
        <w:t xml:space="preserve"> </w:t>
      </w:r>
      <w:r w:rsidR="00781D1F">
        <w:t>IT systém a</w:t>
      </w:r>
      <w:r w:rsidR="0003053E">
        <w:t> </w:t>
      </w:r>
      <w:r w:rsidR="00781D1F">
        <w:t>akční plán pro zlepšení lidských zdrojů ve veřejné správě</w:t>
      </w:r>
    </w:p>
    <w:p w14:paraId="1509DEFE" w14:textId="36BC7BBC" w:rsidR="00393D5E" w:rsidRDefault="00393D5E" w:rsidP="009C1135">
      <w:pPr>
        <w:spacing w:after="0" w:line="276" w:lineRule="auto"/>
        <w:ind w:left="1416"/>
        <w:jc w:val="both"/>
        <w:rPr>
          <w:rFonts w:eastAsiaTheme="minorEastAsia"/>
          <w:strike/>
          <w:color w:val="000000" w:themeColor="text1"/>
        </w:rPr>
      </w:pPr>
    </w:p>
    <w:p w14:paraId="5B447D16" w14:textId="18E48C9A" w:rsidR="00393D5E" w:rsidRDefault="00393D5E" w:rsidP="05AB2BC1">
      <w:pPr>
        <w:spacing w:after="0" w:line="276" w:lineRule="auto"/>
        <w:jc w:val="both"/>
        <w:rPr>
          <w:rFonts w:eastAsiaTheme="minorEastAsia"/>
          <w:strike/>
          <w:color w:val="000000" w:themeColor="text1"/>
        </w:rPr>
      </w:pPr>
    </w:p>
    <w:p w14:paraId="561ADF10" w14:textId="77777777" w:rsidR="00393D5E" w:rsidRPr="00393D5E" w:rsidRDefault="00393D5E" w:rsidP="009C1135">
      <w:pPr>
        <w:spacing w:after="0" w:line="276" w:lineRule="auto"/>
        <w:ind w:left="1416"/>
        <w:jc w:val="both"/>
        <w:rPr>
          <w:rFonts w:eastAsiaTheme="minorEastAsia"/>
          <w:strike/>
          <w:color w:val="000000" w:themeColor="text1"/>
        </w:rPr>
      </w:pPr>
    </w:p>
    <w:p w14:paraId="29AC63FF" w14:textId="7627C69B" w:rsidR="00D54F71" w:rsidRPr="00393D5E" w:rsidRDefault="00D54F71" w:rsidP="00D54F71">
      <w:pPr>
        <w:spacing w:after="0" w:line="276" w:lineRule="auto"/>
        <w:jc w:val="both"/>
        <w:rPr>
          <w:rFonts w:eastAsiaTheme="minorEastAsia"/>
          <w:color w:val="000000" w:themeColor="text1"/>
        </w:rPr>
      </w:pPr>
    </w:p>
    <w:p w14:paraId="34569B06" w14:textId="24BFDAE6" w:rsidR="00D54F71" w:rsidRPr="00393D5E" w:rsidRDefault="00D54F71" w:rsidP="00D54F71">
      <w:pPr>
        <w:spacing w:line="276" w:lineRule="auto"/>
        <w:jc w:val="both"/>
        <w:rPr>
          <w:rFonts w:asciiTheme="majorHAnsi" w:hAnsiTheme="majorHAnsi" w:cstheme="majorHAnsi"/>
          <w:b/>
          <w:bCs/>
          <w:smallCaps/>
          <w:color w:val="000000" w:themeColor="text1"/>
          <w:sz w:val="26"/>
          <w:szCs w:val="26"/>
        </w:rPr>
      </w:pPr>
      <w:r w:rsidRPr="00393D5E">
        <w:rPr>
          <w:rFonts w:asciiTheme="majorHAnsi" w:hAnsiTheme="majorHAnsi" w:cstheme="majorHAnsi"/>
          <w:b/>
          <w:color w:val="000000" w:themeColor="text1"/>
          <w:sz w:val="26"/>
          <w:szCs w:val="26"/>
        </w:rPr>
        <w:t xml:space="preserve">Komponenta 5.2 </w:t>
      </w:r>
      <w:r w:rsidRPr="00393D5E">
        <w:rPr>
          <w:rFonts w:asciiTheme="majorHAnsi" w:hAnsiTheme="majorHAnsi" w:cstheme="majorHAnsi"/>
          <w:b/>
          <w:bCs/>
          <w:smallCaps/>
          <w:color w:val="000000" w:themeColor="text1"/>
          <w:sz w:val="26"/>
          <w:szCs w:val="26"/>
        </w:rPr>
        <w:t>PODPORA VÝZKUMU A</w:t>
      </w:r>
      <w:r w:rsidR="0003053E">
        <w:rPr>
          <w:rFonts w:asciiTheme="majorHAnsi" w:hAnsiTheme="majorHAnsi" w:cstheme="majorHAnsi"/>
          <w:b/>
          <w:bCs/>
          <w:smallCaps/>
          <w:color w:val="000000" w:themeColor="text1"/>
          <w:sz w:val="26"/>
          <w:szCs w:val="26"/>
        </w:rPr>
        <w:t> </w:t>
      </w:r>
      <w:r w:rsidRPr="00393D5E">
        <w:rPr>
          <w:rFonts w:asciiTheme="majorHAnsi" w:hAnsiTheme="majorHAnsi" w:cstheme="majorHAnsi"/>
          <w:b/>
          <w:bCs/>
          <w:smallCaps/>
          <w:color w:val="000000" w:themeColor="text1"/>
          <w:sz w:val="26"/>
          <w:szCs w:val="26"/>
        </w:rPr>
        <w:t>VÝVOJE V</w:t>
      </w:r>
      <w:r w:rsidR="0003053E">
        <w:rPr>
          <w:rFonts w:asciiTheme="majorHAnsi" w:hAnsiTheme="majorHAnsi" w:cstheme="majorHAnsi"/>
          <w:b/>
          <w:bCs/>
          <w:smallCaps/>
          <w:color w:val="000000" w:themeColor="text1"/>
          <w:sz w:val="26"/>
          <w:szCs w:val="26"/>
        </w:rPr>
        <w:t> </w:t>
      </w:r>
      <w:r w:rsidRPr="00393D5E">
        <w:rPr>
          <w:rFonts w:asciiTheme="majorHAnsi" w:hAnsiTheme="majorHAnsi" w:cstheme="majorHAnsi"/>
          <w:b/>
          <w:bCs/>
          <w:smallCaps/>
          <w:color w:val="000000" w:themeColor="text1"/>
          <w:sz w:val="26"/>
          <w:szCs w:val="26"/>
        </w:rPr>
        <w:t>PODNICÍCH A</w:t>
      </w:r>
      <w:r w:rsidR="0003053E">
        <w:rPr>
          <w:rFonts w:asciiTheme="majorHAnsi" w:hAnsiTheme="majorHAnsi" w:cstheme="majorHAnsi"/>
          <w:b/>
          <w:bCs/>
          <w:smallCaps/>
          <w:color w:val="000000" w:themeColor="text1"/>
          <w:sz w:val="26"/>
          <w:szCs w:val="26"/>
        </w:rPr>
        <w:t> </w:t>
      </w:r>
      <w:r w:rsidRPr="00393D5E">
        <w:rPr>
          <w:rFonts w:asciiTheme="majorHAnsi" w:hAnsiTheme="majorHAnsi" w:cstheme="majorHAnsi"/>
          <w:b/>
          <w:bCs/>
          <w:smallCaps/>
          <w:color w:val="000000" w:themeColor="text1"/>
          <w:sz w:val="26"/>
          <w:szCs w:val="26"/>
        </w:rPr>
        <w:t>ZAVÁDĚNÍ INOVACÍ DO PODNIKOVÉ PRAXE</w:t>
      </w:r>
    </w:p>
    <w:p w14:paraId="6EFB28BC" w14:textId="338595D2" w:rsidR="00D54F71" w:rsidRPr="00393D5E" w:rsidRDefault="00D54F71" w:rsidP="00D54F71">
      <w:pPr>
        <w:spacing w:after="0" w:line="276" w:lineRule="auto"/>
        <w:ind w:firstLine="708"/>
        <w:jc w:val="both"/>
        <w:rPr>
          <w:rFonts w:eastAsiaTheme="minorEastAsia"/>
          <w:b/>
          <w:color w:val="000000" w:themeColor="text1"/>
        </w:rPr>
      </w:pPr>
      <w:r w:rsidRPr="00393D5E">
        <w:rPr>
          <w:rFonts w:eastAsiaTheme="minorEastAsia"/>
          <w:color w:val="000000" w:themeColor="text1"/>
        </w:rPr>
        <w:t xml:space="preserve">Investice č. 2: </w:t>
      </w:r>
      <w:r w:rsidRPr="00393D5E">
        <w:rPr>
          <w:rFonts w:eastAsiaTheme="minorEastAsia"/>
          <w:b/>
          <w:color w:val="000000" w:themeColor="text1"/>
        </w:rPr>
        <w:t>Podpora spolupráce v</w:t>
      </w:r>
      <w:r w:rsidR="0003053E">
        <w:rPr>
          <w:rFonts w:eastAsiaTheme="minorEastAsia"/>
          <w:b/>
          <w:color w:val="000000" w:themeColor="text1"/>
        </w:rPr>
        <w:t> </w:t>
      </w:r>
      <w:r w:rsidRPr="00393D5E">
        <w:rPr>
          <w:rFonts w:eastAsiaTheme="minorEastAsia"/>
          <w:b/>
          <w:color w:val="000000" w:themeColor="text1"/>
        </w:rPr>
        <w:t>oblasti výzkumu a</w:t>
      </w:r>
      <w:r w:rsidR="0003053E">
        <w:rPr>
          <w:rFonts w:eastAsiaTheme="minorEastAsia"/>
          <w:b/>
          <w:color w:val="000000" w:themeColor="text1"/>
        </w:rPr>
        <w:t> </w:t>
      </w:r>
      <w:r w:rsidRPr="00393D5E">
        <w:rPr>
          <w:rFonts w:eastAsiaTheme="minorEastAsia"/>
          <w:b/>
          <w:color w:val="000000" w:themeColor="text1"/>
        </w:rPr>
        <w:t>vývoje (v souladu s</w:t>
      </w:r>
      <w:r w:rsidR="0003053E">
        <w:rPr>
          <w:rFonts w:eastAsiaTheme="minorEastAsia"/>
          <w:b/>
          <w:color w:val="000000" w:themeColor="text1"/>
        </w:rPr>
        <w:t> </w:t>
      </w:r>
      <w:r w:rsidRPr="00393D5E">
        <w:rPr>
          <w:rFonts w:eastAsiaTheme="minorEastAsia"/>
          <w:b/>
          <w:color w:val="000000" w:themeColor="text1"/>
        </w:rPr>
        <w:t>Národní RIS3 strategií)</w:t>
      </w:r>
    </w:p>
    <w:p w14:paraId="06A7415C" w14:textId="37D5F325" w:rsidR="00D54F71" w:rsidRPr="00393D5E" w:rsidRDefault="00D54F71" w:rsidP="00D54F71">
      <w:pPr>
        <w:spacing w:after="0" w:line="276" w:lineRule="auto"/>
        <w:ind w:left="1416"/>
        <w:jc w:val="both"/>
        <w:rPr>
          <w:rFonts w:eastAsiaTheme="minorEastAsia"/>
          <w:color w:val="000000" w:themeColor="text1"/>
        </w:rPr>
      </w:pPr>
      <w:r w:rsidRPr="00393D5E">
        <w:rPr>
          <w:rFonts w:eastAsiaTheme="minorEastAsia"/>
          <w:color w:val="000000" w:themeColor="text1"/>
        </w:rPr>
        <w:t>Cíl 228 Spolupráce malých a</w:t>
      </w:r>
      <w:r w:rsidR="0003053E">
        <w:rPr>
          <w:rFonts w:eastAsiaTheme="minorEastAsia"/>
          <w:color w:val="000000" w:themeColor="text1"/>
        </w:rPr>
        <w:t> </w:t>
      </w:r>
      <w:r w:rsidRPr="00393D5E">
        <w:rPr>
          <w:rFonts w:eastAsiaTheme="minorEastAsia"/>
          <w:color w:val="000000" w:themeColor="text1"/>
        </w:rPr>
        <w:t>středních podniků s</w:t>
      </w:r>
      <w:r w:rsidR="0003053E">
        <w:rPr>
          <w:rFonts w:eastAsiaTheme="minorEastAsia"/>
          <w:color w:val="000000" w:themeColor="text1"/>
        </w:rPr>
        <w:t> </w:t>
      </w:r>
      <w:r w:rsidRPr="00393D5E">
        <w:rPr>
          <w:rFonts w:eastAsiaTheme="minorEastAsia"/>
          <w:color w:val="000000" w:themeColor="text1"/>
        </w:rPr>
        <w:t>veřejnou výzkumnou organizací v</w:t>
      </w:r>
      <w:r w:rsidR="0003053E">
        <w:rPr>
          <w:rFonts w:eastAsiaTheme="minorEastAsia"/>
          <w:color w:val="000000" w:themeColor="text1"/>
        </w:rPr>
        <w:t> </w:t>
      </w:r>
      <w:r w:rsidRPr="00393D5E">
        <w:rPr>
          <w:rFonts w:eastAsiaTheme="minorEastAsia"/>
          <w:color w:val="000000" w:themeColor="text1"/>
        </w:rPr>
        <w:t>rámci Národních center kompetence</w:t>
      </w:r>
    </w:p>
    <w:p w14:paraId="2734AF89" w14:textId="59AE651E" w:rsidR="00D54F71" w:rsidRPr="00393D5E" w:rsidRDefault="00D54F71" w:rsidP="00D54F71">
      <w:pPr>
        <w:spacing w:after="0" w:line="276" w:lineRule="auto"/>
        <w:ind w:firstLine="708"/>
        <w:jc w:val="both"/>
        <w:rPr>
          <w:rFonts w:eastAsiaTheme="minorEastAsia"/>
          <w:b/>
          <w:color w:val="000000" w:themeColor="text1"/>
        </w:rPr>
      </w:pPr>
      <w:r w:rsidRPr="00393D5E">
        <w:rPr>
          <w:rFonts w:eastAsiaTheme="minorEastAsia"/>
          <w:color w:val="000000" w:themeColor="text1"/>
        </w:rPr>
        <w:t xml:space="preserve">Investice č. 3: </w:t>
      </w:r>
      <w:r w:rsidRPr="00393D5E">
        <w:rPr>
          <w:rFonts w:eastAsiaTheme="minorEastAsia"/>
          <w:b/>
          <w:color w:val="000000" w:themeColor="text1"/>
        </w:rPr>
        <w:t>Podpora výzkumu a</w:t>
      </w:r>
      <w:r w:rsidR="0003053E">
        <w:rPr>
          <w:rFonts w:eastAsiaTheme="minorEastAsia"/>
          <w:b/>
          <w:color w:val="000000" w:themeColor="text1"/>
        </w:rPr>
        <w:t> </w:t>
      </w:r>
      <w:r w:rsidRPr="00393D5E">
        <w:rPr>
          <w:rFonts w:eastAsiaTheme="minorEastAsia"/>
          <w:b/>
          <w:color w:val="000000" w:themeColor="text1"/>
        </w:rPr>
        <w:t>vývoje v</w:t>
      </w:r>
      <w:r w:rsidR="0003053E">
        <w:rPr>
          <w:rFonts w:eastAsiaTheme="minorEastAsia"/>
          <w:b/>
          <w:color w:val="000000" w:themeColor="text1"/>
        </w:rPr>
        <w:t> </w:t>
      </w:r>
      <w:r w:rsidRPr="00393D5E">
        <w:rPr>
          <w:rFonts w:eastAsiaTheme="minorEastAsia"/>
          <w:b/>
          <w:color w:val="000000" w:themeColor="text1"/>
        </w:rPr>
        <w:t>oblasti životního prostředí</w:t>
      </w:r>
    </w:p>
    <w:p w14:paraId="4B1EFCE0" w14:textId="26BF4821" w:rsidR="00D54F71" w:rsidRPr="00393D5E" w:rsidRDefault="00D54F71" w:rsidP="00D54F71">
      <w:pPr>
        <w:spacing w:after="0" w:line="276" w:lineRule="auto"/>
        <w:ind w:left="708" w:firstLine="708"/>
        <w:jc w:val="both"/>
        <w:rPr>
          <w:rFonts w:eastAsiaTheme="minorEastAsia"/>
          <w:color w:val="000000" w:themeColor="text1"/>
        </w:rPr>
      </w:pPr>
      <w:r w:rsidRPr="00393D5E">
        <w:rPr>
          <w:rFonts w:eastAsiaTheme="minorEastAsia"/>
          <w:color w:val="000000" w:themeColor="text1"/>
        </w:rPr>
        <w:t>Cíl 229 Výzkum a</w:t>
      </w:r>
      <w:r w:rsidR="0003053E">
        <w:rPr>
          <w:rFonts w:eastAsiaTheme="minorEastAsia"/>
          <w:color w:val="000000" w:themeColor="text1"/>
        </w:rPr>
        <w:t> </w:t>
      </w:r>
      <w:r w:rsidRPr="00393D5E">
        <w:rPr>
          <w:rFonts w:eastAsiaTheme="minorEastAsia"/>
          <w:color w:val="000000" w:themeColor="text1"/>
        </w:rPr>
        <w:t>vývoj v</w:t>
      </w:r>
      <w:r w:rsidR="0003053E">
        <w:rPr>
          <w:rFonts w:eastAsiaTheme="minorEastAsia"/>
          <w:color w:val="000000" w:themeColor="text1"/>
        </w:rPr>
        <w:t> </w:t>
      </w:r>
      <w:r w:rsidRPr="00393D5E">
        <w:rPr>
          <w:rFonts w:eastAsiaTheme="minorEastAsia"/>
          <w:color w:val="000000" w:themeColor="text1"/>
        </w:rPr>
        <w:t>oblasti životního prostředí</w:t>
      </w:r>
    </w:p>
    <w:p w14:paraId="78DC5249" w14:textId="40548B47" w:rsidR="00D54F71" w:rsidRPr="00393D5E" w:rsidRDefault="00D54F71" w:rsidP="00D54F71">
      <w:pPr>
        <w:spacing w:after="0" w:line="276" w:lineRule="auto"/>
        <w:ind w:left="708"/>
        <w:jc w:val="both"/>
        <w:rPr>
          <w:rFonts w:eastAsiaTheme="minorEastAsia"/>
          <w:color w:val="000000" w:themeColor="text1"/>
        </w:rPr>
      </w:pPr>
      <w:r w:rsidRPr="00393D5E">
        <w:rPr>
          <w:rFonts w:eastAsiaTheme="minorEastAsia"/>
          <w:color w:val="000000" w:themeColor="text1"/>
        </w:rPr>
        <w:t xml:space="preserve">Investice č. 4: </w:t>
      </w:r>
      <w:r w:rsidRPr="00393D5E">
        <w:rPr>
          <w:rFonts w:eastAsiaTheme="minorEastAsia"/>
          <w:b/>
          <w:color w:val="000000" w:themeColor="text1"/>
        </w:rPr>
        <w:t>Podpora výzkumu a</w:t>
      </w:r>
      <w:r w:rsidR="0003053E">
        <w:rPr>
          <w:rFonts w:eastAsiaTheme="minorEastAsia"/>
          <w:b/>
          <w:color w:val="000000" w:themeColor="text1"/>
        </w:rPr>
        <w:t> </w:t>
      </w:r>
      <w:r w:rsidRPr="00393D5E">
        <w:rPr>
          <w:rFonts w:eastAsiaTheme="minorEastAsia"/>
          <w:b/>
          <w:color w:val="000000" w:themeColor="text1"/>
        </w:rPr>
        <w:t>vývoje v</w:t>
      </w:r>
      <w:r w:rsidR="0003053E">
        <w:rPr>
          <w:rFonts w:eastAsiaTheme="minorEastAsia"/>
          <w:b/>
          <w:color w:val="000000" w:themeColor="text1"/>
        </w:rPr>
        <w:t> </w:t>
      </w:r>
      <w:r w:rsidRPr="00393D5E">
        <w:rPr>
          <w:rFonts w:eastAsiaTheme="minorEastAsia"/>
          <w:b/>
          <w:color w:val="000000" w:themeColor="text1"/>
        </w:rPr>
        <w:t>synergických efektech s</w:t>
      </w:r>
      <w:r w:rsidR="0003053E">
        <w:rPr>
          <w:rFonts w:eastAsiaTheme="minorEastAsia"/>
          <w:b/>
          <w:color w:val="000000" w:themeColor="text1"/>
        </w:rPr>
        <w:t> </w:t>
      </w:r>
      <w:r w:rsidRPr="00393D5E">
        <w:rPr>
          <w:rFonts w:eastAsiaTheme="minorEastAsia"/>
          <w:b/>
          <w:color w:val="000000" w:themeColor="text1"/>
        </w:rPr>
        <w:t>rámcovým programem pro výzkum a</w:t>
      </w:r>
      <w:r w:rsidR="0003053E">
        <w:rPr>
          <w:rFonts w:eastAsiaTheme="minorEastAsia"/>
          <w:b/>
          <w:color w:val="000000" w:themeColor="text1"/>
        </w:rPr>
        <w:t> </w:t>
      </w:r>
      <w:r w:rsidRPr="00393D5E">
        <w:rPr>
          <w:rFonts w:eastAsiaTheme="minorEastAsia"/>
          <w:b/>
          <w:color w:val="000000" w:themeColor="text1"/>
        </w:rPr>
        <w:t>inovace</w:t>
      </w:r>
    </w:p>
    <w:p w14:paraId="663B6184" w14:textId="4EB7F063" w:rsidR="00D54F71" w:rsidRPr="00393D5E" w:rsidRDefault="00D54F71" w:rsidP="009C1135">
      <w:pPr>
        <w:spacing w:after="0" w:line="276" w:lineRule="auto"/>
        <w:ind w:left="1416"/>
        <w:jc w:val="both"/>
        <w:rPr>
          <w:rFonts w:eastAsiaTheme="minorEastAsia"/>
          <w:color w:val="000000" w:themeColor="text1"/>
        </w:rPr>
      </w:pPr>
      <w:r w:rsidRPr="00393D5E">
        <w:rPr>
          <w:rFonts w:eastAsiaTheme="minorEastAsia"/>
          <w:color w:val="000000" w:themeColor="text1"/>
        </w:rPr>
        <w:t>Cíl 230 Výzkum a</w:t>
      </w:r>
      <w:r w:rsidR="0003053E">
        <w:rPr>
          <w:rFonts w:eastAsiaTheme="minorEastAsia"/>
          <w:color w:val="000000" w:themeColor="text1"/>
        </w:rPr>
        <w:t> </w:t>
      </w:r>
      <w:r w:rsidRPr="00393D5E">
        <w:rPr>
          <w:rFonts w:eastAsiaTheme="minorEastAsia"/>
          <w:color w:val="000000" w:themeColor="text1"/>
        </w:rPr>
        <w:t>vývoj v</w:t>
      </w:r>
      <w:r w:rsidR="0003053E">
        <w:rPr>
          <w:rFonts w:eastAsiaTheme="minorEastAsia"/>
          <w:color w:val="000000" w:themeColor="text1"/>
        </w:rPr>
        <w:t> </w:t>
      </w:r>
      <w:r w:rsidRPr="00393D5E">
        <w:rPr>
          <w:rFonts w:eastAsiaTheme="minorEastAsia"/>
          <w:color w:val="000000" w:themeColor="text1"/>
        </w:rPr>
        <w:t>synergických efektech s</w:t>
      </w:r>
      <w:r w:rsidR="0003053E">
        <w:rPr>
          <w:rFonts w:eastAsiaTheme="minorEastAsia"/>
          <w:color w:val="000000" w:themeColor="text1"/>
        </w:rPr>
        <w:t> </w:t>
      </w:r>
      <w:r w:rsidRPr="00393D5E">
        <w:rPr>
          <w:rFonts w:eastAsiaTheme="minorEastAsia"/>
          <w:color w:val="000000" w:themeColor="text1"/>
        </w:rPr>
        <w:t>rámcovým programem pro výzkum a</w:t>
      </w:r>
      <w:r w:rsidR="0003053E">
        <w:rPr>
          <w:rFonts w:eastAsiaTheme="minorEastAsia"/>
          <w:color w:val="000000" w:themeColor="text1"/>
        </w:rPr>
        <w:t> </w:t>
      </w:r>
      <w:r w:rsidRPr="00393D5E">
        <w:rPr>
          <w:rFonts w:eastAsiaTheme="minorEastAsia"/>
          <w:color w:val="000000" w:themeColor="text1"/>
        </w:rPr>
        <w:t>inovace</w:t>
      </w:r>
    </w:p>
    <w:p w14:paraId="38C564D7" w14:textId="77777777" w:rsidR="00A4615F" w:rsidRPr="00393D5E" w:rsidRDefault="00A4615F" w:rsidP="00316A1B">
      <w:pPr>
        <w:spacing w:line="276" w:lineRule="auto"/>
        <w:ind w:left="1418" w:hanging="710"/>
        <w:jc w:val="both"/>
      </w:pPr>
    </w:p>
    <w:p w14:paraId="2FA6B399" w14:textId="77777777" w:rsidR="007B0933" w:rsidRPr="00393D5E" w:rsidRDefault="007B0933" w:rsidP="00316A1B">
      <w:pPr>
        <w:spacing w:line="276" w:lineRule="auto"/>
        <w:jc w:val="both"/>
        <w:rPr>
          <w:rFonts w:asciiTheme="majorHAnsi" w:hAnsiTheme="majorHAnsi" w:cstheme="majorHAnsi"/>
          <w:b/>
          <w:bCs/>
          <w:smallCaps/>
          <w:sz w:val="26"/>
          <w:szCs w:val="26"/>
        </w:rPr>
      </w:pPr>
      <w:r w:rsidRPr="00393D5E">
        <w:rPr>
          <w:rFonts w:asciiTheme="majorHAnsi" w:hAnsiTheme="majorHAnsi" w:cstheme="majorHAnsi"/>
          <w:b/>
          <w:sz w:val="26"/>
          <w:szCs w:val="26"/>
        </w:rPr>
        <w:t xml:space="preserve">Komponenta 6.1 </w:t>
      </w:r>
      <w:r w:rsidRPr="00393D5E">
        <w:rPr>
          <w:rFonts w:asciiTheme="majorHAnsi" w:hAnsiTheme="majorHAnsi" w:cstheme="majorHAnsi"/>
          <w:b/>
          <w:bCs/>
          <w:smallCaps/>
          <w:sz w:val="26"/>
          <w:szCs w:val="26"/>
        </w:rPr>
        <w:t>ZVÝŠENÍ ODOLNOSTI SYSTÉMU ZDRAVOTNÍ PÉČE</w:t>
      </w:r>
    </w:p>
    <w:p w14:paraId="2944AE6E" w14:textId="77777777" w:rsidR="007B0933" w:rsidRPr="00393D5E" w:rsidRDefault="007B0933" w:rsidP="00316A1B">
      <w:pPr>
        <w:spacing w:line="276" w:lineRule="auto"/>
        <w:jc w:val="both"/>
      </w:pPr>
      <w:r w:rsidRPr="00393D5E">
        <w:tab/>
        <w:t xml:space="preserve">Investice 1 </w:t>
      </w:r>
      <w:r w:rsidRPr="00393D5E">
        <w:rPr>
          <w:b/>
        </w:rPr>
        <w:t>Vznik simulačního centra intenzivní medicíny</w:t>
      </w:r>
    </w:p>
    <w:p w14:paraId="4AE46E21" w14:textId="77777777" w:rsidR="007B0933" w:rsidRPr="00393D5E" w:rsidRDefault="007B0933" w:rsidP="00316A1B">
      <w:pPr>
        <w:spacing w:line="276" w:lineRule="auto"/>
        <w:jc w:val="both"/>
      </w:pPr>
      <w:r w:rsidRPr="00393D5E">
        <w:tab/>
      </w:r>
      <w:r w:rsidRPr="00393D5E">
        <w:tab/>
        <w:t>Milník 233 Zahájení provozu simulačního centra intenzivní medicíny</w:t>
      </w:r>
    </w:p>
    <w:p w14:paraId="6C5FC1B6" w14:textId="77777777" w:rsidR="00345B92" w:rsidRPr="00393D5E" w:rsidRDefault="00345B92" w:rsidP="00316A1B">
      <w:pPr>
        <w:spacing w:line="276" w:lineRule="auto"/>
        <w:jc w:val="both"/>
      </w:pPr>
    </w:p>
    <w:p w14:paraId="46B9A4B7" w14:textId="0A206E6F" w:rsidR="00345B92" w:rsidRPr="00393D5E" w:rsidRDefault="00345B92" w:rsidP="05AB2BC1">
      <w:pPr>
        <w:spacing w:line="276" w:lineRule="auto"/>
        <w:jc w:val="both"/>
      </w:pPr>
    </w:p>
    <w:p w14:paraId="5AF0ED0D" w14:textId="77777777" w:rsidR="00B834B4" w:rsidRPr="00393D5E" w:rsidRDefault="00B834B4" w:rsidP="00316A1B">
      <w:pPr>
        <w:spacing w:line="276" w:lineRule="auto"/>
        <w:jc w:val="both"/>
        <w:rPr>
          <w:sz w:val="20"/>
          <w:szCs w:val="20"/>
        </w:rPr>
      </w:pPr>
      <w:r w:rsidRPr="00393D5E">
        <w:rPr>
          <w:sz w:val="20"/>
          <w:szCs w:val="20"/>
        </w:rPr>
        <w:br w:type="page"/>
      </w:r>
    </w:p>
    <w:p w14:paraId="67C2ED21" w14:textId="3D2E3838" w:rsidR="00B834B4" w:rsidRPr="00393D5E" w:rsidRDefault="07F06DE2" w:rsidP="3E0D70EE">
      <w:pPr>
        <w:pStyle w:val="Nadpis1"/>
        <w:numPr>
          <w:ilvl w:val="0"/>
          <w:numId w:val="0"/>
        </w:numPr>
        <w:spacing w:line="276" w:lineRule="auto"/>
        <w:rPr>
          <w:rStyle w:val="normaltextrun"/>
          <w:rFonts w:asciiTheme="minorHAnsi" w:hAnsiTheme="minorHAnsi" w:cstheme="minorBidi"/>
        </w:rPr>
      </w:pPr>
      <w:bookmarkStart w:id="283" w:name="_Toc151444354"/>
      <w:r w:rsidRPr="3E0D70EE">
        <w:rPr>
          <w:rFonts w:asciiTheme="minorHAnsi" w:hAnsiTheme="minorHAnsi" w:cstheme="minorBidi"/>
        </w:rPr>
        <w:lastRenderedPageBreak/>
        <w:t>Část III. Doplňkovost a</w:t>
      </w:r>
      <w:r w:rsidR="0003053E">
        <w:rPr>
          <w:rFonts w:asciiTheme="minorHAnsi" w:hAnsiTheme="minorHAnsi" w:cstheme="minorBidi"/>
        </w:rPr>
        <w:t> </w:t>
      </w:r>
      <w:r w:rsidRPr="3E0D70EE">
        <w:rPr>
          <w:rFonts w:asciiTheme="minorHAnsi" w:hAnsiTheme="minorHAnsi" w:cstheme="minorBidi"/>
        </w:rPr>
        <w:t>provádění plánu</w:t>
      </w:r>
      <w:bookmarkEnd w:id="283"/>
    </w:p>
    <w:p w14:paraId="3C0FE9EC" w14:textId="77777777" w:rsidR="00B834B4" w:rsidRPr="00393D5E" w:rsidRDefault="00B834B4" w:rsidP="00316A1B">
      <w:pPr>
        <w:spacing w:line="276" w:lineRule="auto"/>
        <w:jc w:val="both"/>
      </w:pPr>
    </w:p>
    <w:p w14:paraId="498DE1E5" w14:textId="77777777" w:rsidR="00B834B4" w:rsidRPr="00393D5E" w:rsidRDefault="00B834B4" w:rsidP="00316A1B">
      <w:pPr>
        <w:spacing w:line="276" w:lineRule="auto"/>
        <w:jc w:val="both"/>
      </w:pPr>
      <w:r w:rsidRPr="00393D5E">
        <w:br w:type="page"/>
      </w:r>
    </w:p>
    <w:p w14:paraId="631FDBE4" w14:textId="0B7BB0E0" w:rsidR="009B169A" w:rsidRPr="00393D5E" w:rsidRDefault="5B107866" w:rsidP="00316A1B">
      <w:pPr>
        <w:pStyle w:val="Nadpis2"/>
        <w:spacing w:line="276" w:lineRule="auto"/>
      </w:pPr>
      <w:bookmarkStart w:id="284" w:name="_Toc151444355"/>
      <w:r>
        <w:lastRenderedPageBreak/>
        <w:t>Soulad s</w:t>
      </w:r>
      <w:r w:rsidR="0003053E">
        <w:t> </w:t>
      </w:r>
      <w:r>
        <w:t>ostatními iniciativami</w:t>
      </w:r>
      <w:bookmarkEnd w:id="284"/>
    </w:p>
    <w:p w14:paraId="5843A187" w14:textId="6369AABB" w:rsidR="007D0034" w:rsidRPr="00393D5E" w:rsidRDefault="007D0034" w:rsidP="00316A1B">
      <w:pPr>
        <w:spacing w:line="276" w:lineRule="auto"/>
        <w:jc w:val="both"/>
      </w:pPr>
      <w:r w:rsidRPr="00393D5E">
        <w:t>Soulad s</w:t>
      </w:r>
      <w:r w:rsidR="0003053E">
        <w:t> </w:t>
      </w:r>
      <w:r w:rsidRPr="00393D5E">
        <w:t>ostatními iniciativami je popsán v</w:t>
      </w:r>
      <w:r w:rsidR="0003053E">
        <w:t> </w:t>
      </w:r>
      <w:r w:rsidRPr="00393D5E">
        <w:t>NPO (2021), v</w:t>
      </w:r>
      <w:r w:rsidR="0003053E">
        <w:t> </w:t>
      </w:r>
      <w:r w:rsidRPr="00393D5E">
        <w:t>kapitole III.2 Konzistence plánu s</w:t>
      </w:r>
      <w:r w:rsidR="0003053E">
        <w:t> </w:t>
      </w:r>
      <w:r w:rsidRPr="00393D5E">
        <w:t>dalšími iniciativami, str. 58 a</w:t>
      </w:r>
      <w:r w:rsidR="0003053E">
        <w:t> </w:t>
      </w:r>
      <w:r w:rsidRPr="00393D5E">
        <w:t>násl.</w:t>
      </w:r>
    </w:p>
    <w:p w14:paraId="3598A0DE" w14:textId="4FED6B48" w:rsidR="007D0034" w:rsidRPr="00393D5E" w:rsidRDefault="27F00368" w:rsidP="00316A1B">
      <w:pPr>
        <w:spacing w:line="276" w:lineRule="auto"/>
        <w:jc w:val="both"/>
      </w:pPr>
      <w:r w:rsidRPr="00393D5E">
        <w:t>Dodatek k</w:t>
      </w:r>
      <w:r w:rsidR="0003053E">
        <w:t> </w:t>
      </w:r>
      <w:r w:rsidRPr="00393D5E">
        <w:t>NPO je významným způsobem zaměřen na podporu plnění cílů plánu REPowerEU. Nová opatření, jež jsou popsána v</w:t>
      </w:r>
      <w:r w:rsidR="0003053E">
        <w:t> </w:t>
      </w:r>
      <w:r w:rsidRPr="00393D5E">
        <w:t>kapitole REPowerEU, představují opatření komplementární s</w:t>
      </w:r>
      <w:r w:rsidR="0003053E">
        <w:t> </w:t>
      </w:r>
      <w:r w:rsidR="3F68D33E" w:rsidRPr="00393D5E">
        <w:t xml:space="preserve">připravovanou aktualizací </w:t>
      </w:r>
      <w:r w:rsidRPr="00393D5E">
        <w:t>Vnitrostátní</w:t>
      </w:r>
      <w:r w:rsidR="3F68D33E" w:rsidRPr="00393D5E">
        <w:t>ho</w:t>
      </w:r>
      <w:r w:rsidRPr="00393D5E">
        <w:t xml:space="preserve"> plán</w:t>
      </w:r>
      <w:r w:rsidR="3F68D33E" w:rsidRPr="00393D5E">
        <w:t>u</w:t>
      </w:r>
      <w:r w:rsidRPr="00393D5E">
        <w:t xml:space="preserve"> ČR v</w:t>
      </w:r>
      <w:r w:rsidR="0003053E">
        <w:t> </w:t>
      </w:r>
      <w:r w:rsidRPr="00393D5E">
        <w:t>oblasti energetiky a</w:t>
      </w:r>
      <w:r w:rsidR="0003053E">
        <w:t> </w:t>
      </w:r>
      <w:r w:rsidRPr="00393D5E">
        <w:t xml:space="preserve">klimatu. </w:t>
      </w:r>
      <w:r w:rsidR="363A226F" w:rsidRPr="00393D5E">
        <w:t>Jak bylo uvedeno výše v</w:t>
      </w:r>
      <w:r w:rsidR="0003053E">
        <w:t> </w:t>
      </w:r>
      <w:r w:rsidRPr="00393D5E">
        <w:t>souladu s</w:t>
      </w:r>
      <w:r w:rsidR="0003053E">
        <w:t> </w:t>
      </w:r>
      <w:r w:rsidRPr="00393D5E">
        <w:t>REPowerEU</w:t>
      </w:r>
      <w:r w:rsidR="0B998251" w:rsidRPr="00393D5E">
        <w:t>,</w:t>
      </w:r>
      <w:r w:rsidRPr="00393D5E">
        <w:t xml:space="preserve"> hodlá Česká republika </w:t>
      </w:r>
      <w:r w:rsidR="0B998251" w:rsidRPr="00393D5E">
        <w:t>z</w:t>
      </w:r>
      <w:r w:rsidR="0003053E">
        <w:t> </w:t>
      </w:r>
      <w:r w:rsidR="0B998251" w:rsidRPr="00393D5E">
        <w:t>NPO masivně podpořit</w:t>
      </w:r>
      <w:r w:rsidR="256ACAC1" w:rsidRPr="00393D5E">
        <w:t xml:space="preserve"> obnoviteln</w:t>
      </w:r>
      <w:r w:rsidR="0B998251" w:rsidRPr="00393D5E">
        <w:t>é</w:t>
      </w:r>
      <w:r w:rsidR="256ACAC1" w:rsidRPr="00393D5E">
        <w:t xml:space="preserve"> zdroj</w:t>
      </w:r>
      <w:r w:rsidR="0B998251" w:rsidRPr="00393D5E">
        <w:t>e</w:t>
      </w:r>
      <w:r w:rsidR="256ACAC1" w:rsidRPr="00393D5E">
        <w:t xml:space="preserve"> energie</w:t>
      </w:r>
      <w:r w:rsidR="6A9B57C8" w:rsidRPr="00393D5E">
        <w:t xml:space="preserve"> </w:t>
      </w:r>
      <w:r w:rsidR="0B998251" w:rsidRPr="00393D5E">
        <w:t>a</w:t>
      </w:r>
      <w:r w:rsidR="0003053E">
        <w:t> </w:t>
      </w:r>
      <w:r w:rsidR="0B998251" w:rsidRPr="00393D5E">
        <w:t xml:space="preserve">energetické účinnosti </w:t>
      </w:r>
      <w:r w:rsidR="6A9B57C8" w:rsidRPr="00393D5E">
        <w:t>s</w:t>
      </w:r>
      <w:r w:rsidR="0003053E">
        <w:t> </w:t>
      </w:r>
      <w:r w:rsidR="6A9B57C8" w:rsidRPr="00393D5E">
        <w:t>cílem zajistit plnění aktualizovan</w:t>
      </w:r>
      <w:r w:rsidR="0B998251" w:rsidRPr="00393D5E">
        <w:t>ých</w:t>
      </w:r>
      <w:r w:rsidR="6A9B57C8" w:rsidRPr="00393D5E">
        <w:t xml:space="preserve"> cíl</w:t>
      </w:r>
      <w:r w:rsidR="0B998251" w:rsidRPr="00393D5E">
        <w:t>ů pro rok</w:t>
      </w:r>
      <w:r w:rsidR="6A9B57C8" w:rsidRPr="00393D5E">
        <w:t xml:space="preserve"> 2030</w:t>
      </w:r>
      <w:r w:rsidR="0B998251" w:rsidRPr="00393D5E">
        <w:t xml:space="preserve"> a</w:t>
      </w:r>
      <w:r w:rsidR="0003053E">
        <w:t> </w:t>
      </w:r>
      <w:r w:rsidR="0B998251" w:rsidRPr="00393D5E">
        <w:t xml:space="preserve">dále </w:t>
      </w:r>
      <w:r w:rsidRPr="00393D5E">
        <w:t>investovat do zlepšení energetické infrastruktury</w:t>
      </w:r>
      <w:r w:rsidR="0B998251" w:rsidRPr="00393D5E">
        <w:t>, včetně posílení distribučních sítí pro elektrickou energii a</w:t>
      </w:r>
      <w:r w:rsidR="0003053E">
        <w:t> </w:t>
      </w:r>
      <w:r w:rsidR="0B998251" w:rsidRPr="00393D5E">
        <w:t>infrastruktury pro fosilní paliva</w:t>
      </w:r>
      <w:r w:rsidR="3E1BE0A6" w:rsidRPr="00393D5E">
        <w:t xml:space="preserve"> </w:t>
      </w:r>
      <w:r w:rsidR="0B998251" w:rsidRPr="00393D5E">
        <w:t>s</w:t>
      </w:r>
      <w:r w:rsidR="0003053E">
        <w:t> </w:t>
      </w:r>
      <w:r w:rsidR="0B998251" w:rsidRPr="00393D5E">
        <w:t xml:space="preserve">cílem </w:t>
      </w:r>
      <w:r w:rsidRPr="00393D5E">
        <w:t>zajisti</w:t>
      </w:r>
      <w:r w:rsidR="0B998251" w:rsidRPr="00393D5E">
        <w:t>t</w:t>
      </w:r>
      <w:r w:rsidRPr="00393D5E">
        <w:t xml:space="preserve"> bezpečnost dodávek </w:t>
      </w:r>
      <w:r w:rsidR="256ACAC1" w:rsidRPr="00393D5E">
        <w:t xml:space="preserve">zemního </w:t>
      </w:r>
      <w:r w:rsidRPr="00393D5E">
        <w:t>plynu a</w:t>
      </w:r>
      <w:r w:rsidR="0003053E">
        <w:t> </w:t>
      </w:r>
      <w:r w:rsidR="256ACAC1" w:rsidRPr="00393D5E">
        <w:t>ropy</w:t>
      </w:r>
      <w:r w:rsidRPr="00393D5E">
        <w:t>. Česká republika také podporuje rozvoj trhu s</w:t>
      </w:r>
      <w:r w:rsidR="0003053E">
        <w:t> </w:t>
      </w:r>
      <w:r w:rsidRPr="00393D5E">
        <w:t>vodíkem v</w:t>
      </w:r>
      <w:r w:rsidR="0003053E">
        <w:t> </w:t>
      </w:r>
      <w:r w:rsidRPr="00393D5E">
        <w:t>EU a</w:t>
      </w:r>
      <w:r w:rsidR="0003053E">
        <w:t> </w:t>
      </w:r>
      <w:r w:rsidRPr="00393D5E">
        <w:t>plánuje zvýšit produkci a</w:t>
      </w:r>
      <w:r w:rsidR="0003053E">
        <w:t> </w:t>
      </w:r>
      <w:r w:rsidRPr="00393D5E">
        <w:t>využití udržitelného biometanu a</w:t>
      </w:r>
      <w:r w:rsidR="0003053E">
        <w:t> </w:t>
      </w:r>
      <w:r w:rsidRPr="00393D5E">
        <w:t>bezemisního vodíku v</w:t>
      </w:r>
      <w:r w:rsidR="0003053E">
        <w:t> </w:t>
      </w:r>
      <w:r w:rsidRPr="00393D5E">
        <w:t>průmyslu, dopravě a</w:t>
      </w:r>
      <w:r w:rsidR="0003053E">
        <w:t> </w:t>
      </w:r>
      <w:r w:rsidRPr="00393D5E">
        <w:t xml:space="preserve">energetice. </w:t>
      </w:r>
    </w:p>
    <w:p w14:paraId="3B6042E9" w14:textId="6DB7BDA1" w:rsidR="007D0034" w:rsidRPr="00393D5E" w:rsidRDefault="27F00368" w:rsidP="00316A1B">
      <w:pPr>
        <w:spacing w:line="276" w:lineRule="auto"/>
        <w:jc w:val="both"/>
      </w:pPr>
      <w:r w:rsidRPr="00393D5E">
        <w:t>V tomto kontextu již na úrovni ČR probíhá energetická transformace, která by měla vést nejenom ke snížení emisí skleníkových plynů, ale také k</w:t>
      </w:r>
      <w:r w:rsidR="0003053E">
        <w:t> </w:t>
      </w:r>
      <w:r w:rsidRPr="00393D5E">
        <w:t>posílení odolnosti. Již nyní cca polovina elektřiny pochází z</w:t>
      </w:r>
      <w:r w:rsidR="0003053E">
        <w:t> </w:t>
      </w:r>
      <w:r w:rsidRPr="00393D5E">
        <w:t>nízko emisních zdrojů (obnovitelných zdrojů a</w:t>
      </w:r>
      <w:r w:rsidR="0003053E">
        <w:t> </w:t>
      </w:r>
      <w:r w:rsidRPr="00393D5E">
        <w:t>jaderných zdrojů) a</w:t>
      </w:r>
      <w:r w:rsidR="0003053E">
        <w:t> </w:t>
      </w:r>
      <w:r w:rsidRPr="00393D5E">
        <w:t>do budoucna by mělo docházet k</w:t>
      </w:r>
      <w:r w:rsidR="0003053E">
        <w:t> </w:t>
      </w:r>
      <w:r w:rsidRPr="00393D5E">
        <w:t>dalšímu zvyšování podílů těchto zdrojů, a</w:t>
      </w:r>
      <w:r w:rsidR="0003053E">
        <w:t> </w:t>
      </w:r>
      <w:r w:rsidRPr="00393D5E">
        <w:t>to i</w:t>
      </w:r>
      <w:r w:rsidR="0003053E">
        <w:t> </w:t>
      </w:r>
      <w:r w:rsidRPr="00393D5E">
        <w:t>v ostatních sektorech (doprava, průmysl atd.), kde je rozvoj tohoto typu zdrojů zatím problematičtější. I</w:t>
      </w:r>
      <w:r w:rsidR="0003053E">
        <w:t> </w:t>
      </w:r>
      <w:r w:rsidRPr="00393D5E">
        <w:t>přes to, že centrální energetika bude mít stále důležitou roli, tak zároveň probíhá rozvoj lokálních (decentralizovaných) zdrojů energie zejména na bázi obnovitelných zdrojů energie, které by měly přispívat k</w:t>
      </w:r>
      <w:r w:rsidR="0003053E">
        <w:t> </w:t>
      </w:r>
      <w:r w:rsidRPr="00393D5E">
        <w:t>větší odolnosti. Podmínkou pro další rozvoj a</w:t>
      </w:r>
      <w:r w:rsidR="0003053E">
        <w:t> </w:t>
      </w:r>
      <w:r w:rsidRPr="00393D5E">
        <w:t>e</w:t>
      </w:r>
      <w:r w:rsidR="7AF97B5A" w:rsidRPr="00393D5E">
        <w:t>f</w:t>
      </w:r>
      <w:r w:rsidRPr="00393D5E">
        <w:t>ektivní využití těchto zdrojů je sdílení energie na lokální úrovni. I</w:t>
      </w:r>
      <w:r w:rsidR="0003053E">
        <w:t> </w:t>
      </w:r>
      <w:r w:rsidRPr="00393D5E">
        <w:t>za předpokladu, že část energie bude vyráběna a</w:t>
      </w:r>
      <w:r w:rsidR="0003053E">
        <w:t> </w:t>
      </w:r>
      <w:r w:rsidRPr="00393D5E">
        <w:t>spotřebována lokálně</w:t>
      </w:r>
      <w:r w:rsidR="186CA103" w:rsidRPr="00393D5E">
        <w:t>,</w:t>
      </w:r>
      <w:r w:rsidRPr="00393D5E">
        <w:t xml:space="preserve"> případně sdílena bez využití veřejné sítě, tak je patrné, že energetická síť, v</w:t>
      </w:r>
      <w:r w:rsidR="0003053E">
        <w:t> </w:t>
      </w:r>
      <w:r w:rsidRPr="00393D5E">
        <w:t>oblasti elektroenergetiky se jedná zejména distribuční síť, a</w:t>
      </w:r>
      <w:r w:rsidR="0003053E">
        <w:t> </w:t>
      </w:r>
      <w:r w:rsidRPr="00393D5E">
        <w:t>její posilování je důležitým předpokladem. V</w:t>
      </w:r>
      <w:r w:rsidR="0003053E">
        <w:t> </w:t>
      </w:r>
      <w:r w:rsidRPr="00393D5E">
        <w:t>tomto ohledu je mimo jiné důležitý aspekt digitalizace a</w:t>
      </w:r>
      <w:r w:rsidR="0003053E">
        <w:t> </w:t>
      </w:r>
      <w:r w:rsidRPr="00393D5E">
        <w:t>vyšší využití tzv. chytrých sítí. Na úrovni ČR existuje tzv. Národní akční plán chytrých sítí, který je určitou cestovní mapou implementace těchto prvků.</w:t>
      </w:r>
    </w:p>
    <w:p w14:paraId="76F3AB73" w14:textId="02691531" w:rsidR="002757B1" w:rsidRPr="00393D5E" w:rsidRDefault="002757B1" w:rsidP="00316A1B">
      <w:pPr>
        <w:spacing w:line="276" w:lineRule="auto"/>
        <w:jc w:val="both"/>
      </w:pPr>
      <w:r w:rsidRPr="00393D5E">
        <w:t>NPO je plně v</w:t>
      </w:r>
      <w:r w:rsidR="0003053E">
        <w:t> </w:t>
      </w:r>
      <w:r w:rsidRPr="00393D5E">
        <w:t>souladu s</w:t>
      </w:r>
      <w:r w:rsidR="0003053E">
        <w:t> </w:t>
      </w:r>
      <w:r w:rsidRPr="00393D5E">
        <w:t>dalšími iniciativami v</w:t>
      </w:r>
      <w:r w:rsidR="0003053E">
        <w:t> </w:t>
      </w:r>
      <w:r w:rsidRPr="00393D5E">
        <w:t>energetické oblasti. Jedná se zejména o</w:t>
      </w:r>
      <w:r w:rsidR="0003053E">
        <w:t> </w:t>
      </w:r>
      <w:r w:rsidRPr="00393D5E">
        <w:t>provázanost a</w:t>
      </w:r>
      <w:r w:rsidR="0003053E">
        <w:t> </w:t>
      </w:r>
      <w:r w:rsidRPr="00393D5E">
        <w:t>soulad s</w:t>
      </w:r>
      <w:r w:rsidR="0003053E">
        <w:t> </w:t>
      </w:r>
      <w:r w:rsidRPr="00393D5E">
        <w:t>vodíkovou strategií a</w:t>
      </w:r>
      <w:r w:rsidR="0003053E">
        <w:t> </w:t>
      </w:r>
      <w:r w:rsidRPr="00393D5E">
        <w:t>dále s</w:t>
      </w:r>
      <w:r w:rsidR="0003053E">
        <w:t> </w:t>
      </w:r>
      <w:r w:rsidRPr="00393D5E">
        <w:t>Národním akčním plánem čisté mobility. Oba zmíněné dokumenty budou v</w:t>
      </w:r>
      <w:r w:rsidR="0003053E">
        <w:t> </w:t>
      </w:r>
      <w:r w:rsidRPr="00393D5E">
        <w:t>souladu s</w:t>
      </w:r>
      <w:r w:rsidR="0003053E">
        <w:t> </w:t>
      </w:r>
      <w:r w:rsidRPr="00393D5E">
        <w:t>definovanými cíli NPO aktualizovány.</w:t>
      </w:r>
    </w:p>
    <w:p w14:paraId="7D054D90" w14:textId="77777777" w:rsidR="009B169A" w:rsidRPr="00393D5E" w:rsidRDefault="009B169A" w:rsidP="00316A1B">
      <w:pPr>
        <w:spacing w:line="276" w:lineRule="auto"/>
        <w:jc w:val="both"/>
        <w:rPr>
          <w:sz w:val="20"/>
          <w:szCs w:val="20"/>
        </w:rPr>
      </w:pPr>
    </w:p>
    <w:p w14:paraId="4F7D9801" w14:textId="77777777" w:rsidR="009B169A" w:rsidRPr="00393D5E" w:rsidRDefault="5B107866" w:rsidP="00316A1B">
      <w:pPr>
        <w:pStyle w:val="Nadpis2"/>
        <w:spacing w:line="276" w:lineRule="auto"/>
      </w:pPr>
      <w:bookmarkStart w:id="285" w:name="_Toc151444356"/>
      <w:r>
        <w:t>Doplňkovost financování</w:t>
      </w:r>
      <w:bookmarkEnd w:id="285"/>
    </w:p>
    <w:p w14:paraId="203D4099" w14:textId="66635CCB" w:rsidR="009B169A" w:rsidRPr="00393D5E" w:rsidRDefault="406BC9C5" w:rsidP="00316A1B">
      <w:pPr>
        <w:spacing w:after="0" w:line="276" w:lineRule="auto"/>
        <w:jc w:val="both"/>
        <w:rPr>
          <w:rFonts w:ascii="Calibri" w:eastAsia="Calibri" w:hAnsi="Calibri" w:cs="Calibri"/>
          <w:color w:val="202122"/>
        </w:rPr>
      </w:pPr>
      <w:r w:rsidRPr="00393D5E">
        <w:t>Doplň</w:t>
      </w:r>
      <w:r w:rsidR="25F13973" w:rsidRPr="00393D5E">
        <w:t>k</w:t>
      </w:r>
      <w:r w:rsidRPr="00393D5E">
        <w:t>ovost financování s</w:t>
      </w:r>
      <w:r w:rsidR="0003053E">
        <w:t> </w:t>
      </w:r>
      <w:r w:rsidRPr="00393D5E">
        <w:t>dalšími evropskými a</w:t>
      </w:r>
      <w:r w:rsidR="0003053E">
        <w:t> </w:t>
      </w:r>
      <w:r w:rsidRPr="00393D5E">
        <w:t>národními zdroji je popsána v</w:t>
      </w:r>
      <w:r w:rsidR="0003053E">
        <w:t> </w:t>
      </w:r>
      <w:r w:rsidRPr="00393D5E">
        <w:t>NPO (2021), v</w:t>
      </w:r>
      <w:r w:rsidR="0003053E">
        <w:t> </w:t>
      </w:r>
      <w:r w:rsidRPr="00393D5E">
        <w:t>kapitole III.2.2 Soulad s</w:t>
      </w:r>
      <w:r w:rsidR="0003053E">
        <w:t> </w:t>
      </w:r>
      <w:r w:rsidRPr="00393D5E">
        <w:t>Dohodou o</w:t>
      </w:r>
      <w:r w:rsidR="0003053E">
        <w:t> </w:t>
      </w:r>
      <w:r w:rsidRPr="00393D5E">
        <w:t>partnerství a</w:t>
      </w:r>
      <w:r w:rsidR="0003053E">
        <w:t> </w:t>
      </w:r>
      <w:r w:rsidRPr="00393D5E">
        <w:t>komplementarita plánu</w:t>
      </w:r>
      <w:r w:rsidR="3667FCEE" w:rsidRPr="00393D5E">
        <w:t>, str. 59 a</w:t>
      </w:r>
      <w:r w:rsidR="0003053E">
        <w:t> </w:t>
      </w:r>
      <w:r w:rsidR="3667FCEE" w:rsidRPr="00393D5E">
        <w:t>násl.,</w:t>
      </w:r>
      <w:r w:rsidRPr="00393D5E">
        <w:t xml:space="preserve"> a</w:t>
      </w:r>
      <w:r w:rsidR="0003053E">
        <w:t> </w:t>
      </w:r>
      <w:r w:rsidRPr="00393D5E">
        <w:t xml:space="preserve">v samostatné příloze NPO (2021) </w:t>
      </w:r>
      <w:r w:rsidR="3667FCEE" w:rsidRPr="00393D5E">
        <w:t>v</w:t>
      </w:r>
      <w:r w:rsidR="0003053E">
        <w:t> </w:t>
      </w:r>
      <w:r w:rsidR="3667FCEE" w:rsidRPr="00393D5E">
        <w:t>podobě matice doplňkovosti.</w:t>
      </w:r>
      <w:r w:rsidR="04F99089" w:rsidRPr="00393D5E">
        <w:t xml:space="preserve"> Národní plán obnovy je kompatibilní s</w:t>
      </w:r>
      <w:r w:rsidR="0003053E">
        <w:t> </w:t>
      </w:r>
      <w:r w:rsidR="04F99089" w:rsidRPr="00393D5E">
        <w:t>politikou soudržnosti s</w:t>
      </w:r>
      <w:r w:rsidR="0003053E">
        <w:t> </w:t>
      </w:r>
      <w:r w:rsidR="04F99089" w:rsidRPr="00393D5E">
        <w:t>c</w:t>
      </w:r>
      <w:r w:rsidR="04F99089" w:rsidRPr="00393D5E">
        <w:rPr>
          <w:rFonts w:ascii="Calibri" w:eastAsia="Calibri" w:hAnsi="Calibri" w:cs="Calibri"/>
          <w:color w:val="202122"/>
        </w:rPr>
        <w:t>ílem vyrovnávání rozdílů v</w:t>
      </w:r>
      <w:r w:rsidR="0003053E">
        <w:rPr>
          <w:rFonts w:ascii="Calibri" w:eastAsia="Calibri" w:hAnsi="Calibri" w:cs="Calibri"/>
          <w:color w:val="202122"/>
        </w:rPr>
        <w:t> </w:t>
      </w:r>
      <w:r w:rsidR="04F99089" w:rsidRPr="00393D5E">
        <w:rPr>
          <w:rFonts w:ascii="Calibri" w:eastAsia="Calibri" w:hAnsi="Calibri" w:cs="Calibri"/>
          <w:color w:val="202122"/>
        </w:rPr>
        <w:t>míře rozvoje různých regionů. V</w:t>
      </w:r>
      <w:r w:rsidR="0003053E">
        <w:rPr>
          <w:rFonts w:ascii="Calibri" w:eastAsia="Calibri" w:hAnsi="Calibri" w:cs="Calibri"/>
          <w:color w:val="202122"/>
        </w:rPr>
        <w:t> </w:t>
      </w:r>
      <w:r w:rsidR="04F99089" w:rsidRPr="00393D5E">
        <w:rPr>
          <w:rFonts w:ascii="Calibri" w:eastAsia="Calibri" w:hAnsi="Calibri" w:cs="Calibri"/>
          <w:color w:val="202122"/>
        </w:rPr>
        <w:t>letech 2021–2027 má Politika soudržnosti plnit také politické priority Unie, zejména zelenou a</w:t>
      </w:r>
      <w:r w:rsidR="0003053E">
        <w:rPr>
          <w:rFonts w:ascii="Calibri" w:eastAsia="Calibri" w:hAnsi="Calibri" w:cs="Calibri"/>
          <w:color w:val="202122"/>
        </w:rPr>
        <w:t> </w:t>
      </w:r>
      <w:r w:rsidR="04F99089" w:rsidRPr="00393D5E">
        <w:rPr>
          <w:rFonts w:ascii="Calibri" w:eastAsia="Calibri" w:hAnsi="Calibri" w:cs="Calibri"/>
          <w:color w:val="202122"/>
        </w:rPr>
        <w:t>digitální transformaci.</w:t>
      </w:r>
      <w:r w:rsidR="09BFC18A" w:rsidRPr="00393D5E">
        <w:rPr>
          <w:rFonts w:ascii="Calibri" w:eastAsia="Calibri" w:hAnsi="Calibri" w:cs="Calibri"/>
          <w:color w:val="202122"/>
        </w:rPr>
        <w:t xml:space="preserve"> </w:t>
      </w:r>
    </w:p>
    <w:p w14:paraId="5195BEFF" w14:textId="5176528E" w:rsidR="62A00635" w:rsidRPr="00393D5E" w:rsidRDefault="62A00635" w:rsidP="00316A1B">
      <w:pPr>
        <w:spacing w:after="0" w:line="276" w:lineRule="auto"/>
        <w:jc w:val="both"/>
        <w:rPr>
          <w:rFonts w:ascii="Calibri" w:eastAsia="Calibri" w:hAnsi="Calibri" w:cs="Calibri"/>
          <w:color w:val="202122"/>
        </w:rPr>
      </w:pPr>
    </w:p>
    <w:p w14:paraId="68E3E613" w14:textId="2D2DFB2F" w:rsidR="00370370" w:rsidRPr="00393D5E" w:rsidRDefault="5DCF7956" w:rsidP="00316A1B">
      <w:pPr>
        <w:spacing w:line="276" w:lineRule="auto"/>
        <w:jc w:val="both"/>
      </w:pPr>
      <w:r w:rsidRPr="00393D5E">
        <w:t>Celkově je plán, vč. všech nových reforem a</w:t>
      </w:r>
      <w:r w:rsidR="0003053E">
        <w:t> </w:t>
      </w:r>
      <w:r w:rsidRPr="00393D5E">
        <w:t>investic kompatibilní</w:t>
      </w:r>
      <w:r w:rsidR="229E9C08" w:rsidRPr="00393D5E">
        <w:t xml:space="preserve"> zejména</w:t>
      </w:r>
      <w:r w:rsidRPr="00393D5E">
        <w:t xml:space="preserve"> s</w:t>
      </w:r>
      <w:r w:rsidR="0003053E">
        <w:t> </w:t>
      </w:r>
      <w:r w:rsidRPr="00393D5E">
        <w:t>Dohodou o</w:t>
      </w:r>
      <w:r w:rsidR="0003053E">
        <w:t> </w:t>
      </w:r>
      <w:r w:rsidRPr="00393D5E">
        <w:t>partnerství a</w:t>
      </w:r>
      <w:r w:rsidR="0003053E">
        <w:t> </w:t>
      </w:r>
      <w:r w:rsidRPr="00393D5E">
        <w:t>s</w:t>
      </w:r>
      <w:r w:rsidR="229E9C08" w:rsidRPr="00393D5E">
        <w:t xml:space="preserve"> Modernizačním fondem. </w:t>
      </w:r>
    </w:p>
    <w:p w14:paraId="09FE6576" w14:textId="22CFAB6F" w:rsidR="0061258C" w:rsidRPr="00393D5E" w:rsidRDefault="256223C4" w:rsidP="00316A1B">
      <w:pPr>
        <w:spacing w:line="276" w:lineRule="auto"/>
        <w:jc w:val="both"/>
        <w:rPr>
          <w:highlight w:val="yellow"/>
        </w:rPr>
      </w:pPr>
      <w:r w:rsidRPr="00393D5E">
        <w:t>V oblasti energetické transformace se NPO doplňuje s</w:t>
      </w:r>
      <w:r w:rsidR="0003053E">
        <w:t> </w:t>
      </w:r>
      <w:r w:rsidRPr="00393D5E">
        <w:t>podporou z</w:t>
      </w:r>
      <w:r w:rsidR="0003053E">
        <w:t> </w:t>
      </w:r>
      <w:r w:rsidRPr="00393D5E">
        <w:t xml:space="preserve">Modernizačního fondu. </w:t>
      </w:r>
      <w:r w:rsidR="6F8BBA1D" w:rsidRPr="00393D5E">
        <w:t>V</w:t>
      </w:r>
      <w:r w:rsidR="0003053E">
        <w:t> </w:t>
      </w:r>
      <w:r w:rsidR="6F8BBA1D" w:rsidRPr="00393D5E">
        <w:t>Modernizačním fondu jsou</w:t>
      </w:r>
      <w:r w:rsidR="229E9C08" w:rsidRPr="00393D5E">
        <w:t xml:space="preserve"> stanoveny níže uvedené programy podpory. </w:t>
      </w:r>
    </w:p>
    <w:p w14:paraId="7F870B52" w14:textId="77777777" w:rsidR="0061258C" w:rsidRPr="00393D5E" w:rsidRDefault="0061258C" w:rsidP="00CE14E6">
      <w:pPr>
        <w:pStyle w:val="Odstavecseseznamem"/>
        <w:numPr>
          <w:ilvl w:val="0"/>
          <w:numId w:val="9"/>
        </w:numPr>
        <w:spacing w:line="276" w:lineRule="auto"/>
        <w:jc w:val="both"/>
      </w:pPr>
      <w:r w:rsidRPr="00393D5E">
        <w:t xml:space="preserve">Modernizace soustav zásobování tepelnou energií </w:t>
      </w:r>
    </w:p>
    <w:p w14:paraId="7ACA567A" w14:textId="0E279DD6" w:rsidR="0061258C" w:rsidRPr="00393D5E" w:rsidRDefault="0061258C" w:rsidP="00CE14E6">
      <w:pPr>
        <w:pStyle w:val="Odstavecseseznamem"/>
        <w:numPr>
          <w:ilvl w:val="0"/>
          <w:numId w:val="9"/>
        </w:numPr>
        <w:spacing w:line="276" w:lineRule="auto"/>
        <w:jc w:val="both"/>
      </w:pPr>
      <w:r w:rsidRPr="00393D5E">
        <w:t>Nové obnovitelné zdroje v</w:t>
      </w:r>
      <w:r w:rsidR="0003053E">
        <w:t> </w:t>
      </w:r>
      <w:r w:rsidRPr="00393D5E">
        <w:t xml:space="preserve">energetice </w:t>
      </w:r>
    </w:p>
    <w:p w14:paraId="3F6472BE" w14:textId="28B4CD44" w:rsidR="0061258C" w:rsidRPr="00393D5E" w:rsidRDefault="0061258C" w:rsidP="00CE14E6">
      <w:pPr>
        <w:pStyle w:val="Odstavecseseznamem"/>
        <w:numPr>
          <w:ilvl w:val="0"/>
          <w:numId w:val="9"/>
        </w:numPr>
        <w:spacing w:line="276" w:lineRule="auto"/>
        <w:jc w:val="both"/>
      </w:pPr>
      <w:r w:rsidRPr="00393D5E">
        <w:lastRenderedPageBreak/>
        <w:t>Zlepšení energetické účinnosti a</w:t>
      </w:r>
      <w:r w:rsidR="0003053E">
        <w:t> </w:t>
      </w:r>
      <w:r w:rsidRPr="00393D5E">
        <w:t>snižování emisí skleníkových plynů v</w:t>
      </w:r>
      <w:r w:rsidR="0003053E">
        <w:t> </w:t>
      </w:r>
      <w:r w:rsidRPr="00393D5E">
        <w:t>průmyslu v</w:t>
      </w:r>
      <w:r w:rsidR="0003053E">
        <w:t> </w:t>
      </w:r>
      <w:r w:rsidRPr="00393D5E">
        <w:t xml:space="preserve">EU ETS </w:t>
      </w:r>
    </w:p>
    <w:p w14:paraId="0B92B692" w14:textId="3FDA903C" w:rsidR="0061258C" w:rsidRPr="00393D5E" w:rsidRDefault="0061258C" w:rsidP="00CE14E6">
      <w:pPr>
        <w:pStyle w:val="Odstavecseseznamem"/>
        <w:numPr>
          <w:ilvl w:val="0"/>
          <w:numId w:val="9"/>
        </w:numPr>
        <w:spacing w:line="276" w:lineRule="auto"/>
        <w:jc w:val="both"/>
      </w:pPr>
      <w:r w:rsidRPr="00393D5E">
        <w:t>Zlepšení energetické účinnosti v</w:t>
      </w:r>
      <w:r w:rsidR="0003053E">
        <w:t> </w:t>
      </w:r>
      <w:r w:rsidRPr="00393D5E">
        <w:t xml:space="preserve">podnikání </w:t>
      </w:r>
    </w:p>
    <w:p w14:paraId="1672C6D3" w14:textId="1F4565C0" w:rsidR="0061258C" w:rsidRPr="00393D5E" w:rsidRDefault="0061258C" w:rsidP="00CE14E6">
      <w:pPr>
        <w:pStyle w:val="Odstavecseseznamem"/>
        <w:numPr>
          <w:ilvl w:val="0"/>
          <w:numId w:val="9"/>
        </w:numPr>
        <w:spacing w:line="276" w:lineRule="auto"/>
        <w:jc w:val="both"/>
      </w:pPr>
      <w:r w:rsidRPr="00393D5E">
        <w:t>Modernizace dopravy v</w:t>
      </w:r>
      <w:r w:rsidR="0003053E">
        <w:t> </w:t>
      </w:r>
      <w:r w:rsidRPr="00393D5E">
        <w:t xml:space="preserve">podnikatelském sektoru </w:t>
      </w:r>
    </w:p>
    <w:p w14:paraId="4C424094" w14:textId="77777777" w:rsidR="0061258C" w:rsidRPr="00393D5E" w:rsidRDefault="0061258C" w:rsidP="00CE14E6">
      <w:pPr>
        <w:pStyle w:val="Odstavecseseznamem"/>
        <w:numPr>
          <w:ilvl w:val="0"/>
          <w:numId w:val="9"/>
        </w:numPr>
        <w:spacing w:line="276" w:lineRule="auto"/>
        <w:jc w:val="both"/>
      </w:pPr>
      <w:r w:rsidRPr="00393D5E">
        <w:t xml:space="preserve">Modernizace veřejné dopravy </w:t>
      </w:r>
    </w:p>
    <w:p w14:paraId="24B442E3" w14:textId="48546046" w:rsidR="0061258C" w:rsidRPr="00393D5E" w:rsidRDefault="0061258C" w:rsidP="00CE14E6">
      <w:pPr>
        <w:pStyle w:val="Odstavecseseznamem"/>
        <w:numPr>
          <w:ilvl w:val="0"/>
          <w:numId w:val="9"/>
        </w:numPr>
        <w:spacing w:line="276" w:lineRule="auto"/>
        <w:jc w:val="both"/>
      </w:pPr>
      <w:r w:rsidRPr="00393D5E">
        <w:t>Energetická účinnost ve veřejných budovách a</w:t>
      </w:r>
      <w:r w:rsidR="0003053E">
        <w:t> </w:t>
      </w:r>
      <w:r w:rsidRPr="00393D5E">
        <w:t xml:space="preserve">infrastruktuře </w:t>
      </w:r>
    </w:p>
    <w:p w14:paraId="3276BF21" w14:textId="77777777" w:rsidR="0061258C" w:rsidRPr="00393D5E" w:rsidRDefault="0061258C" w:rsidP="00CE14E6">
      <w:pPr>
        <w:pStyle w:val="Odstavecseseznamem"/>
        <w:numPr>
          <w:ilvl w:val="0"/>
          <w:numId w:val="9"/>
        </w:numPr>
        <w:spacing w:line="276" w:lineRule="auto"/>
        <w:jc w:val="both"/>
      </w:pPr>
      <w:r w:rsidRPr="00393D5E">
        <w:t xml:space="preserve">Komunitní energetika </w:t>
      </w:r>
    </w:p>
    <w:p w14:paraId="108F2577" w14:textId="77777777" w:rsidR="0061258C" w:rsidRPr="00393D5E" w:rsidRDefault="229E9C08" w:rsidP="00CE14E6">
      <w:pPr>
        <w:pStyle w:val="Odstavecseseznamem"/>
        <w:numPr>
          <w:ilvl w:val="0"/>
          <w:numId w:val="9"/>
        </w:numPr>
        <w:spacing w:line="276" w:lineRule="auto"/>
        <w:jc w:val="both"/>
      </w:pPr>
      <w:r w:rsidRPr="00393D5E">
        <w:t>Modernizace soustav veřejného osvětlení</w:t>
      </w:r>
    </w:p>
    <w:p w14:paraId="0AB8CCC6" w14:textId="1CDAB7EA" w:rsidR="22A9ABD5" w:rsidRPr="00393D5E" w:rsidRDefault="22A9ABD5" w:rsidP="00CE14E6">
      <w:pPr>
        <w:pStyle w:val="Odstavecseseznamem"/>
        <w:numPr>
          <w:ilvl w:val="0"/>
          <w:numId w:val="9"/>
        </w:numPr>
        <w:spacing w:line="276" w:lineRule="auto"/>
        <w:jc w:val="both"/>
      </w:pPr>
      <w:r w:rsidRPr="00393D5E">
        <w:t>Energetická účinnost v</w:t>
      </w:r>
      <w:r w:rsidR="0003053E">
        <w:t> </w:t>
      </w:r>
      <w:r w:rsidRPr="00393D5E">
        <w:t>rezidenčním sektoru</w:t>
      </w:r>
    </w:p>
    <w:p w14:paraId="5E9CFCDA" w14:textId="46CBA110" w:rsidR="00370370" w:rsidRPr="00393D5E" w:rsidRDefault="229E9C08" w:rsidP="00316A1B">
      <w:pPr>
        <w:spacing w:line="276" w:lineRule="auto"/>
        <w:jc w:val="both"/>
        <w:rPr>
          <w:b/>
          <w:bCs/>
        </w:rPr>
      </w:pPr>
      <w:r w:rsidRPr="00393D5E">
        <w:t>Programy jsou koncipovány pro skupiny opatření naplňujících obdobný účel či technická a</w:t>
      </w:r>
      <w:r w:rsidR="0003053E">
        <w:t> </w:t>
      </w:r>
      <w:r w:rsidRPr="00393D5E">
        <w:t>technologická řešení, specifické skupiny potenciálních příjemců prostředků z</w:t>
      </w:r>
      <w:r w:rsidR="0003053E">
        <w:t> </w:t>
      </w:r>
      <w:r w:rsidRPr="00393D5E">
        <w:t>Modernizačního fondu. Jejich souhrnný přehled je uveden v</w:t>
      </w:r>
      <w:r w:rsidR="0003053E">
        <w:t> </w:t>
      </w:r>
      <w:r w:rsidRPr="00393D5E">
        <w:t>následující tabulce.</w:t>
      </w:r>
    </w:p>
    <w:tbl>
      <w:tblPr>
        <w:tblStyle w:val="Mkatabulky"/>
        <w:tblW w:w="0" w:type="auto"/>
        <w:tblLayout w:type="fixed"/>
        <w:tblLook w:val="04A0" w:firstRow="1" w:lastRow="0" w:firstColumn="1" w:lastColumn="0" w:noHBand="0" w:noVBand="1"/>
      </w:tblPr>
      <w:tblGrid>
        <w:gridCol w:w="705"/>
        <w:gridCol w:w="2130"/>
        <w:gridCol w:w="1425"/>
        <w:gridCol w:w="4815"/>
      </w:tblGrid>
      <w:tr w:rsidR="62A00635" w:rsidRPr="00393D5E" w14:paraId="270AD9CD" w14:textId="77777777" w:rsidTr="00DD2F7F">
        <w:trPr>
          <w:trHeight w:val="300"/>
        </w:trPr>
        <w:tc>
          <w:tcPr>
            <w:tcW w:w="705" w:type="dxa"/>
            <w:shd w:val="clear" w:color="auto" w:fill="BFBFBF" w:themeFill="background1" w:themeFillShade="BF"/>
            <w:tcMar>
              <w:left w:w="108" w:type="dxa"/>
              <w:right w:w="108" w:type="dxa"/>
            </w:tcMar>
          </w:tcPr>
          <w:p w14:paraId="773FED58" w14:textId="63BF781D" w:rsidR="62A00635" w:rsidRPr="00393D5E" w:rsidRDefault="62A00635" w:rsidP="00316A1B">
            <w:pPr>
              <w:spacing w:line="276" w:lineRule="auto"/>
              <w:rPr>
                <w:rFonts w:ascii="Calibri" w:eastAsia="Calibri" w:hAnsi="Calibri" w:cs="Calibri"/>
                <w:b/>
                <w:bCs/>
              </w:rPr>
            </w:pPr>
            <w:r w:rsidRPr="00393D5E">
              <w:rPr>
                <w:rFonts w:ascii="Calibri" w:eastAsia="Calibri" w:hAnsi="Calibri" w:cs="Calibri"/>
                <w:b/>
                <w:bCs/>
              </w:rPr>
              <w:t>Číslo</w:t>
            </w:r>
          </w:p>
        </w:tc>
        <w:tc>
          <w:tcPr>
            <w:tcW w:w="2130" w:type="dxa"/>
            <w:shd w:val="clear" w:color="auto" w:fill="BFBFBF" w:themeFill="background1" w:themeFillShade="BF"/>
            <w:tcMar>
              <w:left w:w="108" w:type="dxa"/>
              <w:right w:w="108" w:type="dxa"/>
            </w:tcMar>
          </w:tcPr>
          <w:p w14:paraId="3CEBB6B4" w14:textId="31277318" w:rsidR="62A00635" w:rsidRPr="00393D5E" w:rsidRDefault="62A00635" w:rsidP="00316A1B">
            <w:pPr>
              <w:spacing w:line="276" w:lineRule="auto"/>
              <w:rPr>
                <w:rFonts w:ascii="Calibri" w:eastAsia="Calibri" w:hAnsi="Calibri" w:cs="Calibri"/>
                <w:b/>
                <w:bCs/>
              </w:rPr>
            </w:pPr>
            <w:r w:rsidRPr="00393D5E">
              <w:rPr>
                <w:rFonts w:ascii="Calibri" w:eastAsia="Calibri" w:hAnsi="Calibri" w:cs="Calibri"/>
                <w:b/>
                <w:bCs/>
              </w:rPr>
              <w:t>Název programu</w:t>
            </w:r>
          </w:p>
        </w:tc>
        <w:tc>
          <w:tcPr>
            <w:tcW w:w="1425" w:type="dxa"/>
            <w:shd w:val="clear" w:color="auto" w:fill="BFBFBF" w:themeFill="background1" w:themeFillShade="BF"/>
            <w:tcMar>
              <w:left w:w="108" w:type="dxa"/>
              <w:right w:w="108" w:type="dxa"/>
            </w:tcMar>
          </w:tcPr>
          <w:p w14:paraId="08710238" w14:textId="6315BC78" w:rsidR="62A00635" w:rsidRPr="00393D5E" w:rsidRDefault="62A00635" w:rsidP="00316A1B">
            <w:pPr>
              <w:spacing w:line="276" w:lineRule="auto"/>
              <w:rPr>
                <w:rFonts w:ascii="Calibri" w:eastAsia="Calibri" w:hAnsi="Calibri" w:cs="Calibri"/>
                <w:b/>
                <w:bCs/>
              </w:rPr>
            </w:pPr>
            <w:r w:rsidRPr="00393D5E">
              <w:rPr>
                <w:rFonts w:ascii="Calibri" w:eastAsia="Calibri" w:hAnsi="Calibri" w:cs="Calibri"/>
                <w:b/>
                <w:bCs/>
              </w:rPr>
              <w:t>Zkrácený název</w:t>
            </w:r>
          </w:p>
        </w:tc>
        <w:tc>
          <w:tcPr>
            <w:tcW w:w="4815" w:type="dxa"/>
            <w:shd w:val="clear" w:color="auto" w:fill="BFBFBF" w:themeFill="background1" w:themeFillShade="BF"/>
            <w:tcMar>
              <w:left w:w="108" w:type="dxa"/>
              <w:right w:w="108" w:type="dxa"/>
            </w:tcMar>
          </w:tcPr>
          <w:p w14:paraId="5F3DC327" w14:textId="43701049" w:rsidR="62A00635" w:rsidRPr="00393D5E" w:rsidRDefault="62A00635" w:rsidP="00316A1B">
            <w:pPr>
              <w:spacing w:line="276" w:lineRule="auto"/>
              <w:rPr>
                <w:rFonts w:ascii="Calibri" w:eastAsia="Calibri" w:hAnsi="Calibri" w:cs="Calibri"/>
                <w:b/>
                <w:bCs/>
              </w:rPr>
            </w:pPr>
            <w:r w:rsidRPr="00393D5E">
              <w:rPr>
                <w:rFonts w:ascii="Calibri" w:eastAsia="Calibri" w:hAnsi="Calibri" w:cs="Calibri"/>
                <w:b/>
                <w:bCs/>
              </w:rPr>
              <w:t>Zaměření programu</w:t>
            </w:r>
          </w:p>
        </w:tc>
      </w:tr>
      <w:tr w:rsidR="62A00635" w:rsidRPr="00393D5E" w14:paraId="641A9BEB" w14:textId="77777777" w:rsidTr="00DD2F7F">
        <w:trPr>
          <w:trHeight w:val="300"/>
        </w:trPr>
        <w:tc>
          <w:tcPr>
            <w:tcW w:w="705" w:type="dxa"/>
            <w:tcMar>
              <w:left w:w="108" w:type="dxa"/>
              <w:right w:w="108" w:type="dxa"/>
            </w:tcMar>
          </w:tcPr>
          <w:p w14:paraId="28572A15" w14:textId="5B275D80" w:rsidR="62A00635" w:rsidRPr="00393D5E" w:rsidRDefault="62A00635" w:rsidP="00316A1B">
            <w:pPr>
              <w:spacing w:after="160" w:line="276" w:lineRule="auto"/>
            </w:pPr>
            <w:r w:rsidRPr="00393D5E">
              <w:rPr>
                <w:rFonts w:ascii="Calibri" w:eastAsia="Calibri" w:hAnsi="Calibri" w:cs="Calibri"/>
              </w:rPr>
              <w:t xml:space="preserve">1 </w:t>
            </w:r>
          </w:p>
        </w:tc>
        <w:tc>
          <w:tcPr>
            <w:tcW w:w="2130" w:type="dxa"/>
            <w:tcMar>
              <w:left w:w="108" w:type="dxa"/>
              <w:right w:w="108" w:type="dxa"/>
            </w:tcMar>
          </w:tcPr>
          <w:p w14:paraId="22B9540C" w14:textId="34A68072" w:rsidR="62A00635" w:rsidRPr="00393D5E" w:rsidRDefault="445A6BDF" w:rsidP="00316A1B">
            <w:pPr>
              <w:spacing w:after="160" w:line="276" w:lineRule="auto"/>
            </w:pPr>
            <w:r w:rsidRPr="00393D5E">
              <w:rPr>
                <w:rFonts w:ascii="Calibri" w:eastAsia="Calibri" w:hAnsi="Calibri" w:cs="Calibri"/>
              </w:rPr>
              <w:t>Modernizace soustav zásobování</w:t>
            </w:r>
            <w:r w:rsidR="2D5FEC2D" w:rsidRPr="00393D5E">
              <w:rPr>
                <w:rFonts w:ascii="Calibri" w:eastAsia="Calibri" w:hAnsi="Calibri" w:cs="Calibri"/>
              </w:rPr>
              <w:t xml:space="preserve"> </w:t>
            </w:r>
            <w:r w:rsidRPr="00393D5E">
              <w:rPr>
                <w:rFonts w:ascii="Calibri" w:eastAsia="Calibri" w:hAnsi="Calibri" w:cs="Calibri"/>
              </w:rPr>
              <w:t xml:space="preserve">tepelnou energií </w:t>
            </w:r>
          </w:p>
          <w:p w14:paraId="48AA1C51" w14:textId="5150A09C" w:rsidR="62A00635" w:rsidRPr="00393D5E" w:rsidRDefault="62A00635" w:rsidP="00316A1B">
            <w:pPr>
              <w:spacing w:line="276" w:lineRule="auto"/>
            </w:pPr>
            <w:r w:rsidRPr="00393D5E">
              <w:rPr>
                <w:rFonts w:ascii="Calibri" w:eastAsia="Calibri" w:hAnsi="Calibri" w:cs="Calibri"/>
              </w:rPr>
              <w:t xml:space="preserve"> </w:t>
            </w:r>
          </w:p>
        </w:tc>
        <w:tc>
          <w:tcPr>
            <w:tcW w:w="1425" w:type="dxa"/>
            <w:tcMar>
              <w:left w:w="108" w:type="dxa"/>
              <w:right w:w="108" w:type="dxa"/>
            </w:tcMar>
          </w:tcPr>
          <w:p w14:paraId="0FA47B08" w14:textId="65B7365D" w:rsidR="62A00635" w:rsidRPr="00393D5E" w:rsidRDefault="62A00635" w:rsidP="00316A1B">
            <w:pPr>
              <w:spacing w:line="276" w:lineRule="auto"/>
            </w:pPr>
            <w:r w:rsidRPr="00393D5E">
              <w:rPr>
                <w:rFonts w:ascii="Calibri" w:eastAsia="Calibri" w:hAnsi="Calibri" w:cs="Calibri"/>
              </w:rPr>
              <w:t>HEAT</w:t>
            </w:r>
          </w:p>
        </w:tc>
        <w:tc>
          <w:tcPr>
            <w:tcW w:w="4815" w:type="dxa"/>
            <w:tcMar>
              <w:left w:w="108" w:type="dxa"/>
              <w:right w:w="108" w:type="dxa"/>
            </w:tcMar>
          </w:tcPr>
          <w:p w14:paraId="23EC667B" w14:textId="56D411D4" w:rsidR="62A00635" w:rsidRPr="00393D5E" w:rsidRDefault="62A00635" w:rsidP="00316A1B">
            <w:pPr>
              <w:spacing w:after="160" w:line="276" w:lineRule="auto"/>
            </w:pPr>
            <w:r w:rsidRPr="00393D5E">
              <w:rPr>
                <w:rFonts w:ascii="Calibri" w:eastAsia="Calibri" w:hAnsi="Calibri" w:cs="Calibri"/>
              </w:rPr>
              <w:t>Podpora projektů pro využití OZE a</w:t>
            </w:r>
            <w:r w:rsidR="0003053E">
              <w:rPr>
                <w:rFonts w:ascii="Calibri" w:eastAsia="Calibri" w:hAnsi="Calibri" w:cs="Calibri"/>
              </w:rPr>
              <w:t> </w:t>
            </w:r>
            <w:r w:rsidRPr="00393D5E">
              <w:rPr>
                <w:rFonts w:ascii="Calibri" w:eastAsia="Calibri" w:hAnsi="Calibri" w:cs="Calibri"/>
              </w:rPr>
              <w:t>nízkouhlíkových zdrojů primárně určených pro vytápění, jako změna palivové základny a</w:t>
            </w:r>
            <w:r w:rsidR="0003053E">
              <w:rPr>
                <w:rFonts w:ascii="Calibri" w:eastAsia="Calibri" w:hAnsi="Calibri" w:cs="Calibri"/>
              </w:rPr>
              <w:t> </w:t>
            </w:r>
            <w:r w:rsidRPr="00393D5E">
              <w:rPr>
                <w:rFonts w:ascii="Calibri" w:eastAsia="Calibri" w:hAnsi="Calibri" w:cs="Calibri"/>
              </w:rPr>
              <w:t>modernizace rozvodů tepelné energie</w:t>
            </w:r>
          </w:p>
          <w:p w14:paraId="39C5F12D" w14:textId="41970649" w:rsidR="62A00635" w:rsidRPr="00393D5E" w:rsidRDefault="62A00635" w:rsidP="00316A1B">
            <w:pPr>
              <w:spacing w:line="276" w:lineRule="auto"/>
            </w:pPr>
            <w:r w:rsidRPr="00393D5E">
              <w:rPr>
                <w:rFonts w:ascii="Calibri" w:eastAsia="Calibri" w:hAnsi="Calibri" w:cs="Calibri"/>
              </w:rPr>
              <w:t xml:space="preserve"> </w:t>
            </w:r>
          </w:p>
        </w:tc>
      </w:tr>
      <w:tr w:rsidR="62A00635" w:rsidRPr="00393D5E" w14:paraId="08AC0898" w14:textId="77777777" w:rsidTr="00DD2F7F">
        <w:trPr>
          <w:trHeight w:val="300"/>
        </w:trPr>
        <w:tc>
          <w:tcPr>
            <w:tcW w:w="705" w:type="dxa"/>
            <w:tcMar>
              <w:left w:w="108" w:type="dxa"/>
              <w:right w:w="108" w:type="dxa"/>
            </w:tcMar>
          </w:tcPr>
          <w:p w14:paraId="55E32700" w14:textId="7438DD1C" w:rsidR="62A00635" w:rsidRPr="00393D5E" w:rsidRDefault="62A00635" w:rsidP="00316A1B">
            <w:pPr>
              <w:spacing w:line="276" w:lineRule="auto"/>
            </w:pPr>
            <w:r w:rsidRPr="00393D5E">
              <w:rPr>
                <w:rFonts w:ascii="Calibri" w:eastAsia="Calibri" w:hAnsi="Calibri" w:cs="Calibri"/>
              </w:rPr>
              <w:t>2</w:t>
            </w:r>
          </w:p>
        </w:tc>
        <w:tc>
          <w:tcPr>
            <w:tcW w:w="2130" w:type="dxa"/>
            <w:tcMar>
              <w:left w:w="108" w:type="dxa"/>
              <w:right w:w="108" w:type="dxa"/>
            </w:tcMar>
          </w:tcPr>
          <w:p w14:paraId="51862D0A" w14:textId="07DF4B79" w:rsidR="62A00635" w:rsidRPr="00393D5E" w:rsidRDefault="62A00635" w:rsidP="00316A1B">
            <w:pPr>
              <w:spacing w:after="160" w:line="276" w:lineRule="auto"/>
            </w:pPr>
            <w:r w:rsidRPr="00393D5E">
              <w:rPr>
                <w:rFonts w:ascii="Calibri" w:eastAsia="Calibri" w:hAnsi="Calibri" w:cs="Calibri"/>
              </w:rPr>
              <w:t>Nové obnovitelné zdroje v</w:t>
            </w:r>
            <w:r w:rsidR="0003053E">
              <w:rPr>
                <w:rFonts w:ascii="Calibri" w:eastAsia="Calibri" w:hAnsi="Calibri" w:cs="Calibri"/>
              </w:rPr>
              <w:t> </w:t>
            </w:r>
            <w:r w:rsidRPr="00393D5E">
              <w:rPr>
                <w:rFonts w:ascii="Calibri" w:eastAsia="Calibri" w:hAnsi="Calibri" w:cs="Calibri"/>
              </w:rPr>
              <w:t>energetice</w:t>
            </w:r>
          </w:p>
        </w:tc>
        <w:tc>
          <w:tcPr>
            <w:tcW w:w="1425" w:type="dxa"/>
            <w:tcMar>
              <w:left w:w="108" w:type="dxa"/>
              <w:right w:w="108" w:type="dxa"/>
            </w:tcMar>
          </w:tcPr>
          <w:p w14:paraId="1BF63C77" w14:textId="39591B7E" w:rsidR="62A00635" w:rsidRPr="00393D5E" w:rsidRDefault="62A00635" w:rsidP="00316A1B">
            <w:pPr>
              <w:spacing w:line="276" w:lineRule="auto"/>
            </w:pPr>
            <w:r w:rsidRPr="00393D5E">
              <w:rPr>
                <w:rFonts w:ascii="Calibri" w:eastAsia="Calibri" w:hAnsi="Calibri" w:cs="Calibri"/>
              </w:rPr>
              <w:t xml:space="preserve">RES+ </w:t>
            </w:r>
          </w:p>
        </w:tc>
        <w:tc>
          <w:tcPr>
            <w:tcW w:w="4815" w:type="dxa"/>
            <w:tcMar>
              <w:left w:w="108" w:type="dxa"/>
              <w:right w:w="108" w:type="dxa"/>
            </w:tcMar>
          </w:tcPr>
          <w:p w14:paraId="6EDFAE36" w14:textId="10CDF7B3" w:rsidR="62A00635" w:rsidRPr="00393D5E" w:rsidRDefault="62A00635" w:rsidP="00316A1B">
            <w:pPr>
              <w:spacing w:line="276" w:lineRule="auto"/>
            </w:pPr>
            <w:r w:rsidRPr="00393D5E">
              <w:rPr>
                <w:rFonts w:ascii="Calibri" w:eastAsia="Calibri" w:hAnsi="Calibri" w:cs="Calibri"/>
              </w:rPr>
              <w:t>Podpora projektů nových nepalivových obnovitelných zdrojů energie</w:t>
            </w:r>
          </w:p>
        </w:tc>
      </w:tr>
      <w:tr w:rsidR="62A00635" w:rsidRPr="00393D5E" w14:paraId="66B58314" w14:textId="77777777" w:rsidTr="00DD2F7F">
        <w:trPr>
          <w:trHeight w:val="300"/>
        </w:trPr>
        <w:tc>
          <w:tcPr>
            <w:tcW w:w="705" w:type="dxa"/>
            <w:tcMar>
              <w:left w:w="108" w:type="dxa"/>
              <w:right w:w="108" w:type="dxa"/>
            </w:tcMar>
          </w:tcPr>
          <w:p w14:paraId="590FB3C1" w14:textId="25F53A26" w:rsidR="62A00635" w:rsidRPr="00393D5E" w:rsidRDefault="62A00635" w:rsidP="00316A1B">
            <w:pPr>
              <w:spacing w:line="276" w:lineRule="auto"/>
            </w:pPr>
            <w:r w:rsidRPr="00393D5E">
              <w:rPr>
                <w:rFonts w:ascii="Calibri" w:eastAsia="Calibri" w:hAnsi="Calibri" w:cs="Calibri"/>
              </w:rPr>
              <w:t>3</w:t>
            </w:r>
          </w:p>
        </w:tc>
        <w:tc>
          <w:tcPr>
            <w:tcW w:w="2130" w:type="dxa"/>
            <w:tcMar>
              <w:left w:w="108" w:type="dxa"/>
              <w:right w:w="108" w:type="dxa"/>
            </w:tcMar>
          </w:tcPr>
          <w:p w14:paraId="0484DEDE" w14:textId="679C5DD6" w:rsidR="62A00635" w:rsidRPr="00393D5E" w:rsidRDefault="62A00635" w:rsidP="00316A1B">
            <w:pPr>
              <w:spacing w:after="160" w:line="276" w:lineRule="auto"/>
            </w:pPr>
            <w:r w:rsidRPr="00393D5E">
              <w:rPr>
                <w:rFonts w:ascii="Calibri" w:eastAsia="Calibri" w:hAnsi="Calibri" w:cs="Calibri"/>
              </w:rPr>
              <w:t>Zlepšení energetické účinnosti a</w:t>
            </w:r>
            <w:r w:rsidR="0003053E">
              <w:rPr>
                <w:rFonts w:ascii="Calibri" w:eastAsia="Calibri" w:hAnsi="Calibri" w:cs="Calibri"/>
              </w:rPr>
              <w:t> </w:t>
            </w:r>
            <w:r w:rsidRPr="00393D5E">
              <w:rPr>
                <w:rFonts w:ascii="Calibri" w:eastAsia="Calibri" w:hAnsi="Calibri" w:cs="Calibri"/>
              </w:rPr>
              <w:t>snižování emisí skleníkových plynů v</w:t>
            </w:r>
            <w:r w:rsidR="0003053E">
              <w:rPr>
                <w:rFonts w:ascii="Calibri" w:eastAsia="Calibri" w:hAnsi="Calibri" w:cs="Calibri"/>
              </w:rPr>
              <w:t> </w:t>
            </w:r>
            <w:r w:rsidRPr="00393D5E">
              <w:rPr>
                <w:rFonts w:ascii="Calibri" w:eastAsia="Calibri" w:hAnsi="Calibri" w:cs="Calibri"/>
              </w:rPr>
              <w:t>průmyslu v</w:t>
            </w:r>
            <w:r w:rsidR="0003053E">
              <w:rPr>
                <w:rFonts w:ascii="Calibri" w:eastAsia="Calibri" w:hAnsi="Calibri" w:cs="Calibri"/>
              </w:rPr>
              <w:t> </w:t>
            </w:r>
            <w:r w:rsidRPr="00393D5E">
              <w:rPr>
                <w:rFonts w:ascii="Calibri" w:eastAsia="Calibri" w:hAnsi="Calibri" w:cs="Calibri"/>
              </w:rPr>
              <w:t>EU ETS</w:t>
            </w:r>
          </w:p>
          <w:p w14:paraId="67BD19EE" w14:textId="6367F381" w:rsidR="62A00635" w:rsidRPr="00393D5E" w:rsidRDefault="62A00635" w:rsidP="00316A1B">
            <w:pPr>
              <w:spacing w:line="276" w:lineRule="auto"/>
            </w:pPr>
            <w:r w:rsidRPr="00393D5E">
              <w:rPr>
                <w:rFonts w:ascii="Calibri" w:eastAsia="Calibri" w:hAnsi="Calibri" w:cs="Calibri"/>
              </w:rPr>
              <w:t xml:space="preserve"> </w:t>
            </w:r>
          </w:p>
        </w:tc>
        <w:tc>
          <w:tcPr>
            <w:tcW w:w="1425" w:type="dxa"/>
            <w:tcMar>
              <w:left w:w="108" w:type="dxa"/>
              <w:right w:w="108" w:type="dxa"/>
            </w:tcMar>
          </w:tcPr>
          <w:p w14:paraId="38EFE815" w14:textId="7A53C897" w:rsidR="62A00635" w:rsidRPr="00393D5E" w:rsidRDefault="62A00635" w:rsidP="00316A1B">
            <w:pPr>
              <w:spacing w:after="160" w:line="276" w:lineRule="auto"/>
            </w:pPr>
            <w:r w:rsidRPr="00393D5E">
              <w:rPr>
                <w:rFonts w:ascii="Calibri" w:eastAsia="Calibri" w:hAnsi="Calibri" w:cs="Calibri"/>
              </w:rPr>
              <w:t>ENERG ETS</w:t>
            </w:r>
          </w:p>
          <w:p w14:paraId="611C39AB" w14:textId="154000A6" w:rsidR="62A00635" w:rsidRPr="00393D5E" w:rsidRDefault="62A00635" w:rsidP="00316A1B">
            <w:pPr>
              <w:spacing w:line="276" w:lineRule="auto"/>
            </w:pPr>
            <w:r w:rsidRPr="00393D5E">
              <w:rPr>
                <w:rFonts w:ascii="Calibri" w:eastAsia="Calibri" w:hAnsi="Calibri" w:cs="Calibri"/>
              </w:rPr>
              <w:t xml:space="preserve"> </w:t>
            </w:r>
          </w:p>
        </w:tc>
        <w:tc>
          <w:tcPr>
            <w:tcW w:w="4815" w:type="dxa"/>
            <w:tcMar>
              <w:left w:w="108" w:type="dxa"/>
              <w:right w:w="108" w:type="dxa"/>
            </w:tcMar>
          </w:tcPr>
          <w:p w14:paraId="5C058A3B" w14:textId="68968C1F" w:rsidR="62A00635" w:rsidRPr="00393D5E" w:rsidRDefault="62A00635" w:rsidP="00316A1B">
            <w:pPr>
              <w:spacing w:after="160" w:line="276" w:lineRule="auto"/>
            </w:pPr>
            <w:r w:rsidRPr="00393D5E">
              <w:rPr>
                <w:rFonts w:ascii="Calibri" w:eastAsia="Calibri" w:hAnsi="Calibri" w:cs="Calibri"/>
              </w:rPr>
              <w:t>Podpora zařízení a</w:t>
            </w:r>
            <w:r w:rsidR="0003053E">
              <w:rPr>
                <w:rFonts w:ascii="Calibri" w:eastAsia="Calibri" w:hAnsi="Calibri" w:cs="Calibri"/>
              </w:rPr>
              <w:t> </w:t>
            </w:r>
            <w:r w:rsidRPr="00393D5E">
              <w:rPr>
                <w:rFonts w:ascii="Calibri" w:eastAsia="Calibri" w:hAnsi="Calibri" w:cs="Calibri"/>
              </w:rPr>
              <w:t>opatření pro zlepšení energetické účinnosti a/nebo snížení produkce skleníkových plynů v</w:t>
            </w:r>
            <w:r w:rsidR="0003053E">
              <w:rPr>
                <w:rFonts w:ascii="Calibri" w:eastAsia="Calibri" w:hAnsi="Calibri" w:cs="Calibri"/>
              </w:rPr>
              <w:t> </w:t>
            </w:r>
            <w:r w:rsidRPr="00393D5E">
              <w:rPr>
                <w:rFonts w:ascii="Calibri" w:eastAsia="Calibri" w:hAnsi="Calibri" w:cs="Calibri"/>
              </w:rPr>
              <w:t>průmyslové výrobě pro zařízení zařazená v</w:t>
            </w:r>
            <w:r w:rsidR="0003053E">
              <w:rPr>
                <w:rFonts w:ascii="Calibri" w:eastAsia="Calibri" w:hAnsi="Calibri" w:cs="Calibri"/>
              </w:rPr>
              <w:t> </w:t>
            </w:r>
            <w:r w:rsidRPr="00393D5E">
              <w:rPr>
                <w:rFonts w:ascii="Calibri" w:eastAsia="Calibri" w:hAnsi="Calibri" w:cs="Calibri"/>
              </w:rPr>
              <w:t>EU ETS</w:t>
            </w:r>
          </w:p>
          <w:p w14:paraId="7257A238" w14:textId="6C2D40E8" w:rsidR="62A00635" w:rsidRPr="00393D5E" w:rsidRDefault="62A00635" w:rsidP="00316A1B">
            <w:pPr>
              <w:spacing w:line="276" w:lineRule="auto"/>
            </w:pPr>
            <w:r w:rsidRPr="00393D5E">
              <w:rPr>
                <w:rFonts w:ascii="Calibri" w:eastAsia="Calibri" w:hAnsi="Calibri" w:cs="Calibri"/>
              </w:rPr>
              <w:t xml:space="preserve"> </w:t>
            </w:r>
          </w:p>
        </w:tc>
      </w:tr>
      <w:tr w:rsidR="62A00635" w:rsidRPr="00393D5E" w14:paraId="5D5B2466" w14:textId="77777777" w:rsidTr="00DD2F7F">
        <w:trPr>
          <w:trHeight w:val="300"/>
        </w:trPr>
        <w:tc>
          <w:tcPr>
            <w:tcW w:w="705" w:type="dxa"/>
            <w:tcMar>
              <w:left w:w="108" w:type="dxa"/>
              <w:right w:w="108" w:type="dxa"/>
            </w:tcMar>
          </w:tcPr>
          <w:p w14:paraId="12BC8472" w14:textId="01E1FC86" w:rsidR="62A00635" w:rsidRPr="00393D5E" w:rsidRDefault="62A00635" w:rsidP="00316A1B">
            <w:pPr>
              <w:spacing w:line="276" w:lineRule="auto"/>
            </w:pPr>
            <w:r w:rsidRPr="00393D5E">
              <w:rPr>
                <w:rFonts w:ascii="Calibri" w:eastAsia="Calibri" w:hAnsi="Calibri" w:cs="Calibri"/>
              </w:rPr>
              <w:t>4</w:t>
            </w:r>
          </w:p>
        </w:tc>
        <w:tc>
          <w:tcPr>
            <w:tcW w:w="2130" w:type="dxa"/>
            <w:tcMar>
              <w:left w:w="108" w:type="dxa"/>
              <w:right w:w="108" w:type="dxa"/>
            </w:tcMar>
          </w:tcPr>
          <w:p w14:paraId="42298AA4" w14:textId="45C68D37" w:rsidR="62A00635" w:rsidRPr="00393D5E" w:rsidRDefault="62A00635" w:rsidP="00316A1B">
            <w:pPr>
              <w:spacing w:after="160" w:line="276" w:lineRule="auto"/>
            </w:pPr>
            <w:r w:rsidRPr="00393D5E">
              <w:rPr>
                <w:rFonts w:ascii="Calibri" w:eastAsia="Calibri" w:hAnsi="Calibri" w:cs="Calibri"/>
              </w:rPr>
              <w:t>Zlepšení energetické účinnosti v</w:t>
            </w:r>
            <w:r w:rsidR="0003053E">
              <w:rPr>
                <w:rFonts w:ascii="Calibri" w:eastAsia="Calibri" w:hAnsi="Calibri" w:cs="Calibri"/>
              </w:rPr>
              <w:t> </w:t>
            </w:r>
            <w:r w:rsidRPr="00393D5E">
              <w:rPr>
                <w:rFonts w:ascii="Calibri" w:eastAsia="Calibri" w:hAnsi="Calibri" w:cs="Calibri"/>
              </w:rPr>
              <w:t>podnikání</w:t>
            </w:r>
          </w:p>
          <w:p w14:paraId="1E9CBCCD" w14:textId="5F9F0C21" w:rsidR="62A00635" w:rsidRPr="00393D5E" w:rsidRDefault="62A00635" w:rsidP="00316A1B">
            <w:pPr>
              <w:spacing w:line="276" w:lineRule="auto"/>
            </w:pPr>
            <w:r w:rsidRPr="00393D5E">
              <w:rPr>
                <w:rFonts w:ascii="Calibri" w:eastAsia="Calibri" w:hAnsi="Calibri" w:cs="Calibri"/>
              </w:rPr>
              <w:t xml:space="preserve"> </w:t>
            </w:r>
          </w:p>
        </w:tc>
        <w:tc>
          <w:tcPr>
            <w:tcW w:w="1425" w:type="dxa"/>
            <w:tcMar>
              <w:left w:w="108" w:type="dxa"/>
              <w:right w:w="108" w:type="dxa"/>
            </w:tcMar>
          </w:tcPr>
          <w:p w14:paraId="3BC75C83" w14:textId="0372DE11" w:rsidR="62A00635" w:rsidRPr="00393D5E" w:rsidRDefault="62A00635" w:rsidP="00316A1B">
            <w:pPr>
              <w:spacing w:line="276" w:lineRule="auto"/>
            </w:pPr>
            <w:r w:rsidRPr="00393D5E">
              <w:rPr>
                <w:rFonts w:ascii="Calibri" w:eastAsia="Calibri" w:hAnsi="Calibri" w:cs="Calibri"/>
              </w:rPr>
              <w:t>ENERG</w:t>
            </w:r>
          </w:p>
        </w:tc>
        <w:tc>
          <w:tcPr>
            <w:tcW w:w="4815" w:type="dxa"/>
            <w:tcMar>
              <w:left w:w="108" w:type="dxa"/>
              <w:right w:w="108" w:type="dxa"/>
            </w:tcMar>
          </w:tcPr>
          <w:p w14:paraId="0D1F631A" w14:textId="42C2C8BD" w:rsidR="62A00635" w:rsidRPr="00393D5E" w:rsidRDefault="445A6BDF" w:rsidP="00316A1B">
            <w:pPr>
              <w:spacing w:after="160" w:line="276" w:lineRule="auto"/>
            </w:pPr>
            <w:r w:rsidRPr="00393D5E">
              <w:rPr>
                <w:rFonts w:ascii="Calibri" w:eastAsia="Calibri" w:hAnsi="Calibri" w:cs="Calibri"/>
              </w:rPr>
              <w:t>Podpora zařízení a</w:t>
            </w:r>
            <w:r w:rsidR="0003053E">
              <w:rPr>
                <w:rFonts w:ascii="Calibri" w:eastAsia="Calibri" w:hAnsi="Calibri" w:cs="Calibri"/>
              </w:rPr>
              <w:t> </w:t>
            </w:r>
            <w:r w:rsidRPr="00393D5E">
              <w:rPr>
                <w:rFonts w:ascii="Calibri" w:eastAsia="Calibri" w:hAnsi="Calibri" w:cs="Calibri"/>
              </w:rPr>
              <w:t>opatření pro zlepšení energetické účinnosti,</w:t>
            </w:r>
            <w:r w:rsidR="67D76ED3" w:rsidRPr="00393D5E">
              <w:rPr>
                <w:rFonts w:ascii="Calibri" w:eastAsia="Calibri" w:hAnsi="Calibri" w:cs="Calibri"/>
              </w:rPr>
              <w:t xml:space="preserve"> </w:t>
            </w:r>
            <w:r w:rsidRPr="00393D5E">
              <w:rPr>
                <w:rFonts w:ascii="Calibri" w:eastAsia="Calibri" w:hAnsi="Calibri" w:cs="Calibri"/>
              </w:rPr>
              <w:t>příp. snížení produkce skleníkových plynů v</w:t>
            </w:r>
            <w:r w:rsidR="0003053E">
              <w:rPr>
                <w:rFonts w:ascii="Calibri" w:eastAsia="Calibri" w:hAnsi="Calibri" w:cs="Calibri"/>
              </w:rPr>
              <w:t> </w:t>
            </w:r>
            <w:r w:rsidRPr="00393D5E">
              <w:rPr>
                <w:rFonts w:ascii="Calibri" w:eastAsia="Calibri" w:hAnsi="Calibri" w:cs="Calibri"/>
              </w:rPr>
              <w:t>podnikání, mimo zařízení v</w:t>
            </w:r>
            <w:r w:rsidR="0003053E">
              <w:rPr>
                <w:rFonts w:ascii="Calibri" w:eastAsia="Calibri" w:hAnsi="Calibri" w:cs="Calibri"/>
              </w:rPr>
              <w:t> </w:t>
            </w:r>
            <w:r w:rsidRPr="00393D5E">
              <w:rPr>
                <w:rFonts w:ascii="Calibri" w:eastAsia="Calibri" w:hAnsi="Calibri" w:cs="Calibri"/>
              </w:rPr>
              <w:t>EU ETS</w:t>
            </w:r>
          </w:p>
          <w:p w14:paraId="67D9E87C" w14:textId="1D2A8504" w:rsidR="62A00635" w:rsidRPr="00393D5E" w:rsidRDefault="62A00635" w:rsidP="00316A1B">
            <w:pPr>
              <w:spacing w:line="276" w:lineRule="auto"/>
            </w:pPr>
            <w:r w:rsidRPr="00393D5E">
              <w:rPr>
                <w:rFonts w:ascii="Calibri" w:eastAsia="Calibri" w:hAnsi="Calibri" w:cs="Calibri"/>
              </w:rPr>
              <w:t xml:space="preserve"> </w:t>
            </w:r>
          </w:p>
        </w:tc>
      </w:tr>
      <w:tr w:rsidR="62A00635" w:rsidRPr="00393D5E" w14:paraId="0524E47E" w14:textId="77777777" w:rsidTr="00DD2F7F">
        <w:trPr>
          <w:trHeight w:val="300"/>
        </w:trPr>
        <w:tc>
          <w:tcPr>
            <w:tcW w:w="705" w:type="dxa"/>
            <w:tcMar>
              <w:left w:w="108" w:type="dxa"/>
              <w:right w:w="108" w:type="dxa"/>
            </w:tcMar>
          </w:tcPr>
          <w:p w14:paraId="1CF6BED2" w14:textId="4417CDCF" w:rsidR="62A00635" w:rsidRPr="00393D5E" w:rsidRDefault="62A00635" w:rsidP="00316A1B">
            <w:pPr>
              <w:spacing w:line="276" w:lineRule="auto"/>
            </w:pPr>
            <w:r w:rsidRPr="00393D5E">
              <w:rPr>
                <w:rFonts w:ascii="Calibri" w:eastAsia="Calibri" w:hAnsi="Calibri" w:cs="Calibri"/>
              </w:rPr>
              <w:t>5</w:t>
            </w:r>
          </w:p>
        </w:tc>
        <w:tc>
          <w:tcPr>
            <w:tcW w:w="2130" w:type="dxa"/>
            <w:tcMar>
              <w:left w:w="108" w:type="dxa"/>
              <w:right w:w="108" w:type="dxa"/>
            </w:tcMar>
          </w:tcPr>
          <w:p w14:paraId="530E688F" w14:textId="06F49B83" w:rsidR="62A00635" w:rsidRPr="00393D5E" w:rsidRDefault="62A00635" w:rsidP="00316A1B">
            <w:pPr>
              <w:spacing w:line="276" w:lineRule="auto"/>
            </w:pPr>
            <w:r w:rsidRPr="00393D5E">
              <w:rPr>
                <w:rFonts w:ascii="Calibri" w:eastAsia="Calibri" w:hAnsi="Calibri" w:cs="Calibri"/>
              </w:rPr>
              <w:t>Modernizace dopravy v</w:t>
            </w:r>
            <w:r w:rsidR="0003053E">
              <w:rPr>
                <w:rFonts w:ascii="Calibri" w:eastAsia="Calibri" w:hAnsi="Calibri" w:cs="Calibri"/>
              </w:rPr>
              <w:t> </w:t>
            </w:r>
            <w:r w:rsidRPr="00393D5E">
              <w:rPr>
                <w:rFonts w:ascii="Calibri" w:eastAsia="Calibri" w:hAnsi="Calibri" w:cs="Calibri"/>
              </w:rPr>
              <w:t>podnikatelském sektoru</w:t>
            </w:r>
          </w:p>
        </w:tc>
        <w:tc>
          <w:tcPr>
            <w:tcW w:w="1425" w:type="dxa"/>
            <w:tcMar>
              <w:left w:w="108" w:type="dxa"/>
              <w:right w:w="108" w:type="dxa"/>
            </w:tcMar>
          </w:tcPr>
          <w:p w14:paraId="42B30D92" w14:textId="2F6D90FD" w:rsidR="62A00635" w:rsidRPr="00393D5E" w:rsidRDefault="62A00635" w:rsidP="00316A1B">
            <w:pPr>
              <w:spacing w:line="276" w:lineRule="auto"/>
            </w:pPr>
            <w:r w:rsidRPr="00393D5E">
              <w:rPr>
                <w:rFonts w:ascii="Calibri" w:eastAsia="Calibri" w:hAnsi="Calibri" w:cs="Calibri"/>
              </w:rPr>
              <w:t>TRANSCom</w:t>
            </w:r>
          </w:p>
        </w:tc>
        <w:tc>
          <w:tcPr>
            <w:tcW w:w="4815" w:type="dxa"/>
            <w:tcMar>
              <w:left w:w="108" w:type="dxa"/>
              <w:right w:w="108" w:type="dxa"/>
            </w:tcMar>
          </w:tcPr>
          <w:p w14:paraId="5AE78E2C" w14:textId="2074122F" w:rsidR="62A00635" w:rsidRPr="00393D5E" w:rsidRDefault="62A00635" w:rsidP="00316A1B">
            <w:pPr>
              <w:spacing w:after="160" w:line="276" w:lineRule="auto"/>
            </w:pPr>
            <w:r w:rsidRPr="00393D5E">
              <w:rPr>
                <w:rFonts w:ascii="Calibri" w:eastAsia="Calibri" w:hAnsi="Calibri" w:cs="Calibri"/>
              </w:rPr>
              <w:t>Podpora projektů podnikatelských subjektů pro nákup a</w:t>
            </w:r>
            <w:r w:rsidR="0003053E">
              <w:rPr>
                <w:rFonts w:ascii="Calibri" w:eastAsia="Calibri" w:hAnsi="Calibri" w:cs="Calibri"/>
              </w:rPr>
              <w:t> </w:t>
            </w:r>
            <w:r w:rsidRPr="00393D5E">
              <w:rPr>
                <w:rFonts w:ascii="Calibri" w:eastAsia="Calibri" w:hAnsi="Calibri" w:cs="Calibri"/>
              </w:rPr>
              <w:t>pořízení vozidel na alternativní pohon a</w:t>
            </w:r>
            <w:r w:rsidR="0003053E">
              <w:rPr>
                <w:rFonts w:ascii="Calibri" w:eastAsia="Calibri" w:hAnsi="Calibri" w:cs="Calibri"/>
              </w:rPr>
              <w:t> </w:t>
            </w:r>
            <w:r w:rsidRPr="00393D5E">
              <w:rPr>
                <w:rFonts w:ascii="Calibri" w:eastAsia="Calibri" w:hAnsi="Calibri" w:cs="Calibri"/>
              </w:rPr>
              <w:t>neveřejnou infrastrukturu</w:t>
            </w:r>
          </w:p>
          <w:p w14:paraId="6E6AF621" w14:textId="1034B8D6" w:rsidR="62A00635" w:rsidRPr="00393D5E" w:rsidRDefault="62A00635" w:rsidP="00316A1B">
            <w:pPr>
              <w:spacing w:line="276" w:lineRule="auto"/>
            </w:pPr>
            <w:r w:rsidRPr="00393D5E">
              <w:rPr>
                <w:rFonts w:ascii="Calibri" w:eastAsia="Calibri" w:hAnsi="Calibri" w:cs="Calibri"/>
              </w:rPr>
              <w:t xml:space="preserve"> </w:t>
            </w:r>
          </w:p>
        </w:tc>
      </w:tr>
      <w:tr w:rsidR="62A00635" w:rsidRPr="00393D5E" w14:paraId="376F7FDE" w14:textId="77777777" w:rsidTr="00DD2F7F">
        <w:trPr>
          <w:trHeight w:val="300"/>
        </w:trPr>
        <w:tc>
          <w:tcPr>
            <w:tcW w:w="705" w:type="dxa"/>
            <w:tcMar>
              <w:left w:w="108" w:type="dxa"/>
              <w:right w:w="108" w:type="dxa"/>
            </w:tcMar>
          </w:tcPr>
          <w:p w14:paraId="15865CD2" w14:textId="5A8F7294" w:rsidR="62A00635" w:rsidRPr="00393D5E" w:rsidRDefault="62A00635" w:rsidP="00316A1B">
            <w:pPr>
              <w:spacing w:line="276" w:lineRule="auto"/>
            </w:pPr>
            <w:r w:rsidRPr="00393D5E">
              <w:rPr>
                <w:rFonts w:ascii="Calibri" w:eastAsia="Calibri" w:hAnsi="Calibri" w:cs="Calibri"/>
              </w:rPr>
              <w:t>6</w:t>
            </w:r>
          </w:p>
        </w:tc>
        <w:tc>
          <w:tcPr>
            <w:tcW w:w="2130" w:type="dxa"/>
            <w:tcMar>
              <w:left w:w="108" w:type="dxa"/>
              <w:right w:w="108" w:type="dxa"/>
            </w:tcMar>
          </w:tcPr>
          <w:p w14:paraId="54FF164E" w14:textId="3CA72191" w:rsidR="62A00635" w:rsidRPr="00393D5E" w:rsidRDefault="62A00635" w:rsidP="00316A1B">
            <w:pPr>
              <w:spacing w:line="276" w:lineRule="auto"/>
            </w:pPr>
            <w:r w:rsidRPr="00393D5E">
              <w:rPr>
                <w:rFonts w:ascii="Calibri" w:eastAsia="Calibri" w:hAnsi="Calibri" w:cs="Calibri"/>
              </w:rPr>
              <w:t>Modernizace veřejné dopravy</w:t>
            </w:r>
          </w:p>
        </w:tc>
        <w:tc>
          <w:tcPr>
            <w:tcW w:w="1425" w:type="dxa"/>
            <w:tcMar>
              <w:left w:w="108" w:type="dxa"/>
              <w:right w:w="108" w:type="dxa"/>
            </w:tcMar>
          </w:tcPr>
          <w:p w14:paraId="32EA7285" w14:textId="27ED3657" w:rsidR="62A00635" w:rsidRPr="00393D5E" w:rsidRDefault="445A6BDF" w:rsidP="5BC52D6A">
            <w:pPr>
              <w:spacing w:line="276" w:lineRule="auto"/>
              <w:rPr>
                <w:rFonts w:ascii="Calibri" w:eastAsia="Calibri" w:hAnsi="Calibri" w:cs="Calibri"/>
              </w:rPr>
            </w:pPr>
            <w:r w:rsidRPr="00393D5E">
              <w:rPr>
                <w:rFonts w:ascii="Calibri" w:eastAsia="Calibri" w:hAnsi="Calibri" w:cs="Calibri"/>
              </w:rPr>
              <w:t>TRANSGov</w:t>
            </w:r>
          </w:p>
        </w:tc>
        <w:tc>
          <w:tcPr>
            <w:tcW w:w="4815" w:type="dxa"/>
            <w:tcMar>
              <w:left w:w="108" w:type="dxa"/>
              <w:right w:w="108" w:type="dxa"/>
            </w:tcMar>
          </w:tcPr>
          <w:p w14:paraId="2B964226" w14:textId="18F00257" w:rsidR="62A00635" w:rsidRPr="00393D5E" w:rsidRDefault="62A00635" w:rsidP="00316A1B">
            <w:pPr>
              <w:spacing w:after="160" w:line="276" w:lineRule="auto"/>
            </w:pPr>
            <w:r w:rsidRPr="00393D5E">
              <w:rPr>
                <w:rFonts w:ascii="Calibri" w:eastAsia="Calibri" w:hAnsi="Calibri" w:cs="Calibri"/>
              </w:rPr>
              <w:t>Podpora projektů pro veřejné subjekty, podniky s</w:t>
            </w:r>
            <w:r w:rsidR="0003053E">
              <w:rPr>
                <w:rFonts w:ascii="Calibri" w:eastAsia="Calibri" w:hAnsi="Calibri" w:cs="Calibri"/>
              </w:rPr>
              <w:t> </w:t>
            </w:r>
            <w:r w:rsidRPr="00393D5E">
              <w:rPr>
                <w:rFonts w:ascii="Calibri" w:eastAsia="Calibri" w:hAnsi="Calibri" w:cs="Calibri"/>
              </w:rPr>
              <w:t>majetkovou účastí státu a</w:t>
            </w:r>
            <w:r w:rsidR="0003053E">
              <w:rPr>
                <w:rFonts w:ascii="Calibri" w:eastAsia="Calibri" w:hAnsi="Calibri" w:cs="Calibri"/>
              </w:rPr>
              <w:t> </w:t>
            </w:r>
            <w:r w:rsidRPr="00393D5E">
              <w:rPr>
                <w:rFonts w:ascii="Calibri" w:eastAsia="Calibri" w:hAnsi="Calibri" w:cs="Calibri"/>
              </w:rPr>
              <w:t>veřejných subjektů a</w:t>
            </w:r>
            <w:r w:rsidR="0003053E">
              <w:rPr>
                <w:rFonts w:ascii="Calibri" w:eastAsia="Calibri" w:hAnsi="Calibri" w:cs="Calibri"/>
              </w:rPr>
              <w:t> </w:t>
            </w:r>
            <w:r w:rsidRPr="00393D5E">
              <w:rPr>
                <w:rFonts w:ascii="Calibri" w:eastAsia="Calibri" w:hAnsi="Calibri" w:cs="Calibri"/>
              </w:rPr>
              <w:t>veřejné nepodnikatelské subjekty a</w:t>
            </w:r>
            <w:r w:rsidR="0003053E">
              <w:rPr>
                <w:rFonts w:ascii="Calibri" w:eastAsia="Calibri" w:hAnsi="Calibri" w:cs="Calibri"/>
              </w:rPr>
              <w:t> </w:t>
            </w:r>
            <w:r w:rsidRPr="00393D5E">
              <w:rPr>
                <w:rFonts w:ascii="Calibri" w:eastAsia="Calibri" w:hAnsi="Calibri" w:cs="Calibri"/>
              </w:rPr>
              <w:t>pro podnikatelské subjekty se závazkem veřejné služby, pro pořízení:</w:t>
            </w:r>
          </w:p>
          <w:p w14:paraId="01FA4996" w14:textId="48224F62" w:rsidR="62A00635" w:rsidRPr="00393D5E" w:rsidRDefault="62A00635" w:rsidP="00316A1B">
            <w:pPr>
              <w:spacing w:after="160" w:line="276" w:lineRule="auto"/>
            </w:pPr>
            <w:r w:rsidRPr="00393D5E">
              <w:rPr>
                <w:rFonts w:ascii="Calibri" w:eastAsia="Calibri" w:hAnsi="Calibri" w:cs="Calibri"/>
              </w:rPr>
              <w:lastRenderedPageBreak/>
              <w:t>a) vozidel na alternativní paliva pro veřejnou přepravu osob, včetně potřebné infrastruktury pro alternativní paliva;</w:t>
            </w:r>
          </w:p>
          <w:p w14:paraId="4FEE2D06" w14:textId="48ED9269" w:rsidR="62A00635" w:rsidRPr="00393D5E" w:rsidRDefault="62A00635" w:rsidP="00316A1B">
            <w:pPr>
              <w:spacing w:after="160" w:line="276" w:lineRule="auto"/>
            </w:pPr>
            <w:r w:rsidRPr="00393D5E">
              <w:rPr>
                <w:rFonts w:ascii="Calibri" w:eastAsia="Calibri" w:hAnsi="Calibri" w:cs="Calibri"/>
              </w:rPr>
              <w:t>b) vozidel na alternativní paliva pro obce, kraje, jejich příspěvkové organizace atp., včetně potřebné infrastruktury pro alternativní paliva</w:t>
            </w:r>
          </w:p>
          <w:p w14:paraId="010F9C8C" w14:textId="2450C9A8" w:rsidR="62A00635" w:rsidRPr="00393D5E" w:rsidRDefault="62A00635" w:rsidP="00316A1B">
            <w:pPr>
              <w:spacing w:line="276" w:lineRule="auto"/>
            </w:pPr>
            <w:r w:rsidRPr="00393D5E">
              <w:rPr>
                <w:rFonts w:ascii="Calibri" w:eastAsia="Calibri" w:hAnsi="Calibri" w:cs="Calibri"/>
              </w:rPr>
              <w:t xml:space="preserve"> </w:t>
            </w:r>
          </w:p>
        </w:tc>
      </w:tr>
      <w:tr w:rsidR="62A00635" w:rsidRPr="00393D5E" w14:paraId="75D7E28F" w14:textId="77777777" w:rsidTr="00DD2F7F">
        <w:trPr>
          <w:trHeight w:val="300"/>
        </w:trPr>
        <w:tc>
          <w:tcPr>
            <w:tcW w:w="705" w:type="dxa"/>
            <w:tcMar>
              <w:left w:w="108" w:type="dxa"/>
              <w:right w:w="108" w:type="dxa"/>
            </w:tcMar>
          </w:tcPr>
          <w:p w14:paraId="7423638F" w14:textId="7E01ECAB" w:rsidR="62A00635" w:rsidRPr="00393D5E" w:rsidRDefault="62A00635" w:rsidP="00316A1B">
            <w:pPr>
              <w:spacing w:line="276" w:lineRule="auto"/>
            </w:pPr>
            <w:r w:rsidRPr="00393D5E">
              <w:rPr>
                <w:rFonts w:ascii="Calibri" w:eastAsia="Calibri" w:hAnsi="Calibri" w:cs="Calibri"/>
              </w:rPr>
              <w:lastRenderedPageBreak/>
              <w:t>7</w:t>
            </w:r>
          </w:p>
        </w:tc>
        <w:tc>
          <w:tcPr>
            <w:tcW w:w="2130" w:type="dxa"/>
            <w:tcMar>
              <w:left w:w="108" w:type="dxa"/>
              <w:right w:w="108" w:type="dxa"/>
            </w:tcMar>
          </w:tcPr>
          <w:p w14:paraId="21C0D9EF" w14:textId="097A3145" w:rsidR="62A00635" w:rsidRPr="00393D5E" w:rsidRDefault="62A00635" w:rsidP="00316A1B">
            <w:pPr>
              <w:spacing w:after="160" w:line="276" w:lineRule="auto"/>
            </w:pPr>
            <w:r w:rsidRPr="00393D5E">
              <w:rPr>
                <w:rFonts w:ascii="Calibri" w:eastAsia="Calibri" w:hAnsi="Calibri" w:cs="Calibri"/>
              </w:rPr>
              <w:t>Energetická účinnost ve veřejných budovách a</w:t>
            </w:r>
            <w:r w:rsidR="0003053E">
              <w:rPr>
                <w:rFonts w:ascii="Calibri" w:eastAsia="Calibri" w:hAnsi="Calibri" w:cs="Calibri"/>
              </w:rPr>
              <w:t> </w:t>
            </w:r>
            <w:r w:rsidRPr="00393D5E">
              <w:rPr>
                <w:rFonts w:ascii="Calibri" w:eastAsia="Calibri" w:hAnsi="Calibri" w:cs="Calibri"/>
              </w:rPr>
              <w:t>infrastruktuře</w:t>
            </w:r>
          </w:p>
        </w:tc>
        <w:tc>
          <w:tcPr>
            <w:tcW w:w="1425" w:type="dxa"/>
            <w:tcMar>
              <w:left w:w="108" w:type="dxa"/>
              <w:right w:w="108" w:type="dxa"/>
            </w:tcMar>
          </w:tcPr>
          <w:p w14:paraId="200657A4" w14:textId="1E84160B" w:rsidR="62A00635" w:rsidRPr="00393D5E" w:rsidRDefault="62A00635" w:rsidP="00316A1B">
            <w:pPr>
              <w:spacing w:after="160" w:line="276" w:lineRule="auto"/>
            </w:pPr>
            <w:r w:rsidRPr="00393D5E">
              <w:rPr>
                <w:rFonts w:ascii="Calibri" w:eastAsia="Calibri" w:hAnsi="Calibri" w:cs="Calibri"/>
              </w:rPr>
              <w:t>ENERGov</w:t>
            </w:r>
          </w:p>
          <w:p w14:paraId="637F4D5E" w14:textId="17E5DCCE" w:rsidR="62A00635" w:rsidRPr="00393D5E" w:rsidRDefault="62A00635" w:rsidP="00316A1B">
            <w:pPr>
              <w:spacing w:line="276" w:lineRule="auto"/>
            </w:pPr>
            <w:r w:rsidRPr="00393D5E">
              <w:rPr>
                <w:rFonts w:ascii="Calibri" w:eastAsia="Calibri" w:hAnsi="Calibri" w:cs="Calibri"/>
              </w:rPr>
              <w:t xml:space="preserve"> </w:t>
            </w:r>
          </w:p>
        </w:tc>
        <w:tc>
          <w:tcPr>
            <w:tcW w:w="4815" w:type="dxa"/>
            <w:tcMar>
              <w:left w:w="108" w:type="dxa"/>
              <w:right w:w="108" w:type="dxa"/>
            </w:tcMar>
          </w:tcPr>
          <w:p w14:paraId="7A28FA49" w14:textId="2704D497" w:rsidR="62A00635" w:rsidRPr="00393D5E" w:rsidRDefault="445A6BDF" w:rsidP="00316A1B">
            <w:pPr>
              <w:spacing w:after="160" w:line="276" w:lineRule="auto"/>
            </w:pPr>
            <w:r w:rsidRPr="00393D5E">
              <w:rPr>
                <w:rFonts w:ascii="Calibri" w:eastAsia="Calibri" w:hAnsi="Calibri" w:cs="Calibri"/>
              </w:rPr>
              <w:t>Podpora komplexních opatření ke zlepšení energetické účinnosti</w:t>
            </w:r>
            <w:r w:rsidR="486A5CC7" w:rsidRPr="00393D5E">
              <w:rPr>
                <w:rFonts w:ascii="Calibri" w:eastAsia="Calibri" w:hAnsi="Calibri" w:cs="Calibri"/>
              </w:rPr>
              <w:t xml:space="preserve"> </w:t>
            </w:r>
            <w:r w:rsidRPr="00393D5E">
              <w:rPr>
                <w:rFonts w:ascii="Calibri" w:eastAsia="Calibri" w:hAnsi="Calibri" w:cs="Calibri"/>
              </w:rPr>
              <w:t>a</w:t>
            </w:r>
            <w:r w:rsidR="0003053E">
              <w:rPr>
                <w:rFonts w:ascii="Calibri" w:eastAsia="Calibri" w:hAnsi="Calibri" w:cs="Calibri"/>
              </w:rPr>
              <w:t> </w:t>
            </w:r>
            <w:r w:rsidRPr="00393D5E">
              <w:rPr>
                <w:rFonts w:ascii="Calibri" w:eastAsia="Calibri" w:hAnsi="Calibri" w:cs="Calibri"/>
              </w:rPr>
              <w:t>využití obnovitelných a</w:t>
            </w:r>
            <w:r w:rsidR="0003053E">
              <w:rPr>
                <w:rFonts w:ascii="Calibri" w:eastAsia="Calibri" w:hAnsi="Calibri" w:cs="Calibri"/>
              </w:rPr>
              <w:t> </w:t>
            </w:r>
            <w:r w:rsidRPr="00393D5E">
              <w:rPr>
                <w:rFonts w:ascii="Calibri" w:eastAsia="Calibri" w:hAnsi="Calibri" w:cs="Calibri"/>
              </w:rPr>
              <w:t>nízkoemisních zdrojů ve veřejných budovách, budovách státu a</w:t>
            </w:r>
            <w:r w:rsidR="0003053E">
              <w:rPr>
                <w:rFonts w:ascii="Calibri" w:eastAsia="Calibri" w:hAnsi="Calibri" w:cs="Calibri"/>
              </w:rPr>
              <w:t> </w:t>
            </w:r>
            <w:r w:rsidRPr="00393D5E">
              <w:rPr>
                <w:rFonts w:ascii="Calibri" w:eastAsia="Calibri" w:hAnsi="Calibri" w:cs="Calibri"/>
              </w:rPr>
              <w:t>veřejné infrastruktuře.</w:t>
            </w:r>
          </w:p>
          <w:p w14:paraId="3C1CA3E4" w14:textId="6E0BA6EA" w:rsidR="62A00635" w:rsidRPr="00393D5E" w:rsidRDefault="62A00635" w:rsidP="00316A1B">
            <w:pPr>
              <w:spacing w:line="276" w:lineRule="auto"/>
            </w:pPr>
            <w:r w:rsidRPr="00393D5E">
              <w:rPr>
                <w:rFonts w:ascii="Calibri" w:eastAsia="Calibri" w:hAnsi="Calibri" w:cs="Calibri"/>
              </w:rPr>
              <w:t xml:space="preserve"> </w:t>
            </w:r>
          </w:p>
        </w:tc>
      </w:tr>
      <w:tr w:rsidR="62A00635" w:rsidRPr="00393D5E" w14:paraId="1B9CF7B3" w14:textId="77777777" w:rsidTr="00DD2F7F">
        <w:trPr>
          <w:trHeight w:val="300"/>
        </w:trPr>
        <w:tc>
          <w:tcPr>
            <w:tcW w:w="705" w:type="dxa"/>
            <w:tcMar>
              <w:left w:w="108" w:type="dxa"/>
              <w:right w:w="108" w:type="dxa"/>
            </w:tcMar>
          </w:tcPr>
          <w:p w14:paraId="2FF9B4F1" w14:textId="3258DC91" w:rsidR="62A00635" w:rsidRPr="00393D5E" w:rsidRDefault="62A00635" w:rsidP="00316A1B">
            <w:pPr>
              <w:spacing w:line="276" w:lineRule="auto"/>
            </w:pPr>
            <w:r w:rsidRPr="00393D5E">
              <w:rPr>
                <w:rFonts w:ascii="Calibri" w:eastAsia="Calibri" w:hAnsi="Calibri" w:cs="Calibri"/>
              </w:rPr>
              <w:t>8</w:t>
            </w:r>
          </w:p>
        </w:tc>
        <w:tc>
          <w:tcPr>
            <w:tcW w:w="2130" w:type="dxa"/>
            <w:tcMar>
              <w:left w:w="108" w:type="dxa"/>
              <w:right w:w="108" w:type="dxa"/>
            </w:tcMar>
          </w:tcPr>
          <w:p w14:paraId="474F4CC9" w14:textId="467B42AB" w:rsidR="62A00635" w:rsidRPr="00393D5E" w:rsidRDefault="62A00635" w:rsidP="00316A1B">
            <w:pPr>
              <w:spacing w:line="276" w:lineRule="auto"/>
            </w:pPr>
            <w:r w:rsidRPr="00393D5E">
              <w:rPr>
                <w:rFonts w:ascii="Calibri" w:eastAsia="Calibri" w:hAnsi="Calibri" w:cs="Calibri"/>
              </w:rPr>
              <w:t>Komunitní energetika</w:t>
            </w:r>
          </w:p>
        </w:tc>
        <w:tc>
          <w:tcPr>
            <w:tcW w:w="1425" w:type="dxa"/>
            <w:tcMar>
              <w:left w:w="108" w:type="dxa"/>
              <w:right w:w="108" w:type="dxa"/>
            </w:tcMar>
          </w:tcPr>
          <w:p w14:paraId="3454D9ED" w14:textId="6228E38E" w:rsidR="62A00635" w:rsidRPr="00393D5E" w:rsidRDefault="62A00635" w:rsidP="00316A1B">
            <w:pPr>
              <w:spacing w:line="276" w:lineRule="auto"/>
            </w:pPr>
            <w:r w:rsidRPr="00393D5E">
              <w:rPr>
                <w:rFonts w:ascii="Calibri" w:eastAsia="Calibri" w:hAnsi="Calibri" w:cs="Calibri"/>
              </w:rPr>
              <w:t>KOMUNERG</w:t>
            </w:r>
          </w:p>
        </w:tc>
        <w:tc>
          <w:tcPr>
            <w:tcW w:w="4815" w:type="dxa"/>
            <w:tcMar>
              <w:left w:w="108" w:type="dxa"/>
              <w:right w:w="108" w:type="dxa"/>
            </w:tcMar>
          </w:tcPr>
          <w:p w14:paraId="23F9D24C" w14:textId="654DFCE1" w:rsidR="62A00635" w:rsidRPr="00393D5E" w:rsidRDefault="445A6BDF" w:rsidP="00316A1B">
            <w:pPr>
              <w:spacing w:after="160" w:line="276" w:lineRule="auto"/>
            </w:pPr>
            <w:r w:rsidRPr="00393D5E">
              <w:rPr>
                <w:rFonts w:ascii="Calibri" w:eastAsia="Calibri" w:hAnsi="Calibri" w:cs="Calibri"/>
              </w:rPr>
              <w:t>Podpora otevřených energetických společenství založených</w:t>
            </w:r>
            <w:r w:rsidR="7529FAEE" w:rsidRPr="00393D5E">
              <w:rPr>
                <w:rFonts w:ascii="Calibri" w:eastAsia="Calibri" w:hAnsi="Calibri" w:cs="Calibri"/>
              </w:rPr>
              <w:t xml:space="preserve"> </w:t>
            </w:r>
            <w:r w:rsidRPr="00393D5E">
              <w:rPr>
                <w:rFonts w:ascii="Calibri" w:eastAsia="Calibri" w:hAnsi="Calibri" w:cs="Calibri"/>
              </w:rPr>
              <w:t>za účelem uspokojení svých energetických potřeb (hlavním účelem není tvorba zisku).</w:t>
            </w:r>
          </w:p>
          <w:p w14:paraId="322BF7A8" w14:textId="20A6CCBF" w:rsidR="62A00635" w:rsidRPr="00393D5E" w:rsidRDefault="62A00635" w:rsidP="00316A1B">
            <w:pPr>
              <w:spacing w:line="276" w:lineRule="auto"/>
            </w:pPr>
            <w:r w:rsidRPr="00393D5E">
              <w:rPr>
                <w:rFonts w:ascii="Calibri" w:eastAsia="Calibri" w:hAnsi="Calibri" w:cs="Calibri"/>
              </w:rPr>
              <w:t xml:space="preserve"> </w:t>
            </w:r>
          </w:p>
        </w:tc>
      </w:tr>
      <w:tr w:rsidR="62A00635" w:rsidRPr="00393D5E" w14:paraId="09D690D0" w14:textId="77777777" w:rsidTr="00DD2F7F">
        <w:trPr>
          <w:trHeight w:val="300"/>
        </w:trPr>
        <w:tc>
          <w:tcPr>
            <w:tcW w:w="705" w:type="dxa"/>
            <w:tcMar>
              <w:left w:w="108" w:type="dxa"/>
              <w:right w:w="108" w:type="dxa"/>
            </w:tcMar>
          </w:tcPr>
          <w:p w14:paraId="5ED2ECD0" w14:textId="656C452E" w:rsidR="62A00635" w:rsidRPr="00393D5E" w:rsidRDefault="62A00635" w:rsidP="00316A1B">
            <w:pPr>
              <w:spacing w:line="276" w:lineRule="auto"/>
            </w:pPr>
            <w:r w:rsidRPr="00393D5E">
              <w:rPr>
                <w:rFonts w:ascii="Calibri" w:eastAsia="Calibri" w:hAnsi="Calibri" w:cs="Calibri"/>
              </w:rPr>
              <w:t>9</w:t>
            </w:r>
          </w:p>
        </w:tc>
        <w:tc>
          <w:tcPr>
            <w:tcW w:w="2130" w:type="dxa"/>
            <w:tcMar>
              <w:left w:w="108" w:type="dxa"/>
              <w:right w:w="108" w:type="dxa"/>
            </w:tcMar>
          </w:tcPr>
          <w:p w14:paraId="1E2495CA" w14:textId="4ED970DE" w:rsidR="62A00635" w:rsidRPr="00393D5E" w:rsidRDefault="62A00635" w:rsidP="00316A1B">
            <w:pPr>
              <w:spacing w:after="160" w:line="276" w:lineRule="auto"/>
            </w:pPr>
            <w:r w:rsidRPr="00393D5E">
              <w:rPr>
                <w:rFonts w:ascii="Calibri" w:eastAsia="Calibri" w:hAnsi="Calibri" w:cs="Calibri"/>
              </w:rPr>
              <w:t>Modernizace soustav veřejného osvětlení</w:t>
            </w:r>
          </w:p>
        </w:tc>
        <w:tc>
          <w:tcPr>
            <w:tcW w:w="1425" w:type="dxa"/>
            <w:tcMar>
              <w:left w:w="108" w:type="dxa"/>
              <w:right w:w="108" w:type="dxa"/>
            </w:tcMar>
          </w:tcPr>
          <w:p w14:paraId="0617F673" w14:textId="73ADE49D" w:rsidR="62A00635" w:rsidRPr="00393D5E" w:rsidRDefault="62A00635" w:rsidP="00316A1B">
            <w:pPr>
              <w:spacing w:line="276" w:lineRule="auto"/>
            </w:pPr>
            <w:r w:rsidRPr="00393D5E">
              <w:rPr>
                <w:rFonts w:ascii="Calibri" w:eastAsia="Calibri" w:hAnsi="Calibri" w:cs="Calibri"/>
              </w:rPr>
              <w:t>LIGHTPUB</w:t>
            </w:r>
          </w:p>
        </w:tc>
        <w:tc>
          <w:tcPr>
            <w:tcW w:w="4815" w:type="dxa"/>
            <w:tcMar>
              <w:left w:w="108" w:type="dxa"/>
              <w:right w:w="108" w:type="dxa"/>
            </w:tcMar>
          </w:tcPr>
          <w:p w14:paraId="5DABA74A" w14:textId="22C98A2A" w:rsidR="62A00635" w:rsidRPr="00393D5E" w:rsidRDefault="62A00635" w:rsidP="00316A1B">
            <w:pPr>
              <w:spacing w:after="160" w:line="276" w:lineRule="auto"/>
            </w:pPr>
            <w:r w:rsidRPr="00393D5E">
              <w:rPr>
                <w:rFonts w:ascii="Calibri" w:eastAsia="Calibri" w:hAnsi="Calibri" w:cs="Calibri"/>
              </w:rPr>
              <w:t>Podpora rekonstrukce a</w:t>
            </w:r>
            <w:r w:rsidR="0003053E">
              <w:rPr>
                <w:rFonts w:ascii="Calibri" w:eastAsia="Calibri" w:hAnsi="Calibri" w:cs="Calibri"/>
              </w:rPr>
              <w:t> </w:t>
            </w:r>
            <w:r w:rsidRPr="00393D5E">
              <w:rPr>
                <w:rFonts w:ascii="Calibri" w:eastAsia="Calibri" w:hAnsi="Calibri" w:cs="Calibri"/>
              </w:rPr>
              <w:t>modernizace soustav veřejného osvětlení s</w:t>
            </w:r>
            <w:r w:rsidR="0003053E">
              <w:rPr>
                <w:rFonts w:ascii="Calibri" w:eastAsia="Calibri" w:hAnsi="Calibri" w:cs="Calibri"/>
              </w:rPr>
              <w:t> </w:t>
            </w:r>
            <w:r w:rsidRPr="00393D5E">
              <w:rPr>
                <w:rFonts w:ascii="Calibri" w:eastAsia="Calibri" w:hAnsi="Calibri" w:cs="Calibri"/>
              </w:rPr>
              <w:t>možností instalace inovativních prvků</w:t>
            </w:r>
          </w:p>
          <w:p w14:paraId="362F5804" w14:textId="6C2F95A6" w:rsidR="62A00635" w:rsidRPr="00393D5E" w:rsidRDefault="62A00635" w:rsidP="00316A1B">
            <w:pPr>
              <w:spacing w:line="276" w:lineRule="auto"/>
            </w:pPr>
            <w:r w:rsidRPr="00393D5E">
              <w:rPr>
                <w:rFonts w:ascii="Calibri" w:eastAsia="Calibri" w:hAnsi="Calibri" w:cs="Calibri"/>
              </w:rPr>
              <w:t xml:space="preserve"> </w:t>
            </w:r>
          </w:p>
        </w:tc>
      </w:tr>
      <w:tr w:rsidR="62A00635" w:rsidRPr="00393D5E" w14:paraId="4C2DD3BD" w14:textId="77777777" w:rsidTr="00DD2F7F">
        <w:trPr>
          <w:trHeight w:val="300"/>
        </w:trPr>
        <w:tc>
          <w:tcPr>
            <w:tcW w:w="705" w:type="dxa"/>
            <w:tcMar>
              <w:left w:w="108" w:type="dxa"/>
              <w:right w:w="108" w:type="dxa"/>
            </w:tcMar>
          </w:tcPr>
          <w:p w14:paraId="6D6A54FA" w14:textId="583EDA19" w:rsidR="62A00635" w:rsidRPr="00393D5E" w:rsidRDefault="62A00635" w:rsidP="00316A1B">
            <w:pPr>
              <w:spacing w:line="276" w:lineRule="auto"/>
            </w:pPr>
            <w:r w:rsidRPr="00393D5E">
              <w:rPr>
                <w:rFonts w:ascii="Calibri" w:eastAsia="Calibri" w:hAnsi="Calibri" w:cs="Calibri"/>
              </w:rPr>
              <w:t>10</w:t>
            </w:r>
          </w:p>
        </w:tc>
        <w:tc>
          <w:tcPr>
            <w:tcW w:w="2130" w:type="dxa"/>
            <w:tcMar>
              <w:left w:w="108" w:type="dxa"/>
              <w:right w:w="108" w:type="dxa"/>
            </w:tcMar>
          </w:tcPr>
          <w:p w14:paraId="610F18DA" w14:textId="590722BC" w:rsidR="62A00635" w:rsidRPr="00393D5E" w:rsidRDefault="62A00635" w:rsidP="00316A1B">
            <w:pPr>
              <w:spacing w:line="276" w:lineRule="auto"/>
            </w:pPr>
            <w:r w:rsidRPr="00393D5E">
              <w:rPr>
                <w:rFonts w:ascii="Calibri" w:eastAsia="Calibri" w:hAnsi="Calibri" w:cs="Calibri"/>
              </w:rPr>
              <w:t>Energetická účinnost v</w:t>
            </w:r>
            <w:r w:rsidR="0003053E">
              <w:rPr>
                <w:rFonts w:ascii="Calibri" w:eastAsia="Calibri" w:hAnsi="Calibri" w:cs="Calibri"/>
              </w:rPr>
              <w:t> </w:t>
            </w:r>
            <w:r w:rsidRPr="00393D5E">
              <w:rPr>
                <w:rFonts w:ascii="Calibri" w:eastAsia="Calibri" w:hAnsi="Calibri" w:cs="Calibri"/>
              </w:rPr>
              <w:t>rezidenčním sektoru</w:t>
            </w:r>
          </w:p>
        </w:tc>
        <w:tc>
          <w:tcPr>
            <w:tcW w:w="1425" w:type="dxa"/>
            <w:tcMar>
              <w:left w:w="108" w:type="dxa"/>
              <w:right w:w="108" w:type="dxa"/>
            </w:tcMar>
          </w:tcPr>
          <w:p w14:paraId="4A69A70C" w14:textId="135A9736" w:rsidR="62A00635" w:rsidRPr="00393D5E" w:rsidRDefault="62A00635" w:rsidP="00316A1B">
            <w:pPr>
              <w:spacing w:line="276" w:lineRule="auto"/>
            </w:pPr>
            <w:r w:rsidRPr="00393D5E">
              <w:rPr>
                <w:rFonts w:ascii="Calibri" w:eastAsia="Calibri" w:hAnsi="Calibri" w:cs="Calibri"/>
              </w:rPr>
              <w:t>HOUSEnerg</w:t>
            </w:r>
          </w:p>
        </w:tc>
        <w:tc>
          <w:tcPr>
            <w:tcW w:w="4815" w:type="dxa"/>
            <w:tcMar>
              <w:left w:w="108" w:type="dxa"/>
              <w:right w:w="108" w:type="dxa"/>
            </w:tcMar>
          </w:tcPr>
          <w:p w14:paraId="63539EEA" w14:textId="58C73C0B" w:rsidR="62A00635" w:rsidRPr="00393D5E" w:rsidRDefault="62A00635" w:rsidP="00316A1B">
            <w:pPr>
              <w:spacing w:line="276" w:lineRule="auto"/>
            </w:pPr>
            <w:r w:rsidRPr="00393D5E">
              <w:rPr>
                <w:rFonts w:ascii="Calibri" w:eastAsia="Calibri" w:hAnsi="Calibri" w:cs="Calibri"/>
                <w:color w:val="000000" w:themeColor="text1"/>
              </w:rPr>
              <w:t>Program se zaměřuje na podporu zlepšení energetické účinnosti a</w:t>
            </w:r>
            <w:r w:rsidR="0003053E">
              <w:rPr>
                <w:rFonts w:ascii="Calibri" w:eastAsia="Calibri" w:hAnsi="Calibri" w:cs="Calibri"/>
                <w:color w:val="000000" w:themeColor="text1"/>
              </w:rPr>
              <w:t> </w:t>
            </w:r>
            <w:r w:rsidRPr="00393D5E">
              <w:rPr>
                <w:rFonts w:ascii="Calibri" w:eastAsia="Calibri" w:hAnsi="Calibri" w:cs="Calibri"/>
                <w:color w:val="000000" w:themeColor="text1"/>
              </w:rPr>
              <w:t>využití obnovitelných zdrojů v</w:t>
            </w:r>
            <w:r w:rsidR="0003053E">
              <w:rPr>
                <w:rFonts w:ascii="Calibri" w:eastAsia="Calibri" w:hAnsi="Calibri" w:cs="Calibri"/>
                <w:color w:val="000000" w:themeColor="text1"/>
              </w:rPr>
              <w:t> </w:t>
            </w:r>
            <w:r w:rsidRPr="00393D5E">
              <w:rPr>
                <w:rFonts w:ascii="Calibri" w:eastAsia="Calibri" w:hAnsi="Calibri" w:cs="Calibri"/>
                <w:color w:val="000000" w:themeColor="text1"/>
              </w:rPr>
              <w:t>rodinných a</w:t>
            </w:r>
            <w:r w:rsidR="0003053E">
              <w:rPr>
                <w:rFonts w:ascii="Calibri" w:eastAsia="Calibri" w:hAnsi="Calibri" w:cs="Calibri"/>
                <w:color w:val="000000" w:themeColor="text1"/>
              </w:rPr>
              <w:t> </w:t>
            </w:r>
            <w:r w:rsidRPr="00393D5E">
              <w:rPr>
                <w:rFonts w:ascii="Calibri" w:eastAsia="Calibri" w:hAnsi="Calibri" w:cs="Calibri"/>
                <w:color w:val="000000" w:themeColor="text1"/>
              </w:rPr>
              <w:t>bytových domech.</w:t>
            </w:r>
          </w:p>
        </w:tc>
      </w:tr>
    </w:tbl>
    <w:p w14:paraId="6099F1BF" w14:textId="257E087F" w:rsidR="0061258C" w:rsidRPr="00393D5E" w:rsidRDefault="000E1C94" w:rsidP="00316A1B">
      <w:pPr>
        <w:pStyle w:val="Titulek"/>
        <w:spacing w:line="276" w:lineRule="auto"/>
        <w:rPr>
          <w:noProof w:val="0"/>
        </w:rPr>
      </w:pPr>
      <w:bookmarkStart w:id="286" w:name="_Toc151444590"/>
      <w:r w:rsidRPr="00393D5E">
        <w:rPr>
          <w:noProof w:val="0"/>
        </w:rPr>
        <w:t xml:space="preserve">Tabulka </w:t>
      </w:r>
      <w:r w:rsidRPr="00393D5E">
        <w:rPr>
          <w:noProof w:val="0"/>
        </w:rPr>
        <w:fldChar w:fldCharType="begin"/>
      </w:r>
      <w:r w:rsidRPr="00393D5E">
        <w:rPr>
          <w:noProof w:val="0"/>
        </w:rPr>
        <w:instrText xml:space="preserve"> SEQ Tabulka \* ARABIC </w:instrText>
      </w:r>
      <w:r w:rsidRPr="00393D5E">
        <w:rPr>
          <w:noProof w:val="0"/>
        </w:rPr>
        <w:fldChar w:fldCharType="separate"/>
      </w:r>
      <w:r w:rsidR="00E25A73">
        <w:t>5</w:t>
      </w:r>
      <w:r w:rsidRPr="00393D5E">
        <w:rPr>
          <w:noProof w:val="0"/>
        </w:rPr>
        <w:fldChar w:fldCharType="end"/>
      </w:r>
      <w:r w:rsidR="00E25A73">
        <w:rPr>
          <w:noProof w:val="0"/>
        </w:rPr>
        <w:t>:</w:t>
      </w:r>
      <w:r w:rsidRPr="00393D5E">
        <w:rPr>
          <w:noProof w:val="0"/>
        </w:rPr>
        <w:t xml:space="preserve"> Přehled programů v</w:t>
      </w:r>
      <w:r w:rsidR="0003053E">
        <w:rPr>
          <w:noProof w:val="0"/>
        </w:rPr>
        <w:t> </w:t>
      </w:r>
      <w:r w:rsidRPr="00393D5E">
        <w:rPr>
          <w:noProof w:val="0"/>
        </w:rPr>
        <w:t>rámci Modernizačního fondu</w:t>
      </w:r>
      <w:bookmarkEnd w:id="286"/>
    </w:p>
    <w:p w14:paraId="0CDC05DB" w14:textId="36A81E2C" w:rsidR="00370370" w:rsidRPr="00393D5E" w:rsidRDefault="0061258C" w:rsidP="00316A1B">
      <w:pPr>
        <w:pStyle w:val="Bntext"/>
        <w:ind w:firstLine="0"/>
        <w:rPr>
          <w:rFonts w:asciiTheme="minorHAnsi" w:hAnsiTheme="minorHAnsi" w:cstheme="minorHAnsi"/>
          <w:color w:val="000000"/>
          <w:sz w:val="22"/>
          <w:szCs w:val="22"/>
          <w:lang w:val="cs-CZ"/>
        </w:rPr>
      </w:pPr>
      <w:r w:rsidRPr="00393D5E">
        <w:rPr>
          <w:rFonts w:asciiTheme="minorHAnsi" w:hAnsiTheme="minorHAnsi" w:cstheme="minorHAnsi"/>
          <w:sz w:val="22"/>
          <w:szCs w:val="22"/>
          <w:lang w:val="cs-CZ"/>
        </w:rPr>
        <w:t>V současné době společně s</w:t>
      </w:r>
      <w:r w:rsidR="0003053E">
        <w:rPr>
          <w:rFonts w:asciiTheme="minorHAnsi" w:hAnsiTheme="minorHAnsi" w:cstheme="minorHAnsi"/>
          <w:sz w:val="22"/>
          <w:szCs w:val="22"/>
          <w:lang w:val="cs-CZ"/>
        </w:rPr>
        <w:t> </w:t>
      </w:r>
      <w:r w:rsidRPr="00393D5E">
        <w:rPr>
          <w:rFonts w:asciiTheme="minorHAnsi" w:hAnsiTheme="minorHAnsi" w:cstheme="minorHAnsi"/>
          <w:sz w:val="22"/>
          <w:szCs w:val="22"/>
          <w:lang w:val="cs-CZ"/>
        </w:rPr>
        <w:t>aktualizací plánu obnovy dochází i</w:t>
      </w:r>
      <w:r w:rsidR="0003053E">
        <w:rPr>
          <w:rFonts w:asciiTheme="minorHAnsi" w:hAnsiTheme="minorHAnsi" w:cstheme="minorHAnsi"/>
          <w:sz w:val="22"/>
          <w:szCs w:val="22"/>
          <w:lang w:val="cs-CZ"/>
        </w:rPr>
        <w:t> </w:t>
      </w:r>
      <w:r w:rsidRPr="00393D5E">
        <w:rPr>
          <w:rFonts w:asciiTheme="minorHAnsi" w:hAnsiTheme="minorHAnsi" w:cstheme="minorHAnsi"/>
          <w:sz w:val="22"/>
          <w:szCs w:val="22"/>
          <w:lang w:val="cs-CZ"/>
        </w:rPr>
        <w:t>k aktualizaci programového dokumentu spojeného s</w:t>
      </w:r>
      <w:r w:rsidR="0003053E">
        <w:rPr>
          <w:rFonts w:asciiTheme="minorHAnsi" w:hAnsiTheme="minorHAnsi" w:cstheme="minorHAnsi"/>
          <w:sz w:val="22"/>
          <w:szCs w:val="22"/>
          <w:lang w:val="cs-CZ"/>
        </w:rPr>
        <w:t> </w:t>
      </w:r>
      <w:r w:rsidRPr="00393D5E">
        <w:rPr>
          <w:rFonts w:asciiTheme="minorHAnsi" w:hAnsiTheme="minorHAnsi" w:cstheme="minorHAnsi"/>
          <w:sz w:val="22"/>
          <w:szCs w:val="22"/>
          <w:lang w:val="cs-CZ"/>
        </w:rPr>
        <w:t xml:space="preserve">Modernizačním fondem. Hlavní změny by se měly </w:t>
      </w:r>
      <w:r w:rsidR="00370370" w:rsidRPr="00393D5E">
        <w:rPr>
          <w:rFonts w:asciiTheme="minorHAnsi" w:hAnsiTheme="minorHAnsi" w:cstheme="minorHAnsi"/>
          <w:color w:val="000000"/>
          <w:sz w:val="22"/>
          <w:szCs w:val="22"/>
          <w:lang w:val="cs-CZ"/>
        </w:rPr>
        <w:t>týkat rozšíření stávajících deseti programů o</w:t>
      </w:r>
      <w:r w:rsidR="0003053E">
        <w:rPr>
          <w:rFonts w:asciiTheme="minorHAnsi" w:hAnsiTheme="minorHAnsi" w:cstheme="minorHAnsi"/>
          <w:color w:val="000000"/>
          <w:sz w:val="22"/>
          <w:szCs w:val="22"/>
          <w:lang w:val="cs-CZ"/>
        </w:rPr>
        <w:t> </w:t>
      </w:r>
      <w:r w:rsidR="00370370" w:rsidRPr="00393D5E">
        <w:rPr>
          <w:rStyle w:val="Siln"/>
          <w:rFonts w:asciiTheme="minorHAnsi" w:eastAsiaTheme="majorEastAsia" w:hAnsiTheme="minorHAnsi" w:cstheme="minorHAnsi"/>
          <w:b w:val="0"/>
          <w:color w:val="000000"/>
          <w:sz w:val="22"/>
          <w:szCs w:val="22"/>
          <w:lang w:val="cs-CZ"/>
        </w:rPr>
        <w:t>další oblasti</w:t>
      </w:r>
      <w:r w:rsidR="00370370" w:rsidRPr="00393D5E">
        <w:rPr>
          <w:rFonts w:asciiTheme="minorHAnsi" w:hAnsiTheme="minorHAnsi" w:cstheme="minorHAnsi"/>
          <w:color w:val="000000"/>
          <w:sz w:val="22"/>
          <w:szCs w:val="22"/>
          <w:lang w:val="cs-CZ"/>
        </w:rPr>
        <w:t>, kterými jsou např. podpora výroby a</w:t>
      </w:r>
      <w:r w:rsidR="0003053E">
        <w:rPr>
          <w:rFonts w:asciiTheme="minorHAnsi" w:hAnsiTheme="minorHAnsi" w:cstheme="minorHAnsi"/>
          <w:color w:val="000000"/>
          <w:sz w:val="22"/>
          <w:szCs w:val="22"/>
          <w:lang w:val="cs-CZ"/>
        </w:rPr>
        <w:t> </w:t>
      </w:r>
      <w:r w:rsidR="00370370" w:rsidRPr="00393D5E">
        <w:rPr>
          <w:rFonts w:asciiTheme="minorHAnsi" w:hAnsiTheme="minorHAnsi" w:cstheme="minorHAnsi"/>
          <w:color w:val="000000"/>
          <w:sz w:val="22"/>
          <w:szCs w:val="22"/>
          <w:lang w:val="cs-CZ"/>
        </w:rPr>
        <w:t>využívání zelených plynů a</w:t>
      </w:r>
      <w:r w:rsidR="0003053E">
        <w:rPr>
          <w:rFonts w:asciiTheme="minorHAnsi" w:hAnsiTheme="minorHAnsi" w:cstheme="minorHAnsi"/>
          <w:color w:val="000000"/>
          <w:sz w:val="22"/>
          <w:szCs w:val="22"/>
          <w:lang w:val="cs-CZ"/>
        </w:rPr>
        <w:t> </w:t>
      </w:r>
      <w:r w:rsidR="00370370" w:rsidRPr="00393D5E">
        <w:rPr>
          <w:rFonts w:asciiTheme="minorHAnsi" w:hAnsiTheme="minorHAnsi" w:cstheme="minorHAnsi"/>
          <w:color w:val="000000"/>
          <w:sz w:val="22"/>
          <w:szCs w:val="22"/>
          <w:lang w:val="cs-CZ"/>
        </w:rPr>
        <w:t>kapalin, modernizace energetických sítí a</w:t>
      </w:r>
      <w:r w:rsidR="0003053E">
        <w:rPr>
          <w:rFonts w:asciiTheme="minorHAnsi" w:hAnsiTheme="minorHAnsi" w:cstheme="minorHAnsi"/>
          <w:color w:val="000000"/>
          <w:sz w:val="22"/>
          <w:szCs w:val="22"/>
          <w:lang w:val="cs-CZ"/>
        </w:rPr>
        <w:t> </w:t>
      </w:r>
      <w:r w:rsidR="00370370" w:rsidRPr="00393D5E">
        <w:rPr>
          <w:rFonts w:asciiTheme="minorHAnsi" w:hAnsiTheme="minorHAnsi" w:cstheme="minorHAnsi"/>
          <w:color w:val="000000"/>
          <w:sz w:val="22"/>
          <w:szCs w:val="22"/>
          <w:lang w:val="cs-CZ"/>
        </w:rPr>
        <w:t>využívání chytrých řešení při sdílení a</w:t>
      </w:r>
      <w:r w:rsidR="0003053E">
        <w:rPr>
          <w:rFonts w:asciiTheme="minorHAnsi" w:hAnsiTheme="minorHAnsi" w:cstheme="minorHAnsi"/>
          <w:color w:val="000000"/>
          <w:sz w:val="22"/>
          <w:szCs w:val="22"/>
          <w:lang w:val="cs-CZ"/>
        </w:rPr>
        <w:t> </w:t>
      </w:r>
      <w:r w:rsidR="00370370" w:rsidRPr="00393D5E">
        <w:rPr>
          <w:rFonts w:asciiTheme="minorHAnsi" w:hAnsiTheme="minorHAnsi" w:cstheme="minorHAnsi"/>
          <w:color w:val="000000"/>
          <w:sz w:val="22"/>
          <w:szCs w:val="22"/>
          <w:lang w:val="cs-CZ"/>
        </w:rPr>
        <w:t>využívání energie.</w:t>
      </w:r>
      <w:r w:rsidRPr="00393D5E">
        <w:rPr>
          <w:rFonts w:asciiTheme="minorHAnsi" w:hAnsiTheme="minorHAnsi" w:cstheme="minorHAnsi"/>
          <w:color w:val="000000"/>
          <w:sz w:val="22"/>
          <w:szCs w:val="22"/>
          <w:lang w:val="cs-CZ"/>
        </w:rPr>
        <w:t xml:space="preserve"> </w:t>
      </w:r>
      <w:r w:rsidR="00370370" w:rsidRPr="00393D5E">
        <w:rPr>
          <w:rFonts w:asciiTheme="minorHAnsi" w:hAnsiTheme="minorHAnsi" w:cstheme="minorHAnsi"/>
          <w:color w:val="000000"/>
          <w:sz w:val="22"/>
          <w:szCs w:val="22"/>
          <w:lang w:val="cs-CZ"/>
        </w:rPr>
        <w:t>Rovněž individuální a</w:t>
      </w:r>
      <w:r w:rsidR="0003053E">
        <w:rPr>
          <w:rFonts w:asciiTheme="minorHAnsi" w:hAnsiTheme="minorHAnsi" w:cstheme="minorHAnsi"/>
          <w:color w:val="000000"/>
          <w:sz w:val="22"/>
          <w:szCs w:val="22"/>
          <w:lang w:val="cs-CZ"/>
        </w:rPr>
        <w:t> </w:t>
      </w:r>
      <w:r w:rsidR="00370370" w:rsidRPr="00393D5E">
        <w:rPr>
          <w:rFonts w:asciiTheme="minorHAnsi" w:hAnsiTheme="minorHAnsi" w:cstheme="minorHAnsi"/>
          <w:color w:val="000000"/>
          <w:sz w:val="22"/>
          <w:szCs w:val="22"/>
          <w:lang w:val="cs-CZ"/>
        </w:rPr>
        <w:t>inovativní projekty, které usilují také o</w:t>
      </w:r>
      <w:r w:rsidR="0003053E">
        <w:rPr>
          <w:rFonts w:asciiTheme="minorHAnsi" w:hAnsiTheme="minorHAnsi" w:cstheme="minorHAnsi"/>
          <w:color w:val="000000"/>
          <w:sz w:val="22"/>
          <w:szCs w:val="22"/>
          <w:lang w:val="cs-CZ"/>
        </w:rPr>
        <w:t> </w:t>
      </w:r>
      <w:r w:rsidR="00370370" w:rsidRPr="00393D5E">
        <w:rPr>
          <w:rFonts w:asciiTheme="minorHAnsi" w:hAnsiTheme="minorHAnsi" w:cstheme="minorHAnsi"/>
          <w:color w:val="000000"/>
          <w:sz w:val="22"/>
          <w:szCs w:val="22"/>
          <w:lang w:val="cs-CZ"/>
        </w:rPr>
        <w:t>podporu z</w:t>
      </w:r>
      <w:r w:rsidR="0003053E">
        <w:rPr>
          <w:rFonts w:asciiTheme="minorHAnsi" w:hAnsiTheme="minorHAnsi" w:cstheme="minorHAnsi"/>
          <w:color w:val="000000"/>
          <w:sz w:val="22"/>
          <w:szCs w:val="22"/>
          <w:lang w:val="cs-CZ"/>
        </w:rPr>
        <w:t> </w:t>
      </w:r>
      <w:r w:rsidR="00370370" w:rsidRPr="00393D5E">
        <w:rPr>
          <w:rFonts w:asciiTheme="minorHAnsi" w:hAnsiTheme="minorHAnsi" w:cstheme="minorHAnsi"/>
          <w:color w:val="000000"/>
          <w:sz w:val="22"/>
          <w:szCs w:val="22"/>
          <w:lang w:val="cs-CZ"/>
        </w:rPr>
        <w:t>Inovativního fondu, by měli získat možnost čerpat prostředky z</w:t>
      </w:r>
      <w:r w:rsidR="0003053E">
        <w:rPr>
          <w:rFonts w:asciiTheme="minorHAnsi" w:hAnsiTheme="minorHAnsi" w:cstheme="minorHAnsi"/>
          <w:color w:val="000000"/>
          <w:sz w:val="22"/>
          <w:szCs w:val="22"/>
          <w:lang w:val="cs-CZ"/>
        </w:rPr>
        <w:t> </w:t>
      </w:r>
      <w:r w:rsidR="00370370" w:rsidRPr="00393D5E">
        <w:rPr>
          <w:rFonts w:asciiTheme="minorHAnsi" w:hAnsiTheme="minorHAnsi" w:cstheme="minorHAnsi"/>
          <w:color w:val="000000"/>
          <w:sz w:val="22"/>
          <w:szCs w:val="22"/>
          <w:lang w:val="cs-CZ"/>
        </w:rPr>
        <w:t>Modernizačního fondu a</w:t>
      </w:r>
      <w:r w:rsidR="0003053E">
        <w:rPr>
          <w:rFonts w:asciiTheme="minorHAnsi" w:hAnsiTheme="minorHAnsi" w:cstheme="minorHAnsi"/>
          <w:color w:val="000000"/>
          <w:sz w:val="22"/>
          <w:szCs w:val="22"/>
          <w:lang w:val="cs-CZ"/>
        </w:rPr>
        <w:t> </w:t>
      </w:r>
      <w:r w:rsidR="00370370" w:rsidRPr="00393D5E">
        <w:rPr>
          <w:rFonts w:asciiTheme="minorHAnsi" w:hAnsiTheme="minorHAnsi" w:cstheme="minorHAnsi"/>
          <w:color w:val="000000"/>
          <w:sz w:val="22"/>
          <w:szCs w:val="22"/>
          <w:lang w:val="cs-CZ"/>
        </w:rPr>
        <w:t>ruku v</w:t>
      </w:r>
      <w:r w:rsidR="0003053E">
        <w:rPr>
          <w:rFonts w:asciiTheme="minorHAnsi" w:hAnsiTheme="minorHAnsi" w:cstheme="minorHAnsi"/>
          <w:color w:val="000000"/>
          <w:sz w:val="22"/>
          <w:szCs w:val="22"/>
          <w:lang w:val="cs-CZ"/>
        </w:rPr>
        <w:t> </w:t>
      </w:r>
      <w:r w:rsidR="00370370" w:rsidRPr="00393D5E">
        <w:rPr>
          <w:rFonts w:asciiTheme="minorHAnsi" w:hAnsiTheme="minorHAnsi" w:cstheme="minorHAnsi"/>
          <w:color w:val="000000"/>
          <w:sz w:val="22"/>
          <w:szCs w:val="22"/>
          <w:lang w:val="cs-CZ"/>
        </w:rPr>
        <w:t>ruce získat podporu České republiky v</w:t>
      </w:r>
      <w:r w:rsidR="0003053E">
        <w:rPr>
          <w:rFonts w:asciiTheme="minorHAnsi" w:hAnsiTheme="minorHAnsi" w:cstheme="minorHAnsi"/>
          <w:color w:val="000000"/>
          <w:sz w:val="22"/>
          <w:szCs w:val="22"/>
          <w:lang w:val="cs-CZ"/>
        </w:rPr>
        <w:t> </w:t>
      </w:r>
      <w:r w:rsidR="00370370" w:rsidRPr="00393D5E">
        <w:rPr>
          <w:rFonts w:asciiTheme="minorHAnsi" w:hAnsiTheme="minorHAnsi" w:cstheme="minorHAnsi"/>
          <w:color w:val="000000"/>
          <w:sz w:val="22"/>
          <w:szCs w:val="22"/>
          <w:lang w:val="cs-CZ"/>
        </w:rPr>
        <w:t>rámci celoevropské soutěže o</w:t>
      </w:r>
      <w:r w:rsidR="0003053E">
        <w:rPr>
          <w:rFonts w:asciiTheme="minorHAnsi" w:hAnsiTheme="minorHAnsi" w:cstheme="minorHAnsi"/>
          <w:color w:val="000000"/>
          <w:sz w:val="22"/>
          <w:szCs w:val="22"/>
          <w:lang w:val="cs-CZ"/>
        </w:rPr>
        <w:t> </w:t>
      </w:r>
      <w:r w:rsidR="00370370" w:rsidRPr="00393D5E">
        <w:rPr>
          <w:rFonts w:asciiTheme="minorHAnsi" w:hAnsiTheme="minorHAnsi" w:cstheme="minorHAnsi"/>
          <w:color w:val="000000"/>
          <w:sz w:val="22"/>
          <w:szCs w:val="22"/>
          <w:lang w:val="cs-CZ"/>
        </w:rPr>
        <w:t>financování inovativních řešení.</w:t>
      </w:r>
      <w:r w:rsidRPr="00393D5E">
        <w:rPr>
          <w:rFonts w:asciiTheme="minorHAnsi" w:hAnsiTheme="minorHAnsi" w:cstheme="minorHAnsi"/>
          <w:color w:val="000000"/>
          <w:sz w:val="22"/>
          <w:szCs w:val="22"/>
          <w:lang w:val="cs-CZ"/>
        </w:rPr>
        <w:t xml:space="preserve"> </w:t>
      </w:r>
    </w:p>
    <w:p w14:paraId="6FD95163" w14:textId="583EC38A" w:rsidR="00370370" w:rsidRPr="00393D5E" w:rsidRDefault="66E3C7D9" w:rsidP="00316A1B">
      <w:pPr>
        <w:spacing w:line="276" w:lineRule="auto"/>
        <w:jc w:val="both"/>
      </w:pPr>
      <w:r w:rsidRPr="00393D5E">
        <w:t>Významnou oblastí, která je doplňkovou z</w:t>
      </w:r>
      <w:r w:rsidR="0003053E">
        <w:t> </w:t>
      </w:r>
      <w:r w:rsidRPr="00393D5E">
        <w:t>hlediska financování pro NPO</w:t>
      </w:r>
      <w:r w:rsidR="6E742084" w:rsidRPr="00393D5E">
        <w:t>,</w:t>
      </w:r>
      <w:r w:rsidRPr="00393D5E">
        <w:t xml:space="preserve"> jsou programy spojené s</w:t>
      </w:r>
      <w:r w:rsidR="0003053E">
        <w:t> </w:t>
      </w:r>
      <w:r w:rsidRPr="00393D5E">
        <w:rPr>
          <w:b/>
          <w:bCs/>
        </w:rPr>
        <w:t>Dohodou o</w:t>
      </w:r>
      <w:r w:rsidR="0003053E">
        <w:rPr>
          <w:b/>
          <w:bCs/>
        </w:rPr>
        <w:t> </w:t>
      </w:r>
      <w:r w:rsidRPr="00393D5E">
        <w:rPr>
          <w:b/>
          <w:bCs/>
        </w:rPr>
        <w:t>partnerství</w:t>
      </w:r>
      <w:r w:rsidR="2E5FFD66" w:rsidRPr="00393D5E">
        <w:rPr>
          <w:b/>
          <w:bCs/>
        </w:rPr>
        <w:t xml:space="preserve"> schválen</w:t>
      </w:r>
      <w:r w:rsidR="0B998251" w:rsidRPr="00393D5E">
        <w:rPr>
          <w:b/>
          <w:bCs/>
        </w:rPr>
        <w:t>ou</w:t>
      </w:r>
      <w:r w:rsidR="2E5FFD66" w:rsidRPr="00393D5E">
        <w:rPr>
          <w:b/>
          <w:bCs/>
        </w:rPr>
        <w:t xml:space="preserve"> </w:t>
      </w:r>
      <w:r w:rsidR="2E5FFD66" w:rsidRPr="00393D5E">
        <w:t>v</w:t>
      </w:r>
      <w:r w:rsidR="0003053E">
        <w:t> </w:t>
      </w:r>
      <w:r w:rsidR="2E5FFD66" w:rsidRPr="00393D5E">
        <w:t>květnu 2022</w:t>
      </w:r>
      <w:r w:rsidRPr="00393D5E">
        <w:t>. Jedná se o:</w:t>
      </w:r>
    </w:p>
    <w:p w14:paraId="7F1430F5" w14:textId="77777777" w:rsidR="00E6086E" w:rsidRPr="00393D5E" w:rsidRDefault="00E6086E" w:rsidP="00CE14E6">
      <w:pPr>
        <w:pStyle w:val="Odstavecseseznamem"/>
        <w:numPr>
          <w:ilvl w:val="0"/>
          <w:numId w:val="12"/>
        </w:numPr>
        <w:spacing w:line="276" w:lineRule="auto"/>
        <w:jc w:val="both"/>
      </w:pPr>
      <w:r w:rsidRPr="00393D5E">
        <w:t xml:space="preserve">Program Doprava. Zde je doplňkovou součástí zejména oblast komponenty 2.1. </w:t>
      </w:r>
    </w:p>
    <w:p w14:paraId="44A719B8" w14:textId="5AB9CB5E" w:rsidR="00E6086E" w:rsidRPr="00393D5E" w:rsidRDefault="00947D5F" w:rsidP="00CE14E6">
      <w:pPr>
        <w:pStyle w:val="Odstavecseseznamem"/>
        <w:numPr>
          <w:ilvl w:val="0"/>
          <w:numId w:val="12"/>
        </w:numPr>
        <w:spacing w:line="276" w:lineRule="auto"/>
        <w:jc w:val="both"/>
      </w:pPr>
      <w:r w:rsidRPr="00393D5E">
        <w:t>Integrovaný</w:t>
      </w:r>
      <w:r w:rsidR="00E6086E" w:rsidRPr="00393D5E">
        <w:t xml:space="preserve"> regionální operační program. Jedná se o</w:t>
      </w:r>
      <w:r w:rsidR="0003053E">
        <w:t> </w:t>
      </w:r>
      <w:r w:rsidR="00E6086E" w:rsidRPr="00393D5E">
        <w:t>kompatibilní program napříč NPO, operační program zasahuje do řady aktivit, např. opatření v</w:t>
      </w:r>
      <w:r w:rsidR="0003053E">
        <w:t> </w:t>
      </w:r>
      <w:r w:rsidR="00E6086E" w:rsidRPr="00393D5E">
        <w:t>komponentě 3.3.</w:t>
      </w:r>
    </w:p>
    <w:p w14:paraId="59928547" w14:textId="25B7626E" w:rsidR="00E6086E" w:rsidRPr="00393D5E" w:rsidRDefault="00E6086E" w:rsidP="00CE14E6">
      <w:pPr>
        <w:pStyle w:val="Odstavecseseznamem"/>
        <w:numPr>
          <w:ilvl w:val="0"/>
          <w:numId w:val="12"/>
        </w:numPr>
        <w:spacing w:line="276" w:lineRule="auto"/>
        <w:jc w:val="both"/>
      </w:pPr>
      <w:r w:rsidRPr="00393D5E">
        <w:t>Program Technologie a</w:t>
      </w:r>
      <w:r w:rsidR="0003053E">
        <w:t> </w:t>
      </w:r>
      <w:r w:rsidRPr="00393D5E">
        <w:t>aplikace pro konkurenceschopnost. Program zaměřený na podporu podnikatelů je doplňujícím programem pro oblasti podpory podnikatelského sektoru. Zejména digitalizace, obnovitelných zdrojů a</w:t>
      </w:r>
      <w:r w:rsidR="0003053E">
        <w:t> </w:t>
      </w:r>
      <w:r w:rsidRPr="00393D5E">
        <w:t>úspor energií a</w:t>
      </w:r>
      <w:r w:rsidR="0003053E">
        <w:t> </w:t>
      </w:r>
      <w:r w:rsidRPr="00393D5E">
        <w:t>dále v</w:t>
      </w:r>
      <w:r w:rsidR="0003053E">
        <w:t> </w:t>
      </w:r>
      <w:r w:rsidRPr="00393D5E">
        <w:t>oblasti výzkumu a</w:t>
      </w:r>
      <w:r w:rsidR="0003053E">
        <w:t> </w:t>
      </w:r>
      <w:r w:rsidRPr="00393D5E">
        <w:t>vývoje.</w:t>
      </w:r>
    </w:p>
    <w:p w14:paraId="650FE209" w14:textId="6F9DA8AE" w:rsidR="00E6086E" w:rsidRPr="00393D5E" w:rsidRDefault="00E6086E" w:rsidP="00CE14E6">
      <w:pPr>
        <w:pStyle w:val="Odstavecseseznamem"/>
        <w:numPr>
          <w:ilvl w:val="0"/>
          <w:numId w:val="12"/>
        </w:numPr>
        <w:spacing w:line="276" w:lineRule="auto"/>
        <w:jc w:val="both"/>
      </w:pPr>
      <w:r w:rsidRPr="00393D5E">
        <w:lastRenderedPageBreak/>
        <w:t>Program Jan Amos Komenský je kompatibilní s</w:t>
      </w:r>
      <w:r w:rsidR="0003053E">
        <w:t> </w:t>
      </w:r>
      <w:r w:rsidRPr="00393D5E">
        <w:t>částmi NPO, které podporují vzdělávání a</w:t>
      </w:r>
      <w:r w:rsidR="0003053E">
        <w:t> </w:t>
      </w:r>
      <w:r w:rsidRPr="00393D5E">
        <w:t>oblast výzkumu a</w:t>
      </w:r>
      <w:r w:rsidR="0003053E">
        <w:t> </w:t>
      </w:r>
      <w:r w:rsidRPr="00393D5E">
        <w:t xml:space="preserve">vývoje. </w:t>
      </w:r>
    </w:p>
    <w:p w14:paraId="2D5F6D08" w14:textId="0BB7088B" w:rsidR="00E6086E" w:rsidRPr="00393D5E" w:rsidRDefault="00E6086E" w:rsidP="00CE14E6">
      <w:pPr>
        <w:pStyle w:val="Odstavecseseznamem"/>
        <w:numPr>
          <w:ilvl w:val="0"/>
          <w:numId w:val="12"/>
        </w:numPr>
        <w:spacing w:line="276" w:lineRule="auto"/>
        <w:jc w:val="both"/>
      </w:pPr>
      <w:r w:rsidRPr="00393D5E">
        <w:t>Program Životní prostředí je programem kompatibilním s</w:t>
      </w:r>
      <w:r w:rsidR="0003053E">
        <w:t> </w:t>
      </w:r>
      <w:r w:rsidRPr="00393D5E">
        <w:t>tzv. zelenou částí plánu. Jedná se o</w:t>
      </w:r>
      <w:r w:rsidR="0003053E">
        <w:t> </w:t>
      </w:r>
      <w:r w:rsidRPr="00393D5E">
        <w:t>financování nových aktivit v</w:t>
      </w:r>
      <w:r w:rsidR="0003053E">
        <w:t> </w:t>
      </w:r>
      <w:r w:rsidRPr="00393D5E">
        <w:t>REPower</w:t>
      </w:r>
      <w:r w:rsidR="00E545A6">
        <w:t>EU</w:t>
      </w:r>
      <w:r w:rsidRPr="00393D5E">
        <w:t xml:space="preserve"> a</w:t>
      </w:r>
      <w:r w:rsidR="0003053E">
        <w:t> </w:t>
      </w:r>
      <w:r w:rsidRPr="00393D5E">
        <w:t>dále o</w:t>
      </w:r>
      <w:r w:rsidR="0003053E">
        <w:t> </w:t>
      </w:r>
      <w:r w:rsidRPr="00393D5E">
        <w:t>nové aktivity podporující energetickou a</w:t>
      </w:r>
      <w:r w:rsidR="0003053E">
        <w:t> </w:t>
      </w:r>
      <w:r w:rsidRPr="00393D5E">
        <w:t xml:space="preserve">zelenou transformaci. </w:t>
      </w:r>
    </w:p>
    <w:p w14:paraId="40E685C0" w14:textId="77777777" w:rsidR="00E6086E" w:rsidRPr="00393D5E" w:rsidRDefault="00E6086E" w:rsidP="00CE14E6">
      <w:pPr>
        <w:pStyle w:val="Odstavecseseznamem"/>
        <w:numPr>
          <w:ilvl w:val="0"/>
          <w:numId w:val="12"/>
        </w:numPr>
        <w:spacing w:line="276" w:lineRule="auto"/>
        <w:jc w:val="both"/>
      </w:pPr>
      <w:r w:rsidRPr="00393D5E">
        <w:t xml:space="preserve">Program Zaměstnanost+ je doplňujícím programem pro </w:t>
      </w:r>
      <w:r w:rsidR="00D561DB" w:rsidRPr="00393D5E">
        <w:t>sociální oblast plánu.</w:t>
      </w:r>
      <w:r w:rsidRPr="00393D5E">
        <w:t xml:space="preserve"> </w:t>
      </w:r>
    </w:p>
    <w:p w14:paraId="66A5F947" w14:textId="172C7E0A" w:rsidR="00E6086E" w:rsidRPr="00393D5E" w:rsidRDefault="24529055" w:rsidP="00CE14E6">
      <w:pPr>
        <w:pStyle w:val="Odstavecseseznamem"/>
        <w:numPr>
          <w:ilvl w:val="0"/>
          <w:numId w:val="12"/>
        </w:numPr>
        <w:spacing w:line="276" w:lineRule="auto"/>
        <w:jc w:val="both"/>
      </w:pPr>
      <w:r w:rsidRPr="00393D5E">
        <w:t>Program Technická pomoc</w:t>
      </w:r>
      <w:r w:rsidR="47F46328" w:rsidRPr="00393D5E">
        <w:t>.</w:t>
      </w:r>
    </w:p>
    <w:p w14:paraId="38DC11C8" w14:textId="726759D1" w:rsidR="00E6086E" w:rsidRPr="00393D5E" w:rsidRDefault="6F8BBA1D" w:rsidP="00CE14E6">
      <w:pPr>
        <w:pStyle w:val="Odstavecseseznamem"/>
        <w:numPr>
          <w:ilvl w:val="0"/>
          <w:numId w:val="12"/>
        </w:numPr>
        <w:spacing w:line="276" w:lineRule="auto"/>
        <w:jc w:val="both"/>
        <w:rPr>
          <w:rFonts w:cstheme="minorHAnsi"/>
          <w:color w:val="000000"/>
        </w:rPr>
      </w:pPr>
      <w:r w:rsidRPr="00393D5E">
        <w:t xml:space="preserve">Program Spravedlivá transformace </w:t>
      </w:r>
      <w:r w:rsidRPr="00393D5E">
        <w:rPr>
          <w:color w:val="000000"/>
          <w:shd w:val="clear" w:color="auto" w:fill="FFFFFF"/>
        </w:rPr>
        <w:t>zaměřený na řešení negativních dopadů odklonu od uhlí v</w:t>
      </w:r>
      <w:r w:rsidR="0003053E">
        <w:rPr>
          <w:color w:val="000000"/>
          <w:shd w:val="clear" w:color="auto" w:fill="FFFFFF"/>
        </w:rPr>
        <w:t> </w:t>
      </w:r>
      <w:r w:rsidRPr="00393D5E">
        <w:rPr>
          <w:color w:val="000000"/>
          <w:shd w:val="clear" w:color="auto" w:fill="FFFFFF"/>
        </w:rPr>
        <w:t>nejvíce zasažených regionech. V</w:t>
      </w:r>
      <w:r w:rsidR="0003053E">
        <w:rPr>
          <w:color w:val="000000"/>
          <w:shd w:val="clear" w:color="auto" w:fill="FFFFFF"/>
        </w:rPr>
        <w:t> </w:t>
      </w:r>
      <w:r w:rsidRPr="00393D5E">
        <w:rPr>
          <w:color w:val="000000"/>
          <w:shd w:val="clear" w:color="auto" w:fill="FFFFFF"/>
        </w:rPr>
        <w:t>České republice se týká Karlovarského, Moravskoslezského a</w:t>
      </w:r>
      <w:r w:rsidR="0003053E">
        <w:rPr>
          <w:color w:val="000000"/>
          <w:shd w:val="clear" w:color="auto" w:fill="FFFFFF"/>
        </w:rPr>
        <w:t> </w:t>
      </w:r>
      <w:r w:rsidRPr="00393D5E">
        <w:rPr>
          <w:color w:val="000000"/>
          <w:shd w:val="clear" w:color="auto" w:fill="FFFFFF"/>
        </w:rPr>
        <w:t>Ústeckého kraje. Cílem podpory je umožnit regionům a</w:t>
      </w:r>
      <w:r w:rsidR="0003053E">
        <w:rPr>
          <w:color w:val="000000"/>
          <w:shd w:val="clear" w:color="auto" w:fill="FFFFFF"/>
        </w:rPr>
        <w:t> </w:t>
      </w:r>
      <w:r w:rsidRPr="00393D5E">
        <w:rPr>
          <w:color w:val="000000"/>
          <w:shd w:val="clear" w:color="auto" w:fill="FFFFFF"/>
        </w:rPr>
        <w:t>lidem řešit sociální, hospodářské a</w:t>
      </w:r>
      <w:r w:rsidR="0003053E">
        <w:rPr>
          <w:color w:val="000000"/>
          <w:shd w:val="clear" w:color="auto" w:fill="FFFFFF"/>
        </w:rPr>
        <w:t> </w:t>
      </w:r>
      <w:r w:rsidRPr="00393D5E">
        <w:rPr>
          <w:color w:val="000000"/>
          <w:shd w:val="clear" w:color="auto" w:fill="FFFFFF"/>
        </w:rPr>
        <w:t>environmentální dopady transformace, která je zaměřena na dosažení cílů Unie v</w:t>
      </w:r>
      <w:r w:rsidR="0003053E">
        <w:rPr>
          <w:color w:val="000000"/>
          <w:shd w:val="clear" w:color="auto" w:fill="FFFFFF"/>
        </w:rPr>
        <w:t> </w:t>
      </w:r>
      <w:r w:rsidRPr="00393D5E">
        <w:rPr>
          <w:color w:val="000000"/>
          <w:shd w:val="clear" w:color="auto" w:fill="FFFFFF"/>
        </w:rPr>
        <w:t>oblasti energetiky a</w:t>
      </w:r>
      <w:r w:rsidR="0003053E">
        <w:rPr>
          <w:color w:val="000000"/>
          <w:shd w:val="clear" w:color="auto" w:fill="FFFFFF"/>
        </w:rPr>
        <w:t> </w:t>
      </w:r>
      <w:r w:rsidRPr="00393D5E">
        <w:rPr>
          <w:color w:val="000000"/>
          <w:shd w:val="clear" w:color="auto" w:fill="FFFFFF"/>
        </w:rPr>
        <w:t>klimatu pro rok 2030 a</w:t>
      </w:r>
      <w:r w:rsidR="0003053E">
        <w:rPr>
          <w:color w:val="000000"/>
          <w:shd w:val="clear" w:color="auto" w:fill="FFFFFF"/>
        </w:rPr>
        <w:t> </w:t>
      </w:r>
      <w:r w:rsidRPr="00393D5E">
        <w:rPr>
          <w:color w:val="000000"/>
          <w:shd w:val="clear" w:color="auto" w:fill="FFFFFF"/>
        </w:rPr>
        <w:t>klimaticky neutrálního hospodářství Unie do roku 2050.</w:t>
      </w:r>
    </w:p>
    <w:p w14:paraId="6DA2E5F1" w14:textId="3FDF7399" w:rsidR="00D561DB" w:rsidRPr="00393D5E" w:rsidRDefault="00D561DB" w:rsidP="00316A1B">
      <w:pPr>
        <w:shd w:val="clear" w:color="auto" w:fill="FFFFFF"/>
        <w:spacing w:after="0" w:line="276" w:lineRule="auto"/>
        <w:jc w:val="both"/>
        <w:rPr>
          <w:rFonts w:cstheme="minorHAnsi"/>
          <w:color w:val="1C222F"/>
        </w:rPr>
      </w:pPr>
      <w:r w:rsidRPr="00393D5E">
        <w:rPr>
          <w:rFonts w:cstheme="minorHAnsi"/>
          <w:color w:val="1C222F"/>
        </w:rPr>
        <w:t>Vedle operačních programů je NPO v</w:t>
      </w:r>
      <w:r w:rsidR="0003053E">
        <w:rPr>
          <w:rFonts w:cstheme="minorHAnsi"/>
          <w:color w:val="1C222F"/>
        </w:rPr>
        <w:t> </w:t>
      </w:r>
      <w:r w:rsidRPr="00393D5E">
        <w:rPr>
          <w:rFonts w:cstheme="minorHAnsi"/>
          <w:color w:val="1C222F"/>
        </w:rPr>
        <w:t>oblasti financování kompatibilní také s</w:t>
      </w:r>
      <w:r w:rsidR="0003053E">
        <w:rPr>
          <w:rFonts w:cstheme="minorHAnsi"/>
          <w:color w:val="1C222F"/>
        </w:rPr>
        <w:t> </w:t>
      </w:r>
      <w:r w:rsidRPr="00393D5E">
        <w:rPr>
          <w:rFonts w:cstheme="minorHAnsi"/>
          <w:b/>
          <w:color w:val="1C222F"/>
        </w:rPr>
        <w:t>programy přeshraniční spolupráce</w:t>
      </w:r>
      <w:r w:rsidRPr="00393D5E">
        <w:rPr>
          <w:rFonts w:cstheme="minorHAnsi"/>
          <w:color w:val="1C222F"/>
        </w:rPr>
        <w:t>. Jedná se o:</w:t>
      </w:r>
    </w:p>
    <w:p w14:paraId="1D5C48E9" w14:textId="37C62030" w:rsidR="00CF1756" w:rsidRPr="00393D5E" w:rsidRDefault="00CF1756" w:rsidP="00CE14E6">
      <w:pPr>
        <w:pStyle w:val="Odstavecseseznamem"/>
        <w:numPr>
          <w:ilvl w:val="0"/>
          <w:numId w:val="11"/>
        </w:numPr>
        <w:shd w:val="clear" w:color="auto" w:fill="FFFFFF"/>
        <w:spacing w:after="0" w:line="276" w:lineRule="auto"/>
        <w:jc w:val="both"/>
        <w:rPr>
          <w:rFonts w:cstheme="minorHAnsi"/>
        </w:rPr>
      </w:pPr>
      <w:r w:rsidRPr="00393D5E">
        <w:rPr>
          <w:rFonts w:cstheme="minorHAnsi"/>
        </w:rPr>
        <w:t>INTERREG </w:t>
      </w:r>
      <w:hyperlink r:id="rId14" w:tgtFrame="_blank" w:history="1">
        <w:r w:rsidR="00947D5F" w:rsidRPr="00393D5E">
          <w:rPr>
            <w:rStyle w:val="Hypertextovodkaz"/>
            <w:rFonts w:cstheme="minorHAnsi"/>
            <w:bCs/>
            <w:color w:val="auto"/>
            <w:u w:val="none"/>
          </w:rPr>
          <w:t>Česko – Polsko</w:t>
        </w:r>
        <w:r w:rsidRPr="00393D5E">
          <w:rPr>
            <w:rStyle w:val="Hypertextovodkaz"/>
            <w:rFonts w:cstheme="minorHAnsi"/>
            <w:bCs/>
            <w:color w:val="auto"/>
            <w:u w:val="none"/>
          </w:rPr>
          <w:t xml:space="preserve"> 2021-2027</w:t>
        </w:r>
      </w:hyperlink>
      <w:r w:rsidRPr="00393D5E">
        <w:rPr>
          <w:rFonts w:cstheme="minorHAnsi"/>
        </w:rPr>
        <w:t>, řízený Ministerstvem pro místní rozvoj;</w:t>
      </w:r>
    </w:p>
    <w:p w14:paraId="7865DDF2" w14:textId="3A3EB7EC" w:rsidR="00CF1756" w:rsidRPr="00393D5E" w:rsidRDefault="48F3F843" w:rsidP="00CE14E6">
      <w:pPr>
        <w:numPr>
          <w:ilvl w:val="0"/>
          <w:numId w:val="11"/>
        </w:numPr>
        <w:shd w:val="clear" w:color="auto" w:fill="FFFFFF" w:themeFill="background1"/>
        <w:spacing w:after="0" w:line="276" w:lineRule="auto"/>
        <w:jc w:val="both"/>
      </w:pPr>
      <w:r w:rsidRPr="00393D5E">
        <w:t>Program přeshraniční spolupráce Interreg</w:t>
      </w:r>
      <w:hyperlink r:id="rId15" w:history="1">
        <w:r w:rsidRPr="00393D5E">
          <w:rPr>
            <w:rStyle w:val="Hypertextovodkaz"/>
            <w:color w:val="auto"/>
            <w:u w:val="none"/>
          </w:rPr>
          <w:t> </w:t>
        </w:r>
      </w:hyperlink>
      <w:hyperlink r:id="rId16">
        <w:r w:rsidR="69200E9A" w:rsidRPr="00393D5E">
          <w:rPr>
            <w:rStyle w:val="Hypertextovodkaz"/>
            <w:color w:val="auto"/>
            <w:u w:val="none"/>
          </w:rPr>
          <w:t>Slovensko – Česko</w:t>
        </w:r>
        <w:r w:rsidRPr="00393D5E">
          <w:rPr>
            <w:rStyle w:val="Hypertextovodkaz"/>
            <w:color w:val="auto"/>
            <w:u w:val="none"/>
          </w:rPr>
          <w:t xml:space="preserve"> 2021</w:t>
        </w:r>
        <w:r w:rsidR="7013F2DF" w:rsidRPr="00393D5E">
          <w:rPr>
            <w:rStyle w:val="Hypertextovodkaz"/>
            <w:color w:val="auto"/>
            <w:u w:val="none"/>
          </w:rPr>
          <w:t>-</w:t>
        </w:r>
        <w:r w:rsidRPr="00393D5E">
          <w:rPr>
            <w:rStyle w:val="Hypertextovodkaz"/>
            <w:color w:val="auto"/>
            <w:u w:val="none"/>
          </w:rPr>
          <w:t>2027</w:t>
        </w:r>
      </w:hyperlink>
      <w:r w:rsidRPr="00393D5E">
        <w:t>, koordinovaný na území České republiky Ministerstvem pro místní rozvoj;</w:t>
      </w:r>
    </w:p>
    <w:p w14:paraId="77007BCE" w14:textId="5B83F0B7" w:rsidR="00CF1756" w:rsidRPr="00393D5E" w:rsidRDefault="00CF1756" w:rsidP="00CE14E6">
      <w:pPr>
        <w:numPr>
          <w:ilvl w:val="0"/>
          <w:numId w:val="11"/>
        </w:numPr>
        <w:shd w:val="clear" w:color="auto" w:fill="FFFFFF"/>
        <w:spacing w:after="0" w:line="276" w:lineRule="auto"/>
        <w:jc w:val="both"/>
        <w:rPr>
          <w:rFonts w:cstheme="minorHAnsi"/>
        </w:rPr>
      </w:pPr>
      <w:r w:rsidRPr="00393D5E">
        <w:rPr>
          <w:rFonts w:cstheme="minorHAnsi"/>
        </w:rPr>
        <w:t>INTERREG VI-A </w:t>
      </w:r>
      <w:hyperlink r:id="rId17" w:tgtFrame="_blank" w:history="1">
        <w:r w:rsidR="00947D5F" w:rsidRPr="00393D5E">
          <w:rPr>
            <w:rStyle w:val="Hypertextovodkaz"/>
            <w:rFonts w:cstheme="minorHAnsi"/>
            <w:bCs/>
            <w:color w:val="auto"/>
            <w:u w:val="none"/>
          </w:rPr>
          <w:t>Rakousko – Česko</w:t>
        </w:r>
      </w:hyperlink>
      <w:r w:rsidRPr="00393D5E">
        <w:rPr>
          <w:rFonts w:cstheme="minorHAnsi"/>
        </w:rPr>
        <w:t>, koordinovaný na území České republiky Ministerstvem pro místní rozvoj;</w:t>
      </w:r>
    </w:p>
    <w:p w14:paraId="689A8771" w14:textId="452B21DE" w:rsidR="00CF1756" w:rsidRPr="00393D5E" w:rsidRDefault="00CF1756" w:rsidP="00CE14E6">
      <w:pPr>
        <w:numPr>
          <w:ilvl w:val="0"/>
          <w:numId w:val="11"/>
        </w:numPr>
        <w:shd w:val="clear" w:color="auto" w:fill="FFFFFF"/>
        <w:spacing w:after="0" w:line="276" w:lineRule="auto"/>
        <w:jc w:val="both"/>
        <w:rPr>
          <w:rFonts w:cstheme="minorHAnsi"/>
        </w:rPr>
      </w:pPr>
      <w:r w:rsidRPr="00393D5E">
        <w:rPr>
          <w:rFonts w:cstheme="minorHAnsi"/>
        </w:rPr>
        <w:t>INTERREG </w:t>
      </w:r>
      <w:hyperlink r:id="rId18" w:tgtFrame="_blank" w:history="1">
        <w:r w:rsidR="00947D5F" w:rsidRPr="00393D5E">
          <w:rPr>
            <w:rStyle w:val="Hypertextovodkaz"/>
            <w:rFonts w:cstheme="minorHAnsi"/>
            <w:bCs/>
            <w:color w:val="auto"/>
            <w:u w:val="none"/>
          </w:rPr>
          <w:t>Bavorsko – Česko</w:t>
        </w:r>
        <w:r w:rsidRPr="00393D5E">
          <w:rPr>
            <w:rStyle w:val="Hypertextovodkaz"/>
            <w:rFonts w:cstheme="minorHAnsi"/>
            <w:bCs/>
            <w:color w:val="auto"/>
            <w:u w:val="none"/>
          </w:rPr>
          <w:t xml:space="preserve"> (2021-2027)</w:t>
        </w:r>
      </w:hyperlink>
      <w:r w:rsidRPr="00393D5E">
        <w:rPr>
          <w:rFonts w:cstheme="minorHAnsi"/>
        </w:rPr>
        <w:t>, koordinovaný na území České republiky Ministerstvem pro místní rozvoj;</w:t>
      </w:r>
    </w:p>
    <w:p w14:paraId="0B4AF2C4" w14:textId="48071307" w:rsidR="00CF1756" w:rsidRPr="00393D5E" w:rsidRDefault="48F3F843" w:rsidP="00CE14E6">
      <w:pPr>
        <w:numPr>
          <w:ilvl w:val="0"/>
          <w:numId w:val="11"/>
        </w:numPr>
        <w:shd w:val="clear" w:color="auto" w:fill="FFFFFF" w:themeFill="background1"/>
        <w:spacing w:after="0" w:line="276" w:lineRule="auto"/>
        <w:jc w:val="both"/>
      </w:pPr>
      <w:r w:rsidRPr="00393D5E">
        <w:t>Program spolupráce</w:t>
      </w:r>
      <w:hyperlink r:id="rId19">
        <w:r w:rsidRPr="00393D5E">
          <w:rPr>
            <w:rStyle w:val="Hypertextovodkaz"/>
            <w:color w:val="auto"/>
            <w:u w:val="none"/>
          </w:rPr>
          <w:t> </w:t>
        </w:r>
        <w:r w:rsidR="20BFEF5A" w:rsidRPr="00393D5E">
          <w:rPr>
            <w:rStyle w:val="Hypertextovodkaz"/>
            <w:color w:val="auto"/>
            <w:u w:val="none"/>
          </w:rPr>
          <w:t>Sasko – Česko</w:t>
        </w:r>
        <w:r w:rsidRPr="00393D5E">
          <w:rPr>
            <w:rStyle w:val="Hypertextovodkaz"/>
            <w:color w:val="auto"/>
            <w:u w:val="none"/>
          </w:rPr>
          <w:t xml:space="preserve"> 2021-2027</w:t>
        </w:r>
      </w:hyperlink>
      <w:r w:rsidRPr="00393D5E">
        <w:t>, koordinovaný na území České republiky Ministerstvem pro místní rozvoj</w:t>
      </w:r>
      <w:r w:rsidR="5047E47C" w:rsidRPr="00393D5E">
        <w:t>.</w:t>
      </w:r>
    </w:p>
    <w:p w14:paraId="554FEE37" w14:textId="77777777" w:rsidR="00D561DB" w:rsidRPr="00393D5E" w:rsidRDefault="00D561DB" w:rsidP="00316A1B">
      <w:pPr>
        <w:spacing w:line="276" w:lineRule="auto"/>
        <w:jc w:val="both"/>
        <w:rPr>
          <w:rFonts w:cstheme="minorHAnsi"/>
          <w:color w:val="1C222F"/>
          <w:sz w:val="20"/>
          <w:szCs w:val="20"/>
          <w:shd w:val="clear" w:color="auto" w:fill="FFFFFF"/>
        </w:rPr>
      </w:pPr>
    </w:p>
    <w:p w14:paraId="7672A9D7" w14:textId="2EC2BC27" w:rsidR="00D561DB" w:rsidRPr="00393D5E" w:rsidRDefault="00D561DB" w:rsidP="00316A1B">
      <w:pPr>
        <w:spacing w:line="276" w:lineRule="auto"/>
        <w:jc w:val="both"/>
      </w:pPr>
      <w:r w:rsidRPr="00393D5E">
        <w:t>Programy nadnárodní a</w:t>
      </w:r>
      <w:r w:rsidR="0003053E">
        <w:t> </w:t>
      </w:r>
      <w:r w:rsidRPr="00393D5E">
        <w:t>meziregionální spolupráce:</w:t>
      </w:r>
    </w:p>
    <w:p w14:paraId="27EA9298" w14:textId="1797DCF1" w:rsidR="00CF1756" w:rsidRPr="00393D5E" w:rsidRDefault="48F3F843" w:rsidP="00CE14E6">
      <w:pPr>
        <w:pStyle w:val="Odstavecseseznamem"/>
        <w:numPr>
          <w:ilvl w:val="0"/>
          <w:numId w:val="10"/>
        </w:numPr>
        <w:spacing w:line="276" w:lineRule="auto"/>
        <w:jc w:val="both"/>
        <w:rPr>
          <w:b/>
          <w:bCs/>
        </w:rPr>
      </w:pPr>
      <w:r w:rsidRPr="00393D5E">
        <w:t>Program nadnárodní</w:t>
      </w:r>
      <w:r w:rsidR="4C68B064" w:rsidRPr="00393D5E">
        <w:t xml:space="preserve"> s</w:t>
      </w:r>
      <w:r w:rsidRPr="00393D5E">
        <w:t>polupráce Interreg </w:t>
      </w:r>
      <w:r w:rsidRPr="00393D5E">
        <w:rPr>
          <w:rStyle w:val="Siln"/>
          <w:b w:val="0"/>
          <w:bCs w:val="0"/>
        </w:rPr>
        <w:t>Central Europe 2021-2027</w:t>
      </w:r>
      <w:r w:rsidR="0AF27A3D" w:rsidRPr="00393D5E">
        <w:rPr>
          <w:rStyle w:val="Siln"/>
          <w:b w:val="0"/>
          <w:bCs w:val="0"/>
        </w:rPr>
        <w:t>;</w:t>
      </w:r>
    </w:p>
    <w:p w14:paraId="6D06A3DD" w14:textId="05B90E48" w:rsidR="00CF1756" w:rsidRPr="00393D5E" w:rsidRDefault="48F3F843" w:rsidP="00CE14E6">
      <w:pPr>
        <w:pStyle w:val="Odstavecseseznamem"/>
        <w:numPr>
          <w:ilvl w:val="0"/>
          <w:numId w:val="10"/>
        </w:numPr>
        <w:shd w:val="clear" w:color="auto" w:fill="FFFFFF" w:themeFill="background1"/>
        <w:spacing w:after="0" w:line="276" w:lineRule="auto"/>
        <w:jc w:val="both"/>
      </w:pPr>
      <w:r w:rsidRPr="00393D5E">
        <w:t>Program nadnárodní spolupráce Interreg </w:t>
      </w:r>
      <w:hyperlink r:id="rId20">
        <w:r w:rsidRPr="00393D5E">
          <w:rPr>
            <w:rStyle w:val="Hypertextovodkaz"/>
            <w:color w:val="auto"/>
            <w:u w:val="none"/>
          </w:rPr>
          <w:t>DANUBE</w:t>
        </w:r>
        <w:r w:rsidR="3D429C92" w:rsidRPr="00393D5E">
          <w:rPr>
            <w:rStyle w:val="Hypertextovodkaz"/>
            <w:color w:val="auto"/>
            <w:u w:val="none"/>
          </w:rPr>
          <w:t>;</w:t>
        </w:r>
      </w:hyperlink>
    </w:p>
    <w:p w14:paraId="32C93C8A" w14:textId="27EEFC8C" w:rsidR="00CF1756" w:rsidRPr="00393D5E" w:rsidRDefault="48F3F843" w:rsidP="00CE14E6">
      <w:pPr>
        <w:pStyle w:val="Odstavecseseznamem"/>
        <w:numPr>
          <w:ilvl w:val="0"/>
          <w:numId w:val="10"/>
        </w:numPr>
        <w:shd w:val="clear" w:color="auto" w:fill="FFFFFF" w:themeFill="background1"/>
        <w:spacing w:after="0" w:line="276" w:lineRule="auto"/>
        <w:jc w:val="both"/>
      </w:pPr>
      <w:r w:rsidRPr="00393D5E">
        <w:t>Program meziregionální spolupráce</w:t>
      </w:r>
      <w:hyperlink r:id="rId21">
        <w:r w:rsidRPr="00393D5E">
          <w:rPr>
            <w:rStyle w:val="Hypertextovodkaz"/>
            <w:color w:val="auto"/>
            <w:u w:val="none"/>
          </w:rPr>
          <w:t> INTERREG EUROPE</w:t>
        </w:r>
        <w:r w:rsidR="3D429C92" w:rsidRPr="00393D5E">
          <w:rPr>
            <w:rStyle w:val="Hypertextovodkaz"/>
            <w:color w:val="auto"/>
            <w:u w:val="none"/>
          </w:rPr>
          <w:t>;</w:t>
        </w:r>
      </w:hyperlink>
    </w:p>
    <w:p w14:paraId="6D24394C" w14:textId="51904C34" w:rsidR="00CF1756" w:rsidRPr="00393D5E" w:rsidRDefault="48F3F843" w:rsidP="00CE14E6">
      <w:pPr>
        <w:pStyle w:val="Odstavecseseznamem"/>
        <w:numPr>
          <w:ilvl w:val="0"/>
          <w:numId w:val="10"/>
        </w:numPr>
        <w:shd w:val="clear" w:color="auto" w:fill="FFFFFF" w:themeFill="background1"/>
        <w:spacing w:after="0" w:line="276" w:lineRule="auto"/>
        <w:jc w:val="both"/>
      </w:pPr>
      <w:r w:rsidRPr="00393D5E">
        <w:t>Program meziregionální spolupráce</w:t>
      </w:r>
      <w:hyperlink r:id="rId22">
        <w:r w:rsidRPr="00393D5E">
          <w:rPr>
            <w:rStyle w:val="Hypertextovodkaz"/>
            <w:color w:val="auto"/>
            <w:u w:val="none"/>
          </w:rPr>
          <w:t> ESPON</w:t>
        </w:r>
        <w:r w:rsidR="1EBDDCE5" w:rsidRPr="00393D5E">
          <w:rPr>
            <w:rStyle w:val="Hypertextovodkaz"/>
            <w:color w:val="auto"/>
            <w:u w:val="none"/>
          </w:rPr>
          <w:t>;</w:t>
        </w:r>
      </w:hyperlink>
    </w:p>
    <w:p w14:paraId="21B6F72C" w14:textId="3CDF51D9" w:rsidR="00CF1756" w:rsidRPr="00393D5E" w:rsidRDefault="00BA143B" w:rsidP="00CE14E6">
      <w:pPr>
        <w:pStyle w:val="Odstavecseseznamem"/>
        <w:numPr>
          <w:ilvl w:val="0"/>
          <w:numId w:val="10"/>
        </w:numPr>
        <w:shd w:val="clear" w:color="auto" w:fill="FFFFFF" w:themeFill="background1"/>
        <w:spacing w:after="0" w:line="276" w:lineRule="auto"/>
        <w:jc w:val="both"/>
      </w:pPr>
      <w:hyperlink r:id="rId23">
        <w:r w:rsidR="48F3F843" w:rsidRPr="00393D5E">
          <w:rPr>
            <w:rStyle w:val="Hypertextovodkaz"/>
            <w:color w:val="auto"/>
            <w:u w:val="none"/>
          </w:rPr>
          <w:t>Program meziregionální spolupráce</w:t>
        </w:r>
      </w:hyperlink>
      <w:hyperlink r:id="rId24">
        <w:r w:rsidR="48F3F843" w:rsidRPr="00393D5E">
          <w:rPr>
            <w:rStyle w:val="Hypertextovodkaz"/>
            <w:color w:val="auto"/>
            <w:u w:val="none"/>
          </w:rPr>
          <w:t> INTERACT</w:t>
        </w:r>
        <w:r w:rsidR="556301B4" w:rsidRPr="00393D5E">
          <w:rPr>
            <w:rStyle w:val="Hypertextovodkaz"/>
            <w:color w:val="auto"/>
            <w:u w:val="none"/>
          </w:rPr>
          <w:t>.</w:t>
        </w:r>
      </w:hyperlink>
    </w:p>
    <w:p w14:paraId="03350F75" w14:textId="77777777" w:rsidR="00D561DB" w:rsidRPr="00393D5E" w:rsidRDefault="00D561DB" w:rsidP="00316A1B">
      <w:pPr>
        <w:spacing w:line="276" w:lineRule="auto"/>
        <w:jc w:val="both"/>
      </w:pPr>
    </w:p>
    <w:p w14:paraId="71F8D155" w14:textId="4F70ACB5" w:rsidR="00427A46" w:rsidRPr="00393D5E" w:rsidRDefault="6ABDC949" w:rsidP="00316A1B">
      <w:pPr>
        <w:spacing w:line="276" w:lineRule="auto"/>
        <w:jc w:val="both"/>
      </w:pPr>
      <w:r w:rsidRPr="00393D5E">
        <w:t>Ostatní programy:</w:t>
      </w:r>
    </w:p>
    <w:p w14:paraId="5E1381E4" w14:textId="768DE90D" w:rsidR="00427A46" w:rsidRPr="00393D5E" w:rsidRDefault="613F92A8" w:rsidP="00CE14E6">
      <w:pPr>
        <w:pStyle w:val="Odstavecseseznamem"/>
        <w:numPr>
          <w:ilvl w:val="0"/>
          <w:numId w:val="12"/>
        </w:numPr>
        <w:spacing w:line="276" w:lineRule="auto"/>
        <w:jc w:val="both"/>
      </w:pPr>
      <w:r w:rsidRPr="00393D5E">
        <w:t>Program Azylového, migračního a</w:t>
      </w:r>
      <w:r w:rsidR="0003053E">
        <w:t> </w:t>
      </w:r>
      <w:r w:rsidRPr="00393D5E">
        <w:t>integračního fondu</w:t>
      </w:r>
      <w:r w:rsidR="522C0325" w:rsidRPr="00393D5E">
        <w:t>;</w:t>
      </w:r>
    </w:p>
    <w:p w14:paraId="2260EC84" w14:textId="153BE428" w:rsidR="00427A46" w:rsidRPr="00393D5E" w:rsidRDefault="613F92A8" w:rsidP="00CE14E6">
      <w:pPr>
        <w:pStyle w:val="Odstavecseseznamem"/>
        <w:numPr>
          <w:ilvl w:val="0"/>
          <w:numId w:val="12"/>
        </w:numPr>
        <w:spacing w:line="276" w:lineRule="auto"/>
        <w:jc w:val="both"/>
      </w:pPr>
      <w:r w:rsidRPr="00393D5E">
        <w:t>Program Fondu pro vnitřní bezpečnost</w:t>
      </w:r>
      <w:r w:rsidR="56AE7AE0" w:rsidRPr="00393D5E">
        <w:t>;</w:t>
      </w:r>
    </w:p>
    <w:p w14:paraId="6F27A76B" w14:textId="582C3A28" w:rsidR="00427A46" w:rsidRPr="00393D5E" w:rsidRDefault="613F92A8" w:rsidP="00CE14E6">
      <w:pPr>
        <w:pStyle w:val="Odstavecseseznamem"/>
        <w:numPr>
          <w:ilvl w:val="0"/>
          <w:numId w:val="12"/>
        </w:numPr>
        <w:spacing w:line="276" w:lineRule="auto"/>
        <w:jc w:val="both"/>
      </w:pPr>
      <w:r w:rsidRPr="00393D5E">
        <w:t>Program Nástroje pro finanční podporu správy hranic a</w:t>
      </w:r>
      <w:r w:rsidR="0003053E">
        <w:t> </w:t>
      </w:r>
      <w:r w:rsidRPr="00393D5E">
        <w:t>vízové politiky</w:t>
      </w:r>
      <w:r w:rsidR="77648D60" w:rsidRPr="00393D5E">
        <w:t>.</w:t>
      </w:r>
    </w:p>
    <w:p w14:paraId="3A4A3B3E" w14:textId="25F5303A" w:rsidR="00427A46" w:rsidRPr="00393D5E" w:rsidRDefault="00427A46" w:rsidP="00316A1B">
      <w:pPr>
        <w:spacing w:line="276" w:lineRule="auto"/>
        <w:jc w:val="both"/>
      </w:pPr>
    </w:p>
    <w:p w14:paraId="4EC5F174" w14:textId="77777777" w:rsidR="009B169A" w:rsidRPr="00393D5E" w:rsidRDefault="5B107866" w:rsidP="00316A1B">
      <w:pPr>
        <w:pStyle w:val="Nadpis2"/>
        <w:spacing w:line="276" w:lineRule="auto"/>
      </w:pPr>
      <w:bookmarkStart w:id="287" w:name="_Toc151444357"/>
      <w:bookmarkStart w:id="288" w:name="_Hlk136412554"/>
      <w:r>
        <w:t>Účinná impleme</w:t>
      </w:r>
      <w:r w:rsidR="64CBB54F">
        <w:t>n</w:t>
      </w:r>
      <w:r>
        <w:t>tace</w:t>
      </w:r>
      <w:bookmarkEnd w:id="287"/>
    </w:p>
    <w:p w14:paraId="1ACCCA8E" w14:textId="5A819EF7" w:rsidR="009B169A" w:rsidRPr="00393D5E" w:rsidRDefault="6B49BF34" w:rsidP="5BC52D6A">
      <w:pPr>
        <w:spacing w:line="276" w:lineRule="auto"/>
        <w:jc w:val="both"/>
        <w:rPr>
          <w:highlight w:val="yellow"/>
        </w:rPr>
      </w:pPr>
      <w:r w:rsidRPr="00393D5E">
        <w:t xml:space="preserve">Systém implementace </w:t>
      </w:r>
      <w:r w:rsidR="18FEF704" w:rsidRPr="00393D5E">
        <w:t xml:space="preserve">RRF </w:t>
      </w:r>
      <w:r w:rsidRPr="00393D5E">
        <w:t>v</w:t>
      </w:r>
      <w:r w:rsidR="0003053E">
        <w:t> </w:t>
      </w:r>
      <w:r w:rsidRPr="00393D5E">
        <w:t>ČR je podrobně popsán v</w:t>
      </w:r>
      <w:r w:rsidR="0003053E">
        <w:t> </w:t>
      </w:r>
      <w:r w:rsidRPr="00393D5E">
        <w:t>NPO (2021), v</w:t>
      </w:r>
      <w:r w:rsidR="0003053E">
        <w:t> </w:t>
      </w:r>
      <w:r w:rsidRPr="00393D5E">
        <w:t>kapitole III.3 Implementace, str. 61 a</w:t>
      </w:r>
      <w:r w:rsidR="0003053E">
        <w:t> </w:t>
      </w:r>
      <w:r w:rsidRPr="00393D5E">
        <w:t xml:space="preserve">násl. </w:t>
      </w:r>
    </w:p>
    <w:p w14:paraId="3D837424" w14:textId="5112D305" w:rsidR="009B169A" w:rsidRPr="00393D5E" w:rsidRDefault="360D321E" w:rsidP="00316A1B">
      <w:pPr>
        <w:spacing w:line="276" w:lineRule="auto"/>
        <w:jc w:val="both"/>
      </w:pPr>
      <w:r>
        <w:lastRenderedPageBreak/>
        <w:t>Zároveň s</w:t>
      </w:r>
      <w:r w:rsidR="0003053E">
        <w:t> </w:t>
      </w:r>
      <w:r>
        <w:t>rozšířením plánu ČR v</w:t>
      </w:r>
      <w:r w:rsidR="0003053E">
        <w:t> </w:t>
      </w:r>
      <w:r>
        <w:t>rámci komponenty 4.1</w:t>
      </w:r>
      <w:r w:rsidR="277E56DC">
        <w:t xml:space="preserve"> zefektivňuje a</w:t>
      </w:r>
      <w:r w:rsidR="0003053E">
        <w:t> </w:t>
      </w:r>
      <w:r w:rsidR="277E56DC">
        <w:t>posiluje celkovou</w:t>
      </w:r>
      <w:r>
        <w:t xml:space="preserve"> implementac</w:t>
      </w:r>
      <w:r w:rsidR="40334BA9">
        <w:t>i</w:t>
      </w:r>
      <w:r>
        <w:t xml:space="preserve"> současného plánu. Celkově </w:t>
      </w:r>
      <w:r w:rsidR="59430A9B">
        <w:t>j</w:t>
      </w:r>
      <w:r w:rsidR="502D2881">
        <w:t xml:space="preserve">e </w:t>
      </w:r>
      <w:r>
        <w:t>do implementace zapojen</w:t>
      </w:r>
      <w:r w:rsidR="17DE9F5F">
        <w:t>o 2</w:t>
      </w:r>
      <w:r w:rsidR="1D6B9AFD">
        <w:t>25,14</w:t>
      </w:r>
      <w:r w:rsidR="17DE9F5F">
        <w:t xml:space="preserve"> pracovních jednotek (FTE)</w:t>
      </w:r>
      <w:r w:rsidR="003B6276">
        <w:t xml:space="preserve"> </w:t>
      </w:r>
      <w:r w:rsidR="3D55749B">
        <w:t>a</w:t>
      </w:r>
      <w:r w:rsidR="0003053E">
        <w:t> </w:t>
      </w:r>
      <w:r w:rsidR="3D55749B">
        <w:t>v rámci investice 4.1.4 je plánováno p</w:t>
      </w:r>
      <w:r w:rsidR="277E56DC">
        <w:t>os</w:t>
      </w:r>
      <w:r>
        <w:t>ílení</w:t>
      </w:r>
      <w:r w:rsidR="28AFE6AD">
        <w:t xml:space="preserve"> na </w:t>
      </w:r>
      <w:r w:rsidR="2C123FDE">
        <w:t xml:space="preserve">521,4 </w:t>
      </w:r>
      <w:r w:rsidR="28AFE6AD">
        <w:t>FTE do 31.</w:t>
      </w:r>
      <w:r w:rsidR="77B1DD39">
        <w:t xml:space="preserve"> </w:t>
      </w:r>
      <w:r w:rsidR="28AFE6AD">
        <w:t>12.</w:t>
      </w:r>
      <w:r w:rsidR="5BCEA722">
        <w:t xml:space="preserve"> </w:t>
      </w:r>
      <w:r w:rsidR="28AFE6AD">
        <w:t>2026</w:t>
      </w:r>
      <w:r w:rsidR="59430A9B">
        <w:t xml:space="preserve">. </w:t>
      </w:r>
      <w:r w:rsidR="277E56DC">
        <w:t>Detailní popis posílení celkové implementační a</w:t>
      </w:r>
      <w:r w:rsidR="0003053E">
        <w:t> </w:t>
      </w:r>
      <w:r w:rsidR="277E56DC">
        <w:t>personální kapacity je uveden v</w:t>
      </w:r>
      <w:r w:rsidR="0003053E">
        <w:t> </w:t>
      </w:r>
      <w:r w:rsidR="277E56DC">
        <w:t>popisu komponenty 4.1 Systémová podpora veřejných investic.</w:t>
      </w:r>
    </w:p>
    <w:bookmarkEnd w:id="288"/>
    <w:p w14:paraId="770B58A6" w14:textId="77777777" w:rsidR="00146C37" w:rsidRPr="00393D5E" w:rsidRDefault="00146C37" w:rsidP="00316A1B">
      <w:pPr>
        <w:spacing w:line="276" w:lineRule="auto"/>
        <w:jc w:val="both"/>
        <w:rPr>
          <w:sz w:val="20"/>
          <w:szCs w:val="20"/>
        </w:rPr>
      </w:pPr>
    </w:p>
    <w:p w14:paraId="0954D4C4" w14:textId="77777777" w:rsidR="009B169A" w:rsidRPr="00393D5E" w:rsidRDefault="5B107866" w:rsidP="00316A1B">
      <w:pPr>
        <w:pStyle w:val="Nadpis2"/>
        <w:spacing w:line="276" w:lineRule="auto"/>
      </w:pPr>
      <w:bookmarkStart w:id="289" w:name="_Toc151444358"/>
      <w:r>
        <w:t>Konzultace se zúčastněnými stranami</w:t>
      </w:r>
      <w:bookmarkEnd w:id="289"/>
    </w:p>
    <w:p w14:paraId="16730B71" w14:textId="6F7AB1C5" w:rsidR="009B169A" w:rsidRPr="00393D5E" w:rsidRDefault="00146C37" w:rsidP="00316A1B">
      <w:pPr>
        <w:spacing w:line="276" w:lineRule="auto"/>
        <w:jc w:val="both"/>
      </w:pPr>
      <w:r w:rsidRPr="00393D5E">
        <w:t>Příprava původního NPO (2021) proběhla inkluzivně se zapojením širokého spektra nevládních aktérů – viz NPO (2021), kapitola IV.5 Konzultace se stakeholdery, str. 115 a</w:t>
      </w:r>
      <w:r w:rsidR="0003053E">
        <w:t> </w:t>
      </w:r>
      <w:r w:rsidRPr="00393D5E">
        <w:t xml:space="preserve">116. </w:t>
      </w:r>
    </w:p>
    <w:p w14:paraId="568AB648" w14:textId="1B5EDDAD" w:rsidR="00146C37" w:rsidRPr="00393D5E" w:rsidRDefault="00146C37" w:rsidP="00316A1B">
      <w:pPr>
        <w:spacing w:line="276" w:lineRule="auto"/>
        <w:jc w:val="both"/>
      </w:pPr>
      <w:r w:rsidRPr="00393D5E">
        <w:t>Také příprava Dodatku k</w:t>
      </w:r>
      <w:r w:rsidR="0003053E">
        <w:t> </w:t>
      </w:r>
      <w:r w:rsidRPr="00393D5E">
        <w:t>NPO probíhala inkluzivně s</w:t>
      </w:r>
      <w:r w:rsidR="0003053E">
        <w:t> </w:t>
      </w:r>
      <w:r w:rsidRPr="00393D5E">
        <w:t>konzultováním příslušných aktérů. Shrnutí konzultací k</w:t>
      </w:r>
      <w:r w:rsidR="0003053E">
        <w:t> </w:t>
      </w:r>
      <w:r w:rsidRPr="00393D5E">
        <w:t>opatřením kapitoly REPowerEU je uvedeno výše, v</w:t>
      </w:r>
      <w:r w:rsidR="0003053E">
        <w:t> </w:t>
      </w:r>
      <w:r w:rsidRPr="00393D5E">
        <w:t>kapitole II.2.2.5 Konzultace s</w:t>
      </w:r>
      <w:r w:rsidR="0003053E">
        <w:t> </w:t>
      </w:r>
      <w:r w:rsidRPr="00393D5E">
        <w:t>místními a</w:t>
      </w:r>
      <w:r w:rsidR="0003053E">
        <w:t> </w:t>
      </w:r>
      <w:r w:rsidRPr="00393D5E">
        <w:t>regionálními orgány a</w:t>
      </w:r>
      <w:r w:rsidR="0003053E">
        <w:t> </w:t>
      </w:r>
      <w:r w:rsidRPr="00393D5E">
        <w:t xml:space="preserve">s dalšími relevantními zúčastněnými stranami. </w:t>
      </w:r>
    </w:p>
    <w:p w14:paraId="227FC5E5" w14:textId="3EB0BDF7" w:rsidR="00D800D8" w:rsidRPr="00393D5E" w:rsidRDefault="3D55749B" w:rsidP="00316A1B">
      <w:pPr>
        <w:spacing w:line="276" w:lineRule="auto"/>
        <w:jc w:val="both"/>
      </w:pPr>
      <w:r>
        <w:t>Od poloviny loňského roku, kdy bylo rozšíření Národního plánu obnovy intenzivně řešeno</w:t>
      </w:r>
      <w:r w:rsidR="78740F92">
        <w:t>,</w:t>
      </w:r>
      <w:r>
        <w:t xml:space="preserve"> proběhl</w:t>
      </w:r>
      <w:r w:rsidR="71878635">
        <w:t>o</w:t>
      </w:r>
      <w:r>
        <w:t xml:space="preserve"> celkem </w:t>
      </w:r>
      <w:r w:rsidR="0916AA11">
        <w:t>5</w:t>
      </w:r>
      <w:r>
        <w:t xml:space="preserve"> Výbor</w:t>
      </w:r>
      <w:r w:rsidR="146BA01D">
        <w:t>ů</w:t>
      </w:r>
      <w:r>
        <w:t xml:space="preserve"> NPO. Ve Výboru NPO jsou zastoupeni hospodářští, sociální a</w:t>
      </w:r>
      <w:r w:rsidR="0003053E">
        <w:t> </w:t>
      </w:r>
      <w:r>
        <w:t>územní partneři. Konkrétně byly návrhy a</w:t>
      </w:r>
      <w:r w:rsidR="0003053E">
        <w:t> </w:t>
      </w:r>
      <w:r>
        <w:t>podněty pro upravený plán konzultovány na 3. Výboru NPO dne 23. června 2022 v</w:t>
      </w:r>
      <w:r w:rsidR="0003053E">
        <w:t> </w:t>
      </w:r>
      <w:r>
        <w:t>části programu:</w:t>
      </w:r>
      <w:r w:rsidR="48799854">
        <w:t xml:space="preserve"> </w:t>
      </w:r>
      <w:r>
        <w:t>Změna/navýšení alokace NPO pro ČR a</w:t>
      </w:r>
      <w:r w:rsidR="0003053E">
        <w:t> </w:t>
      </w:r>
      <w:r>
        <w:t>další postupy. Zde byly členové výboru (celkem bylo přítomno 49 účastníků, z</w:t>
      </w:r>
      <w:r w:rsidR="0003053E">
        <w:t> </w:t>
      </w:r>
      <w:r>
        <w:t>toho 25 zástupců z</w:t>
      </w:r>
      <w:r w:rsidR="0003053E">
        <w:t> </w:t>
      </w:r>
      <w:r>
        <w:t>řad partnerů) seznámeni nejen s</w:t>
      </w:r>
      <w:r w:rsidR="0003053E">
        <w:t> </w:t>
      </w:r>
      <w:r>
        <w:t>podněty vlastníků komponent na rozšíření plánu, ale tak</w:t>
      </w:r>
      <w:r w:rsidR="7740E6B0">
        <w:t>é</w:t>
      </w:r>
      <w:r>
        <w:t xml:space="preserve"> </w:t>
      </w:r>
      <w:r w:rsidR="7740E6B0">
        <w:t>procesem, který je s</w:t>
      </w:r>
      <w:r w:rsidR="0003053E">
        <w:t> </w:t>
      </w:r>
      <w:r w:rsidR="7740E6B0">
        <w:t>aktualizací plánu spojen. Mezi partner</w:t>
      </w:r>
      <w:r w:rsidR="66332B12">
        <w:t>y</w:t>
      </w:r>
      <w:r w:rsidR="7740E6B0">
        <w:t xml:space="preserve"> byl</w:t>
      </w:r>
      <w:r w:rsidR="0D0821EF">
        <w:t>i</w:t>
      </w:r>
      <w:r w:rsidR="7740E6B0">
        <w:t xml:space="preserve"> zástupci Hospodářské komory, Svazu měst a</w:t>
      </w:r>
      <w:r w:rsidR="0003053E">
        <w:t> </w:t>
      </w:r>
      <w:r w:rsidR="7740E6B0">
        <w:t>obcí ČR, Transparency International, Svaz</w:t>
      </w:r>
      <w:r w:rsidR="4391FCBC">
        <w:t>u</w:t>
      </w:r>
      <w:r w:rsidR="7740E6B0">
        <w:t xml:space="preserve"> průmyslu a</w:t>
      </w:r>
      <w:r w:rsidR="0003053E">
        <w:t> </w:t>
      </w:r>
      <w:r w:rsidR="7740E6B0">
        <w:t>dopravy, Asociace malých a</w:t>
      </w:r>
      <w:r w:rsidR="0003053E">
        <w:t> </w:t>
      </w:r>
      <w:r w:rsidR="7740E6B0">
        <w:t>středních podniků a</w:t>
      </w:r>
      <w:r w:rsidR="0003053E">
        <w:t> </w:t>
      </w:r>
      <w:r w:rsidR="7740E6B0">
        <w:t xml:space="preserve">živnostníků ČR, Asociace krajů, </w:t>
      </w:r>
      <w:r w:rsidR="477D27B6">
        <w:t>Č</w:t>
      </w:r>
      <w:r w:rsidR="7740E6B0">
        <w:t>eské bankovní asociace, Asociace samostatných odborů, Rady pro výzkum, vývoj a</w:t>
      </w:r>
      <w:r w:rsidR="0003053E">
        <w:t> </w:t>
      </w:r>
      <w:r w:rsidR="7740E6B0">
        <w:t>inovace, Beleca, Asociace výzkumných organizací, České</w:t>
      </w:r>
      <w:r w:rsidR="48799854">
        <w:t xml:space="preserve"> k</w:t>
      </w:r>
      <w:r w:rsidR="7740E6B0">
        <w:t xml:space="preserve">onference rektorů, České biskupské </w:t>
      </w:r>
      <w:r w:rsidR="48799854">
        <w:t>k</w:t>
      </w:r>
      <w:r w:rsidR="7740E6B0">
        <w:t xml:space="preserve">onference, </w:t>
      </w:r>
      <w:r w:rsidR="34740747">
        <w:t>O</w:t>
      </w:r>
      <w:r w:rsidR="7740E6B0">
        <w:t xml:space="preserve">tevřené společnosti, </w:t>
      </w:r>
      <w:r w:rsidR="42F2E4B8">
        <w:t>S</w:t>
      </w:r>
      <w:r w:rsidR="7740E6B0">
        <w:t>polku pro obnovu venkova</w:t>
      </w:r>
      <w:r w:rsidR="68BADBA1">
        <w:t xml:space="preserve"> </w:t>
      </w:r>
      <w:r w:rsidR="7740E6B0">
        <w:t>a</w:t>
      </w:r>
      <w:r w:rsidR="0003053E">
        <w:t> </w:t>
      </w:r>
      <w:r w:rsidR="7740E6B0">
        <w:t>další.</w:t>
      </w:r>
    </w:p>
    <w:p w14:paraId="1AD79E96" w14:textId="1DE59957" w:rsidR="00D800D8" w:rsidRPr="00393D5E" w:rsidRDefault="00986BED" w:rsidP="00316A1B">
      <w:pPr>
        <w:spacing w:line="276" w:lineRule="auto"/>
        <w:jc w:val="both"/>
      </w:pPr>
      <w:r w:rsidRPr="00393D5E">
        <w:t xml:space="preserve">Další </w:t>
      </w:r>
      <w:r w:rsidR="00BD1C26" w:rsidRPr="00393D5E">
        <w:t>diskuse</w:t>
      </w:r>
      <w:r w:rsidRPr="00393D5E">
        <w:t xml:space="preserve"> nad rozšířením plánu proběhly v</w:t>
      </w:r>
      <w:r w:rsidR="0003053E">
        <w:t> </w:t>
      </w:r>
      <w:r w:rsidRPr="00393D5E">
        <w:t>rámci meziresortního připomínkového řízení v</w:t>
      </w:r>
      <w:r w:rsidR="0003053E">
        <w:t> </w:t>
      </w:r>
      <w:r w:rsidRPr="00393D5E">
        <w:t>říjnu 2022 při přípravě usnesení na vládu, které ukládalo resortům jednotlivé podněty k</w:t>
      </w:r>
      <w:r w:rsidR="0003053E">
        <w:t> </w:t>
      </w:r>
      <w:r w:rsidRPr="00393D5E">
        <w:t xml:space="preserve">aktualizaci plánu detailně rozpracovat. </w:t>
      </w:r>
    </w:p>
    <w:p w14:paraId="5CEBA367" w14:textId="11F79FBF" w:rsidR="000F3F65" w:rsidRPr="00393D5E" w:rsidRDefault="6B36D841" w:rsidP="00316A1B">
      <w:pPr>
        <w:spacing w:line="276" w:lineRule="auto"/>
        <w:jc w:val="both"/>
        <w:rPr>
          <w:u w:val="single"/>
        </w:rPr>
      </w:pPr>
      <w:r w:rsidRPr="00393D5E">
        <w:t xml:space="preserve">Obdobná </w:t>
      </w:r>
      <w:r w:rsidR="00BD1C26" w:rsidRPr="00393D5E">
        <w:t>diskuse</w:t>
      </w:r>
      <w:r w:rsidRPr="00393D5E">
        <w:t xml:space="preserve"> s</w:t>
      </w:r>
      <w:r w:rsidR="0003053E">
        <w:t> </w:t>
      </w:r>
      <w:r w:rsidRPr="00393D5E">
        <w:t>již detailnějšími informacemi a</w:t>
      </w:r>
      <w:r w:rsidR="0003053E">
        <w:t> </w:t>
      </w:r>
      <w:r w:rsidRPr="00393D5E">
        <w:t>zejména s</w:t>
      </w:r>
      <w:r w:rsidR="0003053E">
        <w:t> </w:t>
      </w:r>
      <w:r w:rsidRPr="00393D5E">
        <w:t>představením záměrů k</w:t>
      </w:r>
      <w:r w:rsidR="0003053E">
        <w:t> </w:t>
      </w:r>
      <w:r w:rsidRPr="00393D5E">
        <w:t>REPowerEU a</w:t>
      </w:r>
      <w:r w:rsidR="0003053E">
        <w:t> </w:t>
      </w:r>
      <w:r w:rsidRPr="00393D5E">
        <w:t>k půjčce proběhla ještě koncem roku 2022, a</w:t>
      </w:r>
      <w:r w:rsidR="0003053E">
        <w:t> </w:t>
      </w:r>
      <w:r w:rsidRPr="00393D5E">
        <w:t xml:space="preserve">to 20. prosince na 4. zasedání Výboru NPO. Zasedání se opět účastnili </w:t>
      </w:r>
      <w:r w:rsidR="2016FB65" w:rsidRPr="00393D5E">
        <w:t xml:space="preserve">zástupci partnerů (celkem 17 organizací). </w:t>
      </w:r>
    </w:p>
    <w:p w14:paraId="56E88820" w14:textId="503E969C" w:rsidR="000F3F65" w:rsidRPr="00393D5E" w:rsidRDefault="2016FB65" w:rsidP="00316A1B">
      <w:pPr>
        <w:spacing w:line="276" w:lineRule="auto"/>
        <w:jc w:val="both"/>
      </w:pPr>
      <w:r w:rsidRPr="00393D5E">
        <w:t xml:space="preserve">Dále byly diskutovány samostatné návrhy členů </w:t>
      </w:r>
      <w:r w:rsidR="0511F8D9" w:rsidRPr="00393D5E">
        <w:t>V</w:t>
      </w:r>
      <w:r w:rsidRPr="00393D5E">
        <w:t>ýboru k</w:t>
      </w:r>
      <w:r w:rsidR="0003053E">
        <w:t> </w:t>
      </w:r>
      <w:r w:rsidRPr="00393D5E">
        <w:t xml:space="preserve">rozšíření plánu. Tyto návrhy se po </w:t>
      </w:r>
      <w:r w:rsidR="00BD1C26" w:rsidRPr="00393D5E">
        <w:t>diskusích</w:t>
      </w:r>
      <w:r w:rsidRPr="00393D5E">
        <w:t xml:space="preserve"> částečně odrazily v</w:t>
      </w:r>
      <w:r w:rsidR="0003053E">
        <w:t> </w:t>
      </w:r>
      <w:r w:rsidRPr="00393D5E">
        <w:t>návrhu nových reforem a</w:t>
      </w:r>
      <w:r w:rsidR="0003053E">
        <w:t> </w:t>
      </w:r>
      <w:r w:rsidRPr="00393D5E">
        <w:t xml:space="preserve">investic, které se týkají zejména energetické podpory pro nízkopříjmové domácnosti. Na úrovni vlastníků komponent paralelně pokračovala </w:t>
      </w:r>
      <w:r w:rsidR="00BD1C26" w:rsidRPr="00393D5E">
        <w:t>diskuse</w:t>
      </w:r>
      <w:r w:rsidRPr="00393D5E">
        <w:t xml:space="preserve"> o</w:t>
      </w:r>
      <w:r w:rsidR="0003053E">
        <w:t> </w:t>
      </w:r>
      <w:r w:rsidRPr="00393D5E">
        <w:t xml:space="preserve">jednotlivých návrzích. </w:t>
      </w:r>
    </w:p>
    <w:p w14:paraId="31BB0812" w14:textId="61E21C6D" w:rsidR="000F3F65" w:rsidRPr="00393D5E" w:rsidRDefault="2016FB65" w:rsidP="00316A1B">
      <w:pPr>
        <w:spacing w:line="276" w:lineRule="auto"/>
        <w:jc w:val="both"/>
      </w:pPr>
      <w:r w:rsidRPr="00393D5E">
        <w:t xml:space="preserve">V průběhu těchto konzultací probíhaly také jednotlivé podvýbory Výboru NPO, </w:t>
      </w:r>
      <w:r w:rsidR="3D5047A6" w:rsidRPr="00393D5E">
        <w:t xml:space="preserve">kde </w:t>
      </w:r>
      <w:r w:rsidRPr="00393D5E">
        <w:t>byly prezentovány a</w:t>
      </w:r>
      <w:r w:rsidR="0003053E">
        <w:t> </w:t>
      </w:r>
      <w:r w:rsidRPr="00393D5E">
        <w:t>dále diskutovány konkrétní náměty na rozšíření</w:t>
      </w:r>
      <w:r w:rsidR="3D5047A6" w:rsidRPr="00393D5E">
        <w:t xml:space="preserve"> plánu. Postupně byly nové podněty řešeny na </w:t>
      </w:r>
      <w:r w:rsidR="6C53E0E5" w:rsidRPr="00393D5E">
        <w:t>P</w:t>
      </w:r>
      <w:r w:rsidR="3D5047A6" w:rsidRPr="00393D5E">
        <w:t>odvýboru pro podnikání a</w:t>
      </w:r>
      <w:r w:rsidR="0003053E">
        <w:t> </w:t>
      </w:r>
      <w:r w:rsidR="0407A0EC" w:rsidRPr="00393D5E">
        <w:t>P</w:t>
      </w:r>
      <w:r w:rsidR="3D5047A6" w:rsidRPr="00393D5E">
        <w:t>odvýboru pro územní dimenzi.</w:t>
      </w:r>
    </w:p>
    <w:p w14:paraId="559E322E" w14:textId="1935223B" w:rsidR="009B169A" w:rsidRPr="00393D5E" w:rsidRDefault="206F0BF5" w:rsidP="00316A1B">
      <w:pPr>
        <w:spacing w:line="276" w:lineRule="auto"/>
        <w:jc w:val="both"/>
      </w:pPr>
      <w:r>
        <w:t>V závěru vyjednávání o</w:t>
      </w:r>
      <w:r w:rsidR="0003053E">
        <w:t> </w:t>
      </w:r>
      <w:r>
        <w:t>aktualizované podobě plánu proběhlo několik projednávání</w:t>
      </w:r>
      <w:r w:rsidR="094CD045">
        <w:t xml:space="preserve"> s</w:t>
      </w:r>
      <w:r w:rsidR="0003053E">
        <w:t> </w:t>
      </w:r>
      <w:r w:rsidR="094CD045">
        <w:t>partnery</w:t>
      </w:r>
      <w:r w:rsidR="3308F093">
        <w:t>.</w:t>
      </w:r>
      <w:r w:rsidR="094CD045">
        <w:t xml:space="preserve"> </w:t>
      </w:r>
      <w:r w:rsidR="3D2B2450">
        <w:t>A</w:t>
      </w:r>
      <w:r w:rsidR="0003053E">
        <w:t> </w:t>
      </w:r>
      <w:r w:rsidR="3D2B2450">
        <w:t xml:space="preserve">sice </w:t>
      </w:r>
      <w:r w:rsidR="094CD045">
        <w:t>5.</w:t>
      </w:r>
      <w:r w:rsidR="3406E05B">
        <w:t> </w:t>
      </w:r>
      <w:r w:rsidR="094CD045">
        <w:t>jednání Výboru NPO, které se uskutečnilo 6. března 2023. Jednání se účastnilo 22 zástupců z</w:t>
      </w:r>
      <w:r w:rsidR="0003053E">
        <w:t> </w:t>
      </w:r>
      <w:r w:rsidR="094CD045">
        <w:t xml:space="preserve">řad partnerů. Přičemž </w:t>
      </w:r>
      <w:r w:rsidR="00BD1C26">
        <w:t>diskuse</w:t>
      </w:r>
      <w:r w:rsidR="094CD045">
        <w:t xml:space="preserve"> pokročila a</w:t>
      </w:r>
      <w:r w:rsidR="0003053E">
        <w:t> </w:t>
      </w:r>
      <w:r w:rsidR="094CD045">
        <w:t>byl představen detailní popis navrhovaných bodů k</w:t>
      </w:r>
      <w:r w:rsidR="0003053E">
        <w:t> </w:t>
      </w:r>
      <w:r w:rsidR="094CD045">
        <w:t>rozšíření plánu, které resorty zpracovaly a</w:t>
      </w:r>
      <w:r w:rsidR="0003053E">
        <w:t> </w:t>
      </w:r>
      <w:r w:rsidR="094CD045">
        <w:t xml:space="preserve">zaslaly na koordinační jednotku.  </w:t>
      </w:r>
      <w:r w:rsidR="03B400A2">
        <w:t>Obecně lze shrnout, že jednání probíhala kontinuálně</w:t>
      </w:r>
      <w:r w:rsidR="19223E38">
        <w:t xml:space="preserve"> </w:t>
      </w:r>
      <w:r w:rsidR="03B400A2">
        <w:t>v</w:t>
      </w:r>
      <w:r w:rsidR="0003053E">
        <w:t> </w:t>
      </w:r>
      <w:r w:rsidR="03B400A2">
        <w:t>průběhu celého roku bez rozlišení aktivit k</w:t>
      </w:r>
      <w:r w:rsidR="0003053E">
        <w:t> </w:t>
      </w:r>
      <w:r w:rsidR="03B400A2">
        <w:t xml:space="preserve">REPowerEU či rozšíření plánu dle čl. 18. Nejvíce </w:t>
      </w:r>
      <w:r w:rsidR="00BD1C26">
        <w:t>diskusí</w:t>
      </w:r>
      <w:r w:rsidR="03B400A2">
        <w:t xml:space="preserve"> </w:t>
      </w:r>
      <w:r w:rsidR="03B400A2">
        <w:lastRenderedPageBreak/>
        <w:t>s</w:t>
      </w:r>
      <w:r w:rsidR="0003053E">
        <w:t> </w:t>
      </w:r>
      <w:r w:rsidR="03B400A2">
        <w:t>partnery proběhlo na jednání Výboru NPO a</w:t>
      </w:r>
      <w:r w:rsidR="0003053E">
        <w:t> </w:t>
      </w:r>
      <w:r w:rsidR="03B400A2">
        <w:t>dále na podvýborech, a</w:t>
      </w:r>
      <w:r w:rsidR="0003053E">
        <w:t> </w:t>
      </w:r>
      <w:r w:rsidR="03B400A2">
        <w:t xml:space="preserve">to </w:t>
      </w:r>
      <w:r w:rsidR="186BACBC">
        <w:t>P</w:t>
      </w:r>
      <w:r w:rsidR="03B400A2">
        <w:t>odvýboru pro podnikání a</w:t>
      </w:r>
      <w:r w:rsidR="0003053E">
        <w:t> </w:t>
      </w:r>
      <w:r w:rsidR="03B400A2">
        <w:t>pro územní dimenzi. Vedle jednání na výborech a</w:t>
      </w:r>
      <w:r w:rsidR="0003053E">
        <w:t> </w:t>
      </w:r>
      <w:r w:rsidR="03B400A2">
        <w:t>podvýborech byly vypořádávány připomínky partnerů také v</w:t>
      </w:r>
      <w:r w:rsidR="0003053E">
        <w:t> </w:t>
      </w:r>
      <w:r w:rsidR="03B400A2">
        <w:t>rámci meziresortního připomínkového řízení, kde své podněty vznášely např. Hospodářská komora či Svaz průmyslu a</w:t>
      </w:r>
      <w:r w:rsidR="0003053E">
        <w:t> </w:t>
      </w:r>
      <w:r w:rsidR="03B400A2">
        <w:t>dopravy. Vedle toho probíhají individuální konzultace na úrovni vlastníků komponent, a</w:t>
      </w:r>
      <w:r w:rsidR="0003053E">
        <w:t> </w:t>
      </w:r>
      <w:r w:rsidR="03B400A2">
        <w:t xml:space="preserve">to zejména </w:t>
      </w:r>
      <w:r w:rsidR="384C9EBF">
        <w:t xml:space="preserve">na úrovni resortu životního prostředí. Členové </w:t>
      </w:r>
      <w:r w:rsidR="7490F234">
        <w:t>V</w:t>
      </w:r>
      <w:r w:rsidR="384C9EBF">
        <w:t>ýboru dále samostatně zaslaly podněty a</w:t>
      </w:r>
      <w:r w:rsidR="0003053E">
        <w:t> </w:t>
      </w:r>
      <w:r w:rsidR="384C9EBF">
        <w:t>připomínky k</w:t>
      </w:r>
      <w:r w:rsidR="0003053E">
        <w:t> </w:t>
      </w:r>
      <w:r w:rsidR="384C9EBF">
        <w:t>rozšíření plánu. Část těchto podnětů byla řešena individuálně jednotlivými resorty, národní koordinátor řešil náměty týkající se transparentnosti a</w:t>
      </w:r>
      <w:r w:rsidR="0003053E">
        <w:t> </w:t>
      </w:r>
      <w:r w:rsidR="384C9EBF">
        <w:t>komunikace plánu a</w:t>
      </w:r>
      <w:r w:rsidR="0003053E">
        <w:t> </w:t>
      </w:r>
      <w:r w:rsidR="384C9EBF">
        <w:t xml:space="preserve">v této souvislosti aktivoval činnost speciálního </w:t>
      </w:r>
      <w:r w:rsidR="08861597">
        <w:t>P</w:t>
      </w:r>
      <w:r w:rsidR="384C9EBF">
        <w:t xml:space="preserve">odvýboru pro transparentnost. </w:t>
      </w:r>
      <w:r w:rsidR="17FA0F83">
        <w:t>A</w:t>
      </w:r>
      <w:r w:rsidR="0003053E">
        <w:t> </w:t>
      </w:r>
      <w:r w:rsidR="17FA0F83">
        <w:t>dále 6. jednání Výboru NPO dne 6. května 2023 a</w:t>
      </w:r>
      <w:r w:rsidR="0003053E">
        <w:t> </w:t>
      </w:r>
      <w:r w:rsidR="17FA0F83">
        <w:t>7. jednání Výboru NPO dne</w:t>
      </w:r>
      <w:r w:rsidR="71ADD5C4">
        <w:t xml:space="preserve"> 18. července 2023.</w:t>
      </w:r>
    </w:p>
    <w:p w14:paraId="1BCCD5F7" w14:textId="09E5B293" w:rsidR="6A1351EB" w:rsidRDefault="6A1351EB" w:rsidP="1DC5C89C">
      <w:pPr>
        <w:spacing w:line="276" w:lineRule="auto"/>
        <w:jc w:val="both"/>
      </w:pPr>
      <w:r w:rsidRPr="00393D5E">
        <w:t>Pokud se týká popisu konkrétních příkladů toho, jak v</w:t>
      </w:r>
      <w:r w:rsidR="0003053E">
        <w:t> </w:t>
      </w:r>
      <w:r w:rsidRPr="00393D5E">
        <w:t xml:space="preserve">aktualizaci plánu byl zohledněn příspěvek zúčastněných stran lze uvést mj. tyto akceptované připomínky: </w:t>
      </w:r>
    </w:p>
    <w:p w14:paraId="4AE1A01C" w14:textId="43A30D5A" w:rsidR="6A1351EB" w:rsidRPr="00393D5E" w:rsidRDefault="6A1351EB" w:rsidP="1DC5C89C">
      <w:pPr>
        <w:spacing w:line="276" w:lineRule="auto"/>
        <w:jc w:val="both"/>
      </w:pPr>
      <w:r w:rsidRPr="00393D5E">
        <w:t>U komponenty</w:t>
      </w:r>
      <w:r w:rsidRPr="00FA403F">
        <w:rPr>
          <w:i/>
        </w:rPr>
        <w:t xml:space="preserve"> 5.3 </w:t>
      </w:r>
      <w:r w:rsidR="00FA403F" w:rsidRPr="00FA403F">
        <w:rPr>
          <w:rFonts w:eastAsia="Calibri" w:cstheme="minorHAnsi"/>
          <w:i/>
          <w:color w:val="212121"/>
        </w:rPr>
        <w:t>Strategicky řízený a</w:t>
      </w:r>
      <w:r w:rsidR="0003053E">
        <w:rPr>
          <w:rFonts w:eastAsia="Calibri" w:cstheme="minorHAnsi"/>
          <w:i/>
          <w:color w:val="212121"/>
        </w:rPr>
        <w:t> </w:t>
      </w:r>
      <w:r w:rsidR="00FA403F" w:rsidRPr="00FA403F">
        <w:rPr>
          <w:rFonts w:eastAsia="Calibri" w:cstheme="minorHAnsi"/>
          <w:i/>
          <w:color w:val="212121"/>
        </w:rPr>
        <w:t>mezinárodně konkurenceschopný ekosystém výzkumu, vývoje a</w:t>
      </w:r>
      <w:r w:rsidR="0003053E">
        <w:rPr>
          <w:rFonts w:eastAsia="Calibri" w:cstheme="minorHAnsi"/>
          <w:i/>
          <w:color w:val="212121"/>
        </w:rPr>
        <w:t> </w:t>
      </w:r>
      <w:r w:rsidR="008A11C2" w:rsidRPr="00FA403F">
        <w:rPr>
          <w:rFonts w:eastAsia="Calibri" w:cstheme="minorHAnsi"/>
          <w:i/>
          <w:color w:val="212121"/>
        </w:rPr>
        <w:t>inovací</w:t>
      </w:r>
      <w:r w:rsidR="008A11C2" w:rsidRPr="00FA403F">
        <w:rPr>
          <w:i/>
          <w:iCs/>
        </w:rPr>
        <w:t xml:space="preserve"> </w:t>
      </w:r>
      <w:r w:rsidR="008A11C2" w:rsidRPr="00FA403F">
        <w:rPr>
          <w:i/>
        </w:rPr>
        <w:t>Akademie</w:t>
      </w:r>
      <w:r w:rsidRPr="00393D5E">
        <w:t xml:space="preserve"> věd ČR uvítala úsilí MŠMT posilovat kapacity v</w:t>
      </w:r>
      <w:r w:rsidR="0003053E">
        <w:t> </w:t>
      </w:r>
      <w:r w:rsidRPr="00393D5E">
        <w:t>oblasti přípravy analytických podkladů pro oblast politiky VaVaI a</w:t>
      </w:r>
      <w:r w:rsidR="0003053E">
        <w:t> </w:t>
      </w:r>
      <w:r w:rsidRPr="00393D5E">
        <w:t>u dalších relevantních aktivit. V</w:t>
      </w:r>
      <w:r w:rsidR="0003053E">
        <w:t> </w:t>
      </w:r>
      <w:r w:rsidRPr="00393D5E">
        <w:t>souvislosti s</w:t>
      </w:r>
      <w:r w:rsidR="0003053E">
        <w:t> </w:t>
      </w:r>
      <w:r w:rsidRPr="00393D5E">
        <w:t>tím Akademie věd ČR (AVČR) žádala MŠMT o</w:t>
      </w:r>
      <w:r w:rsidR="0003053E">
        <w:t> </w:t>
      </w:r>
      <w:r w:rsidRPr="00393D5E">
        <w:t>zapojení do analytických činností realizovaných v</w:t>
      </w:r>
      <w:r w:rsidR="0003053E">
        <w:t> </w:t>
      </w:r>
      <w:r w:rsidRPr="00393D5E">
        <w:t>rámci této reformy. MŠMT coby vlastník nové komponenty uvedlo, že AVČR je do projektu STRATIN+ již zapojena jako stakeholder podílející se na implementaci projektu, včetně zapojení do řídicího výboru. I</w:t>
      </w:r>
      <w:r w:rsidR="0003053E">
        <w:t> </w:t>
      </w:r>
      <w:r w:rsidRPr="00393D5E">
        <w:t>nadále počítáme také se zapojením AVČR.</w:t>
      </w:r>
    </w:p>
    <w:p w14:paraId="310A831F" w14:textId="3C4708D5" w:rsidR="6A1351EB" w:rsidRPr="00393D5E" w:rsidRDefault="6A1351EB" w:rsidP="05AB2BC1">
      <w:pPr>
        <w:spacing w:line="276" w:lineRule="auto"/>
        <w:jc w:val="both"/>
      </w:pPr>
      <w:r>
        <w:t xml:space="preserve">Připomínka Zeleného kruhu ke komponentě </w:t>
      </w:r>
      <w:r w:rsidRPr="35187188">
        <w:rPr>
          <w:i/>
          <w:iCs/>
        </w:rPr>
        <w:t xml:space="preserve">7.3 Komplexní reforma poradenství </w:t>
      </w:r>
      <w:r w:rsidR="55DA405A" w:rsidRPr="35187188">
        <w:rPr>
          <w:i/>
          <w:iCs/>
        </w:rPr>
        <w:t xml:space="preserve">týkajícího se </w:t>
      </w:r>
      <w:r w:rsidRPr="35187188">
        <w:rPr>
          <w:i/>
          <w:iCs/>
        </w:rPr>
        <w:t>renovační vln</w:t>
      </w:r>
      <w:r w:rsidR="64E034BA" w:rsidRPr="35187188">
        <w:rPr>
          <w:i/>
          <w:iCs/>
        </w:rPr>
        <w:t>y</w:t>
      </w:r>
      <w:r w:rsidRPr="35187188">
        <w:rPr>
          <w:i/>
          <w:iCs/>
        </w:rPr>
        <w:t xml:space="preserve"> v</w:t>
      </w:r>
      <w:r w:rsidR="0003053E">
        <w:rPr>
          <w:i/>
          <w:iCs/>
        </w:rPr>
        <w:t> </w:t>
      </w:r>
      <w:r w:rsidRPr="35187188">
        <w:rPr>
          <w:i/>
          <w:iCs/>
        </w:rPr>
        <w:t>ČR</w:t>
      </w:r>
      <w:r>
        <w:t>, kdy byl doplněn cíl komponenty a</w:t>
      </w:r>
      <w:r w:rsidR="0003053E">
        <w:t> </w:t>
      </w:r>
      <w:r>
        <w:t>popis opatření o</w:t>
      </w:r>
      <w:r w:rsidR="0003053E">
        <w:t> </w:t>
      </w:r>
      <w:r>
        <w:t>snížení rizika energetické chudoby u</w:t>
      </w:r>
      <w:r w:rsidR="0003053E">
        <w:t> </w:t>
      </w:r>
      <w:r>
        <w:t>zranitelných sociálních skupin a</w:t>
      </w:r>
      <w:r w:rsidR="0003053E">
        <w:t> </w:t>
      </w:r>
      <w:r>
        <w:t>zapojení “nultého stupně poradenství” do prevence energetické chudoby a</w:t>
      </w:r>
      <w:r w:rsidR="0003053E">
        <w:t> </w:t>
      </w:r>
      <w:r>
        <w:t>informování zranitelných sociálních skupin (Kontaktní místa v</w:t>
      </w:r>
      <w:r w:rsidR="0003053E">
        <w:t> </w:t>
      </w:r>
      <w:r>
        <w:t>bydlení, sociální služby, obce, NNO apod.), a</w:t>
      </w:r>
      <w:r w:rsidR="0003053E">
        <w:t> </w:t>
      </w:r>
      <w:r>
        <w:t>dále upraven výčet územních partnerů doplněním konkrétních organizací.</w:t>
      </w:r>
    </w:p>
    <w:p w14:paraId="319B7B28" w14:textId="5910DF56" w:rsidR="009B169A" w:rsidRPr="00393D5E" w:rsidRDefault="45CC9449" w:rsidP="00316A1B">
      <w:pPr>
        <w:pStyle w:val="Nadpis2"/>
        <w:spacing w:line="276" w:lineRule="auto"/>
      </w:pPr>
      <w:bookmarkStart w:id="290" w:name="_Toc151444359"/>
      <w:r>
        <w:t>Kontrola a</w:t>
      </w:r>
      <w:r w:rsidR="0003053E">
        <w:t> </w:t>
      </w:r>
      <w:r>
        <w:t>audit</w:t>
      </w:r>
      <w:bookmarkEnd w:id="290"/>
    </w:p>
    <w:p w14:paraId="34D068CD" w14:textId="7DF2499C" w:rsidR="009B169A" w:rsidRPr="00393D5E" w:rsidRDefault="6B49BF34" w:rsidP="00316A1B">
      <w:pPr>
        <w:spacing w:line="276" w:lineRule="auto"/>
        <w:jc w:val="both"/>
      </w:pPr>
      <w:r w:rsidRPr="00393D5E">
        <w:t>Systém kontrol a</w:t>
      </w:r>
      <w:r w:rsidR="0003053E">
        <w:t> </w:t>
      </w:r>
      <w:r w:rsidRPr="00393D5E">
        <w:t xml:space="preserve">auditů při </w:t>
      </w:r>
      <w:r w:rsidR="20BFEF5A" w:rsidRPr="00393D5E">
        <w:t>implementaci RRF</w:t>
      </w:r>
      <w:r w:rsidR="18FEF704" w:rsidRPr="00393D5E">
        <w:t xml:space="preserve"> </w:t>
      </w:r>
      <w:r w:rsidRPr="00393D5E">
        <w:t>v</w:t>
      </w:r>
      <w:r w:rsidR="0003053E">
        <w:t> </w:t>
      </w:r>
      <w:r w:rsidRPr="00393D5E">
        <w:t>ČR je popsán v</w:t>
      </w:r>
      <w:r w:rsidR="0003053E">
        <w:t> </w:t>
      </w:r>
      <w:r w:rsidRPr="00393D5E">
        <w:t>NPO (2021), v</w:t>
      </w:r>
      <w:r w:rsidR="0003053E">
        <w:t> </w:t>
      </w:r>
      <w:r w:rsidRPr="00393D5E">
        <w:t>kapitole III.4 Kontrola a</w:t>
      </w:r>
      <w:r w:rsidR="0003053E">
        <w:t> </w:t>
      </w:r>
      <w:r w:rsidRPr="00393D5E">
        <w:t>audit, str. 76 a</w:t>
      </w:r>
      <w:r w:rsidR="0003053E">
        <w:t> </w:t>
      </w:r>
      <w:r w:rsidRPr="00393D5E">
        <w:t>násl.</w:t>
      </w:r>
      <w:r w:rsidR="3776232F" w:rsidRPr="00393D5E">
        <w:t xml:space="preserve"> Zavedený systém kontrol a</w:t>
      </w:r>
      <w:r w:rsidR="0003053E">
        <w:t> </w:t>
      </w:r>
      <w:r w:rsidR="3776232F" w:rsidRPr="00393D5E">
        <w:t>auditů bude platit pro všechna nová opatření</w:t>
      </w:r>
      <w:r w:rsidR="5B3050F5" w:rsidRPr="00393D5E">
        <w:t xml:space="preserve">, </w:t>
      </w:r>
      <w:r w:rsidR="3776232F" w:rsidRPr="00393D5E">
        <w:t>bez ohledu na rozdíl</w:t>
      </w:r>
      <w:r w:rsidR="6696DC14" w:rsidRPr="00393D5E">
        <w:t>ný</w:t>
      </w:r>
      <w:r w:rsidR="3776232F" w:rsidRPr="00393D5E">
        <w:t xml:space="preserve"> zdroj financování (grant/půjčka).</w:t>
      </w:r>
    </w:p>
    <w:p w14:paraId="2DCC0C4F" w14:textId="1732FAA5" w:rsidR="00FA0F34" w:rsidRPr="00393D5E" w:rsidRDefault="00FA0F34" w:rsidP="00FA0F34">
      <w:pPr>
        <w:pStyle w:val="Nadpis2"/>
      </w:pPr>
      <w:bookmarkStart w:id="291" w:name="_Toc151444360"/>
      <w:r>
        <w:t>Monitorování a</w:t>
      </w:r>
      <w:r w:rsidR="0003053E">
        <w:t> </w:t>
      </w:r>
      <w:r>
        <w:t>implementace</w:t>
      </w:r>
      <w:bookmarkEnd w:id="291"/>
    </w:p>
    <w:p w14:paraId="34D23623" w14:textId="64E79673" w:rsidR="00FA0F34" w:rsidRPr="00393D5E" w:rsidRDefault="00FA0F34" w:rsidP="00316A1B">
      <w:pPr>
        <w:spacing w:line="276" w:lineRule="auto"/>
        <w:jc w:val="both"/>
      </w:pPr>
      <w:r w:rsidRPr="00393D5E">
        <w:t>Monitorování a</w:t>
      </w:r>
      <w:r w:rsidR="0003053E">
        <w:t> </w:t>
      </w:r>
      <w:r w:rsidRPr="00393D5E">
        <w:t>celková implementace plánu se posunula značně dopředu a</w:t>
      </w:r>
      <w:r w:rsidR="0003053E">
        <w:t> </w:t>
      </w:r>
      <w:r w:rsidRPr="00393D5E">
        <w:t>celkový stav monitorování a</w:t>
      </w:r>
      <w:r w:rsidR="0003053E">
        <w:t> </w:t>
      </w:r>
      <w:r w:rsidRPr="00393D5E">
        <w:t>provádění je velmi odlišný ve srovnání s</w:t>
      </w:r>
      <w:r w:rsidR="0003053E">
        <w:t> </w:t>
      </w:r>
      <w:r w:rsidRPr="00393D5E">
        <w:t>prvním předložením plánu. Systém na centrálně-horizontální úrovni i</w:t>
      </w:r>
      <w:r w:rsidR="0003053E">
        <w:t> </w:t>
      </w:r>
      <w:r w:rsidRPr="00393D5E">
        <w:t>na úrovni vlastníků komponent je mnohem vyspělejší a</w:t>
      </w:r>
      <w:r w:rsidR="0003053E">
        <w:t> </w:t>
      </w:r>
      <w:r w:rsidRPr="00393D5E">
        <w:t>řada chybějících informací byla zodpovězena. Pokud jde o</w:t>
      </w:r>
      <w:r w:rsidR="0003053E">
        <w:t> </w:t>
      </w:r>
      <w:r w:rsidRPr="00393D5E">
        <w:t>střet zájmů – byly schváleny konkrétní horizontální pokyny naplňující nejen reformu 5 v</w:t>
      </w:r>
      <w:r w:rsidR="0003053E">
        <w:t> </w:t>
      </w:r>
      <w:r w:rsidRPr="00393D5E">
        <w:t>komponentě 4.3, ale byly přijaty i</w:t>
      </w:r>
      <w:r w:rsidR="0003053E">
        <w:t> </w:t>
      </w:r>
      <w:r w:rsidRPr="00393D5E">
        <w:t>další metodické pokyny utvářející jednotné metodické prostředí. Kontroly se staly běžnou součástí implementace. Bylo provedeno několik auditů, jejichž výsledkem je neustálé zlepšování celkového systému. Důležitou součástí aktualizace je také navýšení personální kapacity a</w:t>
      </w:r>
      <w:r w:rsidR="0003053E">
        <w:t> </w:t>
      </w:r>
      <w:r w:rsidRPr="00393D5E">
        <w:t>další rozvoj IT systémů pro implementaci, které by posílily kapacitu vlastníků komponent, subjektů implementace i</w:t>
      </w:r>
      <w:r w:rsidR="0003053E">
        <w:t> </w:t>
      </w:r>
      <w:r w:rsidRPr="00393D5E">
        <w:t>koordinačního orgánu.</w:t>
      </w:r>
    </w:p>
    <w:p w14:paraId="5C283612" w14:textId="77777777" w:rsidR="009B169A" w:rsidRPr="00393D5E" w:rsidRDefault="45CC9449" w:rsidP="00316A1B">
      <w:pPr>
        <w:pStyle w:val="Nadpis2"/>
        <w:spacing w:line="276" w:lineRule="auto"/>
      </w:pPr>
      <w:bookmarkStart w:id="292" w:name="_Toc151444361"/>
      <w:r>
        <w:t>Komunikace</w:t>
      </w:r>
      <w:bookmarkEnd w:id="292"/>
    </w:p>
    <w:p w14:paraId="0DAF45BB" w14:textId="2439AD95" w:rsidR="00B33262" w:rsidRPr="00393D5E" w:rsidRDefault="007032A8" w:rsidP="00316A1B">
      <w:pPr>
        <w:spacing w:line="276" w:lineRule="auto"/>
        <w:jc w:val="both"/>
        <w:rPr>
          <w:rFonts w:cstheme="minorHAnsi"/>
        </w:rPr>
      </w:pPr>
      <w:r w:rsidRPr="00393D5E">
        <w:rPr>
          <w:rFonts w:cstheme="minorHAnsi"/>
        </w:rPr>
        <w:t>Komunikační strategie a</w:t>
      </w:r>
      <w:r w:rsidR="0003053E">
        <w:rPr>
          <w:rFonts w:cstheme="minorHAnsi"/>
        </w:rPr>
        <w:t> </w:t>
      </w:r>
      <w:r w:rsidRPr="00393D5E">
        <w:rPr>
          <w:rFonts w:cstheme="minorHAnsi"/>
        </w:rPr>
        <w:t>postupy při komunikaci o</w:t>
      </w:r>
      <w:r w:rsidR="0003053E">
        <w:rPr>
          <w:rFonts w:cstheme="minorHAnsi"/>
        </w:rPr>
        <w:t> </w:t>
      </w:r>
      <w:r w:rsidRPr="00393D5E">
        <w:rPr>
          <w:rFonts w:cstheme="minorHAnsi"/>
        </w:rPr>
        <w:t xml:space="preserve">implementaci </w:t>
      </w:r>
      <w:r w:rsidR="000338B5" w:rsidRPr="00393D5E">
        <w:rPr>
          <w:rFonts w:cstheme="minorHAnsi"/>
        </w:rPr>
        <w:t>RRF</w:t>
      </w:r>
      <w:r w:rsidRPr="00393D5E">
        <w:rPr>
          <w:rFonts w:cstheme="minorHAnsi"/>
        </w:rPr>
        <w:t xml:space="preserve"> v</w:t>
      </w:r>
      <w:r w:rsidR="0003053E">
        <w:rPr>
          <w:rFonts w:cstheme="minorHAnsi"/>
        </w:rPr>
        <w:t> </w:t>
      </w:r>
      <w:r w:rsidRPr="00393D5E">
        <w:rPr>
          <w:rFonts w:cstheme="minorHAnsi"/>
        </w:rPr>
        <w:t>ČR jsou popsány v</w:t>
      </w:r>
      <w:r w:rsidR="0003053E">
        <w:rPr>
          <w:rFonts w:cstheme="minorHAnsi"/>
        </w:rPr>
        <w:t> </w:t>
      </w:r>
      <w:r w:rsidRPr="00393D5E">
        <w:rPr>
          <w:rFonts w:cstheme="minorHAnsi"/>
        </w:rPr>
        <w:t>NPO (2021), v</w:t>
      </w:r>
      <w:r w:rsidR="0003053E">
        <w:rPr>
          <w:rFonts w:cstheme="minorHAnsi"/>
        </w:rPr>
        <w:t> </w:t>
      </w:r>
      <w:r w:rsidRPr="00393D5E">
        <w:rPr>
          <w:rFonts w:cstheme="minorHAnsi"/>
        </w:rPr>
        <w:t>kapitole III. 6 Komunikace, str. 96 a</w:t>
      </w:r>
      <w:r w:rsidR="0003053E">
        <w:rPr>
          <w:rFonts w:cstheme="minorHAnsi"/>
        </w:rPr>
        <w:t> </w:t>
      </w:r>
      <w:r w:rsidRPr="00393D5E">
        <w:rPr>
          <w:rFonts w:cstheme="minorHAnsi"/>
        </w:rPr>
        <w:t>násl.</w:t>
      </w:r>
      <w:r w:rsidR="00B33262" w:rsidRPr="00393D5E">
        <w:rPr>
          <w:rFonts w:cstheme="minorHAnsi"/>
        </w:rPr>
        <w:t xml:space="preserve"> </w:t>
      </w:r>
      <w:r w:rsidR="00671319" w:rsidRPr="00393D5E">
        <w:rPr>
          <w:rFonts w:cstheme="minorHAnsi"/>
        </w:rPr>
        <w:t>Obdobně bude komunikace zajišťována i</w:t>
      </w:r>
      <w:r w:rsidR="0003053E">
        <w:rPr>
          <w:rFonts w:cstheme="minorHAnsi"/>
        </w:rPr>
        <w:t> </w:t>
      </w:r>
      <w:r w:rsidR="00671319" w:rsidRPr="00393D5E">
        <w:rPr>
          <w:rFonts w:cstheme="minorHAnsi"/>
        </w:rPr>
        <w:t xml:space="preserve">nad novými částmi </w:t>
      </w:r>
      <w:r w:rsidR="00671319" w:rsidRPr="00393D5E">
        <w:rPr>
          <w:rFonts w:cstheme="minorHAnsi"/>
        </w:rPr>
        <w:lastRenderedPageBreak/>
        <w:t xml:space="preserve">plánu. Centrální </w:t>
      </w:r>
      <w:r w:rsidR="00B05436" w:rsidRPr="00393D5E">
        <w:rPr>
          <w:rFonts w:cstheme="minorHAnsi"/>
        </w:rPr>
        <w:t>komunikaci</w:t>
      </w:r>
      <w:r w:rsidR="00B33262" w:rsidRPr="00393D5E">
        <w:rPr>
          <w:rFonts w:cstheme="minorHAnsi"/>
        </w:rPr>
        <w:t xml:space="preserve"> zajišťuje národní koordinační orgán. Realizace mediálních a</w:t>
      </w:r>
      <w:r w:rsidR="0003053E">
        <w:rPr>
          <w:rFonts w:cstheme="minorHAnsi"/>
        </w:rPr>
        <w:t> </w:t>
      </w:r>
      <w:r w:rsidR="00B33262" w:rsidRPr="00393D5E">
        <w:rPr>
          <w:rFonts w:cstheme="minorHAnsi"/>
        </w:rPr>
        <w:t>komunikačních aktivit pro klíčové reformy a</w:t>
      </w:r>
      <w:r w:rsidR="0003053E">
        <w:rPr>
          <w:rFonts w:cstheme="minorHAnsi"/>
        </w:rPr>
        <w:t> </w:t>
      </w:r>
      <w:r w:rsidR="00B33262" w:rsidRPr="00393D5E">
        <w:rPr>
          <w:rFonts w:cstheme="minorHAnsi"/>
        </w:rPr>
        <w:t>investice Plánu obnovy a</w:t>
      </w:r>
      <w:r w:rsidR="0003053E">
        <w:rPr>
          <w:rFonts w:cstheme="minorHAnsi"/>
        </w:rPr>
        <w:t> </w:t>
      </w:r>
      <w:r w:rsidR="00B33262" w:rsidRPr="00393D5E">
        <w:rPr>
          <w:rFonts w:cstheme="minorHAnsi"/>
        </w:rPr>
        <w:t xml:space="preserve">odolnosti, která bude zahrnovat:  </w:t>
      </w:r>
    </w:p>
    <w:p w14:paraId="1812CDB5" w14:textId="0C569DA8" w:rsidR="00B33262" w:rsidRPr="00393D5E" w:rsidRDefault="00B33262" w:rsidP="00CE14E6">
      <w:pPr>
        <w:pStyle w:val="Odstavecseseznamem"/>
        <w:numPr>
          <w:ilvl w:val="0"/>
          <w:numId w:val="8"/>
        </w:numPr>
        <w:spacing w:after="0" w:line="276" w:lineRule="auto"/>
        <w:ind w:right="52"/>
        <w:jc w:val="both"/>
        <w:rPr>
          <w:rFonts w:cstheme="minorHAnsi"/>
        </w:rPr>
      </w:pPr>
      <w:r w:rsidRPr="00393D5E">
        <w:rPr>
          <w:rFonts w:cstheme="minorHAnsi"/>
        </w:rPr>
        <w:t>následné aktualizace komunikační a</w:t>
      </w:r>
      <w:r w:rsidR="0003053E">
        <w:rPr>
          <w:rFonts w:cstheme="minorHAnsi"/>
        </w:rPr>
        <w:t> </w:t>
      </w:r>
      <w:r w:rsidRPr="00393D5E">
        <w:rPr>
          <w:rFonts w:cstheme="minorHAnsi"/>
        </w:rPr>
        <w:t>mediální kampaně zohledňující aktualizaci NPO, REPowerEU a</w:t>
      </w:r>
      <w:r w:rsidR="0003053E">
        <w:rPr>
          <w:rFonts w:cstheme="minorHAnsi"/>
        </w:rPr>
        <w:t> </w:t>
      </w:r>
      <w:r w:rsidRPr="00393D5E">
        <w:rPr>
          <w:rFonts w:cstheme="minorHAnsi"/>
        </w:rPr>
        <w:t>půjčku z</w:t>
      </w:r>
      <w:r w:rsidR="0003053E">
        <w:rPr>
          <w:rFonts w:cstheme="minorHAnsi"/>
        </w:rPr>
        <w:t> </w:t>
      </w:r>
      <w:r w:rsidRPr="00393D5E">
        <w:rPr>
          <w:rFonts w:cstheme="minorHAnsi"/>
        </w:rPr>
        <w:t>RRF, aktuální stav implementace a</w:t>
      </w:r>
      <w:r w:rsidR="0003053E">
        <w:rPr>
          <w:rFonts w:cstheme="minorHAnsi"/>
        </w:rPr>
        <w:t> </w:t>
      </w:r>
      <w:r w:rsidRPr="00393D5E">
        <w:rPr>
          <w:rFonts w:cstheme="minorHAnsi"/>
        </w:rPr>
        <w:t>z něj vycházející komunikační potřeby pro klíčové reformy a</w:t>
      </w:r>
      <w:r w:rsidR="0003053E">
        <w:rPr>
          <w:rFonts w:cstheme="minorHAnsi"/>
        </w:rPr>
        <w:t> </w:t>
      </w:r>
      <w:r w:rsidRPr="00393D5E">
        <w:rPr>
          <w:rFonts w:cstheme="minorHAnsi"/>
        </w:rPr>
        <w:t xml:space="preserve">investice; </w:t>
      </w:r>
    </w:p>
    <w:p w14:paraId="246A6A21" w14:textId="70047E25" w:rsidR="00B33262" w:rsidRPr="00393D5E" w:rsidRDefault="00B33262" w:rsidP="00CE14E6">
      <w:pPr>
        <w:pStyle w:val="Odstavecseseznamem"/>
        <w:numPr>
          <w:ilvl w:val="0"/>
          <w:numId w:val="8"/>
        </w:numPr>
        <w:spacing w:after="0" w:line="276" w:lineRule="auto"/>
        <w:ind w:right="52"/>
        <w:jc w:val="both"/>
        <w:rPr>
          <w:rFonts w:cstheme="minorHAnsi"/>
        </w:rPr>
      </w:pPr>
      <w:r w:rsidRPr="00393D5E">
        <w:rPr>
          <w:rFonts w:cstheme="minorHAnsi"/>
        </w:rPr>
        <w:t>propagační aktivity u</w:t>
      </w:r>
      <w:r w:rsidR="0003053E">
        <w:rPr>
          <w:rFonts w:cstheme="minorHAnsi"/>
        </w:rPr>
        <w:t> </w:t>
      </w:r>
      <w:r w:rsidRPr="00393D5E">
        <w:rPr>
          <w:rFonts w:cstheme="minorHAnsi"/>
        </w:rPr>
        <w:t>příležitosti Výroční konference a</w:t>
      </w:r>
      <w:r w:rsidR="0003053E">
        <w:rPr>
          <w:rFonts w:cstheme="minorHAnsi"/>
        </w:rPr>
        <w:t> </w:t>
      </w:r>
      <w:r w:rsidRPr="00393D5E">
        <w:rPr>
          <w:rFonts w:cstheme="minorHAnsi"/>
        </w:rPr>
        <w:t>žádostí o</w:t>
      </w:r>
      <w:r w:rsidR="0003053E">
        <w:rPr>
          <w:rFonts w:cstheme="minorHAnsi"/>
        </w:rPr>
        <w:t> </w:t>
      </w:r>
      <w:r w:rsidRPr="00393D5E">
        <w:rPr>
          <w:rFonts w:cstheme="minorHAnsi"/>
        </w:rPr>
        <w:t>platbu;</w:t>
      </w:r>
    </w:p>
    <w:p w14:paraId="21763182" w14:textId="36003BCF" w:rsidR="00B33262" w:rsidRPr="00393D5E" w:rsidRDefault="514ACD2A" w:rsidP="00CE14E6">
      <w:pPr>
        <w:pStyle w:val="Odstavecseseznamem"/>
        <w:numPr>
          <w:ilvl w:val="0"/>
          <w:numId w:val="8"/>
        </w:numPr>
        <w:spacing w:after="0" w:line="276" w:lineRule="auto"/>
        <w:ind w:right="52"/>
        <w:jc w:val="both"/>
      </w:pPr>
      <w:r w:rsidRPr="00393D5E">
        <w:t xml:space="preserve">komunikační aktivity prostřednictvím médií, printových, audiovizuálních nebo sociálních online prostředí včetně hlavní webové stránky </w:t>
      </w:r>
      <w:hyperlink r:id="rId25">
        <w:r w:rsidRPr="00393D5E">
          <w:rPr>
            <w:rStyle w:val="Hypertextovodkaz"/>
          </w:rPr>
          <w:t>www.planobnovycr.cz</w:t>
        </w:r>
      </w:hyperlink>
      <w:hyperlink r:id="rId26">
        <w:r w:rsidRPr="00393D5E">
          <w:rPr>
            <w:rStyle w:val="Hypertextovodkaz"/>
            <w:color w:val="000000" w:themeColor="text1"/>
          </w:rPr>
          <w:t>;</w:t>
        </w:r>
      </w:hyperlink>
      <w:r w:rsidRPr="00393D5E">
        <w:t xml:space="preserve"> </w:t>
      </w:r>
    </w:p>
    <w:p w14:paraId="4E560092" w14:textId="749BA085" w:rsidR="00B33262" w:rsidRPr="00393D5E" w:rsidRDefault="514ACD2A" w:rsidP="00CE14E6">
      <w:pPr>
        <w:pStyle w:val="Odstavecseseznamem"/>
        <w:numPr>
          <w:ilvl w:val="0"/>
          <w:numId w:val="8"/>
        </w:numPr>
        <w:spacing w:after="0" w:line="276" w:lineRule="auto"/>
        <w:ind w:right="52"/>
        <w:jc w:val="both"/>
      </w:pPr>
      <w:r w:rsidRPr="00393D5E">
        <w:t>přímou komunikac</w:t>
      </w:r>
      <w:r w:rsidR="7960E926" w:rsidRPr="00393D5E">
        <w:t>i</w:t>
      </w:r>
      <w:r w:rsidRPr="00393D5E">
        <w:t xml:space="preserve"> přes databázový nebo direct mailing a</w:t>
      </w:r>
      <w:r w:rsidR="0003053E">
        <w:t> </w:t>
      </w:r>
      <w:r w:rsidRPr="00393D5E">
        <w:t>využití sociálních sítí;</w:t>
      </w:r>
    </w:p>
    <w:p w14:paraId="5460D1A8" w14:textId="216E7AB2" w:rsidR="00B33262" w:rsidRPr="00393D5E" w:rsidRDefault="00B33262" w:rsidP="00CE14E6">
      <w:pPr>
        <w:pStyle w:val="Odstavecseseznamem"/>
        <w:numPr>
          <w:ilvl w:val="0"/>
          <w:numId w:val="8"/>
        </w:numPr>
        <w:spacing w:line="276" w:lineRule="auto"/>
        <w:jc w:val="both"/>
        <w:rPr>
          <w:rFonts w:cstheme="minorHAnsi"/>
        </w:rPr>
      </w:pPr>
      <w:r w:rsidRPr="00393D5E">
        <w:t>závěrečnou kampaň s</w:t>
      </w:r>
      <w:r w:rsidR="0003053E">
        <w:t> </w:t>
      </w:r>
      <w:r w:rsidRPr="00393D5E">
        <w:t>cílem komunikovat o</w:t>
      </w:r>
      <w:r w:rsidR="0003053E">
        <w:t> </w:t>
      </w:r>
      <w:r w:rsidRPr="00393D5E">
        <w:t>implementovaných klíčových reformách a</w:t>
      </w:r>
      <w:r w:rsidR="0003053E">
        <w:t> </w:t>
      </w:r>
      <w:r w:rsidRPr="00393D5E">
        <w:t>investicích, výsledcích a</w:t>
      </w:r>
      <w:r w:rsidR="0003053E">
        <w:t> </w:t>
      </w:r>
      <w:r w:rsidRPr="00393D5E">
        <w:t>přínosech NPO.</w:t>
      </w:r>
    </w:p>
    <w:p w14:paraId="7B3316A5" w14:textId="0FE9080A" w:rsidR="35823B3C" w:rsidRPr="00393D5E" w:rsidRDefault="35823B3C">
      <w:r w:rsidRPr="00393D5E">
        <w:br w:type="page"/>
      </w:r>
    </w:p>
    <w:p w14:paraId="2157F419" w14:textId="77777777" w:rsidR="00A75179" w:rsidRPr="00393D5E" w:rsidRDefault="64CBB54F" w:rsidP="3E0D70EE">
      <w:pPr>
        <w:pStyle w:val="Nadpis1"/>
        <w:numPr>
          <w:ilvl w:val="0"/>
          <w:numId w:val="0"/>
        </w:numPr>
        <w:spacing w:line="276" w:lineRule="auto"/>
        <w:rPr>
          <w:rStyle w:val="normaltextrun"/>
          <w:rFonts w:asciiTheme="minorHAnsi" w:hAnsiTheme="minorHAnsi" w:cstheme="minorBidi"/>
        </w:rPr>
      </w:pPr>
      <w:bookmarkStart w:id="293" w:name="_Toc151444362"/>
      <w:r w:rsidRPr="3E0D70EE">
        <w:rPr>
          <w:rFonts w:asciiTheme="minorHAnsi" w:hAnsiTheme="minorHAnsi" w:cstheme="minorBidi"/>
        </w:rPr>
        <w:lastRenderedPageBreak/>
        <w:t xml:space="preserve">Část IV. </w:t>
      </w:r>
      <w:r w:rsidR="178BD9C4" w:rsidRPr="3E0D70EE">
        <w:rPr>
          <w:rFonts w:asciiTheme="minorHAnsi" w:hAnsiTheme="minorHAnsi" w:cstheme="minorBidi"/>
        </w:rPr>
        <w:t>C</w:t>
      </w:r>
      <w:r w:rsidRPr="3E0D70EE">
        <w:rPr>
          <w:rFonts w:asciiTheme="minorHAnsi" w:hAnsiTheme="minorHAnsi" w:cstheme="minorBidi"/>
        </w:rPr>
        <w:t>elková soudržnost plánu</w:t>
      </w:r>
      <w:bookmarkEnd w:id="293"/>
    </w:p>
    <w:p w14:paraId="463C234C" w14:textId="77777777" w:rsidR="00A75179" w:rsidRPr="00393D5E" w:rsidRDefault="00A75179" w:rsidP="00316A1B">
      <w:pPr>
        <w:spacing w:line="276" w:lineRule="auto"/>
        <w:jc w:val="both"/>
      </w:pPr>
    </w:p>
    <w:p w14:paraId="0C22E7A4" w14:textId="77777777" w:rsidR="003C2E30" w:rsidRPr="00393D5E" w:rsidRDefault="003C2E30" w:rsidP="00316A1B">
      <w:pPr>
        <w:spacing w:line="276" w:lineRule="auto"/>
        <w:jc w:val="both"/>
      </w:pPr>
    </w:p>
    <w:p w14:paraId="321D2791" w14:textId="77777777" w:rsidR="00A75179" w:rsidRPr="00393D5E" w:rsidRDefault="00A75179" w:rsidP="00316A1B">
      <w:pPr>
        <w:spacing w:line="276" w:lineRule="auto"/>
        <w:jc w:val="both"/>
      </w:pPr>
      <w:r w:rsidRPr="00393D5E">
        <w:br w:type="page"/>
      </w:r>
    </w:p>
    <w:p w14:paraId="2383A6DE" w14:textId="77777777" w:rsidR="00A75179" w:rsidRPr="00393D5E" w:rsidRDefault="45CC9449" w:rsidP="00316A1B">
      <w:pPr>
        <w:pStyle w:val="Nadpis2"/>
        <w:spacing w:line="276" w:lineRule="auto"/>
      </w:pPr>
      <w:bookmarkStart w:id="294" w:name="_Toc151444363"/>
      <w:r>
        <w:lastRenderedPageBreak/>
        <w:t>Soudržnost</w:t>
      </w:r>
      <w:bookmarkEnd w:id="294"/>
    </w:p>
    <w:p w14:paraId="0CA5472D" w14:textId="0C6A363D" w:rsidR="007D0034" w:rsidRPr="00393D5E" w:rsidRDefault="007D0034" w:rsidP="00316A1B">
      <w:pPr>
        <w:spacing w:line="276" w:lineRule="auto"/>
        <w:jc w:val="both"/>
      </w:pPr>
      <w:r w:rsidRPr="00393D5E">
        <w:t>Celková koherence NPO je popsána v</w:t>
      </w:r>
      <w:r w:rsidR="0003053E">
        <w:t> </w:t>
      </w:r>
      <w:r w:rsidRPr="00393D5E">
        <w:t>NPO (2021), v</w:t>
      </w:r>
      <w:r w:rsidR="0003053E">
        <w:t> </w:t>
      </w:r>
      <w:r w:rsidRPr="00393D5E">
        <w:t>kapitole I.4 Soudržnost plánu, str. 51 a</w:t>
      </w:r>
      <w:r w:rsidR="0003053E">
        <w:t> </w:t>
      </w:r>
      <w:r w:rsidRPr="00393D5E">
        <w:t>násl.</w:t>
      </w:r>
    </w:p>
    <w:p w14:paraId="3BA8497D" w14:textId="3E79ED84" w:rsidR="007D0034" w:rsidRPr="00393D5E" w:rsidRDefault="007D0034" w:rsidP="00316A1B">
      <w:pPr>
        <w:spacing w:line="276" w:lineRule="auto"/>
        <w:jc w:val="both"/>
      </w:pPr>
      <w:r w:rsidRPr="00393D5E">
        <w:t>Dodatek k</w:t>
      </w:r>
      <w:r w:rsidR="0003053E">
        <w:t> </w:t>
      </w:r>
      <w:r w:rsidRPr="00393D5E">
        <w:t>NPO tuto koherenci zesiluje zejména následujícími vazbami mezi vybranými investicemi a</w:t>
      </w:r>
      <w:r w:rsidR="0003053E">
        <w:t> </w:t>
      </w:r>
      <w:r w:rsidRPr="00393D5E">
        <w:t>reformami:</w:t>
      </w:r>
    </w:p>
    <w:p w14:paraId="2EBCFD11" w14:textId="3D23FC99" w:rsidR="00A75179" w:rsidRPr="00393D5E" w:rsidRDefault="5B8459BD" w:rsidP="00CE14E6">
      <w:pPr>
        <w:pStyle w:val="Odstavecseseznamem"/>
        <w:numPr>
          <w:ilvl w:val="0"/>
          <w:numId w:val="16"/>
        </w:numPr>
        <w:spacing w:after="120" w:line="276" w:lineRule="auto"/>
        <w:ind w:left="426"/>
        <w:contextualSpacing w:val="0"/>
        <w:jc w:val="both"/>
      </w:pPr>
      <w:r w:rsidRPr="00393D5E">
        <w:t>Do</w:t>
      </w:r>
      <w:r w:rsidR="5EF0427F" w:rsidRPr="00393D5E">
        <w:t xml:space="preserve"> kapitoly REPowerEU </w:t>
      </w:r>
      <w:r w:rsidRPr="00393D5E">
        <w:t xml:space="preserve">jsou zahrnuty významné investice do </w:t>
      </w:r>
      <w:r w:rsidRPr="00393D5E">
        <w:rPr>
          <w:b/>
          <w:bCs/>
        </w:rPr>
        <w:t xml:space="preserve">obnovitelných zdrojů </w:t>
      </w:r>
      <w:r w:rsidR="0C81FB9F" w:rsidRPr="00393D5E">
        <w:rPr>
          <w:b/>
          <w:bCs/>
        </w:rPr>
        <w:t>energie</w:t>
      </w:r>
      <w:r w:rsidR="0C81FB9F" w:rsidRPr="00393D5E">
        <w:t xml:space="preserve"> – OZE</w:t>
      </w:r>
      <w:r w:rsidRPr="00393D5E">
        <w:t xml:space="preserve"> (např. podpora fotovoltaiky pro </w:t>
      </w:r>
      <w:r w:rsidR="0C81FB9F" w:rsidRPr="00393D5E">
        <w:t>podniky</w:t>
      </w:r>
      <w:r w:rsidRPr="00393D5E">
        <w:t>) a</w:t>
      </w:r>
      <w:r w:rsidR="0003053E">
        <w:t> </w:t>
      </w:r>
      <w:r w:rsidRPr="00393D5E">
        <w:t xml:space="preserve">zároveň investice do posilování distribučních sítí, bez kterých by </w:t>
      </w:r>
      <w:r w:rsidR="7ECAE968" w:rsidRPr="00393D5E">
        <w:t xml:space="preserve">připojování </w:t>
      </w:r>
      <w:r w:rsidRPr="00393D5E">
        <w:t>nových kapacit pro výrobu OZE nebyl</w:t>
      </w:r>
      <w:r w:rsidR="7ECAE968" w:rsidRPr="00393D5E">
        <w:t>o</w:t>
      </w:r>
      <w:r w:rsidRPr="00393D5E">
        <w:t xml:space="preserve"> možn</w:t>
      </w:r>
      <w:r w:rsidR="7ECAE968" w:rsidRPr="00393D5E">
        <w:t>é</w:t>
      </w:r>
      <w:r w:rsidRPr="00393D5E">
        <w:t>. Rozvoj obnovitelných zdrojů energie by zásadním způsobem měly podpořit reformy, které zjednodušují povolovací řízení pro instalaci nových zdrojů OZE (zejména úprava energetického a</w:t>
      </w:r>
      <w:r w:rsidR="0003053E">
        <w:t> </w:t>
      </w:r>
      <w:r w:rsidRPr="00393D5E">
        <w:t>stavebního zákona pod Lex OZE I, Jednotné environmentální stanovisko)</w:t>
      </w:r>
      <w:r w:rsidR="7ECAE968" w:rsidRPr="00393D5E">
        <w:t>,</w:t>
      </w:r>
      <w:r w:rsidRPr="00393D5E">
        <w:t xml:space="preserve"> a</w:t>
      </w:r>
      <w:r w:rsidR="0003053E">
        <w:t> </w:t>
      </w:r>
      <w:r w:rsidR="7ECAE968" w:rsidRPr="00393D5E">
        <w:t xml:space="preserve">reformy, které </w:t>
      </w:r>
      <w:r w:rsidRPr="00393D5E">
        <w:t>podporují sdílení energií a</w:t>
      </w:r>
      <w:r w:rsidR="0003053E">
        <w:t> </w:t>
      </w:r>
      <w:r w:rsidRPr="00393D5E">
        <w:t>komunitní energetiku (Lex OZE II</w:t>
      </w:r>
      <w:r w:rsidR="3D8624DD" w:rsidRPr="00393D5E">
        <w:t>, zřízení Elektroenergetického datového centra</w:t>
      </w:r>
      <w:r w:rsidRPr="00393D5E">
        <w:t>)</w:t>
      </w:r>
      <w:r w:rsidR="3D8624DD" w:rsidRPr="00393D5E">
        <w:t>. V</w:t>
      </w:r>
      <w:r w:rsidR="0003053E">
        <w:t> </w:t>
      </w:r>
      <w:r w:rsidR="3D8624DD" w:rsidRPr="00393D5E">
        <w:t>dlouhodobějším horizontu představuje významný impulz pro rozvoj OZE i</w:t>
      </w:r>
      <w:r w:rsidR="0003053E">
        <w:t> </w:t>
      </w:r>
      <w:r w:rsidR="7ECAE968" w:rsidRPr="00393D5E">
        <w:t xml:space="preserve">práce na stanovení </w:t>
      </w:r>
      <w:r w:rsidR="00147057">
        <w:t xml:space="preserve">akceleračních </w:t>
      </w:r>
      <w:r w:rsidR="7ECAE968" w:rsidRPr="00393D5E">
        <w:t>zón</w:t>
      </w:r>
      <w:r w:rsidR="6F1314A0" w:rsidRPr="00393D5E">
        <w:t xml:space="preserve"> a</w:t>
      </w:r>
      <w:r w:rsidR="0003053E">
        <w:t> </w:t>
      </w:r>
      <w:r w:rsidR="6F1314A0" w:rsidRPr="00393D5E">
        <w:t>vodíková strategie</w:t>
      </w:r>
      <w:r w:rsidR="7ECAE968" w:rsidRPr="00393D5E">
        <w:t xml:space="preserve">. </w:t>
      </w:r>
    </w:p>
    <w:p w14:paraId="31350952" w14:textId="05B319B1" w:rsidR="00F52909" w:rsidRPr="00393D5E" w:rsidRDefault="001A1A0C" w:rsidP="00CE14E6">
      <w:pPr>
        <w:pStyle w:val="Odstavecseseznamem"/>
        <w:numPr>
          <w:ilvl w:val="0"/>
          <w:numId w:val="16"/>
        </w:numPr>
        <w:spacing w:after="120" w:line="276" w:lineRule="auto"/>
        <w:ind w:left="426"/>
        <w:contextualSpacing w:val="0"/>
        <w:jc w:val="both"/>
      </w:pPr>
      <w:r>
        <w:t>Z</w:t>
      </w:r>
      <w:r w:rsidR="00F52909">
        <w:t>ákladním horizontálním předpokladem pro realizaci opatření zahrnutých do REPowerEU kapitoly</w:t>
      </w:r>
      <w:r>
        <w:t xml:space="preserve"> i</w:t>
      </w:r>
      <w:r w:rsidR="0003053E">
        <w:t> </w:t>
      </w:r>
      <w:r>
        <w:t xml:space="preserve">do původního pilíře zelené tranzice je </w:t>
      </w:r>
      <w:r w:rsidRPr="05AB2BC1">
        <w:rPr>
          <w:b/>
          <w:bCs/>
        </w:rPr>
        <w:t>zajištění kvalifikované pracovní síly v</w:t>
      </w:r>
      <w:r w:rsidR="0003053E">
        <w:rPr>
          <w:b/>
          <w:bCs/>
        </w:rPr>
        <w:t> </w:t>
      </w:r>
      <w:r w:rsidRPr="05AB2BC1">
        <w:rPr>
          <w:b/>
          <w:bCs/>
        </w:rPr>
        <w:t>oblasti zelených dovedností</w:t>
      </w:r>
      <w:r>
        <w:t>. V</w:t>
      </w:r>
      <w:r w:rsidR="0003053E">
        <w:t> </w:t>
      </w:r>
      <w:r>
        <w:t>tomto směru k</w:t>
      </w:r>
      <w:r w:rsidR="0003053E">
        <w:t> </w:t>
      </w:r>
      <w:r>
        <w:t>soudržnosti plánu přispívá posílení vysokoškolských programů zaměřených na zelené dovednosti v</w:t>
      </w:r>
      <w:r w:rsidR="0003053E">
        <w:t> </w:t>
      </w:r>
      <w:r>
        <w:t xml:space="preserve">rámci kapitoly REPowerEU </w:t>
      </w:r>
      <w:r w:rsidR="00147057">
        <w:t>(komponenta 7.4</w:t>
      </w:r>
      <w:r>
        <w:t xml:space="preserve">). </w:t>
      </w:r>
    </w:p>
    <w:p w14:paraId="5AB36388" w14:textId="4C9BCC0F" w:rsidR="002F45FB" w:rsidRPr="00393D5E" w:rsidRDefault="23AAF06B" w:rsidP="00CE14E6">
      <w:pPr>
        <w:pStyle w:val="Odstavecseseznamem"/>
        <w:numPr>
          <w:ilvl w:val="0"/>
          <w:numId w:val="16"/>
        </w:numPr>
        <w:spacing w:after="120" w:line="276" w:lineRule="auto"/>
        <w:ind w:left="426"/>
        <w:jc w:val="both"/>
      </w:pPr>
      <w:r>
        <w:t xml:space="preserve">Celkovou </w:t>
      </w:r>
      <w:r w:rsidRPr="05AB2BC1">
        <w:rPr>
          <w:b/>
          <w:bCs/>
        </w:rPr>
        <w:t>koherenci politik týkajících se energetiky a</w:t>
      </w:r>
      <w:r w:rsidR="0003053E">
        <w:rPr>
          <w:b/>
          <w:bCs/>
        </w:rPr>
        <w:t> </w:t>
      </w:r>
      <w:r w:rsidRPr="05AB2BC1">
        <w:rPr>
          <w:b/>
          <w:bCs/>
        </w:rPr>
        <w:t>klimatu</w:t>
      </w:r>
      <w:r>
        <w:t xml:space="preserve"> má zajistit </w:t>
      </w:r>
      <w:r w:rsidR="0675D332">
        <w:t>posílení koordinace</w:t>
      </w:r>
      <w:r w:rsidR="64A91F5C">
        <w:t xml:space="preserve"> a</w:t>
      </w:r>
      <w:r w:rsidR="0003053E">
        <w:t> </w:t>
      </w:r>
      <w:r w:rsidR="64A91F5C">
        <w:t xml:space="preserve">konsolidace </w:t>
      </w:r>
      <w:r w:rsidR="0675D332">
        <w:t xml:space="preserve">strategií pro naplnění cílů udržitelnosti, SDG </w:t>
      </w:r>
      <w:r w:rsidR="20BFEF5A">
        <w:t>a</w:t>
      </w:r>
      <w:r w:rsidR="0003053E">
        <w:t> </w:t>
      </w:r>
      <w:r w:rsidR="20BFEF5A">
        <w:t>zelené</w:t>
      </w:r>
      <w:r w:rsidR="0675D332">
        <w:t xml:space="preserve"> dohody a</w:t>
      </w:r>
      <w:r w:rsidR="0003053E">
        <w:t> </w:t>
      </w:r>
      <w:r w:rsidR="0675D332">
        <w:t>podpora analytické kapacity pro tvorbu a</w:t>
      </w:r>
      <w:r w:rsidR="0003053E">
        <w:t> </w:t>
      </w:r>
      <w:r w:rsidR="0675D332">
        <w:t>průběžné vyhodnocování politik v</w:t>
      </w:r>
      <w:r w:rsidR="0003053E">
        <w:t> </w:t>
      </w:r>
      <w:r w:rsidR="0675D332">
        <w:t>oblasti klimatické změny, energetiky, dopravy a</w:t>
      </w:r>
      <w:r w:rsidR="0003053E">
        <w:t> </w:t>
      </w:r>
      <w:r w:rsidR="0675D332">
        <w:t>zemědělství.</w:t>
      </w:r>
    </w:p>
    <w:p w14:paraId="7E115CE8" w14:textId="720F4405" w:rsidR="000C7BC5" w:rsidRPr="00393D5E" w:rsidRDefault="044E4B5C" w:rsidP="00CE14E6">
      <w:pPr>
        <w:pStyle w:val="Odstavecseseznamem"/>
        <w:numPr>
          <w:ilvl w:val="0"/>
          <w:numId w:val="16"/>
        </w:numPr>
        <w:spacing w:after="120" w:line="276" w:lineRule="auto"/>
        <w:ind w:left="426"/>
        <w:jc w:val="both"/>
      </w:pPr>
      <w:r>
        <w:t xml:space="preserve">Investiční podpora </w:t>
      </w:r>
      <w:r w:rsidRPr="05AB2BC1">
        <w:rPr>
          <w:b/>
          <w:bCs/>
        </w:rPr>
        <w:t>dostupného</w:t>
      </w:r>
      <w:r w:rsidR="0F3E9E48" w:rsidRPr="05AB2BC1">
        <w:rPr>
          <w:b/>
          <w:bCs/>
        </w:rPr>
        <w:t xml:space="preserve"> </w:t>
      </w:r>
      <w:r w:rsidRPr="05AB2BC1">
        <w:rPr>
          <w:b/>
          <w:bCs/>
        </w:rPr>
        <w:t>bydlení</w:t>
      </w:r>
      <w:r>
        <w:t xml:space="preserve"> se opírá o</w:t>
      </w:r>
      <w:r w:rsidR="0003053E">
        <w:t> </w:t>
      </w:r>
      <w:r>
        <w:t>legislativní reformu podpory</w:t>
      </w:r>
      <w:r w:rsidR="12BBA3C4">
        <w:t> </w:t>
      </w:r>
      <w:r>
        <w:t>bydlení a</w:t>
      </w:r>
      <w:r w:rsidR="0003053E">
        <w:t> </w:t>
      </w:r>
      <w:r>
        <w:t>zároveň o</w:t>
      </w:r>
      <w:r w:rsidR="0003053E">
        <w:t> </w:t>
      </w:r>
      <w:r>
        <w:t>nastavení metodické pomoci pro obce v</w:t>
      </w:r>
      <w:r w:rsidR="0003053E">
        <w:t> </w:t>
      </w:r>
      <w:r>
        <w:t xml:space="preserve">oblasti výstavby energeticky účinného nájemního bydlení. Komponenta dostupné bydlení </w:t>
      </w:r>
      <w:r w:rsidR="588C928B">
        <w:t xml:space="preserve">je </w:t>
      </w:r>
      <w:r>
        <w:t>provázána i</w:t>
      </w:r>
      <w:r w:rsidR="0003053E">
        <w:t> </w:t>
      </w:r>
      <w:r>
        <w:t>s komponentou zaměřenou na systémovou podporu veřejných investic</w:t>
      </w:r>
      <w:r w:rsidR="07C42D0C">
        <w:t xml:space="preserve"> (4.1)</w:t>
      </w:r>
      <w:r>
        <w:t>, v</w:t>
      </w:r>
      <w:r w:rsidR="0003053E">
        <w:t> </w:t>
      </w:r>
      <w:r w:rsidR="00987FDB">
        <w:t>rámci</w:t>
      </w:r>
      <w:r>
        <w:t xml:space="preserve"> které bude financována příprava investičních projektů, včetně těch v</w:t>
      </w:r>
      <w:r w:rsidR="0003053E">
        <w:t> </w:t>
      </w:r>
      <w:r>
        <w:t>oblasti bydlení.</w:t>
      </w:r>
    </w:p>
    <w:p w14:paraId="6B5B6FB7" w14:textId="658FC854" w:rsidR="000C7BC5" w:rsidRPr="00393D5E" w:rsidRDefault="60DF3C5F" w:rsidP="00CE14E6">
      <w:pPr>
        <w:pStyle w:val="Odstavecseseznamem"/>
        <w:numPr>
          <w:ilvl w:val="0"/>
          <w:numId w:val="16"/>
        </w:numPr>
        <w:spacing w:after="120" w:line="276" w:lineRule="auto"/>
        <w:ind w:left="426"/>
        <w:contextualSpacing w:val="0"/>
        <w:jc w:val="both"/>
      </w:pPr>
      <w:r>
        <w:t>V</w:t>
      </w:r>
      <w:r w:rsidR="64F10500">
        <w:t> digitální o</w:t>
      </w:r>
      <w:r>
        <w:t>blasti posiluje soudržnost stávajících i</w:t>
      </w:r>
      <w:r w:rsidR="0003053E">
        <w:t> </w:t>
      </w:r>
      <w:r>
        <w:t>nových aktivit v</w:t>
      </w:r>
      <w:r w:rsidR="0003053E">
        <w:t> </w:t>
      </w:r>
      <w:r>
        <w:t xml:space="preserve">rámci </w:t>
      </w:r>
      <w:r w:rsidR="20BFEF5A">
        <w:t>NPO vznik</w:t>
      </w:r>
      <w:r>
        <w:t xml:space="preserve"> Digitální a</w:t>
      </w:r>
      <w:r w:rsidR="0003053E">
        <w:t> </w:t>
      </w:r>
      <w:r>
        <w:t>informační agentury</w:t>
      </w:r>
      <w:r w:rsidR="113F802D">
        <w:t xml:space="preserve"> v</w:t>
      </w:r>
      <w:r w:rsidR="0003053E">
        <w:t> </w:t>
      </w:r>
      <w:r w:rsidR="113F802D">
        <w:t xml:space="preserve">rámci komponenty </w:t>
      </w:r>
      <w:r w:rsidR="06AA326D">
        <w:t>1.7</w:t>
      </w:r>
      <w:r w:rsidR="64F10500">
        <w:t>, která má za cíl koordinovat veškeré aktivity v</w:t>
      </w:r>
      <w:r w:rsidR="0003053E">
        <w:t> </w:t>
      </w:r>
      <w:r w:rsidR="64F10500">
        <w:t xml:space="preserve">oblasti </w:t>
      </w:r>
      <w:r w:rsidR="64F10500" w:rsidRPr="05AB2BC1">
        <w:rPr>
          <w:b/>
          <w:bCs/>
        </w:rPr>
        <w:t>elektronické státní správy</w:t>
      </w:r>
      <w:r w:rsidR="64F10500">
        <w:t xml:space="preserve">. </w:t>
      </w:r>
    </w:p>
    <w:p w14:paraId="598E486B" w14:textId="4437925D" w:rsidR="007C6E87" w:rsidRPr="00393D5E" w:rsidRDefault="597FBD7E" w:rsidP="00CE14E6">
      <w:pPr>
        <w:pStyle w:val="Odstavecseseznamem"/>
        <w:numPr>
          <w:ilvl w:val="0"/>
          <w:numId w:val="16"/>
        </w:numPr>
        <w:spacing w:after="120" w:line="276" w:lineRule="auto"/>
        <w:ind w:left="426"/>
        <w:jc w:val="both"/>
      </w:pPr>
      <w:r>
        <w:t>Soudržnost plánu ilustruje i</w:t>
      </w:r>
      <w:r w:rsidR="0003053E">
        <w:t> </w:t>
      </w:r>
      <w:r w:rsidRPr="05AB2BC1">
        <w:rPr>
          <w:b/>
          <w:bCs/>
        </w:rPr>
        <w:t>vzájemná provázanost mezi grantovou a</w:t>
      </w:r>
      <w:r w:rsidR="0003053E">
        <w:rPr>
          <w:b/>
          <w:bCs/>
        </w:rPr>
        <w:t> </w:t>
      </w:r>
      <w:r w:rsidRPr="05AB2BC1">
        <w:rPr>
          <w:b/>
          <w:bCs/>
        </w:rPr>
        <w:t>úvěrovou částí</w:t>
      </w:r>
      <w:r>
        <w:t xml:space="preserve"> u</w:t>
      </w:r>
      <w:r w:rsidR="0003053E">
        <w:t> </w:t>
      </w:r>
      <w:r>
        <w:t>aktivit, kde se vzájemně doplňuje podpora návratného a</w:t>
      </w:r>
      <w:r w:rsidR="0003053E">
        <w:t> </w:t>
      </w:r>
      <w:r>
        <w:t xml:space="preserve">nenávratného charakteru. </w:t>
      </w:r>
      <w:r w:rsidR="00D70836">
        <w:t xml:space="preserve"> </w:t>
      </w:r>
    </w:p>
    <w:p w14:paraId="427D0577" w14:textId="3E3C7C16" w:rsidR="007C6E87" w:rsidRPr="00393D5E" w:rsidRDefault="007C6E87" w:rsidP="00316A1B">
      <w:pPr>
        <w:pStyle w:val="Odstavecseseznamem"/>
        <w:spacing w:after="120" w:line="276" w:lineRule="auto"/>
        <w:contextualSpacing w:val="0"/>
        <w:jc w:val="both"/>
      </w:pPr>
    </w:p>
    <w:p w14:paraId="5F36EFCB" w14:textId="4C6155BA" w:rsidR="00A75179" w:rsidRPr="00393D5E" w:rsidRDefault="45CC9449" w:rsidP="00316A1B">
      <w:pPr>
        <w:pStyle w:val="Nadpis2"/>
        <w:spacing w:line="276" w:lineRule="auto"/>
      </w:pPr>
      <w:bookmarkStart w:id="295" w:name="_Toc151444364"/>
      <w:r>
        <w:t>Rovnost žen a</w:t>
      </w:r>
      <w:r w:rsidR="0003053E">
        <w:t> </w:t>
      </w:r>
      <w:r>
        <w:t>mužů a</w:t>
      </w:r>
      <w:r w:rsidR="0003053E">
        <w:t> </w:t>
      </w:r>
      <w:r>
        <w:t>rovné příležitosti pro všechny</w:t>
      </w:r>
      <w:bookmarkEnd w:id="295"/>
    </w:p>
    <w:p w14:paraId="17630527" w14:textId="007C9069" w:rsidR="00A35C11" w:rsidRPr="00393D5E" w:rsidRDefault="00A35C11" w:rsidP="00316A1B">
      <w:pPr>
        <w:spacing w:line="276" w:lineRule="auto"/>
        <w:jc w:val="both"/>
      </w:pPr>
      <w:r w:rsidRPr="00393D5E">
        <w:t>V NPO (2021), v</w:t>
      </w:r>
      <w:r w:rsidR="0003053E">
        <w:t> </w:t>
      </w:r>
      <w:r w:rsidRPr="00393D5E">
        <w:t>kapitole I.3.11, str. 49 a</w:t>
      </w:r>
      <w:r w:rsidR="0003053E">
        <w:t> </w:t>
      </w:r>
      <w:r w:rsidRPr="00393D5E">
        <w:t>50, je popsáno, jakým způsobem opatření NPO přispívají k</w:t>
      </w:r>
      <w:r w:rsidR="0003053E">
        <w:t> </w:t>
      </w:r>
      <w:r w:rsidRPr="00393D5E">
        <w:t>úsilí na dosažení rovnosti mužů a</w:t>
      </w:r>
      <w:r w:rsidR="0003053E">
        <w:t> </w:t>
      </w:r>
      <w:r w:rsidRPr="00393D5E">
        <w:t>žen a</w:t>
      </w:r>
      <w:r w:rsidR="0003053E">
        <w:t> </w:t>
      </w:r>
      <w:r w:rsidRPr="00393D5E">
        <w:t>rovných příležitostí pro všechny.</w:t>
      </w:r>
    </w:p>
    <w:p w14:paraId="7340C05D" w14:textId="16241229" w:rsidR="0C2815E1" w:rsidRPr="00FB0EFA" w:rsidRDefault="3C4231D4" w:rsidP="00316A1B">
      <w:pPr>
        <w:spacing w:line="276" w:lineRule="auto"/>
        <w:jc w:val="both"/>
        <w:rPr>
          <w:rFonts w:ascii="Calibri" w:eastAsia="Calibri" w:hAnsi="Calibri" w:cs="Calibri"/>
          <w:i/>
          <w:iCs/>
        </w:rPr>
      </w:pPr>
      <w:r w:rsidRPr="5503C2F8">
        <w:rPr>
          <w:rFonts w:ascii="Calibri" w:eastAsia="Calibri" w:hAnsi="Calibri" w:cs="Calibri"/>
        </w:rPr>
        <w:t>Z hlediska rovnosti žen a</w:t>
      </w:r>
      <w:r w:rsidR="0003053E">
        <w:rPr>
          <w:rFonts w:ascii="Calibri" w:eastAsia="Calibri" w:hAnsi="Calibri" w:cs="Calibri"/>
        </w:rPr>
        <w:t> </w:t>
      </w:r>
      <w:r w:rsidRPr="5503C2F8">
        <w:rPr>
          <w:rFonts w:ascii="Calibri" w:eastAsia="Calibri" w:hAnsi="Calibri" w:cs="Calibri"/>
        </w:rPr>
        <w:t>mužů jsou významné především rozšíření/navýšení investice Rozvoj a</w:t>
      </w:r>
      <w:r w:rsidR="0003053E">
        <w:rPr>
          <w:rFonts w:ascii="Calibri" w:eastAsia="Calibri" w:hAnsi="Calibri" w:cs="Calibri"/>
        </w:rPr>
        <w:t> </w:t>
      </w:r>
      <w:r w:rsidRPr="5503C2F8">
        <w:rPr>
          <w:rFonts w:ascii="Calibri" w:eastAsia="Calibri" w:hAnsi="Calibri" w:cs="Calibri"/>
        </w:rPr>
        <w:t>modernizace infrastruktury sociální péče komponenty 3.3 Modernizace služeb zaměstnanosti a</w:t>
      </w:r>
      <w:r w:rsidR="0003053E">
        <w:rPr>
          <w:rFonts w:ascii="Calibri" w:eastAsia="Calibri" w:hAnsi="Calibri" w:cs="Calibri"/>
        </w:rPr>
        <w:t> </w:t>
      </w:r>
      <w:r w:rsidRPr="5503C2F8">
        <w:rPr>
          <w:rFonts w:ascii="Calibri" w:eastAsia="Calibri" w:hAnsi="Calibri" w:cs="Calibri"/>
        </w:rPr>
        <w:t>rozvoj trhu práce i</w:t>
      </w:r>
      <w:r w:rsidR="0003053E">
        <w:rPr>
          <w:rFonts w:ascii="Calibri" w:eastAsia="Calibri" w:hAnsi="Calibri" w:cs="Calibri"/>
        </w:rPr>
        <w:t> </w:t>
      </w:r>
      <w:r w:rsidRPr="5503C2F8">
        <w:rPr>
          <w:rFonts w:ascii="Calibri" w:eastAsia="Calibri" w:hAnsi="Calibri" w:cs="Calibri"/>
        </w:rPr>
        <w:t xml:space="preserve">nové komponenty </w:t>
      </w:r>
      <w:r w:rsidR="002F1580">
        <w:rPr>
          <w:rFonts w:ascii="Calibri" w:eastAsia="Calibri" w:hAnsi="Calibri" w:cs="Calibri"/>
          <w:i/>
          <w:iCs/>
        </w:rPr>
        <w:t>2.10</w:t>
      </w:r>
      <w:r w:rsidRPr="5503C2F8">
        <w:rPr>
          <w:rFonts w:ascii="Calibri" w:eastAsia="Calibri" w:hAnsi="Calibri" w:cs="Calibri"/>
          <w:i/>
          <w:iCs/>
        </w:rPr>
        <w:t xml:space="preserve"> </w:t>
      </w:r>
      <w:r w:rsidR="00FB0EFA">
        <w:rPr>
          <w:rFonts w:ascii="Calibri" w:eastAsia="Calibri" w:hAnsi="Calibri" w:cs="Calibri"/>
          <w:i/>
          <w:iCs/>
        </w:rPr>
        <w:t>Dostupné</w:t>
      </w:r>
      <w:r w:rsidRPr="5503C2F8">
        <w:rPr>
          <w:rFonts w:ascii="Calibri" w:eastAsia="Calibri" w:hAnsi="Calibri" w:cs="Calibri"/>
          <w:i/>
          <w:iCs/>
        </w:rPr>
        <w:t xml:space="preserve"> bydlení</w:t>
      </w:r>
      <w:r w:rsidRPr="5503C2F8">
        <w:rPr>
          <w:rFonts w:ascii="Calibri" w:eastAsia="Calibri" w:hAnsi="Calibri" w:cs="Calibri"/>
        </w:rPr>
        <w:t>. Ty budou mít přímý pozitivní dopad na rovnost žen a</w:t>
      </w:r>
      <w:r w:rsidR="0003053E">
        <w:rPr>
          <w:rFonts w:ascii="Calibri" w:eastAsia="Calibri" w:hAnsi="Calibri" w:cs="Calibri"/>
        </w:rPr>
        <w:t> </w:t>
      </w:r>
      <w:r w:rsidRPr="5503C2F8">
        <w:rPr>
          <w:rFonts w:ascii="Calibri" w:eastAsia="Calibri" w:hAnsi="Calibri" w:cs="Calibri"/>
        </w:rPr>
        <w:t>mužů, neboť v</w:t>
      </w:r>
      <w:r w:rsidR="0003053E">
        <w:rPr>
          <w:rFonts w:ascii="Calibri" w:eastAsia="Calibri" w:hAnsi="Calibri" w:cs="Calibri"/>
        </w:rPr>
        <w:t> </w:t>
      </w:r>
      <w:r w:rsidRPr="5503C2F8">
        <w:rPr>
          <w:rFonts w:ascii="Calibri" w:eastAsia="Calibri" w:hAnsi="Calibri" w:cs="Calibri"/>
        </w:rPr>
        <w:t>sektoru sociální péče dlouhodobě dominují ženy a</w:t>
      </w:r>
      <w:r w:rsidR="0003053E">
        <w:rPr>
          <w:rFonts w:ascii="Calibri" w:eastAsia="Calibri" w:hAnsi="Calibri" w:cs="Calibri"/>
        </w:rPr>
        <w:t> </w:t>
      </w:r>
      <w:r w:rsidRPr="5503C2F8">
        <w:rPr>
          <w:rFonts w:ascii="Calibri" w:eastAsia="Calibri" w:hAnsi="Calibri" w:cs="Calibri"/>
        </w:rPr>
        <w:t>ženy (s dětmi) jsou také zranitelnější na trhu s</w:t>
      </w:r>
      <w:r w:rsidR="0003053E">
        <w:rPr>
          <w:rFonts w:ascii="Calibri" w:eastAsia="Calibri" w:hAnsi="Calibri" w:cs="Calibri"/>
        </w:rPr>
        <w:t> </w:t>
      </w:r>
      <w:r w:rsidRPr="5503C2F8">
        <w:rPr>
          <w:rFonts w:ascii="Calibri" w:eastAsia="Calibri" w:hAnsi="Calibri" w:cs="Calibri"/>
        </w:rPr>
        <w:t xml:space="preserve">bydlením. </w:t>
      </w:r>
    </w:p>
    <w:p w14:paraId="1B0C87D5" w14:textId="1A69E058" w:rsidR="74F2984D" w:rsidRPr="00393D5E" w:rsidRDefault="74F2984D" w:rsidP="009E6ABB">
      <w:pPr>
        <w:spacing w:line="276" w:lineRule="auto"/>
        <w:jc w:val="both"/>
        <w:rPr>
          <w:rFonts w:ascii="Calibri" w:eastAsia="Calibri" w:hAnsi="Calibri" w:cs="Calibri"/>
        </w:rPr>
      </w:pPr>
      <w:r w:rsidRPr="00393D5E">
        <w:rPr>
          <w:rFonts w:ascii="Calibri" w:eastAsia="Calibri" w:hAnsi="Calibri" w:cs="Calibri"/>
        </w:rPr>
        <w:lastRenderedPageBreak/>
        <w:t>V rámci realizace ostatních komponent (zejm. komponenty</w:t>
      </w:r>
      <w:r w:rsidR="009738BC">
        <w:rPr>
          <w:rFonts w:ascii="Calibri" w:eastAsia="Calibri" w:hAnsi="Calibri" w:cs="Calibri"/>
        </w:rPr>
        <w:t> </w:t>
      </w:r>
      <w:r w:rsidRPr="00393D5E">
        <w:rPr>
          <w:rFonts w:ascii="Calibri" w:eastAsia="Calibri" w:hAnsi="Calibri" w:cs="Calibri"/>
          <w:i/>
          <w:iCs/>
        </w:rPr>
        <w:t>1.4 Digitální ekonomika a</w:t>
      </w:r>
      <w:r w:rsidR="0003053E">
        <w:rPr>
          <w:rFonts w:ascii="Calibri" w:eastAsia="Calibri" w:hAnsi="Calibri" w:cs="Calibri"/>
          <w:i/>
          <w:iCs/>
        </w:rPr>
        <w:t> </w:t>
      </w:r>
      <w:r w:rsidRPr="00393D5E">
        <w:rPr>
          <w:rFonts w:ascii="Calibri" w:eastAsia="Calibri" w:hAnsi="Calibri" w:cs="Calibri"/>
          <w:i/>
          <w:iCs/>
        </w:rPr>
        <w:t>společnost, inovativní start-upy a</w:t>
      </w:r>
      <w:r w:rsidR="0003053E">
        <w:rPr>
          <w:rFonts w:ascii="Calibri" w:eastAsia="Calibri" w:hAnsi="Calibri" w:cs="Calibri"/>
          <w:i/>
          <w:iCs/>
        </w:rPr>
        <w:t> </w:t>
      </w:r>
      <w:r w:rsidRPr="00393D5E">
        <w:rPr>
          <w:rFonts w:ascii="Calibri" w:eastAsia="Calibri" w:hAnsi="Calibri" w:cs="Calibri"/>
          <w:i/>
          <w:iCs/>
        </w:rPr>
        <w:t>nové technologie</w:t>
      </w:r>
      <w:r w:rsidRPr="00393D5E">
        <w:rPr>
          <w:rFonts w:ascii="Calibri" w:eastAsia="Calibri" w:hAnsi="Calibri" w:cs="Calibri"/>
        </w:rPr>
        <w:t>) bude rovnost žen a</w:t>
      </w:r>
      <w:r w:rsidR="0003053E">
        <w:rPr>
          <w:rFonts w:ascii="Calibri" w:eastAsia="Calibri" w:hAnsi="Calibri" w:cs="Calibri"/>
        </w:rPr>
        <w:t> </w:t>
      </w:r>
      <w:r w:rsidRPr="00393D5E">
        <w:rPr>
          <w:rFonts w:ascii="Calibri" w:eastAsia="Calibri" w:hAnsi="Calibri" w:cs="Calibri"/>
        </w:rPr>
        <w:t>mužů zohledňována jako průřezový princip.</w:t>
      </w:r>
    </w:p>
    <w:p w14:paraId="5937066B" w14:textId="4439A57B" w:rsidR="74F2984D" w:rsidRPr="00393D5E" w:rsidRDefault="74F2984D" w:rsidP="009E6ABB">
      <w:pPr>
        <w:spacing w:line="276" w:lineRule="auto"/>
        <w:jc w:val="both"/>
        <w:rPr>
          <w:rFonts w:ascii="Calibri" w:eastAsia="Calibri" w:hAnsi="Calibri" w:cs="Calibri"/>
        </w:rPr>
      </w:pPr>
      <w:r w:rsidRPr="00393D5E">
        <w:rPr>
          <w:rFonts w:ascii="Calibri" w:eastAsia="Calibri" w:hAnsi="Calibri" w:cs="Calibri"/>
        </w:rPr>
        <w:t>Z opatření, která přináší aktualizace NPO, rovným příležitostem pro všechny obecně přispívají zejména opatření spojená se sociálními a</w:t>
      </w:r>
      <w:r w:rsidR="0003053E">
        <w:rPr>
          <w:rFonts w:ascii="Calibri" w:eastAsia="Calibri" w:hAnsi="Calibri" w:cs="Calibri"/>
        </w:rPr>
        <w:t> </w:t>
      </w:r>
      <w:r w:rsidRPr="00393D5E">
        <w:rPr>
          <w:rFonts w:ascii="Calibri" w:eastAsia="Calibri" w:hAnsi="Calibri" w:cs="Calibri"/>
        </w:rPr>
        <w:t>vzdělávacími aspekty. Konkrétně jde o</w:t>
      </w:r>
      <w:r w:rsidR="0003053E">
        <w:rPr>
          <w:rFonts w:ascii="Calibri" w:eastAsia="Calibri" w:hAnsi="Calibri" w:cs="Calibri"/>
        </w:rPr>
        <w:t> </w:t>
      </w:r>
      <w:r w:rsidRPr="00393D5E">
        <w:rPr>
          <w:rFonts w:ascii="Calibri" w:eastAsia="Calibri" w:hAnsi="Calibri" w:cs="Calibri"/>
        </w:rPr>
        <w:t>navýšení/rozšíření investice</w:t>
      </w:r>
      <w:r w:rsidRPr="00393D5E">
        <w:rPr>
          <w:rFonts w:ascii="Calibri" w:eastAsia="Calibri" w:hAnsi="Calibri" w:cs="Calibri"/>
          <w:i/>
          <w:iCs/>
        </w:rPr>
        <w:t xml:space="preserve"> </w:t>
      </w:r>
      <w:r w:rsidRPr="00393D5E">
        <w:rPr>
          <w:rFonts w:ascii="Calibri" w:eastAsia="Calibri" w:hAnsi="Calibri" w:cs="Calibri"/>
        </w:rPr>
        <w:t>Rozvoj a</w:t>
      </w:r>
      <w:r w:rsidR="0003053E">
        <w:rPr>
          <w:rFonts w:ascii="Calibri" w:eastAsia="Calibri" w:hAnsi="Calibri" w:cs="Calibri"/>
        </w:rPr>
        <w:t> </w:t>
      </w:r>
      <w:r w:rsidRPr="00393D5E">
        <w:rPr>
          <w:rFonts w:ascii="Calibri" w:eastAsia="Calibri" w:hAnsi="Calibri" w:cs="Calibri"/>
        </w:rPr>
        <w:t>modernizace infrastruktury sociální péče a</w:t>
      </w:r>
      <w:r w:rsidR="0003053E">
        <w:rPr>
          <w:rFonts w:ascii="Calibri" w:eastAsia="Calibri" w:hAnsi="Calibri" w:cs="Calibri"/>
        </w:rPr>
        <w:t> </w:t>
      </w:r>
      <w:r w:rsidRPr="00393D5E">
        <w:rPr>
          <w:rFonts w:ascii="Calibri" w:eastAsia="Calibri" w:hAnsi="Calibri" w:cs="Calibri"/>
        </w:rPr>
        <w:t>nová investice Rozvoj a</w:t>
      </w:r>
      <w:r w:rsidR="0003053E">
        <w:rPr>
          <w:rFonts w:ascii="Calibri" w:eastAsia="Calibri" w:hAnsi="Calibri" w:cs="Calibri"/>
        </w:rPr>
        <w:t> </w:t>
      </w:r>
      <w:r w:rsidRPr="00393D5E">
        <w:rPr>
          <w:rFonts w:ascii="Calibri" w:eastAsia="Calibri" w:hAnsi="Calibri" w:cs="Calibri"/>
        </w:rPr>
        <w:t>modernizace služeb komunitního typu pro ohrožené děti</w:t>
      </w:r>
      <w:r w:rsidRPr="00393D5E">
        <w:rPr>
          <w:rFonts w:ascii="Calibri" w:eastAsia="Calibri" w:hAnsi="Calibri" w:cs="Calibri"/>
          <w:i/>
          <w:iCs/>
        </w:rPr>
        <w:t xml:space="preserve"> </w:t>
      </w:r>
      <w:r w:rsidRPr="00393D5E">
        <w:rPr>
          <w:rFonts w:ascii="Calibri" w:eastAsia="Calibri" w:hAnsi="Calibri" w:cs="Calibri"/>
        </w:rPr>
        <w:t>v</w:t>
      </w:r>
      <w:r w:rsidR="0003053E">
        <w:rPr>
          <w:rFonts w:ascii="Calibri" w:eastAsia="Calibri" w:hAnsi="Calibri" w:cs="Calibri"/>
        </w:rPr>
        <w:t> </w:t>
      </w:r>
      <w:r w:rsidRPr="00393D5E">
        <w:rPr>
          <w:rFonts w:ascii="Calibri" w:eastAsia="Calibri" w:hAnsi="Calibri" w:cs="Calibri"/>
        </w:rPr>
        <w:t xml:space="preserve">komponentě </w:t>
      </w:r>
      <w:r w:rsidRPr="00393D5E">
        <w:rPr>
          <w:rFonts w:ascii="Calibri" w:eastAsia="Calibri" w:hAnsi="Calibri" w:cs="Calibri"/>
          <w:i/>
          <w:iCs/>
        </w:rPr>
        <w:t>3.3</w:t>
      </w:r>
      <w:r w:rsidRPr="00393D5E">
        <w:rPr>
          <w:rFonts w:ascii="Calibri" w:eastAsia="Calibri" w:hAnsi="Calibri" w:cs="Calibri"/>
        </w:rPr>
        <w:t xml:space="preserve"> </w:t>
      </w:r>
      <w:r w:rsidRPr="00393D5E">
        <w:rPr>
          <w:rFonts w:ascii="Calibri" w:eastAsia="Calibri" w:hAnsi="Calibri" w:cs="Calibri"/>
          <w:i/>
          <w:iCs/>
        </w:rPr>
        <w:t>Modernizace služeb zaměstnanosti a</w:t>
      </w:r>
      <w:r w:rsidR="0003053E">
        <w:rPr>
          <w:rFonts w:ascii="Calibri" w:eastAsia="Calibri" w:hAnsi="Calibri" w:cs="Calibri"/>
          <w:i/>
          <w:iCs/>
        </w:rPr>
        <w:t> </w:t>
      </w:r>
      <w:r w:rsidRPr="00393D5E">
        <w:rPr>
          <w:rFonts w:ascii="Calibri" w:eastAsia="Calibri" w:hAnsi="Calibri" w:cs="Calibri"/>
          <w:i/>
          <w:iCs/>
        </w:rPr>
        <w:t>rozvoj trhu práce</w:t>
      </w:r>
      <w:r w:rsidRPr="00393D5E">
        <w:rPr>
          <w:rFonts w:ascii="Calibri" w:eastAsia="Calibri" w:hAnsi="Calibri" w:cs="Calibri"/>
        </w:rPr>
        <w:t>, které počítají s</w:t>
      </w:r>
      <w:r w:rsidR="0003053E">
        <w:rPr>
          <w:rFonts w:ascii="Calibri" w:eastAsia="Calibri" w:hAnsi="Calibri" w:cs="Calibri"/>
        </w:rPr>
        <w:t> </w:t>
      </w:r>
      <w:r w:rsidRPr="00393D5E">
        <w:rPr>
          <w:rFonts w:ascii="Calibri" w:eastAsia="Calibri" w:hAnsi="Calibri" w:cs="Calibri"/>
        </w:rPr>
        <w:t>vybudováním či rekonstrukcí pobytových zařízení komunitního typu, čímž přispívají i</w:t>
      </w:r>
      <w:r w:rsidR="0003053E">
        <w:rPr>
          <w:rFonts w:ascii="Calibri" w:eastAsia="Calibri" w:hAnsi="Calibri" w:cs="Calibri"/>
        </w:rPr>
        <w:t> </w:t>
      </w:r>
      <w:r w:rsidRPr="00393D5E">
        <w:rPr>
          <w:rFonts w:ascii="Calibri" w:eastAsia="Calibri" w:hAnsi="Calibri" w:cs="Calibri"/>
        </w:rPr>
        <w:t>k jejich deinstitucionalizaci a</w:t>
      </w:r>
      <w:r w:rsidR="0003053E">
        <w:rPr>
          <w:rFonts w:ascii="Calibri" w:eastAsia="Calibri" w:hAnsi="Calibri" w:cs="Calibri"/>
        </w:rPr>
        <w:t> </w:t>
      </w:r>
      <w:r w:rsidRPr="00393D5E">
        <w:rPr>
          <w:rFonts w:ascii="Calibri" w:eastAsia="Calibri" w:hAnsi="Calibri" w:cs="Calibri"/>
        </w:rPr>
        <w:t>ke společenskému začleňování osob se zdravotním postižením v</w:t>
      </w:r>
      <w:r w:rsidR="0003053E">
        <w:rPr>
          <w:rFonts w:ascii="Calibri" w:eastAsia="Calibri" w:hAnsi="Calibri" w:cs="Calibri"/>
        </w:rPr>
        <w:t> </w:t>
      </w:r>
      <w:r w:rsidRPr="00393D5E">
        <w:rPr>
          <w:rFonts w:ascii="Calibri" w:eastAsia="Calibri" w:hAnsi="Calibri" w:cs="Calibri"/>
        </w:rPr>
        <w:t>souladu s</w:t>
      </w:r>
      <w:r w:rsidR="0003053E">
        <w:rPr>
          <w:rFonts w:ascii="Calibri" w:eastAsia="Calibri" w:hAnsi="Calibri" w:cs="Calibri"/>
        </w:rPr>
        <w:t> </w:t>
      </w:r>
      <w:r w:rsidRPr="00393D5E">
        <w:rPr>
          <w:rFonts w:ascii="Calibri" w:eastAsia="Calibri" w:hAnsi="Calibri" w:cs="Calibri"/>
        </w:rPr>
        <w:t>Úmluvou o</w:t>
      </w:r>
      <w:r w:rsidR="0003053E">
        <w:rPr>
          <w:rFonts w:ascii="Calibri" w:eastAsia="Calibri" w:hAnsi="Calibri" w:cs="Calibri"/>
        </w:rPr>
        <w:t> </w:t>
      </w:r>
      <w:r w:rsidRPr="00393D5E">
        <w:rPr>
          <w:rFonts w:ascii="Calibri" w:eastAsia="Calibri" w:hAnsi="Calibri" w:cs="Calibri"/>
        </w:rPr>
        <w:t xml:space="preserve">právech osob se zdravotním postižením. </w:t>
      </w:r>
      <w:r w:rsidRPr="5503C2F8">
        <w:rPr>
          <w:rFonts w:ascii="Calibri" w:eastAsia="Calibri" w:hAnsi="Calibri" w:cs="Calibri"/>
        </w:rPr>
        <w:t>Podobně mohou k</w:t>
      </w:r>
      <w:r w:rsidR="0003053E">
        <w:rPr>
          <w:rFonts w:ascii="Calibri" w:eastAsia="Calibri" w:hAnsi="Calibri" w:cs="Calibri"/>
        </w:rPr>
        <w:t> </w:t>
      </w:r>
      <w:r w:rsidRPr="5503C2F8">
        <w:rPr>
          <w:rFonts w:ascii="Calibri" w:eastAsia="Calibri" w:hAnsi="Calibri" w:cs="Calibri"/>
        </w:rPr>
        <w:t>rovným příležitostem pro všechny přispět i</w:t>
      </w:r>
      <w:r w:rsidR="0003053E">
        <w:rPr>
          <w:rFonts w:ascii="Calibri" w:eastAsia="Calibri" w:hAnsi="Calibri" w:cs="Calibri"/>
        </w:rPr>
        <w:t> </w:t>
      </w:r>
      <w:r w:rsidRPr="5503C2F8">
        <w:rPr>
          <w:rFonts w:ascii="Calibri" w:eastAsia="Calibri" w:hAnsi="Calibri" w:cs="Calibri"/>
        </w:rPr>
        <w:t xml:space="preserve">nové komponenty </w:t>
      </w:r>
      <w:r w:rsidR="002F1580">
        <w:rPr>
          <w:rFonts w:ascii="Calibri" w:eastAsia="Calibri" w:hAnsi="Calibri" w:cs="Calibri"/>
          <w:i/>
          <w:iCs/>
        </w:rPr>
        <w:t xml:space="preserve">2.10 </w:t>
      </w:r>
      <w:r w:rsidR="00DD04C8">
        <w:rPr>
          <w:rFonts w:ascii="Calibri" w:eastAsia="Calibri" w:hAnsi="Calibri" w:cs="Calibri"/>
          <w:i/>
          <w:iCs/>
        </w:rPr>
        <w:t>Dostupné</w:t>
      </w:r>
      <w:r w:rsidR="002F1580">
        <w:rPr>
          <w:rFonts w:ascii="Calibri" w:eastAsia="Calibri" w:hAnsi="Calibri" w:cs="Calibri"/>
          <w:i/>
          <w:iCs/>
        </w:rPr>
        <w:t xml:space="preserve"> </w:t>
      </w:r>
      <w:r w:rsidRPr="5503C2F8">
        <w:rPr>
          <w:rFonts w:ascii="Calibri" w:eastAsia="Calibri" w:hAnsi="Calibri" w:cs="Calibri"/>
          <w:i/>
          <w:iCs/>
        </w:rPr>
        <w:t>bydlení</w:t>
      </w:r>
      <w:r w:rsidRPr="5503C2F8">
        <w:rPr>
          <w:rFonts w:ascii="Calibri" w:eastAsia="Calibri" w:hAnsi="Calibri" w:cs="Calibri"/>
        </w:rPr>
        <w:t xml:space="preserve">. </w:t>
      </w:r>
    </w:p>
    <w:p w14:paraId="61799180" w14:textId="6CDB12EA" w:rsidR="74F2984D" w:rsidRPr="00393D5E" w:rsidRDefault="74F2984D" w:rsidP="009E6ABB">
      <w:pPr>
        <w:spacing w:line="276" w:lineRule="auto"/>
        <w:jc w:val="both"/>
        <w:rPr>
          <w:rFonts w:ascii="Calibri" w:eastAsia="Calibri" w:hAnsi="Calibri" w:cs="Calibri"/>
        </w:rPr>
      </w:pPr>
      <w:r w:rsidRPr="00393D5E">
        <w:rPr>
          <w:rFonts w:ascii="Calibri" w:eastAsia="Calibri" w:hAnsi="Calibri" w:cs="Calibri"/>
        </w:rPr>
        <w:t>Nová opatření komponent pilíře 1 z</w:t>
      </w:r>
      <w:r w:rsidR="0003053E">
        <w:rPr>
          <w:rFonts w:ascii="Calibri" w:eastAsia="Calibri" w:hAnsi="Calibri" w:cs="Calibri"/>
        </w:rPr>
        <w:t> </w:t>
      </w:r>
      <w:r w:rsidRPr="00393D5E">
        <w:rPr>
          <w:rFonts w:ascii="Calibri" w:eastAsia="Calibri" w:hAnsi="Calibri" w:cs="Calibri"/>
        </w:rPr>
        <w:t>oblasti digitalizace mohou posílit rovný přístup všech k</w:t>
      </w:r>
      <w:r w:rsidR="0003053E">
        <w:rPr>
          <w:rFonts w:ascii="Calibri" w:eastAsia="Calibri" w:hAnsi="Calibri" w:cs="Calibri"/>
        </w:rPr>
        <w:t> </w:t>
      </w:r>
      <w:r w:rsidRPr="00393D5E">
        <w:rPr>
          <w:rFonts w:ascii="Calibri" w:eastAsia="Calibri" w:hAnsi="Calibri" w:cs="Calibri"/>
        </w:rPr>
        <w:t>veřejným službám spolu s</w:t>
      </w:r>
      <w:r w:rsidR="0003053E">
        <w:rPr>
          <w:rFonts w:ascii="Calibri" w:eastAsia="Calibri" w:hAnsi="Calibri" w:cs="Calibri"/>
        </w:rPr>
        <w:t> </w:t>
      </w:r>
      <w:r w:rsidRPr="00393D5E">
        <w:rPr>
          <w:rFonts w:ascii="Calibri" w:eastAsia="Calibri" w:hAnsi="Calibri" w:cs="Calibri"/>
        </w:rPr>
        <w:t>ekonomickým rozvojem i</w:t>
      </w:r>
      <w:r w:rsidR="0003053E">
        <w:rPr>
          <w:rFonts w:ascii="Calibri" w:eastAsia="Calibri" w:hAnsi="Calibri" w:cs="Calibri"/>
        </w:rPr>
        <w:t> </w:t>
      </w:r>
      <w:r w:rsidRPr="00393D5E">
        <w:rPr>
          <w:rFonts w:ascii="Calibri" w:eastAsia="Calibri" w:hAnsi="Calibri" w:cs="Calibri"/>
        </w:rPr>
        <w:t>zvýšením zaměstnanosti a</w:t>
      </w:r>
      <w:r w:rsidR="0003053E">
        <w:rPr>
          <w:rFonts w:ascii="Calibri" w:eastAsia="Calibri" w:hAnsi="Calibri" w:cs="Calibri"/>
        </w:rPr>
        <w:t> </w:t>
      </w:r>
      <w:r w:rsidRPr="00393D5E">
        <w:rPr>
          <w:rFonts w:ascii="Calibri" w:eastAsia="Calibri" w:hAnsi="Calibri" w:cs="Calibri"/>
        </w:rPr>
        <w:t>společenského bohatství. Nová opatření komponent pilíře 2 z</w:t>
      </w:r>
      <w:r w:rsidR="0003053E">
        <w:rPr>
          <w:rFonts w:ascii="Calibri" w:eastAsia="Calibri" w:hAnsi="Calibri" w:cs="Calibri"/>
        </w:rPr>
        <w:t> </w:t>
      </w:r>
      <w:r w:rsidRPr="00393D5E">
        <w:rPr>
          <w:rFonts w:ascii="Calibri" w:eastAsia="Calibri" w:hAnsi="Calibri" w:cs="Calibri"/>
        </w:rPr>
        <w:t>oblasti zelené transformace pak pomohou zachovat všem životní prostředí a</w:t>
      </w:r>
      <w:r w:rsidR="0003053E">
        <w:rPr>
          <w:rFonts w:ascii="Calibri" w:eastAsia="Calibri" w:hAnsi="Calibri" w:cs="Calibri"/>
        </w:rPr>
        <w:t> </w:t>
      </w:r>
      <w:r w:rsidRPr="00393D5E">
        <w:rPr>
          <w:rFonts w:ascii="Calibri" w:eastAsia="Calibri" w:hAnsi="Calibri" w:cs="Calibri"/>
        </w:rPr>
        <w:t>vhodně se adaptovat na klimatickou změnu.</w:t>
      </w:r>
    </w:p>
    <w:p w14:paraId="5C386935" w14:textId="3D65EFAB" w:rsidR="62A00635" w:rsidRPr="00393D5E" w:rsidRDefault="62A00635" w:rsidP="00316A1B">
      <w:pPr>
        <w:spacing w:line="276" w:lineRule="auto"/>
        <w:jc w:val="both"/>
      </w:pPr>
    </w:p>
    <w:p w14:paraId="0B68F9FA" w14:textId="405398AD" w:rsidR="00A75179" w:rsidRPr="00393D5E" w:rsidRDefault="45CC9449" w:rsidP="00316A1B">
      <w:pPr>
        <w:pStyle w:val="Nadpis2"/>
        <w:spacing w:line="276" w:lineRule="auto"/>
      </w:pPr>
      <w:bookmarkStart w:id="296" w:name="_Toc151444365"/>
      <w:r>
        <w:t>Posílení hospodářské, sociální a</w:t>
      </w:r>
      <w:r w:rsidR="0003053E">
        <w:t> </w:t>
      </w:r>
      <w:r>
        <w:t>institucionální odolnosti</w:t>
      </w:r>
      <w:bookmarkEnd w:id="296"/>
    </w:p>
    <w:p w14:paraId="554A93AF" w14:textId="77777777" w:rsidR="00D34503" w:rsidRPr="00393D5E" w:rsidRDefault="009109F4" w:rsidP="00316A1B">
      <w:pPr>
        <w:spacing w:line="276" w:lineRule="auto"/>
        <w:jc w:val="both"/>
        <w:rPr>
          <w:b/>
        </w:rPr>
      </w:pPr>
      <w:r w:rsidRPr="00393D5E">
        <w:rPr>
          <w:b/>
        </w:rPr>
        <w:t xml:space="preserve"> </w:t>
      </w:r>
    </w:p>
    <w:p w14:paraId="29108352" w14:textId="174772F1" w:rsidR="00D34503" w:rsidRPr="00393D5E" w:rsidRDefault="449517C1" w:rsidP="00316A1B">
      <w:pPr>
        <w:spacing w:line="276" w:lineRule="auto"/>
        <w:jc w:val="both"/>
      </w:pPr>
      <w:r w:rsidRPr="00393D5E">
        <w:t>Dopady na hospodářskou, sociální a</w:t>
      </w:r>
      <w:r w:rsidR="0003053E">
        <w:t> </w:t>
      </w:r>
      <w:r w:rsidRPr="00393D5E">
        <w:t>institucionální odolnost byly popsány v</w:t>
      </w:r>
      <w:r w:rsidR="0003053E">
        <w:t> </w:t>
      </w:r>
      <w:r w:rsidRPr="00393D5E">
        <w:t>NPO (2021) a</w:t>
      </w:r>
      <w:r w:rsidR="0003053E">
        <w:t> </w:t>
      </w:r>
      <w:r w:rsidRPr="00393D5E">
        <w:t>to zejména v</w:t>
      </w:r>
      <w:r w:rsidR="0003053E">
        <w:t> </w:t>
      </w:r>
      <w:r w:rsidRPr="00393D5E">
        <w:t>kapitole I.3.1 Zhodnocení reakce na hospodářskou a</w:t>
      </w:r>
      <w:r w:rsidR="0003053E">
        <w:t> </w:t>
      </w:r>
      <w:r w:rsidRPr="00393D5E">
        <w:t>sociální situaci, str. 13 a</w:t>
      </w:r>
      <w:r w:rsidR="0003053E">
        <w:t> </w:t>
      </w:r>
      <w:r w:rsidRPr="00393D5E">
        <w:t>násl., a</w:t>
      </w:r>
      <w:r w:rsidR="0003053E">
        <w:t> </w:t>
      </w:r>
      <w:r w:rsidRPr="00393D5E">
        <w:t>kapitole IV.1 Makroekonomické dopady a</w:t>
      </w:r>
      <w:r w:rsidR="0003053E">
        <w:t> </w:t>
      </w:r>
      <w:r w:rsidRPr="00393D5E">
        <w:t>IV.3 Udržitelnost, sociální odolnost pak v</w:t>
      </w:r>
      <w:r w:rsidR="0003053E">
        <w:t> </w:t>
      </w:r>
      <w:r w:rsidRPr="00393D5E">
        <w:t>kapitole IV.4 Sociální a</w:t>
      </w:r>
      <w:r w:rsidR="0003053E">
        <w:t> </w:t>
      </w:r>
      <w:r w:rsidRPr="00393D5E">
        <w:t>teritoriální soudržnost.</w:t>
      </w:r>
    </w:p>
    <w:p w14:paraId="4E43EFC3" w14:textId="77777777" w:rsidR="00E05D5A" w:rsidRPr="00393D5E" w:rsidRDefault="00E05D5A" w:rsidP="009E6ABB">
      <w:pPr>
        <w:spacing w:line="276" w:lineRule="auto"/>
        <w:jc w:val="both"/>
      </w:pPr>
    </w:p>
    <w:p w14:paraId="71652A73" w14:textId="77777777" w:rsidR="00A35C11" w:rsidRPr="00393D5E" w:rsidRDefault="00A35C11" w:rsidP="00316A1B">
      <w:pPr>
        <w:spacing w:line="276" w:lineRule="auto"/>
        <w:jc w:val="both"/>
        <w:rPr>
          <w:u w:val="single"/>
        </w:rPr>
      </w:pPr>
      <w:r w:rsidRPr="00393D5E">
        <w:rPr>
          <w:u w:val="single"/>
        </w:rPr>
        <w:t>Udržitelnost</w:t>
      </w:r>
    </w:p>
    <w:p w14:paraId="511A66D3" w14:textId="5298E49B" w:rsidR="00A35C11" w:rsidRPr="00393D5E" w:rsidRDefault="00A35C11" w:rsidP="00316A1B">
      <w:pPr>
        <w:spacing w:line="276" w:lineRule="auto"/>
        <w:jc w:val="both"/>
      </w:pPr>
      <w:r w:rsidRPr="00393D5E">
        <w:t>Udržitelnost dodatečných opatření byla hodnocena z</w:t>
      </w:r>
      <w:r w:rsidR="0003053E">
        <w:t> </w:t>
      </w:r>
      <w:r w:rsidRPr="00393D5E">
        <w:t>hlediska „životaschopnosti“ provádění opatření, resp. jejich dlouhotrvajícího dopadu (coby posuzovacího kritéria RRF).</w:t>
      </w:r>
    </w:p>
    <w:p w14:paraId="2EE71048" w14:textId="1285540D" w:rsidR="00A35C11" w:rsidRPr="00393D5E" w:rsidRDefault="00A35C11" w:rsidP="00316A1B">
      <w:pPr>
        <w:spacing w:line="276" w:lineRule="auto"/>
        <w:jc w:val="both"/>
        <w:rPr>
          <w:i/>
          <w:iCs/>
          <w:highlight w:val="yellow"/>
        </w:rPr>
      </w:pPr>
    </w:p>
    <w:p w14:paraId="2A0910DB" w14:textId="2A003A68" w:rsidR="00A35C11" w:rsidRPr="00393D5E" w:rsidRDefault="3F36E5A1" w:rsidP="00316A1B">
      <w:pPr>
        <w:spacing w:line="276" w:lineRule="auto"/>
        <w:jc w:val="both"/>
        <w:rPr>
          <w:rFonts w:ascii="Calibri" w:eastAsia="Calibri" w:hAnsi="Calibri" w:cs="Calibri"/>
        </w:rPr>
      </w:pPr>
      <w:r w:rsidRPr="00393D5E">
        <w:rPr>
          <w:rFonts w:ascii="Calibri" w:eastAsia="Calibri" w:hAnsi="Calibri" w:cs="Calibri"/>
        </w:rPr>
        <w:t>V kontextu institucionálních dopadů byla do plánu nově přidána také opatření, která budou mít pozitivní výsledky ve zkvalitnění poskytování veřejných služeb veřejnou správou v</w:t>
      </w:r>
      <w:r w:rsidR="0003053E">
        <w:rPr>
          <w:rFonts w:ascii="Calibri" w:eastAsia="Calibri" w:hAnsi="Calibri" w:cs="Calibri"/>
        </w:rPr>
        <w:t> </w:t>
      </w:r>
      <w:r w:rsidRPr="00393D5E">
        <w:rPr>
          <w:rFonts w:ascii="Calibri" w:eastAsia="Calibri" w:hAnsi="Calibri" w:cs="Calibri"/>
        </w:rPr>
        <w:t>ČR. Jde zejména o:</w:t>
      </w:r>
    </w:p>
    <w:p w14:paraId="0B37FA46" w14:textId="674B47D5" w:rsidR="00A35C11" w:rsidRPr="00393D5E" w:rsidRDefault="3F36E5A1" w:rsidP="00CE14E6">
      <w:pPr>
        <w:pStyle w:val="Odstavecseseznamem"/>
        <w:numPr>
          <w:ilvl w:val="0"/>
          <w:numId w:val="13"/>
        </w:numPr>
        <w:spacing w:line="276" w:lineRule="auto"/>
        <w:ind w:left="567" w:hanging="451"/>
        <w:jc w:val="both"/>
        <w:rPr>
          <w:rFonts w:ascii="Calibri" w:eastAsia="Calibri" w:hAnsi="Calibri" w:cs="Calibri"/>
        </w:rPr>
      </w:pPr>
      <w:r w:rsidRPr="00393D5E">
        <w:rPr>
          <w:rFonts w:ascii="Calibri" w:eastAsia="Calibri" w:hAnsi="Calibri" w:cs="Calibri"/>
        </w:rPr>
        <w:t>novou investici Digitální služby pro koncové uživatele v</w:t>
      </w:r>
      <w:r w:rsidR="0003053E">
        <w:rPr>
          <w:rFonts w:ascii="Calibri" w:eastAsia="Calibri" w:hAnsi="Calibri" w:cs="Calibri"/>
        </w:rPr>
        <w:t> </w:t>
      </w:r>
      <w:r w:rsidRPr="00393D5E">
        <w:rPr>
          <w:rFonts w:ascii="Calibri" w:eastAsia="Calibri" w:hAnsi="Calibri" w:cs="Calibri"/>
        </w:rPr>
        <w:t>sociální oblasti v</w:t>
      </w:r>
      <w:r w:rsidR="0003053E">
        <w:rPr>
          <w:rFonts w:ascii="Calibri" w:eastAsia="Calibri" w:hAnsi="Calibri" w:cs="Calibri"/>
        </w:rPr>
        <w:t> </w:t>
      </w:r>
      <w:r w:rsidRPr="00393D5E">
        <w:rPr>
          <w:rFonts w:ascii="Calibri" w:eastAsia="Calibri" w:hAnsi="Calibri" w:cs="Calibri"/>
        </w:rPr>
        <w:t>komponentě 1.1;</w:t>
      </w:r>
    </w:p>
    <w:p w14:paraId="7812DECB" w14:textId="5E5DC0B9" w:rsidR="00A35C11" w:rsidRPr="00393D5E" w:rsidRDefault="3F36E5A1" w:rsidP="00CE14E6">
      <w:pPr>
        <w:pStyle w:val="Odstavecseseznamem"/>
        <w:numPr>
          <w:ilvl w:val="0"/>
          <w:numId w:val="13"/>
        </w:numPr>
        <w:spacing w:line="276" w:lineRule="auto"/>
        <w:ind w:left="567" w:hanging="451"/>
        <w:jc w:val="both"/>
        <w:rPr>
          <w:rFonts w:ascii="Calibri" w:eastAsia="Calibri" w:hAnsi="Calibri" w:cs="Calibri"/>
        </w:rPr>
      </w:pPr>
      <w:r w:rsidRPr="00393D5E">
        <w:rPr>
          <w:rFonts w:ascii="Calibri" w:eastAsia="Calibri" w:hAnsi="Calibri" w:cs="Calibri"/>
        </w:rPr>
        <w:t>novou investici Budování a</w:t>
      </w:r>
      <w:r w:rsidR="0003053E">
        <w:rPr>
          <w:rFonts w:ascii="Calibri" w:eastAsia="Calibri" w:hAnsi="Calibri" w:cs="Calibri"/>
        </w:rPr>
        <w:t> </w:t>
      </w:r>
      <w:r w:rsidRPr="00393D5E">
        <w:rPr>
          <w:rFonts w:ascii="Calibri" w:eastAsia="Calibri" w:hAnsi="Calibri" w:cs="Calibri"/>
        </w:rPr>
        <w:t>rozvoj jednotlivých IS v</w:t>
      </w:r>
      <w:r w:rsidR="0003053E">
        <w:rPr>
          <w:rFonts w:ascii="Calibri" w:eastAsia="Calibri" w:hAnsi="Calibri" w:cs="Calibri"/>
        </w:rPr>
        <w:t> </w:t>
      </w:r>
      <w:r w:rsidRPr="00393D5E">
        <w:rPr>
          <w:rFonts w:ascii="Calibri" w:eastAsia="Calibri" w:hAnsi="Calibri" w:cs="Calibri"/>
        </w:rPr>
        <w:t>sociální oblasti v</w:t>
      </w:r>
      <w:r w:rsidR="0003053E">
        <w:rPr>
          <w:rFonts w:ascii="Calibri" w:eastAsia="Calibri" w:hAnsi="Calibri" w:cs="Calibri"/>
        </w:rPr>
        <w:t> </w:t>
      </w:r>
      <w:r w:rsidRPr="00393D5E">
        <w:rPr>
          <w:rFonts w:ascii="Calibri" w:eastAsia="Calibri" w:hAnsi="Calibri" w:cs="Calibri"/>
        </w:rPr>
        <w:t>komponentě 1.2;</w:t>
      </w:r>
    </w:p>
    <w:p w14:paraId="75DAD773" w14:textId="458C71A8" w:rsidR="3F36E5A1" w:rsidRDefault="3F36E5A1" w:rsidP="35187188">
      <w:pPr>
        <w:pStyle w:val="Odstavecseseznamem"/>
        <w:numPr>
          <w:ilvl w:val="0"/>
          <w:numId w:val="13"/>
        </w:numPr>
        <w:spacing w:line="276" w:lineRule="auto"/>
        <w:ind w:left="567" w:hanging="451"/>
        <w:jc w:val="both"/>
        <w:rPr>
          <w:rFonts w:ascii="Calibri" w:eastAsia="Calibri" w:hAnsi="Calibri" w:cs="Calibri"/>
          <w:i/>
          <w:iCs/>
        </w:rPr>
      </w:pPr>
      <w:r w:rsidRPr="35187188">
        <w:rPr>
          <w:rFonts w:ascii="Calibri" w:eastAsia="Calibri" w:hAnsi="Calibri" w:cs="Calibri"/>
        </w:rPr>
        <w:t xml:space="preserve">novou komponentu </w:t>
      </w:r>
      <w:r w:rsidRPr="35187188">
        <w:rPr>
          <w:rFonts w:ascii="Calibri" w:eastAsia="Calibri" w:hAnsi="Calibri" w:cs="Calibri"/>
          <w:i/>
          <w:iCs/>
        </w:rPr>
        <w:t xml:space="preserve">1.7 </w:t>
      </w:r>
      <w:r w:rsidR="06D88EFA" w:rsidRPr="35187188">
        <w:rPr>
          <w:rFonts w:ascii="Calibri" w:eastAsia="Calibri" w:hAnsi="Calibri" w:cs="Calibri"/>
          <w:i/>
          <w:iCs/>
        </w:rPr>
        <w:t>Digitální transformace veřejné správy;</w:t>
      </w:r>
    </w:p>
    <w:p w14:paraId="08236888" w14:textId="0C6FCB3E" w:rsidR="00A35C11" w:rsidRPr="00393D5E" w:rsidRDefault="3F36E5A1" w:rsidP="00CE14E6">
      <w:pPr>
        <w:pStyle w:val="Odstavecseseznamem"/>
        <w:numPr>
          <w:ilvl w:val="0"/>
          <w:numId w:val="13"/>
        </w:numPr>
        <w:spacing w:line="276" w:lineRule="auto"/>
        <w:ind w:left="567" w:hanging="451"/>
        <w:jc w:val="both"/>
        <w:rPr>
          <w:rFonts w:ascii="Calibri" w:eastAsia="Calibri" w:hAnsi="Calibri" w:cs="Calibri"/>
        </w:rPr>
      </w:pPr>
      <w:r w:rsidRPr="00393D5E">
        <w:rPr>
          <w:rFonts w:ascii="Calibri" w:eastAsia="Calibri" w:hAnsi="Calibri" w:cs="Calibri"/>
        </w:rPr>
        <w:t>novou reformu Zavedení institutu jednotného environmentálního stanoviska do praxe správních orgánů v</w:t>
      </w:r>
      <w:r w:rsidR="0003053E">
        <w:rPr>
          <w:rFonts w:ascii="Calibri" w:eastAsia="Calibri" w:hAnsi="Calibri" w:cs="Calibri"/>
        </w:rPr>
        <w:t> </w:t>
      </w:r>
      <w:r w:rsidRPr="00393D5E">
        <w:rPr>
          <w:rFonts w:ascii="Calibri" w:eastAsia="Calibri" w:hAnsi="Calibri" w:cs="Calibri"/>
        </w:rPr>
        <w:t xml:space="preserve">komponentě </w:t>
      </w:r>
      <w:r w:rsidR="00572DBA">
        <w:rPr>
          <w:rFonts w:ascii="Calibri" w:eastAsia="Calibri" w:hAnsi="Calibri" w:cs="Calibri"/>
        </w:rPr>
        <w:t>7.7</w:t>
      </w:r>
      <w:r w:rsidRPr="00393D5E">
        <w:rPr>
          <w:rFonts w:ascii="Calibri" w:eastAsia="Calibri" w:hAnsi="Calibri" w:cs="Calibri"/>
        </w:rPr>
        <w:t>;</w:t>
      </w:r>
    </w:p>
    <w:p w14:paraId="3B97DF0E" w14:textId="2D753F0C" w:rsidR="00A35C11" w:rsidRPr="00393D5E" w:rsidRDefault="3F36E5A1" w:rsidP="00CE14E6">
      <w:pPr>
        <w:pStyle w:val="Odstavecseseznamem"/>
        <w:numPr>
          <w:ilvl w:val="0"/>
          <w:numId w:val="13"/>
        </w:numPr>
        <w:spacing w:line="276" w:lineRule="auto"/>
        <w:ind w:left="567" w:hanging="451"/>
        <w:jc w:val="both"/>
        <w:rPr>
          <w:rFonts w:ascii="Calibri" w:eastAsia="Calibri" w:hAnsi="Calibri" w:cs="Calibri"/>
        </w:rPr>
      </w:pPr>
      <w:r w:rsidRPr="00393D5E">
        <w:rPr>
          <w:rFonts w:ascii="Calibri" w:eastAsia="Calibri" w:hAnsi="Calibri" w:cs="Calibri"/>
        </w:rPr>
        <w:t xml:space="preserve">novou komponentu </w:t>
      </w:r>
      <w:r w:rsidRPr="00393D5E">
        <w:rPr>
          <w:rFonts w:ascii="Calibri" w:eastAsia="Calibri" w:hAnsi="Calibri" w:cs="Calibri"/>
          <w:i/>
          <w:iCs/>
        </w:rPr>
        <w:t>4.1 Systémová podpora veřejných investic</w:t>
      </w:r>
      <w:r w:rsidRPr="00393D5E">
        <w:rPr>
          <w:rFonts w:ascii="Calibri" w:eastAsia="Calibri" w:hAnsi="Calibri" w:cs="Calibri"/>
        </w:rPr>
        <w:t>;</w:t>
      </w:r>
    </w:p>
    <w:p w14:paraId="40DA3725" w14:textId="78383119" w:rsidR="00A35C11" w:rsidRPr="00393D5E" w:rsidRDefault="3F36E5A1" w:rsidP="00CE14E6">
      <w:pPr>
        <w:pStyle w:val="Odstavecseseznamem"/>
        <w:numPr>
          <w:ilvl w:val="0"/>
          <w:numId w:val="13"/>
        </w:numPr>
        <w:spacing w:line="276" w:lineRule="auto"/>
        <w:ind w:left="567" w:hanging="451"/>
        <w:jc w:val="both"/>
        <w:rPr>
          <w:rFonts w:ascii="Calibri" w:eastAsia="Calibri" w:hAnsi="Calibri" w:cs="Calibri"/>
        </w:rPr>
      </w:pPr>
      <w:r w:rsidRPr="00393D5E">
        <w:rPr>
          <w:rFonts w:ascii="Calibri" w:eastAsia="Calibri" w:hAnsi="Calibri" w:cs="Calibri"/>
        </w:rPr>
        <w:t>sadu nových reforem v</w:t>
      </w:r>
      <w:r w:rsidR="0003053E">
        <w:rPr>
          <w:rFonts w:ascii="Calibri" w:eastAsia="Calibri" w:hAnsi="Calibri" w:cs="Calibri"/>
        </w:rPr>
        <w:t> </w:t>
      </w:r>
      <w:r w:rsidRPr="00393D5E">
        <w:rPr>
          <w:rFonts w:ascii="Calibri" w:eastAsia="Calibri" w:hAnsi="Calibri" w:cs="Calibri"/>
        </w:rPr>
        <w:t xml:space="preserve">komponentě </w:t>
      </w:r>
      <w:r w:rsidRPr="00393D5E">
        <w:rPr>
          <w:rFonts w:ascii="Calibri" w:eastAsia="Calibri" w:hAnsi="Calibri" w:cs="Calibri"/>
          <w:i/>
          <w:iCs/>
        </w:rPr>
        <w:t>4.4 Zvýšení efektivity výkonu veřejné správy</w:t>
      </w:r>
      <w:r w:rsidRPr="00393D5E">
        <w:rPr>
          <w:rFonts w:ascii="Calibri" w:eastAsia="Calibri" w:hAnsi="Calibri" w:cs="Calibri"/>
        </w:rPr>
        <w:t>;</w:t>
      </w:r>
    </w:p>
    <w:p w14:paraId="7B963B89" w14:textId="19F0AEF9" w:rsidR="00A35C11" w:rsidRPr="00393D5E" w:rsidRDefault="3F36E5A1" w:rsidP="00CE14E6">
      <w:pPr>
        <w:pStyle w:val="Odstavecseseznamem"/>
        <w:numPr>
          <w:ilvl w:val="0"/>
          <w:numId w:val="13"/>
        </w:numPr>
        <w:spacing w:line="276" w:lineRule="auto"/>
        <w:ind w:left="567" w:hanging="451"/>
        <w:jc w:val="both"/>
        <w:rPr>
          <w:rFonts w:ascii="Calibri" w:eastAsia="Calibri" w:hAnsi="Calibri" w:cs="Calibri"/>
        </w:rPr>
      </w:pPr>
      <w:r w:rsidRPr="00393D5E">
        <w:rPr>
          <w:rFonts w:ascii="Calibri" w:eastAsia="Calibri" w:hAnsi="Calibri" w:cs="Calibri"/>
        </w:rPr>
        <w:t>novou komponentu 5</w:t>
      </w:r>
      <w:r w:rsidRPr="00393D5E">
        <w:rPr>
          <w:rFonts w:ascii="Calibri" w:eastAsia="Calibri" w:hAnsi="Calibri" w:cs="Calibri"/>
          <w:i/>
          <w:iCs/>
        </w:rPr>
        <w:t>.3 Strategicky řízený a</w:t>
      </w:r>
      <w:r w:rsidR="0003053E">
        <w:rPr>
          <w:rFonts w:ascii="Calibri" w:eastAsia="Calibri" w:hAnsi="Calibri" w:cs="Calibri"/>
          <w:i/>
          <w:iCs/>
        </w:rPr>
        <w:t> </w:t>
      </w:r>
      <w:r w:rsidRPr="00393D5E">
        <w:rPr>
          <w:rFonts w:ascii="Calibri" w:eastAsia="Calibri" w:hAnsi="Calibri" w:cs="Calibri"/>
          <w:i/>
          <w:iCs/>
        </w:rPr>
        <w:t>mezinárodně konkurenceschopný ekosystém výzkumu, vývoje a</w:t>
      </w:r>
      <w:r w:rsidR="0003053E">
        <w:rPr>
          <w:rFonts w:ascii="Calibri" w:eastAsia="Calibri" w:hAnsi="Calibri" w:cs="Calibri"/>
          <w:i/>
          <w:iCs/>
        </w:rPr>
        <w:t> </w:t>
      </w:r>
      <w:r w:rsidRPr="00393D5E">
        <w:rPr>
          <w:rFonts w:ascii="Calibri" w:eastAsia="Calibri" w:hAnsi="Calibri" w:cs="Calibri"/>
          <w:i/>
          <w:iCs/>
        </w:rPr>
        <w:t>inovací</w:t>
      </w:r>
      <w:r w:rsidRPr="00393D5E">
        <w:rPr>
          <w:rFonts w:ascii="Calibri" w:eastAsia="Calibri" w:hAnsi="Calibri" w:cs="Calibri"/>
        </w:rPr>
        <w:t>.</w:t>
      </w:r>
    </w:p>
    <w:p w14:paraId="5CF0B579" w14:textId="10D841D5" w:rsidR="00A35C11" w:rsidRPr="00393D5E" w:rsidRDefault="00A35C11" w:rsidP="00316A1B">
      <w:pPr>
        <w:spacing w:line="276" w:lineRule="auto"/>
        <w:jc w:val="both"/>
        <w:rPr>
          <w:u w:val="single"/>
        </w:rPr>
      </w:pPr>
    </w:p>
    <w:p w14:paraId="196ECEC8" w14:textId="4DDF8215" w:rsidR="00A35C11" w:rsidRPr="00393D5E" w:rsidRDefault="00A35C11" w:rsidP="00316A1B">
      <w:pPr>
        <w:spacing w:line="276" w:lineRule="auto"/>
        <w:jc w:val="both"/>
        <w:rPr>
          <w:highlight w:val="yellow"/>
          <w:u w:val="single"/>
        </w:rPr>
      </w:pPr>
      <w:r w:rsidRPr="00393D5E">
        <w:rPr>
          <w:u w:val="single"/>
        </w:rPr>
        <w:t>Sociální a</w:t>
      </w:r>
      <w:r w:rsidR="0003053E">
        <w:rPr>
          <w:u w:val="single"/>
        </w:rPr>
        <w:t> </w:t>
      </w:r>
      <w:r w:rsidRPr="00393D5E">
        <w:rPr>
          <w:u w:val="single"/>
        </w:rPr>
        <w:t>územní soudržnost</w:t>
      </w:r>
    </w:p>
    <w:p w14:paraId="4960AACE" w14:textId="16C94496" w:rsidR="00A35C11" w:rsidRPr="00393D5E" w:rsidRDefault="00A35C11" w:rsidP="00316A1B">
      <w:pPr>
        <w:spacing w:line="276" w:lineRule="auto"/>
        <w:jc w:val="both"/>
      </w:pPr>
    </w:p>
    <w:p w14:paraId="1CF77508" w14:textId="3C38A841" w:rsidR="2FF9D36D" w:rsidRPr="00393D5E" w:rsidRDefault="2FF9D36D" w:rsidP="009E6ABB">
      <w:pPr>
        <w:spacing w:line="276" w:lineRule="auto"/>
        <w:jc w:val="both"/>
        <w:rPr>
          <w:rFonts w:ascii="Calibri" w:eastAsia="Calibri" w:hAnsi="Calibri" w:cs="Calibri"/>
        </w:rPr>
      </w:pPr>
      <w:r w:rsidRPr="00393D5E">
        <w:rPr>
          <w:rFonts w:ascii="Calibri" w:eastAsia="Calibri" w:hAnsi="Calibri" w:cs="Calibri"/>
        </w:rPr>
        <w:t>Řada opatření, která jsou nově do plánu přidána, se zaměřuj</w:t>
      </w:r>
      <w:r w:rsidR="397E0EFC" w:rsidRPr="00393D5E">
        <w:rPr>
          <w:rFonts w:ascii="Calibri" w:eastAsia="Calibri" w:hAnsi="Calibri" w:cs="Calibri"/>
        </w:rPr>
        <w:t>í</w:t>
      </w:r>
      <w:r w:rsidRPr="00393D5E">
        <w:rPr>
          <w:rFonts w:ascii="Calibri" w:eastAsia="Calibri" w:hAnsi="Calibri" w:cs="Calibri"/>
        </w:rPr>
        <w:t xml:space="preserve"> na aktuální výzvy v</w:t>
      </w:r>
      <w:r w:rsidR="0003053E">
        <w:rPr>
          <w:rFonts w:ascii="Calibri" w:eastAsia="Calibri" w:hAnsi="Calibri" w:cs="Calibri"/>
        </w:rPr>
        <w:t> </w:t>
      </w:r>
      <w:r w:rsidRPr="00393D5E">
        <w:rPr>
          <w:rFonts w:ascii="Calibri" w:eastAsia="Calibri" w:hAnsi="Calibri" w:cs="Calibri"/>
        </w:rPr>
        <w:t>sociální oblasti a</w:t>
      </w:r>
      <w:r w:rsidR="0003053E">
        <w:rPr>
          <w:rFonts w:ascii="Calibri" w:eastAsia="Calibri" w:hAnsi="Calibri" w:cs="Calibri"/>
        </w:rPr>
        <w:t> </w:t>
      </w:r>
      <w:r w:rsidRPr="00393D5E">
        <w:rPr>
          <w:rFonts w:ascii="Calibri" w:eastAsia="Calibri" w:hAnsi="Calibri" w:cs="Calibri"/>
        </w:rPr>
        <w:t>zajistí pozitivní přínosy pro obyvatele ČR z</w:t>
      </w:r>
      <w:r w:rsidR="0003053E">
        <w:rPr>
          <w:rFonts w:ascii="Calibri" w:eastAsia="Calibri" w:hAnsi="Calibri" w:cs="Calibri"/>
        </w:rPr>
        <w:t> </w:t>
      </w:r>
      <w:r w:rsidRPr="00393D5E">
        <w:rPr>
          <w:rFonts w:ascii="Calibri" w:eastAsia="Calibri" w:hAnsi="Calibri" w:cs="Calibri"/>
        </w:rPr>
        <w:t>hlediska sociální soudržnosti. Jde zejména o:</w:t>
      </w:r>
    </w:p>
    <w:p w14:paraId="610E795B" w14:textId="63049E51" w:rsidR="2FF9D36D" w:rsidRPr="00393D5E" w:rsidRDefault="2FF9D36D" w:rsidP="00CE14E6">
      <w:pPr>
        <w:pStyle w:val="Odstavecseseznamem"/>
        <w:numPr>
          <w:ilvl w:val="0"/>
          <w:numId w:val="13"/>
        </w:numPr>
        <w:spacing w:line="276" w:lineRule="auto"/>
        <w:ind w:left="567" w:hanging="451"/>
        <w:jc w:val="both"/>
        <w:rPr>
          <w:rFonts w:ascii="Calibri" w:eastAsia="Calibri" w:hAnsi="Calibri" w:cs="Calibri"/>
        </w:rPr>
      </w:pPr>
      <w:r w:rsidRPr="00393D5E">
        <w:rPr>
          <w:rFonts w:ascii="Calibri" w:eastAsia="Calibri" w:hAnsi="Calibri" w:cs="Calibri"/>
        </w:rPr>
        <w:t>novou investici Rozvoj a</w:t>
      </w:r>
      <w:r w:rsidR="0003053E">
        <w:rPr>
          <w:rFonts w:ascii="Calibri" w:eastAsia="Calibri" w:hAnsi="Calibri" w:cs="Calibri"/>
        </w:rPr>
        <w:t> </w:t>
      </w:r>
      <w:r w:rsidRPr="00393D5E">
        <w:rPr>
          <w:rFonts w:ascii="Calibri" w:eastAsia="Calibri" w:hAnsi="Calibri" w:cs="Calibri"/>
        </w:rPr>
        <w:t>modernizace služeb komunitního typu pro ohrožené děti a</w:t>
      </w:r>
      <w:r w:rsidR="0003053E">
        <w:rPr>
          <w:rFonts w:ascii="Calibri" w:eastAsia="Calibri" w:hAnsi="Calibri" w:cs="Calibri"/>
        </w:rPr>
        <w:t> </w:t>
      </w:r>
      <w:r w:rsidRPr="00393D5E">
        <w:rPr>
          <w:rFonts w:ascii="Calibri" w:eastAsia="Calibri" w:hAnsi="Calibri" w:cs="Calibri"/>
        </w:rPr>
        <w:t>navýšení/rozšíření investice Rozvoj a</w:t>
      </w:r>
      <w:r w:rsidR="0003053E">
        <w:rPr>
          <w:rFonts w:ascii="Calibri" w:eastAsia="Calibri" w:hAnsi="Calibri" w:cs="Calibri"/>
        </w:rPr>
        <w:t> </w:t>
      </w:r>
      <w:r w:rsidRPr="00393D5E">
        <w:rPr>
          <w:rFonts w:ascii="Calibri" w:eastAsia="Calibri" w:hAnsi="Calibri" w:cs="Calibri"/>
        </w:rPr>
        <w:t>modernizace infrastruktury sociální péče v</w:t>
      </w:r>
      <w:r w:rsidR="0003053E">
        <w:rPr>
          <w:rFonts w:ascii="Calibri" w:eastAsia="Calibri" w:hAnsi="Calibri" w:cs="Calibri"/>
        </w:rPr>
        <w:t> </w:t>
      </w:r>
      <w:r w:rsidRPr="00393D5E">
        <w:rPr>
          <w:rFonts w:ascii="Calibri" w:eastAsia="Calibri" w:hAnsi="Calibri" w:cs="Calibri"/>
        </w:rPr>
        <w:t xml:space="preserve">komponentě </w:t>
      </w:r>
      <w:r w:rsidRPr="00393D5E">
        <w:rPr>
          <w:rFonts w:ascii="Calibri" w:eastAsia="Calibri" w:hAnsi="Calibri" w:cs="Calibri"/>
          <w:i/>
          <w:iCs/>
        </w:rPr>
        <w:t>3.3</w:t>
      </w:r>
      <w:r w:rsidRPr="00393D5E">
        <w:rPr>
          <w:rFonts w:ascii="Calibri" w:eastAsia="Calibri" w:hAnsi="Calibri" w:cs="Calibri"/>
        </w:rPr>
        <w:t xml:space="preserve"> </w:t>
      </w:r>
      <w:r w:rsidRPr="00393D5E">
        <w:rPr>
          <w:rFonts w:ascii="Calibri" w:eastAsia="Calibri" w:hAnsi="Calibri" w:cs="Calibri"/>
          <w:i/>
          <w:iCs/>
        </w:rPr>
        <w:t>Modernizace služeb zaměstnanosti a</w:t>
      </w:r>
      <w:r w:rsidR="0003053E">
        <w:rPr>
          <w:rFonts w:ascii="Calibri" w:eastAsia="Calibri" w:hAnsi="Calibri" w:cs="Calibri"/>
          <w:i/>
          <w:iCs/>
        </w:rPr>
        <w:t> </w:t>
      </w:r>
      <w:r w:rsidRPr="00393D5E">
        <w:rPr>
          <w:rFonts w:ascii="Calibri" w:eastAsia="Calibri" w:hAnsi="Calibri" w:cs="Calibri"/>
          <w:i/>
          <w:iCs/>
        </w:rPr>
        <w:t>rozvoj trhu práce</w:t>
      </w:r>
      <w:r w:rsidRPr="00393D5E">
        <w:rPr>
          <w:rFonts w:ascii="Calibri" w:eastAsia="Calibri" w:hAnsi="Calibri" w:cs="Calibri"/>
        </w:rPr>
        <w:t>;</w:t>
      </w:r>
    </w:p>
    <w:p w14:paraId="27BCBE7C" w14:textId="5B9C893C" w:rsidR="2FF9D36D" w:rsidRPr="00393D5E" w:rsidRDefault="6CA6C5C5" w:rsidP="00CE14E6">
      <w:pPr>
        <w:pStyle w:val="Odstavecseseznamem"/>
        <w:numPr>
          <w:ilvl w:val="0"/>
          <w:numId w:val="13"/>
        </w:numPr>
        <w:spacing w:line="276" w:lineRule="auto"/>
        <w:ind w:left="567" w:hanging="451"/>
        <w:jc w:val="both"/>
        <w:rPr>
          <w:rFonts w:ascii="Calibri" w:eastAsia="Calibri" w:hAnsi="Calibri" w:cs="Calibri"/>
        </w:rPr>
      </w:pPr>
      <w:r w:rsidRPr="05AB2BC1">
        <w:rPr>
          <w:rFonts w:ascii="Calibri" w:eastAsia="Calibri" w:hAnsi="Calibri" w:cs="Calibri"/>
        </w:rPr>
        <w:t xml:space="preserve">novou komponentu </w:t>
      </w:r>
      <w:r w:rsidR="002F1580" w:rsidRPr="05AB2BC1">
        <w:rPr>
          <w:rFonts w:ascii="Calibri" w:eastAsia="Calibri" w:hAnsi="Calibri" w:cs="Calibri"/>
          <w:i/>
          <w:iCs/>
        </w:rPr>
        <w:t xml:space="preserve">2.10 </w:t>
      </w:r>
      <w:r w:rsidR="00FB0EFA">
        <w:rPr>
          <w:rFonts w:ascii="Calibri" w:eastAsia="Calibri" w:hAnsi="Calibri" w:cs="Calibri"/>
          <w:i/>
          <w:iCs/>
        </w:rPr>
        <w:t>Dostupné</w:t>
      </w:r>
      <w:r w:rsidR="002F1580" w:rsidRPr="05AB2BC1">
        <w:rPr>
          <w:rFonts w:ascii="Calibri" w:eastAsia="Calibri" w:hAnsi="Calibri" w:cs="Calibri"/>
          <w:i/>
          <w:iCs/>
        </w:rPr>
        <w:t xml:space="preserve"> bydlení</w:t>
      </w:r>
      <w:r w:rsidRPr="05AB2BC1">
        <w:rPr>
          <w:rFonts w:ascii="Calibri" w:eastAsia="Calibri" w:hAnsi="Calibri" w:cs="Calibri"/>
        </w:rPr>
        <w:t>;</w:t>
      </w:r>
    </w:p>
    <w:p w14:paraId="129834DF" w14:textId="2A87CA4F" w:rsidR="2FF9D36D" w:rsidRPr="00393D5E" w:rsidRDefault="2FF9D36D" w:rsidP="05AB2BC1">
      <w:pPr>
        <w:pStyle w:val="Odstavecseseznamem"/>
        <w:numPr>
          <w:ilvl w:val="0"/>
          <w:numId w:val="13"/>
        </w:numPr>
        <w:spacing w:line="276" w:lineRule="auto"/>
        <w:ind w:left="567" w:hanging="451"/>
        <w:jc w:val="both"/>
        <w:rPr>
          <w:rFonts w:ascii="Calibri" w:eastAsia="Calibri" w:hAnsi="Calibri" w:cs="Calibri"/>
        </w:rPr>
      </w:pPr>
      <w:r w:rsidRPr="05AB2BC1">
        <w:rPr>
          <w:rFonts w:ascii="Calibri" w:eastAsia="Calibri" w:hAnsi="Calibri" w:cs="Calibri"/>
        </w:rPr>
        <w:t xml:space="preserve">Podr. viz výše podkap. IV.13 </w:t>
      </w:r>
      <w:r w:rsidRPr="05AB2BC1">
        <w:rPr>
          <w:rFonts w:ascii="Calibri" w:eastAsia="Calibri" w:hAnsi="Calibri" w:cs="Calibri"/>
          <w:i/>
          <w:iCs/>
        </w:rPr>
        <w:t>Rovnost žen a</w:t>
      </w:r>
      <w:r w:rsidR="0003053E">
        <w:rPr>
          <w:rFonts w:ascii="Calibri" w:eastAsia="Calibri" w:hAnsi="Calibri" w:cs="Calibri"/>
          <w:i/>
          <w:iCs/>
        </w:rPr>
        <w:t> </w:t>
      </w:r>
      <w:r w:rsidRPr="05AB2BC1">
        <w:rPr>
          <w:rFonts w:ascii="Calibri" w:eastAsia="Calibri" w:hAnsi="Calibri" w:cs="Calibri"/>
          <w:i/>
          <w:iCs/>
        </w:rPr>
        <w:t>mužů a</w:t>
      </w:r>
      <w:r w:rsidR="0003053E">
        <w:rPr>
          <w:rFonts w:ascii="Calibri" w:eastAsia="Calibri" w:hAnsi="Calibri" w:cs="Calibri"/>
          <w:i/>
          <w:iCs/>
        </w:rPr>
        <w:t> </w:t>
      </w:r>
      <w:r w:rsidRPr="05AB2BC1">
        <w:rPr>
          <w:rFonts w:ascii="Calibri" w:eastAsia="Calibri" w:hAnsi="Calibri" w:cs="Calibri"/>
          <w:i/>
          <w:iCs/>
        </w:rPr>
        <w:t>rovné příležitosti pro všechny</w:t>
      </w:r>
      <w:r w:rsidRPr="05AB2BC1">
        <w:rPr>
          <w:rFonts w:ascii="Calibri" w:eastAsia="Calibri" w:hAnsi="Calibri" w:cs="Calibri"/>
        </w:rPr>
        <w:t>.</w:t>
      </w:r>
    </w:p>
    <w:p w14:paraId="4924E0C5" w14:textId="18BC6F10" w:rsidR="62A00635" w:rsidRPr="00393D5E" w:rsidRDefault="62A00635" w:rsidP="00316A1B">
      <w:pPr>
        <w:spacing w:line="276" w:lineRule="auto"/>
        <w:jc w:val="both"/>
        <w:rPr>
          <w:rFonts w:ascii="Calibri" w:eastAsia="Calibri" w:hAnsi="Calibri" w:cs="Calibri"/>
        </w:rPr>
      </w:pPr>
    </w:p>
    <w:p w14:paraId="7C6A22D2" w14:textId="56E532F7" w:rsidR="2FF9D36D" w:rsidRPr="00393D5E" w:rsidRDefault="2FF9D36D" w:rsidP="009E6ABB">
      <w:pPr>
        <w:spacing w:line="276" w:lineRule="auto"/>
        <w:jc w:val="both"/>
        <w:rPr>
          <w:rFonts w:ascii="Calibri" w:eastAsia="Calibri" w:hAnsi="Calibri" w:cs="Calibri"/>
        </w:rPr>
      </w:pPr>
      <w:r w:rsidRPr="00393D5E">
        <w:rPr>
          <w:rFonts w:ascii="Calibri" w:eastAsia="Calibri" w:hAnsi="Calibri" w:cs="Calibri"/>
        </w:rPr>
        <w:t>Vybraná opatření přispívají přímo, resp. nepřímo k</w:t>
      </w:r>
      <w:r w:rsidR="0003053E">
        <w:rPr>
          <w:rFonts w:ascii="Calibri" w:eastAsia="Calibri" w:hAnsi="Calibri" w:cs="Calibri"/>
        </w:rPr>
        <w:t> </w:t>
      </w:r>
      <w:r w:rsidRPr="00393D5E">
        <w:rPr>
          <w:rFonts w:ascii="Calibri" w:eastAsia="Calibri" w:hAnsi="Calibri" w:cs="Calibri"/>
        </w:rPr>
        <w:t>lepší územní soudržnosti (snižováním nerovností mezi regiony i</w:t>
      </w:r>
      <w:r w:rsidR="0003053E">
        <w:rPr>
          <w:rFonts w:ascii="Calibri" w:eastAsia="Calibri" w:hAnsi="Calibri" w:cs="Calibri"/>
        </w:rPr>
        <w:t> </w:t>
      </w:r>
      <w:r w:rsidRPr="00393D5E">
        <w:rPr>
          <w:rFonts w:ascii="Calibri" w:eastAsia="Calibri" w:hAnsi="Calibri" w:cs="Calibri"/>
        </w:rPr>
        <w:t>městem a</w:t>
      </w:r>
      <w:r w:rsidR="0003053E">
        <w:rPr>
          <w:rFonts w:ascii="Calibri" w:eastAsia="Calibri" w:hAnsi="Calibri" w:cs="Calibri"/>
        </w:rPr>
        <w:t> </w:t>
      </w:r>
      <w:r w:rsidRPr="00393D5E">
        <w:rPr>
          <w:rFonts w:ascii="Calibri" w:eastAsia="Calibri" w:hAnsi="Calibri" w:cs="Calibri"/>
        </w:rPr>
        <w:t>venkovem), jedná se mj. o:</w:t>
      </w:r>
    </w:p>
    <w:p w14:paraId="0AC1A642" w14:textId="502D5D34" w:rsidR="2FF9D36D" w:rsidRPr="00393D5E" w:rsidRDefault="2FF9D36D" w:rsidP="00CE14E6">
      <w:pPr>
        <w:pStyle w:val="Odstavecseseznamem"/>
        <w:numPr>
          <w:ilvl w:val="0"/>
          <w:numId w:val="13"/>
        </w:numPr>
        <w:spacing w:line="276" w:lineRule="auto"/>
        <w:ind w:left="567" w:hanging="425"/>
        <w:jc w:val="both"/>
        <w:rPr>
          <w:rFonts w:ascii="Calibri" w:eastAsia="Calibri" w:hAnsi="Calibri" w:cs="Calibri"/>
        </w:rPr>
      </w:pPr>
      <w:r w:rsidRPr="05AB2BC1">
        <w:rPr>
          <w:rFonts w:ascii="Calibri" w:eastAsia="Calibri" w:hAnsi="Calibri" w:cs="Calibri"/>
        </w:rPr>
        <w:t>reformy Metodická podpora přípravy projektů souladných s</w:t>
      </w:r>
      <w:r w:rsidR="0003053E">
        <w:rPr>
          <w:rFonts w:ascii="Calibri" w:eastAsia="Calibri" w:hAnsi="Calibri" w:cs="Calibri"/>
        </w:rPr>
        <w:t> </w:t>
      </w:r>
      <w:r w:rsidRPr="05AB2BC1">
        <w:rPr>
          <w:rFonts w:ascii="Calibri" w:eastAsia="Calibri" w:hAnsi="Calibri" w:cs="Calibri"/>
        </w:rPr>
        <w:t>cíli EU, Metodická podpora a</w:t>
      </w:r>
      <w:r w:rsidR="0003053E">
        <w:rPr>
          <w:rFonts w:ascii="Calibri" w:eastAsia="Calibri" w:hAnsi="Calibri" w:cs="Calibri"/>
        </w:rPr>
        <w:t> </w:t>
      </w:r>
      <w:r w:rsidRPr="05AB2BC1">
        <w:rPr>
          <w:rFonts w:ascii="Calibri" w:eastAsia="Calibri" w:hAnsi="Calibri" w:cs="Calibri"/>
        </w:rPr>
        <w:t>modernizace veřejného zadávání, Finanční podpora přípravy projektů souladných s</w:t>
      </w:r>
      <w:r w:rsidR="0003053E">
        <w:rPr>
          <w:rFonts w:ascii="Calibri" w:eastAsia="Calibri" w:hAnsi="Calibri" w:cs="Calibri"/>
        </w:rPr>
        <w:t> </w:t>
      </w:r>
      <w:r w:rsidRPr="05AB2BC1">
        <w:rPr>
          <w:rFonts w:ascii="Calibri" w:eastAsia="Calibri" w:hAnsi="Calibri" w:cs="Calibri"/>
        </w:rPr>
        <w:t xml:space="preserve">cíli EU nové komponenty </w:t>
      </w:r>
      <w:r w:rsidRPr="05AB2BC1">
        <w:rPr>
          <w:rFonts w:ascii="Calibri" w:eastAsia="Calibri" w:hAnsi="Calibri" w:cs="Calibri"/>
          <w:i/>
          <w:iCs/>
        </w:rPr>
        <w:t>4.1 Systémová podpora veřejných investic</w:t>
      </w:r>
      <w:r w:rsidRPr="05AB2BC1">
        <w:rPr>
          <w:rFonts w:ascii="Calibri" w:eastAsia="Calibri" w:hAnsi="Calibri" w:cs="Calibri"/>
        </w:rPr>
        <w:t>;</w:t>
      </w:r>
    </w:p>
    <w:p w14:paraId="0275C1CF" w14:textId="597D8B9E" w:rsidR="2FF9D36D" w:rsidRPr="00393D5E" w:rsidRDefault="2FF9D36D" w:rsidP="00CE14E6">
      <w:pPr>
        <w:pStyle w:val="Odstavecseseznamem"/>
        <w:numPr>
          <w:ilvl w:val="0"/>
          <w:numId w:val="13"/>
        </w:numPr>
        <w:spacing w:line="276" w:lineRule="auto"/>
        <w:ind w:left="567" w:hanging="425"/>
        <w:jc w:val="both"/>
        <w:rPr>
          <w:rFonts w:ascii="Calibri" w:eastAsia="Calibri" w:hAnsi="Calibri" w:cs="Calibri"/>
        </w:rPr>
      </w:pPr>
      <w:r w:rsidRPr="35187188">
        <w:rPr>
          <w:rFonts w:ascii="Calibri" w:eastAsia="Calibri" w:hAnsi="Calibri" w:cs="Calibri"/>
        </w:rPr>
        <w:t xml:space="preserve">novou komponentu </w:t>
      </w:r>
      <w:r w:rsidRPr="35187188">
        <w:rPr>
          <w:rFonts w:ascii="Calibri" w:eastAsia="Calibri" w:hAnsi="Calibri" w:cs="Calibri"/>
          <w:i/>
          <w:iCs/>
        </w:rPr>
        <w:t xml:space="preserve">7.3 Komplexní reforma poradenství </w:t>
      </w:r>
      <w:r w:rsidR="11DF609C" w:rsidRPr="35187188">
        <w:rPr>
          <w:rFonts w:ascii="Calibri" w:eastAsia="Calibri" w:hAnsi="Calibri" w:cs="Calibri"/>
          <w:i/>
          <w:iCs/>
        </w:rPr>
        <w:t xml:space="preserve">týkajícího se </w:t>
      </w:r>
      <w:r w:rsidRPr="35187188">
        <w:rPr>
          <w:rFonts w:ascii="Calibri" w:eastAsia="Calibri" w:hAnsi="Calibri" w:cs="Calibri"/>
          <w:i/>
          <w:iCs/>
        </w:rPr>
        <w:t>renovační vln</w:t>
      </w:r>
      <w:r w:rsidR="56368A37" w:rsidRPr="35187188">
        <w:rPr>
          <w:rFonts w:ascii="Calibri" w:eastAsia="Calibri" w:hAnsi="Calibri" w:cs="Calibri"/>
          <w:i/>
          <w:iCs/>
        </w:rPr>
        <w:t>y v</w:t>
      </w:r>
      <w:r w:rsidR="0003053E">
        <w:rPr>
          <w:rFonts w:ascii="Calibri" w:eastAsia="Calibri" w:hAnsi="Calibri" w:cs="Calibri"/>
          <w:i/>
          <w:iCs/>
        </w:rPr>
        <w:t> </w:t>
      </w:r>
      <w:r w:rsidR="56368A37" w:rsidRPr="35187188">
        <w:rPr>
          <w:rFonts w:ascii="Calibri" w:eastAsia="Calibri" w:hAnsi="Calibri" w:cs="Calibri"/>
          <w:i/>
          <w:iCs/>
        </w:rPr>
        <w:t>ČR</w:t>
      </w:r>
      <w:r w:rsidRPr="35187188">
        <w:rPr>
          <w:rFonts w:ascii="Calibri" w:eastAsia="Calibri" w:hAnsi="Calibri" w:cs="Calibri"/>
        </w:rPr>
        <w:t>;</w:t>
      </w:r>
    </w:p>
    <w:p w14:paraId="5809DD13" w14:textId="5B392768" w:rsidR="2FF9D36D" w:rsidRPr="00393D5E" w:rsidRDefault="2FF9D36D" w:rsidP="00CE14E6">
      <w:pPr>
        <w:pStyle w:val="Odstavecseseznamem"/>
        <w:numPr>
          <w:ilvl w:val="0"/>
          <w:numId w:val="13"/>
        </w:numPr>
        <w:spacing w:line="276" w:lineRule="auto"/>
        <w:ind w:left="567" w:hanging="425"/>
        <w:jc w:val="both"/>
        <w:rPr>
          <w:rFonts w:ascii="Calibri" w:eastAsia="Calibri" w:hAnsi="Calibri" w:cs="Calibri"/>
        </w:rPr>
      </w:pPr>
      <w:r w:rsidRPr="05AB2BC1">
        <w:rPr>
          <w:rFonts w:ascii="Calibri" w:eastAsia="Calibri" w:hAnsi="Calibri" w:cs="Calibri"/>
        </w:rPr>
        <w:t xml:space="preserve">novou komponentu </w:t>
      </w:r>
      <w:r w:rsidRPr="05AB2BC1">
        <w:rPr>
          <w:rFonts w:ascii="Calibri" w:eastAsia="Calibri" w:hAnsi="Calibri" w:cs="Calibri"/>
          <w:i/>
          <w:iCs/>
        </w:rPr>
        <w:t>7.</w:t>
      </w:r>
      <w:r w:rsidR="00E770E3">
        <w:rPr>
          <w:rFonts w:ascii="Calibri" w:eastAsia="Calibri" w:hAnsi="Calibri" w:cs="Calibri"/>
          <w:i/>
          <w:iCs/>
        </w:rPr>
        <w:t>6</w:t>
      </w:r>
      <w:r w:rsidRPr="05AB2BC1">
        <w:rPr>
          <w:rFonts w:ascii="Calibri" w:eastAsia="Calibri" w:hAnsi="Calibri" w:cs="Calibri"/>
          <w:i/>
          <w:iCs/>
        </w:rPr>
        <w:t xml:space="preserve"> </w:t>
      </w:r>
      <w:r w:rsidR="00EB0D03">
        <w:rPr>
          <w:rFonts w:ascii="Calibri" w:eastAsia="Calibri" w:hAnsi="Calibri" w:cs="Calibri"/>
          <w:i/>
          <w:iCs/>
        </w:rPr>
        <w:t>Elektrifikace</w:t>
      </w:r>
      <w:r w:rsidRPr="05AB2BC1">
        <w:rPr>
          <w:rFonts w:ascii="Calibri" w:eastAsia="Calibri" w:hAnsi="Calibri" w:cs="Calibri"/>
          <w:i/>
          <w:iCs/>
        </w:rPr>
        <w:t xml:space="preserve"> železni</w:t>
      </w:r>
      <w:r w:rsidR="001906FF">
        <w:rPr>
          <w:rFonts w:ascii="Calibri" w:eastAsia="Calibri" w:hAnsi="Calibri" w:cs="Calibri"/>
          <w:i/>
          <w:iCs/>
        </w:rPr>
        <w:t>ční dopravy</w:t>
      </w:r>
      <w:r w:rsidRPr="05AB2BC1">
        <w:rPr>
          <w:rFonts w:ascii="Calibri" w:eastAsia="Calibri" w:hAnsi="Calibri" w:cs="Calibri"/>
        </w:rPr>
        <w:t>;</w:t>
      </w:r>
    </w:p>
    <w:p w14:paraId="0B1BD371" w14:textId="6DC89E5E" w:rsidR="2FF9D36D" w:rsidRPr="00393D5E" w:rsidRDefault="2FF9D36D" w:rsidP="00CE14E6">
      <w:pPr>
        <w:pStyle w:val="Odstavecseseznamem"/>
        <w:numPr>
          <w:ilvl w:val="0"/>
          <w:numId w:val="13"/>
        </w:numPr>
        <w:spacing w:line="276" w:lineRule="auto"/>
        <w:ind w:left="567" w:hanging="425"/>
        <w:jc w:val="both"/>
        <w:rPr>
          <w:rFonts w:ascii="Calibri" w:eastAsia="Calibri" w:hAnsi="Calibri" w:cs="Calibri"/>
        </w:rPr>
      </w:pPr>
      <w:r w:rsidRPr="05AB2BC1">
        <w:rPr>
          <w:rFonts w:ascii="Calibri" w:eastAsia="Calibri" w:hAnsi="Calibri" w:cs="Calibri"/>
        </w:rPr>
        <w:t>rozšíření Investice č. 2: Nahrazení stacionárních zdrojů znečištění v</w:t>
      </w:r>
      <w:r w:rsidR="0003053E">
        <w:rPr>
          <w:rFonts w:ascii="Calibri" w:eastAsia="Calibri" w:hAnsi="Calibri" w:cs="Calibri"/>
        </w:rPr>
        <w:t> </w:t>
      </w:r>
      <w:r w:rsidRPr="05AB2BC1">
        <w:rPr>
          <w:rFonts w:ascii="Calibri" w:eastAsia="Calibri" w:hAnsi="Calibri" w:cs="Calibri"/>
        </w:rPr>
        <w:t xml:space="preserve">domácnostech obnovitelnými zdroji energie komponenty </w:t>
      </w:r>
      <w:r w:rsidRPr="05AB2BC1">
        <w:rPr>
          <w:rFonts w:ascii="Calibri" w:eastAsia="Calibri" w:hAnsi="Calibri" w:cs="Calibri"/>
          <w:i/>
          <w:iCs/>
        </w:rPr>
        <w:t>2.5 Renovace budov a</w:t>
      </w:r>
      <w:r w:rsidR="0003053E">
        <w:rPr>
          <w:rFonts w:ascii="Calibri" w:eastAsia="Calibri" w:hAnsi="Calibri" w:cs="Calibri"/>
          <w:i/>
          <w:iCs/>
        </w:rPr>
        <w:t> </w:t>
      </w:r>
      <w:r w:rsidRPr="05AB2BC1">
        <w:rPr>
          <w:rFonts w:ascii="Calibri" w:eastAsia="Calibri" w:hAnsi="Calibri" w:cs="Calibri"/>
          <w:i/>
          <w:iCs/>
        </w:rPr>
        <w:t>ochrana ovzduší</w:t>
      </w:r>
      <w:r w:rsidRPr="05AB2BC1">
        <w:rPr>
          <w:rFonts w:ascii="Calibri" w:eastAsia="Calibri" w:hAnsi="Calibri" w:cs="Calibri"/>
        </w:rPr>
        <w:t>;</w:t>
      </w:r>
    </w:p>
    <w:p w14:paraId="1C857C40" w14:textId="0B8B18E5" w:rsidR="00A35C11" w:rsidRPr="00393D5E" w:rsidRDefault="00A35C11" w:rsidP="00E770E3">
      <w:pPr>
        <w:pStyle w:val="Odstavecseseznamem"/>
        <w:spacing w:line="276" w:lineRule="auto"/>
        <w:ind w:left="567"/>
        <w:jc w:val="both"/>
        <w:rPr>
          <w:rFonts w:ascii="Calibri" w:eastAsia="Calibri" w:hAnsi="Calibri" w:cs="Calibri"/>
        </w:rPr>
      </w:pPr>
    </w:p>
    <w:p w14:paraId="3EE6D1B8" w14:textId="257A12D5" w:rsidR="00A75179" w:rsidRPr="00393D5E" w:rsidRDefault="45CC9449" w:rsidP="00316A1B">
      <w:pPr>
        <w:pStyle w:val="Nadpis2"/>
        <w:spacing w:line="276" w:lineRule="auto"/>
      </w:pPr>
      <w:bookmarkStart w:id="297" w:name="_Toc151444366"/>
      <w:r>
        <w:t>Srovnání s</w:t>
      </w:r>
      <w:r w:rsidR="0003053E">
        <w:t> </w:t>
      </w:r>
      <w:r>
        <w:t>výchozím stavem investic</w:t>
      </w:r>
      <w:bookmarkEnd w:id="297"/>
    </w:p>
    <w:p w14:paraId="38084C32" w14:textId="08F2C81D" w:rsidR="001074D3" w:rsidRPr="00393D5E" w:rsidRDefault="001074D3" w:rsidP="00316A1B">
      <w:pPr>
        <w:spacing w:line="276" w:lineRule="auto"/>
        <w:jc w:val="both"/>
      </w:pPr>
      <w:r w:rsidRPr="00393D5E">
        <w:t>Očekávané makroekonomické přínosy využívání podpory z</w:t>
      </w:r>
      <w:r w:rsidR="0003053E">
        <w:t> </w:t>
      </w:r>
      <w:r w:rsidR="000338B5" w:rsidRPr="00393D5E">
        <w:t>RRF</w:t>
      </w:r>
      <w:r w:rsidRPr="00393D5E">
        <w:t xml:space="preserve"> v</w:t>
      </w:r>
      <w:r w:rsidR="0003053E">
        <w:t> </w:t>
      </w:r>
      <w:r w:rsidRPr="00393D5E">
        <w:t>ČR byly popsány v</w:t>
      </w:r>
      <w:r w:rsidR="0003053E">
        <w:t> </w:t>
      </w:r>
      <w:r w:rsidRPr="00393D5E">
        <w:t>NPO (2021) v</w:t>
      </w:r>
      <w:r w:rsidR="0003053E">
        <w:t> </w:t>
      </w:r>
      <w:r w:rsidRPr="00393D5E">
        <w:t>kapitole IV.1 Makroekonomické dopady, str. 101 a</w:t>
      </w:r>
      <w:r w:rsidR="0003053E">
        <w:t> </w:t>
      </w:r>
      <w:r w:rsidRPr="00393D5E">
        <w:t>násl., a</w:t>
      </w:r>
      <w:r w:rsidR="0003053E">
        <w:t> </w:t>
      </w:r>
      <w:r w:rsidRPr="00393D5E">
        <w:t>kapitole IV.2 Porovnání s</w:t>
      </w:r>
      <w:r w:rsidR="0003053E">
        <w:t> </w:t>
      </w:r>
      <w:r w:rsidRPr="00393D5E">
        <w:t>investiční bází, str. 111.</w:t>
      </w:r>
    </w:p>
    <w:p w14:paraId="1AADAB5C" w14:textId="77777777" w:rsidR="005F3AC2" w:rsidRPr="00256395" w:rsidRDefault="005F3AC2" w:rsidP="18B68733">
      <w:pPr>
        <w:pStyle w:val="Nadpis2"/>
      </w:pPr>
      <w:bookmarkStart w:id="298" w:name="_Toc73468613"/>
      <w:bookmarkStart w:id="299" w:name="_Toc151444367"/>
      <w:bookmarkEnd w:id="0"/>
      <w:r>
        <w:t>Makroekonomické dopady</w:t>
      </w:r>
      <w:bookmarkEnd w:id="298"/>
      <w:bookmarkEnd w:id="299"/>
    </w:p>
    <w:p w14:paraId="13939D2D" w14:textId="77777777" w:rsidR="005F3AC2" w:rsidRDefault="005F3AC2" w:rsidP="18B68733">
      <w:pPr>
        <w:pStyle w:val="Nadpis3"/>
      </w:pPr>
      <w:bookmarkStart w:id="300" w:name="_Toc73468614"/>
      <w:bookmarkStart w:id="301" w:name="_Toc151444368"/>
      <w:r>
        <w:t>Makroekonomický scénář</w:t>
      </w:r>
      <w:bookmarkEnd w:id="300"/>
      <w:bookmarkEnd w:id="301"/>
    </w:p>
    <w:p w14:paraId="27B1DCAA" w14:textId="45A69532" w:rsidR="001F5332" w:rsidRDefault="001F5332" w:rsidP="001F5332">
      <w:pPr>
        <w:jc w:val="both"/>
      </w:pPr>
      <w:r>
        <w:t>Základní makroekonomický scénář vychází z</w:t>
      </w:r>
      <w:r w:rsidR="0003053E">
        <w:t> </w:t>
      </w:r>
      <w:r>
        <w:t>dubnové predikce Ministerstva financí (</w:t>
      </w:r>
      <w:r w:rsidRPr="001F5332">
        <w:t>MF ČR, 2023b), která je také základem letošního Konvergenčního programu České republiky (MF ČR, 2023a). K</w:t>
      </w:r>
      <w:r>
        <w:t>onvergenční program obsahuje predikci a</w:t>
      </w:r>
      <w:r w:rsidR="0003053E">
        <w:t> </w:t>
      </w:r>
      <w:r>
        <w:t>výhled základních makroekonomických a</w:t>
      </w:r>
      <w:r w:rsidR="0003053E">
        <w:t> </w:t>
      </w:r>
      <w:r>
        <w:t xml:space="preserve">fiskálních veličin do roku 2026. Jeho prognóza pak </w:t>
      </w:r>
      <w:r w:rsidRPr="00AB6BC2">
        <w:t>byl</w:t>
      </w:r>
      <w:r>
        <w:t>a</w:t>
      </w:r>
      <w:r w:rsidRPr="00AB6BC2">
        <w:t xml:space="preserve"> v</w:t>
      </w:r>
      <w:r w:rsidR="0003053E">
        <w:t> </w:t>
      </w:r>
      <w:r w:rsidRPr="00AB6BC2">
        <w:t xml:space="preserve">souladu se zákonem </w:t>
      </w:r>
      <w:r>
        <w:t>o</w:t>
      </w:r>
      <w:r w:rsidR="0003053E">
        <w:t> </w:t>
      </w:r>
      <w:r>
        <w:t xml:space="preserve">pravidlech rozpočtové odpovědnosti </w:t>
      </w:r>
      <w:r w:rsidRPr="00AB6BC2">
        <w:t>posouzen</w:t>
      </w:r>
      <w:r>
        <w:t>a dne 18</w:t>
      </w:r>
      <w:r w:rsidRPr="00AB6BC2">
        <w:t>. dubna 202</w:t>
      </w:r>
      <w:r>
        <w:t>3</w:t>
      </w:r>
      <w:r w:rsidRPr="00AB6BC2">
        <w:t xml:space="preserve"> V</w:t>
      </w:r>
      <w:r>
        <w:t>ýborem pro rozpočtové prognózy, který ji z</w:t>
      </w:r>
      <w:r w:rsidR="0003053E">
        <w:t> </w:t>
      </w:r>
      <w:r w:rsidRPr="00AB6BC2">
        <w:t xml:space="preserve">hlediska pravděpodobnosti naplnění </w:t>
      </w:r>
      <w:r>
        <w:t>označil za</w:t>
      </w:r>
      <w:r w:rsidRPr="00AB6BC2">
        <w:t xml:space="preserve"> realistick</w:t>
      </w:r>
      <w:r>
        <w:t>ou</w:t>
      </w:r>
      <w:r w:rsidRPr="00AB6BC2">
        <w:t>.</w:t>
      </w:r>
      <w:r>
        <w:t xml:space="preserve"> V</w:t>
      </w:r>
      <w:r w:rsidR="0003053E">
        <w:t> </w:t>
      </w:r>
      <w:r>
        <w:t>horizontu</w:t>
      </w:r>
      <w:r w:rsidRPr="00AB6BC2">
        <w:t xml:space="preserve"> </w:t>
      </w:r>
      <w:r>
        <w:t>delším, než je scénář Konvergenčního programu, bylo nutné přijmout předpoklad o</w:t>
      </w:r>
      <w:r w:rsidR="0003053E">
        <w:t> </w:t>
      </w:r>
      <w:r>
        <w:t>vývoji reálné ekonomiky, cen a</w:t>
      </w:r>
      <w:r w:rsidR="0003053E">
        <w:t> </w:t>
      </w:r>
      <w:r>
        <w:t>zaměstnanosti. Vzhledem k</w:t>
      </w:r>
      <w:r w:rsidR="0003053E">
        <w:t> </w:t>
      </w:r>
      <w:r>
        <w:t>obvyklé absenci cyklických výkyvů u</w:t>
      </w:r>
      <w:r w:rsidR="0003053E">
        <w:t> </w:t>
      </w:r>
      <w:r>
        <w:t>projekce za střednědobým výhledem bylo pro roky 2027 a</w:t>
      </w:r>
      <w:r w:rsidR="0003053E">
        <w:t> </w:t>
      </w:r>
      <w:r>
        <w:t>2028 zvoleno konstantní tempo růstu.</w:t>
      </w:r>
    </w:p>
    <w:p w14:paraId="18326FB6" w14:textId="61F44B9E" w:rsidR="00E25A73" w:rsidRDefault="00E25A73" w:rsidP="001F5332">
      <w:pPr>
        <w:jc w:val="both"/>
      </w:pPr>
    </w:p>
    <w:p w14:paraId="7405D692" w14:textId="2C6D0EFF" w:rsidR="00E25A73" w:rsidRDefault="00E25A73" w:rsidP="001F5332">
      <w:pPr>
        <w:jc w:val="both"/>
      </w:pPr>
    </w:p>
    <w:p w14:paraId="6EE517F0" w14:textId="77777777" w:rsidR="00E25A73" w:rsidRPr="00264827" w:rsidRDefault="00E25A73" w:rsidP="001F5332">
      <w:pPr>
        <w:jc w:val="both"/>
      </w:pPr>
    </w:p>
    <w:p w14:paraId="6DA95ABC" w14:textId="408F39A8" w:rsidR="00E25A73" w:rsidRDefault="00E25A73" w:rsidP="00E25A73">
      <w:pPr>
        <w:pStyle w:val="Titulek"/>
        <w:keepNext/>
      </w:pPr>
      <w:bookmarkStart w:id="302" w:name="_Toc151444591"/>
      <w:r>
        <w:lastRenderedPageBreak/>
        <w:t xml:space="preserve">Tabulka </w:t>
      </w:r>
      <w:r>
        <w:fldChar w:fldCharType="begin"/>
      </w:r>
      <w:r>
        <w:instrText xml:space="preserve"> SEQ Tabulka \* ARABIC </w:instrText>
      </w:r>
      <w:r>
        <w:fldChar w:fldCharType="separate"/>
      </w:r>
      <w:r>
        <w:t>6</w:t>
      </w:r>
      <w:r>
        <w:fldChar w:fldCharType="end"/>
      </w:r>
      <w:r>
        <w:t>: Základní makroekonomický scénář</w:t>
      </w:r>
      <w:bookmarkEnd w:id="302"/>
    </w:p>
    <w:p w14:paraId="4265F0F1" w14:textId="61F270D7" w:rsidR="001F5332" w:rsidRDefault="001F5332" w:rsidP="001F5332">
      <w:pPr>
        <w:pStyle w:val="Zdrojpodtabulkounebografem"/>
        <w:rPr>
          <w:noProof/>
        </w:rPr>
      </w:pPr>
      <w:r w:rsidRPr="006E2C29">
        <w:rPr>
          <w:noProof/>
        </w:rPr>
        <w:drawing>
          <wp:inline distT="0" distB="0" distL="0" distR="0" wp14:anchorId="6BD36DCB" wp14:editId="292805A0">
            <wp:extent cx="6170295" cy="1605915"/>
            <wp:effectExtent l="0" t="0" r="1905"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170295" cy="1605915"/>
                    </a:xfrm>
                    <a:prstGeom prst="rect">
                      <a:avLst/>
                    </a:prstGeom>
                    <a:noFill/>
                    <a:ln>
                      <a:noFill/>
                    </a:ln>
                  </pic:spPr>
                </pic:pic>
              </a:graphicData>
            </a:graphic>
          </wp:inline>
        </w:drawing>
      </w:r>
      <w:r>
        <w:rPr>
          <w:noProof/>
        </w:rPr>
        <w:t>Poznámka: Pro všechny další roky 20letého horizontu simulací se předpokládá konstantní tempo růstu uvedených veličin na úrovni roku 2028. Údaje o</w:t>
      </w:r>
      <w:r w:rsidR="0003053E">
        <w:rPr>
          <w:noProof/>
        </w:rPr>
        <w:t> </w:t>
      </w:r>
      <w:r>
        <w:rPr>
          <w:noProof/>
        </w:rPr>
        <w:t>zaměstnanosti vycházejí z</w:t>
      </w:r>
      <w:r w:rsidR="0003053E">
        <w:rPr>
          <w:noProof/>
        </w:rPr>
        <w:t> </w:t>
      </w:r>
      <w:r>
        <w:rPr>
          <w:noProof/>
        </w:rPr>
        <w:t>národních účtů.</w:t>
      </w:r>
    </w:p>
    <w:p w14:paraId="5BD91E8C" w14:textId="77777777" w:rsidR="001F5332" w:rsidRDefault="001F5332" w:rsidP="001F5332">
      <w:pPr>
        <w:pStyle w:val="Zdrojpodtabulkounebografem"/>
      </w:pPr>
      <w:r>
        <w:t xml:space="preserve">Zdroj: </w:t>
      </w:r>
      <w:r w:rsidRPr="001F5332">
        <w:t>MF ČR (2023a, 2023b)</w:t>
      </w:r>
      <w:r>
        <w:t>. Předpoklady MF ČR.</w:t>
      </w:r>
    </w:p>
    <w:p w14:paraId="3375C843" w14:textId="633B7656" w:rsidR="001F5332" w:rsidRDefault="001F5332" w:rsidP="001F5332">
      <w:pPr>
        <w:jc w:val="both"/>
      </w:pPr>
      <w:r>
        <w:t>Očekáváme, že v</w:t>
      </w:r>
      <w:r w:rsidR="0003053E">
        <w:t> </w:t>
      </w:r>
      <w:r>
        <w:t>letošním roce bude česká ekonomika prakticky stagnovat. Negativním faktorem růstu bude i</w:t>
      </w:r>
      <w:r w:rsidR="0003053E">
        <w:t> </w:t>
      </w:r>
      <w:r>
        <w:t>v letošním roce pokles reálné spotřeby domácností, které se budou nadále potýkat s</w:t>
      </w:r>
      <w:r w:rsidR="0003053E">
        <w:t> </w:t>
      </w:r>
      <w:r>
        <w:t>dopady vysoké inflace. Vliv slabé domácí poptávky bude naopak vykompenzován saldem zahraničního obchodu. Prorůstově však budou působit i</w:t>
      </w:r>
      <w:r w:rsidR="0003053E">
        <w:t> </w:t>
      </w:r>
      <w:r>
        <w:t>spotřeba sektoru vládních institucí a</w:t>
      </w:r>
      <w:r w:rsidR="0003053E">
        <w:t> </w:t>
      </w:r>
      <w:r>
        <w:t>tvorba hrubého fixního kapitálu. Hospodářský růst v</w:t>
      </w:r>
      <w:r w:rsidR="0003053E">
        <w:t> </w:t>
      </w:r>
      <w:r>
        <w:t>roce 2024 by díky oživení soukromé spotřeby mohl zrychlit na 3,0 %. V</w:t>
      </w:r>
      <w:r w:rsidR="0003053E">
        <w:t> </w:t>
      </w:r>
      <w:r>
        <w:t>dalších letech odhadujeme zvolnění tempa reálného HDP směrem ke 2 %, což odpovídá odhadům dynamiky potenciálního produktu.</w:t>
      </w:r>
    </w:p>
    <w:p w14:paraId="48907F4A" w14:textId="19072B20" w:rsidR="001F5332" w:rsidRDefault="001F5332" w:rsidP="001F5332">
      <w:pPr>
        <w:jc w:val="both"/>
      </w:pPr>
      <w:r>
        <w:t>Růst deflátoru HDP bude v</w:t>
      </w:r>
      <w:r w:rsidR="0003053E">
        <w:t> </w:t>
      </w:r>
      <w:r>
        <w:t>letošním roce nadále ovlivněn pokračujícím vysokým růstem deflátoru hrubých domácích výdajů, především spotřeby domácností. V</w:t>
      </w:r>
      <w:r w:rsidR="0003053E">
        <w:t> </w:t>
      </w:r>
      <w:r>
        <w:t>dalších letech výhledu by se díky nižší cenové dynamice všech složek domácí poptávky mohl růst deflátoru HDP postupně zpomalit na úroveň mírně nad 2 %.</w:t>
      </w:r>
    </w:p>
    <w:p w14:paraId="6A7028A0" w14:textId="73C52C98" w:rsidR="001F5332" w:rsidRPr="001F5D33" w:rsidRDefault="001F5332" w:rsidP="001F5332">
      <w:pPr>
        <w:jc w:val="both"/>
      </w:pPr>
      <w:r>
        <w:t>Vývoj na trhu práce je do značné míry ovlivněn hospodářským poklesem, který se projeví s</w:t>
      </w:r>
      <w:r w:rsidR="0003053E">
        <w:t> </w:t>
      </w:r>
      <w:r>
        <w:t>určitým zpožděním především v</w:t>
      </w:r>
      <w:r w:rsidR="0003053E">
        <w:t> </w:t>
      </w:r>
      <w:r>
        <w:t>první polovině letošního roku a</w:t>
      </w:r>
      <w:r w:rsidR="0003053E">
        <w:t> </w:t>
      </w:r>
      <w:r>
        <w:t>zaměstnanost tak za celý rok poklesne o</w:t>
      </w:r>
      <w:r w:rsidR="0003053E">
        <w:t> </w:t>
      </w:r>
      <w:r>
        <w:t>0,4 %.</w:t>
      </w:r>
      <w:r>
        <w:rPr>
          <w:rStyle w:val="Znakapoznpodarou"/>
        </w:rPr>
        <w:footnoteReference w:id="5"/>
      </w:r>
      <w:r>
        <w:t xml:space="preserve"> Druhá polovina roku 2023 však bude již ve znamení pozvolného oživování poptávky po práci, které bude pokračovat i</w:t>
      </w:r>
      <w:r w:rsidR="0003053E">
        <w:t> </w:t>
      </w:r>
      <w:r>
        <w:t>v roce 2024, kdy růst zaměstnanosti dosáhne 0,5 %. V</w:t>
      </w:r>
      <w:r w:rsidR="0003053E">
        <w:t> </w:t>
      </w:r>
      <w:r>
        <w:t>horizontu výhledu by se pak zaměstnanost měla nepatrně zvyšovat.</w:t>
      </w:r>
    </w:p>
    <w:p w14:paraId="62D18CAD" w14:textId="77777777" w:rsidR="005F3AC2" w:rsidRDefault="005F3AC2" w:rsidP="001F5332">
      <w:pPr>
        <w:pStyle w:val="Nadpis3"/>
      </w:pPr>
      <w:bookmarkStart w:id="303" w:name="_Toc73468615"/>
      <w:bookmarkStart w:id="304" w:name="_Toc151444369"/>
      <w:r>
        <w:t>Metodika</w:t>
      </w:r>
      <w:bookmarkEnd w:id="303"/>
      <w:bookmarkEnd w:id="304"/>
    </w:p>
    <w:p w14:paraId="734E9549" w14:textId="6F8C6E0C" w:rsidR="005F3AC2" w:rsidRPr="001F5332" w:rsidRDefault="07720056" w:rsidP="001F5332">
      <w:pPr>
        <w:jc w:val="both"/>
        <w:rPr>
          <w:rFonts w:eastAsia="Calibri" w:cstheme="minorHAnsi"/>
          <w:color w:val="000000" w:themeColor="text1"/>
        </w:rPr>
      </w:pPr>
      <w:r w:rsidRPr="001F5332">
        <w:rPr>
          <w:rFonts w:eastAsia="Calibri" w:cstheme="minorHAnsi"/>
          <w:color w:val="000000" w:themeColor="text1"/>
        </w:rPr>
        <w:t>Pro modelování makroekonomických dopadů Národního plánu obnovy byl využit upravený model Evropské komise QUEST. Tento model je jedním ze zásadních nástrojů Evropské komise pro kvantifikaci možných makroekonomických dopadů hospodářských politik. Prvotní verze byla vyvinuta Generálním ředitelstvím pro hospodářské a</w:t>
      </w:r>
      <w:r w:rsidR="0003053E">
        <w:rPr>
          <w:rFonts w:eastAsia="Calibri" w:cstheme="minorHAnsi"/>
          <w:color w:val="000000" w:themeColor="text1"/>
        </w:rPr>
        <w:t> </w:t>
      </w:r>
      <w:r w:rsidRPr="001F5332">
        <w:rPr>
          <w:rFonts w:eastAsia="Calibri" w:cstheme="minorHAnsi"/>
          <w:color w:val="000000" w:themeColor="text1"/>
        </w:rPr>
        <w:t>finanční záležitosti Evropské komise na přelomu 80. a</w:t>
      </w:r>
      <w:r w:rsidR="0003053E">
        <w:rPr>
          <w:rFonts w:eastAsia="Calibri" w:cstheme="minorHAnsi"/>
          <w:color w:val="000000" w:themeColor="text1"/>
        </w:rPr>
        <w:t> </w:t>
      </w:r>
      <w:r w:rsidRPr="001F5332">
        <w:rPr>
          <w:rFonts w:eastAsia="Calibri" w:cstheme="minorHAnsi"/>
          <w:color w:val="000000" w:themeColor="text1"/>
        </w:rPr>
        <w:t>90. let minulého století.</w:t>
      </w:r>
      <w:hyperlink r:id="rId28" w:anchor="_ftn1" w:history="1">
        <w:r w:rsidRPr="001F5332">
          <w:rPr>
            <w:rStyle w:val="Hypertextovodkaz"/>
            <w:rFonts w:eastAsia="Calibri" w:cstheme="minorHAnsi"/>
            <w:vertAlign w:val="superscript"/>
          </w:rPr>
          <w:t>[1]</w:t>
        </w:r>
      </w:hyperlink>
      <w:r w:rsidRPr="001F5332">
        <w:rPr>
          <w:rFonts w:eastAsia="Calibri" w:cstheme="minorHAnsi"/>
          <w:color w:val="000000" w:themeColor="text1"/>
        </w:rPr>
        <w:t xml:space="preserve"> Ucelená verze z</w:t>
      </w:r>
      <w:r w:rsidR="0003053E">
        <w:rPr>
          <w:rFonts w:eastAsia="Calibri" w:cstheme="minorHAnsi"/>
          <w:color w:val="000000" w:themeColor="text1"/>
        </w:rPr>
        <w:t> </w:t>
      </w:r>
      <w:r w:rsidRPr="001F5332">
        <w:rPr>
          <w:rFonts w:eastAsia="Calibri" w:cstheme="minorHAnsi"/>
          <w:color w:val="000000" w:themeColor="text1"/>
        </w:rPr>
        <w:t>roku 1991 sloužila k</w:t>
      </w:r>
      <w:r w:rsidR="0003053E">
        <w:rPr>
          <w:rFonts w:eastAsia="Calibri" w:cstheme="minorHAnsi"/>
          <w:color w:val="000000" w:themeColor="text1"/>
        </w:rPr>
        <w:t> </w:t>
      </w:r>
      <w:r w:rsidRPr="001F5332">
        <w:rPr>
          <w:rFonts w:eastAsia="Calibri" w:cstheme="minorHAnsi"/>
          <w:color w:val="000000" w:themeColor="text1"/>
        </w:rPr>
        <w:t>analýze ekonomik zemí Evropské unie a</w:t>
      </w:r>
      <w:r w:rsidR="0003053E">
        <w:rPr>
          <w:rFonts w:eastAsia="Calibri" w:cstheme="minorHAnsi"/>
          <w:color w:val="000000" w:themeColor="text1"/>
        </w:rPr>
        <w:t> </w:t>
      </w:r>
      <w:r w:rsidRPr="001F5332">
        <w:rPr>
          <w:rFonts w:eastAsia="Calibri" w:cstheme="minorHAnsi"/>
          <w:color w:val="000000" w:themeColor="text1"/>
        </w:rPr>
        <w:t>interakcí s</w:t>
      </w:r>
      <w:r w:rsidR="0003053E">
        <w:rPr>
          <w:rFonts w:eastAsia="Calibri" w:cstheme="minorHAnsi"/>
          <w:color w:val="000000" w:themeColor="text1"/>
        </w:rPr>
        <w:t> </w:t>
      </w:r>
      <w:r w:rsidRPr="001F5332">
        <w:rPr>
          <w:rFonts w:eastAsia="Calibri" w:cstheme="minorHAnsi"/>
          <w:color w:val="000000" w:themeColor="text1"/>
        </w:rPr>
        <w:t>vnějším prostředím, zejména s</w:t>
      </w:r>
      <w:r w:rsidR="0003053E">
        <w:rPr>
          <w:rFonts w:eastAsia="Calibri" w:cstheme="minorHAnsi"/>
          <w:color w:val="000000" w:themeColor="text1"/>
        </w:rPr>
        <w:t> </w:t>
      </w:r>
      <w:r w:rsidRPr="001F5332">
        <w:rPr>
          <w:rFonts w:eastAsia="Calibri" w:cstheme="minorHAnsi"/>
          <w:color w:val="000000" w:themeColor="text1"/>
        </w:rPr>
        <w:t>ekonomikami USA a</w:t>
      </w:r>
      <w:r w:rsidR="0003053E">
        <w:rPr>
          <w:rFonts w:eastAsia="Calibri" w:cstheme="minorHAnsi"/>
          <w:color w:val="000000" w:themeColor="text1"/>
        </w:rPr>
        <w:t> </w:t>
      </w:r>
      <w:r w:rsidRPr="001F5332">
        <w:rPr>
          <w:rFonts w:eastAsia="Calibri" w:cstheme="minorHAnsi"/>
          <w:color w:val="000000" w:themeColor="text1"/>
        </w:rPr>
        <w:t>Japonska. Už v</w:t>
      </w:r>
      <w:r w:rsidR="0003053E">
        <w:rPr>
          <w:rFonts w:eastAsia="Calibri" w:cstheme="minorHAnsi"/>
          <w:color w:val="000000" w:themeColor="text1"/>
        </w:rPr>
        <w:t> </w:t>
      </w:r>
      <w:r w:rsidRPr="001F5332">
        <w:rPr>
          <w:rFonts w:eastAsia="Calibri" w:cstheme="minorHAnsi"/>
          <w:color w:val="000000" w:themeColor="text1"/>
        </w:rPr>
        <w:t>této verzi byly zkoumány dopady fiskálních opatření a</w:t>
      </w:r>
      <w:r w:rsidR="0003053E">
        <w:rPr>
          <w:rFonts w:eastAsia="Calibri" w:cstheme="minorHAnsi"/>
          <w:color w:val="000000" w:themeColor="text1"/>
        </w:rPr>
        <w:t> </w:t>
      </w:r>
      <w:r w:rsidRPr="001F5332">
        <w:rPr>
          <w:rFonts w:eastAsia="Calibri" w:cstheme="minorHAnsi"/>
          <w:color w:val="000000" w:themeColor="text1"/>
        </w:rPr>
        <w:t>jejich možné vlivy na jiné ekonomiky, stejně tak model umožňoval tvorbu predikcí. Druhá verze QUEST II z</w:t>
      </w:r>
      <w:r w:rsidR="0003053E">
        <w:rPr>
          <w:rFonts w:eastAsia="Calibri" w:cstheme="minorHAnsi"/>
          <w:color w:val="000000" w:themeColor="text1"/>
        </w:rPr>
        <w:t> </w:t>
      </w:r>
      <w:r w:rsidRPr="001F5332">
        <w:rPr>
          <w:rFonts w:eastAsia="Calibri" w:cstheme="minorHAnsi"/>
          <w:color w:val="000000" w:themeColor="text1"/>
        </w:rPr>
        <w:t>roku 1997 rozpracovala teoretickou strukturu modelu, jeho dynamiku a</w:t>
      </w:r>
      <w:r w:rsidR="0003053E">
        <w:rPr>
          <w:rFonts w:eastAsia="Calibri" w:cstheme="minorHAnsi"/>
          <w:color w:val="000000" w:themeColor="text1"/>
        </w:rPr>
        <w:t> </w:t>
      </w:r>
      <w:r w:rsidRPr="001F5332">
        <w:rPr>
          <w:rFonts w:eastAsia="Calibri" w:cstheme="minorHAnsi"/>
          <w:color w:val="000000" w:themeColor="text1"/>
        </w:rPr>
        <w:t>optimalizaci chování subjektů s</w:t>
      </w:r>
      <w:r w:rsidR="0003053E">
        <w:rPr>
          <w:rFonts w:eastAsia="Calibri" w:cstheme="minorHAnsi"/>
          <w:color w:val="000000" w:themeColor="text1"/>
        </w:rPr>
        <w:t> </w:t>
      </w:r>
      <w:r w:rsidRPr="001F5332">
        <w:rPr>
          <w:rFonts w:eastAsia="Calibri" w:cstheme="minorHAnsi"/>
          <w:color w:val="000000" w:themeColor="text1"/>
        </w:rPr>
        <w:t>ohledem na jejich očekávání. Detailněji propracovala také oblast mezinárodního obchodu a</w:t>
      </w:r>
      <w:r w:rsidR="0003053E">
        <w:rPr>
          <w:rFonts w:eastAsia="Calibri" w:cstheme="minorHAnsi"/>
          <w:color w:val="000000" w:themeColor="text1"/>
        </w:rPr>
        <w:t> </w:t>
      </w:r>
      <w:r w:rsidRPr="001F5332">
        <w:rPr>
          <w:rFonts w:eastAsia="Calibri" w:cstheme="minorHAnsi"/>
          <w:color w:val="000000" w:themeColor="text1"/>
        </w:rPr>
        <w:t>finančních vazeb mezi jednotlivými ekonomikami. Nástupce QUEST III byl primárně sestaven pro analýzy zemí eurozóny. Předchozí generace modelu vylepšuje o</w:t>
      </w:r>
      <w:r w:rsidR="0003053E">
        <w:rPr>
          <w:rFonts w:eastAsia="Calibri" w:cstheme="minorHAnsi"/>
          <w:color w:val="000000" w:themeColor="text1"/>
        </w:rPr>
        <w:t> </w:t>
      </w:r>
      <w:r w:rsidRPr="001F5332">
        <w:rPr>
          <w:rFonts w:eastAsia="Calibri" w:cstheme="minorHAnsi"/>
          <w:color w:val="000000" w:themeColor="text1"/>
        </w:rPr>
        <w:t>zahrnutí stochastického trendu, další kanály zahraničního obchodu a</w:t>
      </w:r>
      <w:r w:rsidR="0003053E">
        <w:rPr>
          <w:rFonts w:eastAsia="Calibri" w:cstheme="minorHAnsi"/>
          <w:color w:val="000000" w:themeColor="text1"/>
        </w:rPr>
        <w:t> </w:t>
      </w:r>
      <w:r w:rsidRPr="001F5332">
        <w:rPr>
          <w:rFonts w:eastAsia="Calibri" w:cstheme="minorHAnsi"/>
          <w:color w:val="000000" w:themeColor="text1"/>
        </w:rPr>
        <w:t xml:space="preserve">měnového kurzu, neboť na ekonomiku eurozóny nahlíží jako na otevřenou. Dále model obsahuje rigidity </w:t>
      </w:r>
      <w:r w:rsidRPr="001F5332">
        <w:rPr>
          <w:rFonts w:eastAsia="Calibri" w:cstheme="minorHAnsi"/>
          <w:color w:val="000000" w:themeColor="text1"/>
        </w:rPr>
        <w:lastRenderedPageBreak/>
        <w:t>finančního trhu, trhu zboží či trhu práce a</w:t>
      </w:r>
      <w:r w:rsidR="0003053E">
        <w:rPr>
          <w:rFonts w:eastAsia="Calibri" w:cstheme="minorHAnsi"/>
          <w:color w:val="000000" w:themeColor="text1"/>
        </w:rPr>
        <w:t> </w:t>
      </w:r>
      <w:r w:rsidRPr="001F5332">
        <w:rPr>
          <w:rFonts w:eastAsia="Calibri" w:cstheme="minorHAnsi"/>
          <w:color w:val="000000" w:themeColor="text1"/>
        </w:rPr>
        <w:t xml:space="preserve">konečně nově pracuje se sektorem vládních institucí, jakožto se stabilizačním prvkem poptávkové strany ekonomiky. </w:t>
      </w:r>
    </w:p>
    <w:p w14:paraId="7DE70E61" w14:textId="7EE1312E" w:rsidR="07720056" w:rsidRPr="001F5332" w:rsidRDefault="07720056" w:rsidP="001F5332">
      <w:pPr>
        <w:jc w:val="both"/>
        <w:rPr>
          <w:rFonts w:eastAsia="Calibri" w:cstheme="minorHAnsi"/>
          <w:color w:val="000000" w:themeColor="text1"/>
        </w:rPr>
      </w:pPr>
      <w:r w:rsidRPr="001F5332">
        <w:rPr>
          <w:rFonts w:eastAsia="Calibri" w:cstheme="minorHAnsi"/>
          <w:color w:val="000000" w:themeColor="text1"/>
        </w:rPr>
        <w:t xml:space="preserve">Současné generace modelů QUEST jsou více specificky zaměřené. Rozpracovávají oblasti, které mají výrazný společensko-ekonomický přesah, jako je problematika trhu bydlení, stability bankovního sektoru, nebo například sektoru energetiky. Pro účely </w:t>
      </w:r>
      <w:r w:rsidR="00D70836">
        <w:rPr>
          <w:rFonts w:eastAsia="Calibri" w:cstheme="minorHAnsi"/>
          <w:color w:val="000000" w:themeColor="text1"/>
        </w:rPr>
        <w:t xml:space="preserve">NPO </w:t>
      </w:r>
      <w:r w:rsidRPr="001F5332">
        <w:rPr>
          <w:rFonts w:eastAsia="Calibri" w:cstheme="minorHAnsi"/>
          <w:color w:val="000000" w:themeColor="text1"/>
        </w:rPr>
        <w:t>je nejzásadnějším rozšíření modelu QUEST III o</w:t>
      </w:r>
      <w:r w:rsidR="0003053E">
        <w:rPr>
          <w:rFonts w:eastAsia="Calibri" w:cstheme="minorHAnsi"/>
          <w:color w:val="000000" w:themeColor="text1"/>
        </w:rPr>
        <w:t> </w:t>
      </w:r>
      <w:r w:rsidRPr="001F5332">
        <w:rPr>
          <w:rFonts w:eastAsia="Calibri" w:cstheme="minorHAnsi"/>
          <w:color w:val="000000" w:themeColor="text1"/>
        </w:rPr>
        <w:t>sektor výzkumu a</w:t>
      </w:r>
      <w:r w:rsidR="0003053E">
        <w:rPr>
          <w:rFonts w:eastAsia="Calibri" w:cstheme="minorHAnsi"/>
          <w:color w:val="000000" w:themeColor="text1"/>
        </w:rPr>
        <w:t> </w:t>
      </w:r>
      <w:r w:rsidRPr="001F5332">
        <w:rPr>
          <w:rFonts w:eastAsia="Calibri" w:cstheme="minorHAnsi"/>
          <w:color w:val="000000" w:themeColor="text1"/>
        </w:rPr>
        <w:t>vývoje (dále QUEST III R&amp;D), který umožňuje analyzovat dopady strukturálních reforem a</w:t>
      </w:r>
      <w:r w:rsidR="0003053E">
        <w:rPr>
          <w:rFonts w:eastAsia="Calibri" w:cstheme="minorHAnsi"/>
          <w:color w:val="000000" w:themeColor="text1"/>
        </w:rPr>
        <w:t> </w:t>
      </w:r>
      <w:r w:rsidRPr="001F5332">
        <w:rPr>
          <w:rFonts w:eastAsia="Calibri" w:cstheme="minorHAnsi"/>
          <w:color w:val="000000" w:themeColor="text1"/>
        </w:rPr>
        <w:t>kohezní politiky, kalibrovaný na data roku 2018. Velkou výhodou je skutečnost, že Evropská komise tuto verzi rozpracovala již pro všechny členské země EU. Ve stejné struktuře je proto i</w:t>
      </w:r>
      <w:r w:rsidR="0003053E">
        <w:rPr>
          <w:rFonts w:eastAsia="Calibri" w:cstheme="minorHAnsi"/>
          <w:color w:val="000000" w:themeColor="text1"/>
        </w:rPr>
        <w:t> </w:t>
      </w:r>
      <w:r w:rsidRPr="001F5332">
        <w:rPr>
          <w:rFonts w:eastAsia="Calibri" w:cstheme="minorHAnsi"/>
          <w:color w:val="000000" w:themeColor="text1"/>
        </w:rPr>
        <w:t>pro ČR k</w:t>
      </w:r>
      <w:r w:rsidR="0003053E">
        <w:rPr>
          <w:rFonts w:eastAsia="Calibri" w:cstheme="minorHAnsi"/>
          <w:color w:val="000000" w:themeColor="text1"/>
        </w:rPr>
        <w:t> </w:t>
      </w:r>
      <w:r w:rsidRPr="001F5332">
        <w:rPr>
          <w:rFonts w:eastAsia="Calibri" w:cstheme="minorHAnsi"/>
          <w:color w:val="000000" w:themeColor="text1"/>
        </w:rPr>
        <w:t>dispozici model obsahující oblasti domácí ekonomiky, ekonomiky eurozóny a</w:t>
      </w:r>
      <w:r w:rsidR="0003053E">
        <w:rPr>
          <w:rFonts w:eastAsia="Calibri" w:cstheme="minorHAnsi"/>
          <w:color w:val="000000" w:themeColor="text1"/>
        </w:rPr>
        <w:t> </w:t>
      </w:r>
      <w:r w:rsidRPr="001F5332">
        <w:rPr>
          <w:rFonts w:eastAsia="Calibri" w:cstheme="minorHAnsi"/>
          <w:color w:val="000000" w:themeColor="text1"/>
        </w:rPr>
        <w:t>zbytku světa.</w:t>
      </w:r>
    </w:p>
    <w:p w14:paraId="24A5276D" w14:textId="076C5504" w:rsidR="07720056" w:rsidRPr="001F5332" w:rsidRDefault="07720056" w:rsidP="001F5332">
      <w:pPr>
        <w:jc w:val="both"/>
        <w:rPr>
          <w:rFonts w:eastAsia="Calibri" w:cstheme="minorHAnsi"/>
          <w:color w:val="000000" w:themeColor="text1"/>
        </w:rPr>
      </w:pPr>
      <w:r w:rsidRPr="001F5332">
        <w:rPr>
          <w:rFonts w:eastAsia="Calibri" w:cstheme="minorHAnsi"/>
          <w:color w:val="000000" w:themeColor="text1"/>
        </w:rPr>
        <w:t>Použitý model má základy v</w:t>
      </w:r>
      <w:r w:rsidR="0003053E">
        <w:rPr>
          <w:rFonts w:eastAsia="Calibri" w:cstheme="minorHAnsi"/>
          <w:color w:val="000000" w:themeColor="text1"/>
        </w:rPr>
        <w:t> </w:t>
      </w:r>
      <w:r w:rsidRPr="001F5332">
        <w:rPr>
          <w:rFonts w:eastAsia="Calibri" w:cstheme="minorHAnsi"/>
          <w:color w:val="000000" w:themeColor="text1"/>
        </w:rPr>
        <w:t>nové keynesovské ekonomii doplněné o</w:t>
      </w:r>
      <w:r w:rsidR="0003053E">
        <w:rPr>
          <w:rFonts w:eastAsia="Calibri" w:cstheme="minorHAnsi"/>
          <w:color w:val="000000" w:themeColor="text1"/>
        </w:rPr>
        <w:t> </w:t>
      </w:r>
      <w:r w:rsidRPr="001F5332">
        <w:rPr>
          <w:rFonts w:eastAsia="Calibri" w:cstheme="minorHAnsi"/>
          <w:color w:val="000000" w:themeColor="text1"/>
        </w:rPr>
        <w:t>mikroekonomické aspekty. Coby makro-ekonomický dynamický model všeobecné rovnováhy se skládá z</w:t>
      </w:r>
      <w:r w:rsidR="0003053E">
        <w:rPr>
          <w:rFonts w:eastAsia="Calibri" w:cstheme="minorHAnsi"/>
          <w:color w:val="000000" w:themeColor="text1"/>
        </w:rPr>
        <w:t> </w:t>
      </w:r>
      <w:r w:rsidRPr="001F5332">
        <w:rPr>
          <w:rFonts w:eastAsia="Calibri" w:cstheme="minorHAnsi"/>
          <w:color w:val="000000" w:themeColor="text1"/>
        </w:rPr>
        <w:t>několika vzájemně interagujících bloků, které aproximují chování ekonomických subjektů. Zatímco sektor domácností spotřebovává zboží a</w:t>
      </w:r>
      <w:r w:rsidR="0003053E">
        <w:rPr>
          <w:rFonts w:eastAsia="Calibri" w:cstheme="minorHAnsi"/>
          <w:color w:val="000000" w:themeColor="text1"/>
        </w:rPr>
        <w:t> </w:t>
      </w:r>
      <w:r w:rsidRPr="001F5332">
        <w:rPr>
          <w:rFonts w:eastAsia="Calibri" w:cstheme="minorHAnsi"/>
          <w:color w:val="000000" w:themeColor="text1"/>
        </w:rPr>
        <w:t>služby na trhu produktů, na trhu práce tvoří nabídku pracovní síly, domácnosti realizují investice, odvádí daně a</w:t>
      </w:r>
      <w:r w:rsidR="0003053E">
        <w:rPr>
          <w:rFonts w:eastAsia="Calibri" w:cstheme="minorHAnsi"/>
          <w:color w:val="000000" w:themeColor="text1"/>
        </w:rPr>
        <w:t> </w:t>
      </w:r>
      <w:r w:rsidRPr="001F5332">
        <w:rPr>
          <w:rFonts w:eastAsia="Calibri" w:cstheme="minorHAnsi"/>
          <w:color w:val="000000" w:themeColor="text1"/>
        </w:rPr>
        <w:t>jsou příjemci sociálních transferů. Firmy si najímají výrobní faktory v</w:t>
      </w:r>
      <w:r w:rsidR="0003053E">
        <w:rPr>
          <w:rFonts w:eastAsia="Calibri" w:cstheme="minorHAnsi"/>
          <w:color w:val="000000" w:themeColor="text1"/>
        </w:rPr>
        <w:t> </w:t>
      </w:r>
      <w:r w:rsidRPr="001F5332">
        <w:rPr>
          <w:rFonts w:eastAsia="Calibri" w:cstheme="minorHAnsi"/>
          <w:color w:val="000000" w:themeColor="text1"/>
        </w:rPr>
        <w:t>podobě práce a</w:t>
      </w:r>
      <w:r w:rsidR="0003053E">
        <w:rPr>
          <w:rFonts w:eastAsia="Calibri" w:cstheme="minorHAnsi"/>
          <w:color w:val="000000" w:themeColor="text1"/>
        </w:rPr>
        <w:t> </w:t>
      </w:r>
      <w:r w:rsidRPr="001F5332">
        <w:rPr>
          <w:rFonts w:eastAsia="Calibri" w:cstheme="minorHAnsi"/>
          <w:color w:val="000000" w:themeColor="text1"/>
        </w:rPr>
        <w:t>kapitálu a</w:t>
      </w:r>
      <w:r w:rsidR="0003053E">
        <w:rPr>
          <w:rFonts w:eastAsia="Calibri" w:cstheme="minorHAnsi"/>
          <w:color w:val="000000" w:themeColor="text1"/>
        </w:rPr>
        <w:t> </w:t>
      </w:r>
      <w:r w:rsidRPr="001F5332">
        <w:rPr>
          <w:rFonts w:eastAsia="Calibri" w:cstheme="minorHAnsi"/>
          <w:color w:val="000000" w:themeColor="text1"/>
        </w:rPr>
        <w:t>produkují statky mezispotřeby a</w:t>
      </w:r>
      <w:r w:rsidR="0003053E">
        <w:rPr>
          <w:rFonts w:eastAsia="Calibri" w:cstheme="minorHAnsi"/>
          <w:color w:val="000000" w:themeColor="text1"/>
        </w:rPr>
        <w:t> </w:t>
      </w:r>
      <w:r w:rsidRPr="001F5332">
        <w:rPr>
          <w:rFonts w:eastAsia="Calibri" w:cstheme="minorHAnsi"/>
          <w:color w:val="000000" w:themeColor="text1"/>
        </w:rPr>
        <w:t>finální spotřeby. Do veřejných rozpočtů odvádí daně a</w:t>
      </w:r>
      <w:r w:rsidR="0003053E">
        <w:rPr>
          <w:rFonts w:eastAsia="Calibri" w:cstheme="minorHAnsi"/>
          <w:color w:val="000000" w:themeColor="text1"/>
        </w:rPr>
        <w:t> </w:t>
      </w:r>
      <w:r w:rsidRPr="001F5332">
        <w:rPr>
          <w:rFonts w:eastAsia="Calibri" w:cstheme="minorHAnsi"/>
          <w:color w:val="000000" w:themeColor="text1"/>
        </w:rPr>
        <w:t>mohou být příjemci dotací. Fiskální autorita pomocí prostředků získaných z</w:t>
      </w:r>
      <w:r w:rsidR="0003053E">
        <w:rPr>
          <w:rFonts w:eastAsia="Calibri" w:cstheme="minorHAnsi"/>
          <w:color w:val="000000" w:themeColor="text1"/>
        </w:rPr>
        <w:t> </w:t>
      </w:r>
      <w:r w:rsidRPr="001F5332">
        <w:rPr>
          <w:rFonts w:eastAsia="Calibri" w:cstheme="minorHAnsi"/>
          <w:color w:val="000000" w:themeColor="text1"/>
        </w:rPr>
        <w:t>daňových výnosů anebo emise dluhopisů plní redistribuční, alokační a</w:t>
      </w:r>
      <w:r w:rsidR="0003053E">
        <w:rPr>
          <w:rFonts w:eastAsia="Calibri" w:cstheme="minorHAnsi"/>
          <w:color w:val="000000" w:themeColor="text1"/>
        </w:rPr>
        <w:t> </w:t>
      </w:r>
      <w:r w:rsidRPr="001F5332">
        <w:rPr>
          <w:rFonts w:eastAsia="Calibri" w:cstheme="minorHAnsi"/>
          <w:color w:val="000000" w:themeColor="text1"/>
        </w:rPr>
        <w:t>stabilizační roli, načež měnová autorita zodpovídá za cenovou stabilitu prostřednictvím nastavení úrokových sazeb. Uvedená struktura je pak shodná pro všechny tři geografické oblasti.</w:t>
      </w:r>
    </w:p>
    <w:p w14:paraId="6FF1DA04" w14:textId="7949A132" w:rsidR="07720056" w:rsidRPr="001F5332" w:rsidRDefault="07720056" w:rsidP="001F5332">
      <w:pPr>
        <w:jc w:val="both"/>
        <w:rPr>
          <w:rFonts w:eastAsia="Calibri" w:cstheme="minorHAnsi"/>
          <w:color w:val="000000" w:themeColor="text1"/>
        </w:rPr>
      </w:pPr>
      <w:r w:rsidRPr="001F5332">
        <w:rPr>
          <w:rFonts w:eastAsia="Calibri" w:cstheme="minorHAnsi"/>
          <w:color w:val="000000" w:themeColor="text1"/>
        </w:rPr>
        <w:t xml:space="preserve">Jelikož podstatná část </w:t>
      </w:r>
      <w:r w:rsidR="00D70836">
        <w:rPr>
          <w:rFonts w:eastAsia="Calibri" w:cstheme="minorHAnsi"/>
          <w:color w:val="000000" w:themeColor="text1"/>
        </w:rPr>
        <w:t>NPO</w:t>
      </w:r>
      <w:r w:rsidRPr="001F5332">
        <w:rPr>
          <w:rFonts w:eastAsia="Calibri" w:cstheme="minorHAnsi"/>
          <w:color w:val="000000" w:themeColor="text1"/>
        </w:rPr>
        <w:t xml:space="preserve"> přispívá v</w:t>
      </w:r>
      <w:r w:rsidR="0003053E">
        <w:rPr>
          <w:rFonts w:eastAsia="Calibri" w:cstheme="minorHAnsi"/>
          <w:color w:val="000000" w:themeColor="text1"/>
        </w:rPr>
        <w:t> </w:t>
      </w:r>
      <w:r w:rsidRPr="001F5332">
        <w:rPr>
          <w:rFonts w:eastAsia="Calibri" w:cstheme="minorHAnsi"/>
          <w:color w:val="000000" w:themeColor="text1"/>
        </w:rPr>
        <w:t>souladu s</w:t>
      </w:r>
      <w:r w:rsidR="0003053E">
        <w:rPr>
          <w:rFonts w:eastAsia="Calibri" w:cstheme="minorHAnsi"/>
          <w:color w:val="000000" w:themeColor="text1"/>
        </w:rPr>
        <w:t> </w:t>
      </w:r>
      <w:r w:rsidRPr="001F5332">
        <w:rPr>
          <w:rFonts w:eastAsia="Calibri" w:cstheme="minorHAnsi"/>
          <w:color w:val="000000" w:themeColor="text1"/>
        </w:rPr>
        <w:t>nařízením Evropského parlamentu a</w:t>
      </w:r>
      <w:r w:rsidR="0003053E">
        <w:rPr>
          <w:rFonts w:eastAsia="Calibri" w:cstheme="minorHAnsi"/>
          <w:color w:val="000000" w:themeColor="text1"/>
        </w:rPr>
        <w:t> </w:t>
      </w:r>
      <w:r w:rsidRPr="001F5332">
        <w:rPr>
          <w:rFonts w:eastAsia="Calibri" w:cstheme="minorHAnsi"/>
          <w:color w:val="000000" w:themeColor="text1"/>
        </w:rPr>
        <w:t>Rady EU č. 2021/241 k</w:t>
      </w:r>
      <w:r w:rsidR="0003053E">
        <w:rPr>
          <w:rFonts w:eastAsia="Calibri" w:cstheme="minorHAnsi"/>
          <w:color w:val="000000" w:themeColor="text1"/>
        </w:rPr>
        <w:t> </w:t>
      </w:r>
      <w:r w:rsidRPr="001F5332">
        <w:rPr>
          <w:rFonts w:eastAsia="Calibri" w:cstheme="minorHAnsi"/>
          <w:color w:val="000000" w:themeColor="text1"/>
        </w:rPr>
        <w:t>evropské strategii udržitelného růstu a</w:t>
      </w:r>
      <w:r w:rsidR="0003053E">
        <w:rPr>
          <w:rFonts w:eastAsia="Calibri" w:cstheme="minorHAnsi"/>
          <w:color w:val="000000" w:themeColor="text1"/>
        </w:rPr>
        <w:t> </w:t>
      </w:r>
      <w:r w:rsidRPr="001F5332">
        <w:rPr>
          <w:rFonts w:eastAsia="Calibri" w:cstheme="minorHAnsi"/>
          <w:color w:val="000000" w:themeColor="text1"/>
        </w:rPr>
        <w:t>k boji proti změně klimatu, byl model QUEST III R&amp;D rozšířen o</w:t>
      </w:r>
      <w:r w:rsidR="0003053E">
        <w:rPr>
          <w:rFonts w:eastAsia="Calibri" w:cstheme="minorHAnsi"/>
          <w:color w:val="000000" w:themeColor="text1"/>
        </w:rPr>
        <w:t> </w:t>
      </w:r>
      <w:r w:rsidRPr="001F5332">
        <w:rPr>
          <w:rFonts w:eastAsia="Calibri" w:cstheme="minorHAnsi"/>
          <w:color w:val="000000" w:themeColor="text1"/>
        </w:rPr>
        <w:t>oblasti zaměřující se na udržitelnost životního prostředí. Úpravy inspirované studií Zarnic et al. (2010) přidávají navíc tyto tři skupiny odvětví: „green sector“, „dirty sector“ a</w:t>
      </w:r>
      <w:r w:rsidR="0003053E">
        <w:rPr>
          <w:rFonts w:eastAsia="Calibri" w:cstheme="minorHAnsi"/>
          <w:color w:val="000000" w:themeColor="text1"/>
        </w:rPr>
        <w:t> </w:t>
      </w:r>
      <w:r w:rsidRPr="001F5332">
        <w:rPr>
          <w:rFonts w:eastAsia="Calibri" w:cstheme="minorHAnsi"/>
          <w:color w:val="000000" w:themeColor="text1"/>
        </w:rPr>
        <w:t>„ostatní“, kde jsou agregována zbylá odvětví. Rozčlenění respektuje českou klasifikaci produkce (CZ-CPA) Českého statistického úřadu (ČSÚ, 2017), využívanou např. u</w:t>
      </w:r>
      <w:r w:rsidR="0003053E">
        <w:rPr>
          <w:rFonts w:eastAsia="Calibri" w:cstheme="minorHAnsi"/>
          <w:color w:val="000000" w:themeColor="text1"/>
        </w:rPr>
        <w:t> </w:t>
      </w:r>
      <w:r w:rsidRPr="001F5332">
        <w:rPr>
          <w:rFonts w:eastAsia="Calibri" w:cstheme="minorHAnsi"/>
          <w:color w:val="000000" w:themeColor="text1"/>
        </w:rPr>
        <w:t>input-output tabulek. Skupina „green sector“ zahrnuje odvětví s</w:t>
      </w:r>
      <w:r w:rsidR="0003053E">
        <w:rPr>
          <w:rFonts w:eastAsia="Calibri" w:cstheme="minorHAnsi"/>
          <w:color w:val="000000" w:themeColor="text1"/>
        </w:rPr>
        <w:t> </w:t>
      </w:r>
      <w:r w:rsidRPr="001F5332">
        <w:rPr>
          <w:rFonts w:eastAsia="Calibri" w:cstheme="minorHAnsi"/>
          <w:color w:val="000000" w:themeColor="text1"/>
        </w:rPr>
        <w:t>obnovitelnými zdroji energie, což dle input-output tabulek reprezentuje produkci cca 12 % komodit v</w:t>
      </w:r>
      <w:r w:rsidR="0003053E">
        <w:rPr>
          <w:rFonts w:eastAsia="Calibri" w:cstheme="minorHAnsi"/>
          <w:color w:val="000000" w:themeColor="text1"/>
        </w:rPr>
        <w:t> </w:t>
      </w:r>
      <w:r w:rsidRPr="001F5332">
        <w:rPr>
          <w:rFonts w:eastAsia="Calibri" w:cstheme="minorHAnsi"/>
          <w:color w:val="000000" w:themeColor="text1"/>
        </w:rPr>
        <w:t>uskupení “Elektřina, plyn, pára a</w:t>
      </w:r>
      <w:r w:rsidR="0003053E">
        <w:rPr>
          <w:rFonts w:eastAsia="Calibri" w:cstheme="minorHAnsi"/>
          <w:color w:val="000000" w:themeColor="text1"/>
        </w:rPr>
        <w:t> </w:t>
      </w:r>
      <w:r w:rsidRPr="001F5332">
        <w:rPr>
          <w:rFonts w:eastAsia="Calibri" w:cstheme="minorHAnsi"/>
          <w:color w:val="000000" w:themeColor="text1"/>
        </w:rPr>
        <w:t>klimatizovaný vzduch” (CZ-CPA 35). Oblast „dirty sector“ zahrnuje produkci elektrické energie z</w:t>
      </w:r>
      <w:r w:rsidR="0003053E">
        <w:rPr>
          <w:rFonts w:eastAsia="Calibri" w:cstheme="minorHAnsi"/>
          <w:color w:val="000000" w:themeColor="text1"/>
        </w:rPr>
        <w:t> </w:t>
      </w:r>
      <w:r w:rsidRPr="001F5332">
        <w:rPr>
          <w:rFonts w:eastAsia="Calibri" w:cstheme="minorHAnsi"/>
          <w:color w:val="000000" w:themeColor="text1"/>
        </w:rPr>
        <w:t>jaderných elektráren, výrobu energie na bázi fosilních paliv a</w:t>
      </w:r>
      <w:r w:rsidR="0003053E">
        <w:rPr>
          <w:rFonts w:eastAsia="Calibri" w:cstheme="minorHAnsi"/>
          <w:color w:val="000000" w:themeColor="text1"/>
        </w:rPr>
        <w:t> </w:t>
      </w:r>
      <w:r w:rsidRPr="001F5332">
        <w:rPr>
          <w:rFonts w:eastAsia="Calibri" w:cstheme="minorHAnsi"/>
          <w:color w:val="000000" w:themeColor="text1"/>
        </w:rPr>
        <w:t>energeticky náročnou produkci. Dle platné klasifikace produkce zahrnuje tato skupina těžbu a</w:t>
      </w:r>
      <w:r w:rsidR="0003053E">
        <w:rPr>
          <w:rFonts w:eastAsia="Calibri" w:cstheme="minorHAnsi"/>
          <w:color w:val="000000" w:themeColor="text1"/>
        </w:rPr>
        <w:t> </w:t>
      </w:r>
      <w:r w:rsidRPr="001F5332">
        <w:rPr>
          <w:rFonts w:eastAsia="Calibri" w:cstheme="minorHAnsi"/>
          <w:color w:val="000000" w:themeColor="text1"/>
        </w:rPr>
        <w:t>dobývání (CZ-CPA 05–09), ze zpracovatelského průmyslu papír a</w:t>
      </w:r>
      <w:r w:rsidR="0003053E">
        <w:rPr>
          <w:rFonts w:eastAsia="Calibri" w:cstheme="minorHAnsi"/>
          <w:color w:val="000000" w:themeColor="text1"/>
        </w:rPr>
        <w:t> </w:t>
      </w:r>
      <w:r w:rsidRPr="001F5332">
        <w:rPr>
          <w:rFonts w:eastAsia="Calibri" w:cstheme="minorHAnsi"/>
          <w:color w:val="000000" w:themeColor="text1"/>
        </w:rPr>
        <w:t>výrobky z</w:t>
      </w:r>
      <w:r w:rsidR="0003053E">
        <w:rPr>
          <w:rFonts w:eastAsia="Calibri" w:cstheme="minorHAnsi"/>
          <w:color w:val="000000" w:themeColor="text1"/>
        </w:rPr>
        <w:t> </w:t>
      </w:r>
      <w:r w:rsidRPr="001F5332">
        <w:rPr>
          <w:rFonts w:eastAsia="Calibri" w:cstheme="minorHAnsi"/>
          <w:color w:val="000000" w:themeColor="text1"/>
        </w:rPr>
        <w:t>papíru, tiskařské a</w:t>
      </w:r>
      <w:r w:rsidR="0003053E">
        <w:rPr>
          <w:rFonts w:eastAsia="Calibri" w:cstheme="minorHAnsi"/>
          <w:color w:val="000000" w:themeColor="text1"/>
        </w:rPr>
        <w:t> </w:t>
      </w:r>
      <w:r w:rsidRPr="001F5332">
        <w:rPr>
          <w:rFonts w:eastAsia="Calibri" w:cstheme="minorHAnsi"/>
          <w:color w:val="000000" w:themeColor="text1"/>
        </w:rPr>
        <w:t>nahrávací služby, koks a</w:t>
      </w:r>
      <w:r w:rsidR="0003053E">
        <w:rPr>
          <w:rFonts w:eastAsia="Calibri" w:cstheme="minorHAnsi"/>
          <w:color w:val="000000" w:themeColor="text1"/>
        </w:rPr>
        <w:t> </w:t>
      </w:r>
      <w:r w:rsidRPr="001F5332">
        <w:rPr>
          <w:rFonts w:eastAsia="Calibri" w:cstheme="minorHAnsi"/>
          <w:color w:val="000000" w:themeColor="text1"/>
        </w:rPr>
        <w:t>rafinované ropné produkty, chemické látky a</w:t>
      </w:r>
      <w:r w:rsidR="0003053E">
        <w:rPr>
          <w:rFonts w:eastAsia="Calibri" w:cstheme="minorHAnsi"/>
          <w:color w:val="000000" w:themeColor="text1"/>
        </w:rPr>
        <w:t> </w:t>
      </w:r>
      <w:r w:rsidRPr="001F5332">
        <w:rPr>
          <w:rFonts w:eastAsia="Calibri" w:cstheme="minorHAnsi"/>
          <w:color w:val="000000" w:themeColor="text1"/>
        </w:rPr>
        <w:t>chemické přípravky, základní farmaceutické výrobky a</w:t>
      </w:r>
      <w:r w:rsidR="0003053E">
        <w:rPr>
          <w:rFonts w:eastAsia="Calibri" w:cstheme="minorHAnsi"/>
          <w:color w:val="000000" w:themeColor="text1"/>
        </w:rPr>
        <w:t> </w:t>
      </w:r>
      <w:r w:rsidRPr="001F5332">
        <w:rPr>
          <w:rFonts w:eastAsia="Calibri" w:cstheme="minorHAnsi"/>
          <w:color w:val="000000" w:themeColor="text1"/>
        </w:rPr>
        <w:t>přípravky, pryžové a</w:t>
      </w:r>
      <w:r w:rsidR="0003053E">
        <w:rPr>
          <w:rFonts w:eastAsia="Calibri" w:cstheme="minorHAnsi"/>
          <w:color w:val="000000" w:themeColor="text1"/>
        </w:rPr>
        <w:t> </w:t>
      </w:r>
      <w:r w:rsidRPr="001F5332">
        <w:rPr>
          <w:rFonts w:eastAsia="Calibri" w:cstheme="minorHAnsi"/>
          <w:color w:val="000000" w:themeColor="text1"/>
        </w:rPr>
        <w:t>plastové výrobky, ostatní nekovové minerální výrobky, základní kovy a</w:t>
      </w:r>
      <w:r w:rsidR="0003053E">
        <w:rPr>
          <w:rFonts w:eastAsia="Calibri" w:cstheme="minorHAnsi"/>
          <w:color w:val="000000" w:themeColor="text1"/>
        </w:rPr>
        <w:t> </w:t>
      </w:r>
      <w:r w:rsidRPr="001F5332">
        <w:rPr>
          <w:rFonts w:eastAsia="Calibri" w:cstheme="minorHAnsi"/>
          <w:color w:val="000000" w:themeColor="text1"/>
        </w:rPr>
        <w:t>kovodělné výrobky (CZ-CPA 17–25) a</w:t>
      </w:r>
      <w:r w:rsidR="0003053E">
        <w:rPr>
          <w:rFonts w:eastAsia="Calibri" w:cstheme="minorHAnsi"/>
          <w:color w:val="000000" w:themeColor="text1"/>
        </w:rPr>
        <w:t> </w:t>
      </w:r>
      <w:r w:rsidRPr="001F5332">
        <w:rPr>
          <w:rFonts w:eastAsia="Calibri" w:cstheme="minorHAnsi"/>
          <w:color w:val="000000" w:themeColor="text1"/>
        </w:rPr>
        <w:t>z 88 % i</w:t>
      </w:r>
      <w:r w:rsidR="0003053E">
        <w:rPr>
          <w:rFonts w:eastAsia="Calibri" w:cstheme="minorHAnsi"/>
          <w:color w:val="000000" w:themeColor="text1"/>
        </w:rPr>
        <w:t> </w:t>
      </w:r>
      <w:r w:rsidRPr="001F5332">
        <w:rPr>
          <w:rFonts w:eastAsia="Calibri" w:cstheme="minorHAnsi"/>
          <w:color w:val="000000" w:themeColor="text1"/>
        </w:rPr>
        <w:t>produkci elektřiny, plynu páry či klimatizovaného vzduchu (CZ-CPA 35).</w:t>
      </w:r>
    </w:p>
    <w:p w14:paraId="7CDBA39B" w14:textId="17C49B76" w:rsidR="07720056" w:rsidRPr="001F5332" w:rsidRDefault="07720056" w:rsidP="001F5332">
      <w:pPr>
        <w:jc w:val="both"/>
        <w:rPr>
          <w:rFonts w:eastAsia="Calibri" w:cstheme="minorHAnsi"/>
          <w:color w:val="000000" w:themeColor="text1"/>
        </w:rPr>
      </w:pPr>
      <w:r w:rsidRPr="001F5332">
        <w:rPr>
          <w:rFonts w:eastAsia="Calibri" w:cstheme="minorHAnsi"/>
          <w:color w:val="000000" w:themeColor="text1"/>
        </w:rPr>
        <w:t>Dané rozčlenění vyžaduje podrobné rozpracování sektoru firem, kde je zvlášť navržena produkční funkce pro každou skupinu odvětví. Model dále respektuje rozdílnou poptávku po statcích z</w:t>
      </w:r>
      <w:r w:rsidR="0003053E">
        <w:rPr>
          <w:rFonts w:eastAsia="Calibri" w:cstheme="minorHAnsi"/>
          <w:color w:val="000000" w:themeColor="text1"/>
        </w:rPr>
        <w:t> </w:t>
      </w:r>
      <w:r w:rsidRPr="001F5332">
        <w:rPr>
          <w:rFonts w:eastAsia="Calibri" w:cstheme="minorHAnsi"/>
          <w:color w:val="000000" w:themeColor="text1"/>
        </w:rPr>
        <w:t>energetického odvětví a</w:t>
      </w:r>
      <w:r w:rsidR="0003053E">
        <w:rPr>
          <w:rFonts w:eastAsia="Calibri" w:cstheme="minorHAnsi"/>
          <w:color w:val="000000" w:themeColor="text1"/>
        </w:rPr>
        <w:t> </w:t>
      </w:r>
      <w:r w:rsidRPr="001F5332">
        <w:rPr>
          <w:rFonts w:eastAsia="Calibri" w:cstheme="minorHAnsi"/>
          <w:color w:val="000000" w:themeColor="text1"/>
        </w:rPr>
        <w:t>z ostatních odvětví. Energetické odvětví se přitom skládá z</w:t>
      </w:r>
      <w:r w:rsidR="0003053E">
        <w:rPr>
          <w:rFonts w:eastAsia="Calibri" w:cstheme="minorHAnsi"/>
          <w:color w:val="000000" w:themeColor="text1"/>
        </w:rPr>
        <w:t> </w:t>
      </w:r>
      <w:r w:rsidRPr="001F5332">
        <w:rPr>
          <w:rFonts w:eastAsia="Calibri" w:cstheme="minorHAnsi"/>
          <w:color w:val="000000" w:themeColor="text1"/>
        </w:rPr>
        <w:t>produkce obnovitelných a</w:t>
      </w:r>
      <w:r w:rsidR="0003053E">
        <w:rPr>
          <w:rFonts w:eastAsia="Calibri" w:cstheme="minorHAnsi"/>
          <w:color w:val="000000" w:themeColor="text1"/>
        </w:rPr>
        <w:t> </w:t>
      </w:r>
      <w:r w:rsidRPr="001F5332">
        <w:rPr>
          <w:rFonts w:eastAsia="Calibri" w:cstheme="minorHAnsi"/>
          <w:color w:val="000000" w:themeColor="text1"/>
        </w:rPr>
        <w:t>neobnovitelných zdrojů energie. Firmy produkující neobnovitelné zdroje energie čelí v</w:t>
      </w:r>
      <w:r w:rsidR="0003053E">
        <w:rPr>
          <w:rFonts w:eastAsia="Calibri" w:cstheme="minorHAnsi"/>
          <w:color w:val="000000" w:themeColor="text1"/>
        </w:rPr>
        <w:t> </w:t>
      </w:r>
      <w:r w:rsidRPr="001F5332">
        <w:rPr>
          <w:rFonts w:eastAsia="Calibri" w:cstheme="minorHAnsi"/>
          <w:color w:val="000000" w:themeColor="text1"/>
        </w:rPr>
        <w:t>modelu dodatečnému omezení v</w:t>
      </w:r>
      <w:r w:rsidR="0003053E">
        <w:rPr>
          <w:rFonts w:eastAsia="Calibri" w:cstheme="minorHAnsi"/>
          <w:color w:val="000000" w:themeColor="text1"/>
        </w:rPr>
        <w:t> </w:t>
      </w:r>
      <w:r w:rsidRPr="001F5332">
        <w:rPr>
          <w:rFonts w:eastAsia="Calibri" w:cstheme="minorHAnsi"/>
          <w:color w:val="000000" w:themeColor="text1"/>
        </w:rPr>
        <w:t>podobě emisních povolenek, které získávají od vlády, a</w:t>
      </w:r>
      <w:r w:rsidR="0003053E">
        <w:rPr>
          <w:rFonts w:eastAsia="Calibri" w:cstheme="minorHAnsi"/>
          <w:color w:val="000000" w:themeColor="text1"/>
        </w:rPr>
        <w:t> </w:t>
      </w:r>
      <w:r w:rsidRPr="001F5332">
        <w:rPr>
          <w:rFonts w:eastAsia="Calibri" w:cstheme="minorHAnsi"/>
          <w:color w:val="000000" w:themeColor="text1"/>
        </w:rPr>
        <w:t>které mohou mezi sebou obchodovat. Tato restrikce pak ovlivňuje ziskovou funkci sektoru. Kapitál a</w:t>
      </w:r>
      <w:r w:rsidR="0003053E">
        <w:rPr>
          <w:rFonts w:eastAsia="Calibri" w:cstheme="minorHAnsi"/>
          <w:color w:val="000000" w:themeColor="text1"/>
        </w:rPr>
        <w:t> </w:t>
      </w:r>
      <w:r w:rsidRPr="001F5332">
        <w:rPr>
          <w:rFonts w:eastAsia="Calibri" w:cstheme="minorHAnsi"/>
          <w:color w:val="000000" w:themeColor="text1"/>
        </w:rPr>
        <w:t>následně investice jsou poslední proměnné, které zohledňují rozdíly ve sledovaných odvětvích.</w:t>
      </w:r>
    </w:p>
    <w:p w14:paraId="180E0E3A" w14:textId="32710C29" w:rsidR="07720056" w:rsidRPr="001F5332" w:rsidRDefault="07720056" w:rsidP="001F5332">
      <w:pPr>
        <w:jc w:val="both"/>
        <w:rPr>
          <w:rFonts w:eastAsia="Calibri" w:cstheme="minorHAnsi"/>
          <w:color w:val="000000" w:themeColor="text1"/>
        </w:rPr>
      </w:pPr>
      <w:r w:rsidRPr="001F5332">
        <w:rPr>
          <w:rFonts w:eastAsia="Calibri" w:cstheme="minorHAnsi"/>
          <w:color w:val="000000" w:themeColor="text1"/>
        </w:rPr>
        <w:t>Rozšířený model odráží vztahy mezi jednotlivými odvětvími hlavně přes nákup a</w:t>
      </w:r>
      <w:r w:rsidR="0003053E">
        <w:rPr>
          <w:rFonts w:eastAsia="Calibri" w:cstheme="minorHAnsi"/>
          <w:color w:val="000000" w:themeColor="text1"/>
        </w:rPr>
        <w:t> </w:t>
      </w:r>
      <w:r w:rsidRPr="001F5332">
        <w:rPr>
          <w:rFonts w:eastAsia="Calibri" w:cstheme="minorHAnsi"/>
          <w:color w:val="000000" w:themeColor="text1"/>
        </w:rPr>
        <w:t>prodej statků mezispotřeby, tj. statků, které jsou produkcí jedné firmy a</w:t>
      </w:r>
      <w:r w:rsidR="0003053E">
        <w:rPr>
          <w:rFonts w:eastAsia="Calibri" w:cstheme="minorHAnsi"/>
          <w:color w:val="000000" w:themeColor="text1"/>
        </w:rPr>
        <w:t> </w:t>
      </w:r>
      <w:r w:rsidRPr="001F5332">
        <w:rPr>
          <w:rFonts w:eastAsia="Calibri" w:cstheme="minorHAnsi"/>
          <w:color w:val="000000" w:themeColor="text1"/>
        </w:rPr>
        <w:t>zároveň vstupem do produkčního procesu jiné firmy. Obchod se statky mezispotřeby tak multiplikuje dopad z</w:t>
      </w:r>
      <w:r w:rsidR="0003053E">
        <w:rPr>
          <w:rFonts w:eastAsia="Calibri" w:cstheme="minorHAnsi"/>
          <w:color w:val="000000" w:themeColor="text1"/>
        </w:rPr>
        <w:t> </w:t>
      </w:r>
      <w:r w:rsidRPr="001F5332">
        <w:rPr>
          <w:rFonts w:eastAsia="Calibri" w:cstheme="minorHAnsi"/>
          <w:color w:val="000000" w:themeColor="text1"/>
        </w:rPr>
        <w:t>jednoho odvětví na ostatní.</w:t>
      </w:r>
    </w:p>
    <w:p w14:paraId="4D1F3208" w14:textId="1D921B2D" w:rsidR="7CE972A2" w:rsidRPr="001F5332" w:rsidRDefault="07720056" w:rsidP="001F5332">
      <w:pPr>
        <w:jc w:val="both"/>
        <w:rPr>
          <w:rFonts w:eastAsia="Calibri" w:cstheme="minorHAnsi"/>
          <w:color w:val="000000" w:themeColor="text1"/>
        </w:rPr>
      </w:pPr>
      <w:r w:rsidRPr="001F5332">
        <w:rPr>
          <w:rFonts w:eastAsia="Calibri" w:cstheme="minorHAnsi"/>
          <w:color w:val="000000" w:themeColor="text1"/>
        </w:rPr>
        <w:lastRenderedPageBreak/>
        <w:t>Pro analýzu makroekonomických dopadů byla využita data z</w:t>
      </w:r>
      <w:r w:rsidR="0003053E">
        <w:rPr>
          <w:rFonts w:eastAsia="Calibri" w:cstheme="minorHAnsi"/>
          <w:color w:val="000000" w:themeColor="text1"/>
        </w:rPr>
        <w:t> </w:t>
      </w:r>
      <w:r w:rsidRPr="001F5332">
        <w:rPr>
          <w:rFonts w:eastAsia="Calibri" w:cstheme="minorHAnsi"/>
          <w:color w:val="000000" w:themeColor="text1"/>
        </w:rPr>
        <w:t>alokací prostředků do jednotlivých komponent N</w:t>
      </w:r>
      <w:r w:rsidR="00D70836">
        <w:rPr>
          <w:rFonts w:eastAsia="Calibri" w:cstheme="minorHAnsi"/>
          <w:color w:val="000000" w:themeColor="text1"/>
        </w:rPr>
        <w:t>PO</w:t>
      </w:r>
      <w:r w:rsidRPr="001F5332">
        <w:rPr>
          <w:rFonts w:eastAsia="Calibri" w:cstheme="minorHAnsi"/>
          <w:color w:val="000000" w:themeColor="text1"/>
        </w:rPr>
        <w:t>. Údaje o</w:t>
      </w:r>
      <w:r w:rsidR="0003053E">
        <w:rPr>
          <w:rFonts w:eastAsia="Calibri" w:cstheme="minorHAnsi"/>
          <w:color w:val="000000" w:themeColor="text1"/>
        </w:rPr>
        <w:t> </w:t>
      </w:r>
      <w:r w:rsidRPr="001F5332">
        <w:rPr>
          <w:rFonts w:eastAsia="Calibri" w:cstheme="minorHAnsi"/>
          <w:color w:val="000000" w:themeColor="text1"/>
        </w:rPr>
        <w:t>celkových výdajích komponent byly dále dekomponovány za účelem detailnějšího rozčlenění a</w:t>
      </w:r>
      <w:r w:rsidR="0003053E">
        <w:rPr>
          <w:rFonts w:eastAsia="Calibri" w:cstheme="minorHAnsi"/>
          <w:color w:val="000000" w:themeColor="text1"/>
        </w:rPr>
        <w:t> </w:t>
      </w:r>
      <w:r w:rsidRPr="001F5332">
        <w:rPr>
          <w:rFonts w:eastAsia="Calibri" w:cstheme="minorHAnsi"/>
          <w:color w:val="000000" w:themeColor="text1"/>
        </w:rPr>
        <w:t>kvantifikace příslušných šoků v</w:t>
      </w:r>
      <w:r w:rsidR="0003053E">
        <w:rPr>
          <w:rFonts w:eastAsia="Calibri" w:cstheme="minorHAnsi"/>
          <w:color w:val="000000" w:themeColor="text1"/>
        </w:rPr>
        <w:t> </w:t>
      </w:r>
      <w:r w:rsidRPr="001F5332">
        <w:rPr>
          <w:rFonts w:eastAsia="Calibri" w:cstheme="minorHAnsi"/>
          <w:color w:val="000000" w:themeColor="text1"/>
        </w:rPr>
        <w:t>jednotlivých letech podle struktury modelu.</w:t>
      </w:r>
    </w:p>
    <w:p w14:paraId="396148B8" w14:textId="05937CDB" w:rsidR="07720056" w:rsidRDefault="00BA143B" w:rsidP="001F5332">
      <w:pPr>
        <w:spacing w:after="0"/>
        <w:jc w:val="both"/>
        <w:rPr>
          <w:rFonts w:ascii="Calibri" w:eastAsia="Calibri" w:hAnsi="Calibri" w:cs="Calibri"/>
          <w:color w:val="000000" w:themeColor="text1"/>
          <w:sz w:val="16"/>
          <w:szCs w:val="16"/>
        </w:rPr>
      </w:pPr>
      <w:hyperlink r:id="rId29" w:anchor="_ftnref1" w:history="1">
        <w:r w:rsidR="07720056" w:rsidRPr="7CE972A2">
          <w:rPr>
            <w:rStyle w:val="Hypertextovodkaz"/>
            <w:rFonts w:ascii="Calibri" w:eastAsia="Calibri" w:hAnsi="Calibri" w:cs="Calibri"/>
            <w:sz w:val="16"/>
            <w:szCs w:val="16"/>
            <w:vertAlign w:val="superscript"/>
          </w:rPr>
          <w:t>[1]</w:t>
        </w:r>
      </w:hyperlink>
      <w:r w:rsidR="07720056" w:rsidRPr="7CE972A2">
        <w:rPr>
          <w:rFonts w:ascii="Calibri" w:eastAsia="Calibri" w:hAnsi="Calibri" w:cs="Calibri"/>
          <w:color w:val="000000" w:themeColor="text1"/>
          <w:sz w:val="16"/>
          <w:szCs w:val="16"/>
        </w:rPr>
        <w:t xml:space="preserve"> Prvotní model QUEST však vznikl v</w:t>
      </w:r>
      <w:r w:rsidR="0003053E">
        <w:rPr>
          <w:rFonts w:ascii="Calibri" w:eastAsia="Calibri" w:hAnsi="Calibri" w:cs="Calibri"/>
          <w:color w:val="000000" w:themeColor="text1"/>
          <w:sz w:val="16"/>
          <w:szCs w:val="16"/>
        </w:rPr>
        <w:t> </w:t>
      </w:r>
      <w:r w:rsidR="07720056" w:rsidRPr="7CE972A2">
        <w:rPr>
          <w:rFonts w:ascii="Calibri" w:eastAsia="Calibri" w:hAnsi="Calibri" w:cs="Calibri"/>
          <w:color w:val="000000" w:themeColor="text1"/>
          <w:sz w:val="16"/>
          <w:szCs w:val="16"/>
        </w:rPr>
        <w:t>rámci DG ECFIN již během roku 1988 a</w:t>
      </w:r>
      <w:r w:rsidR="0003053E">
        <w:rPr>
          <w:rFonts w:ascii="Calibri" w:eastAsia="Calibri" w:hAnsi="Calibri" w:cs="Calibri"/>
          <w:color w:val="000000" w:themeColor="text1"/>
          <w:sz w:val="16"/>
          <w:szCs w:val="16"/>
        </w:rPr>
        <w:t> </w:t>
      </w:r>
      <w:r w:rsidR="07720056" w:rsidRPr="7CE972A2">
        <w:rPr>
          <w:rFonts w:ascii="Calibri" w:eastAsia="Calibri" w:hAnsi="Calibri" w:cs="Calibri"/>
          <w:color w:val="000000" w:themeColor="text1"/>
          <w:sz w:val="16"/>
          <w:szCs w:val="16"/>
        </w:rPr>
        <w:t>prezentován byl v</w:t>
      </w:r>
      <w:r w:rsidR="0003053E">
        <w:rPr>
          <w:rFonts w:ascii="Calibri" w:eastAsia="Calibri" w:hAnsi="Calibri" w:cs="Calibri"/>
          <w:color w:val="000000" w:themeColor="text1"/>
          <w:sz w:val="16"/>
          <w:szCs w:val="16"/>
        </w:rPr>
        <w:t> </w:t>
      </w:r>
      <w:r w:rsidR="07720056" w:rsidRPr="7CE972A2">
        <w:rPr>
          <w:rFonts w:ascii="Calibri" w:eastAsia="Calibri" w:hAnsi="Calibri" w:cs="Calibri"/>
          <w:color w:val="000000" w:themeColor="text1"/>
          <w:sz w:val="16"/>
          <w:szCs w:val="16"/>
        </w:rPr>
        <w:t>březnu 1989.</w:t>
      </w:r>
    </w:p>
    <w:p w14:paraId="54266382" w14:textId="496BD722" w:rsidR="7CE972A2" w:rsidRDefault="7CE972A2" w:rsidP="001F5332">
      <w:pPr>
        <w:jc w:val="both"/>
      </w:pPr>
    </w:p>
    <w:p w14:paraId="04B3AB55" w14:textId="0DD408CC" w:rsidR="005F3AC2" w:rsidRDefault="005F3AC2" w:rsidP="001F5332">
      <w:pPr>
        <w:pStyle w:val="Nadpis3"/>
      </w:pPr>
      <w:bookmarkStart w:id="305" w:name="_Toc73468616"/>
      <w:bookmarkStart w:id="306" w:name="_Toc151444370"/>
      <w:r>
        <w:t xml:space="preserve">Makroekonomické dopady </w:t>
      </w:r>
      <w:r w:rsidR="00D70836">
        <w:t>NPO</w:t>
      </w:r>
      <w:bookmarkEnd w:id="305"/>
      <w:bookmarkEnd w:id="306"/>
    </w:p>
    <w:p w14:paraId="216B809A" w14:textId="7BB5AA6E" w:rsidR="001F5332" w:rsidRDefault="001F5332" w:rsidP="001F5332">
      <w:pPr>
        <w:jc w:val="both"/>
      </w:pPr>
      <w:r>
        <w:t>Pro účely posouzení celkového dopadu Národního plánu obnovy a</w:t>
      </w:r>
      <w:r w:rsidR="0003053E">
        <w:t> </w:t>
      </w:r>
      <w:r>
        <w:t>efektivity vynaložených prostředků vycházíme z</w:t>
      </w:r>
      <w:r w:rsidR="0003053E">
        <w:t> </w:t>
      </w:r>
      <w:r>
        <w:t>celkové alokace necelých 230 mld. Kč. Největší část z</w:t>
      </w:r>
      <w:r w:rsidR="0003053E">
        <w:t> </w:t>
      </w:r>
      <w:r>
        <w:t>toho zaujímá do fyzická infrastruktura a</w:t>
      </w:r>
      <w:r w:rsidR="0003053E">
        <w:t> </w:t>
      </w:r>
      <w:r>
        <w:t xml:space="preserve">zelená tranzice ekonomiky (zhruba 41,6 %, </w:t>
      </w:r>
      <w:r>
        <w:fldChar w:fldCharType="begin"/>
      </w:r>
      <w:r>
        <w:instrText xml:space="preserve"> REF _Ref71009108 \h  \* MERGEFORMAT </w:instrText>
      </w:r>
      <w:r>
        <w:fldChar w:fldCharType="separate"/>
      </w:r>
      <w:r>
        <w:t xml:space="preserve">Graf </w:t>
      </w:r>
      <w:r>
        <w:rPr>
          <w:noProof/>
        </w:rPr>
        <w:t>1</w:t>
      </w:r>
      <w:r>
        <w:fldChar w:fldCharType="end"/>
      </w:r>
      <w:r>
        <w:t>), s</w:t>
      </w:r>
      <w:r w:rsidR="0003053E">
        <w:t> </w:t>
      </w:r>
      <w:r>
        <w:t>odstupem následovaná investicemi do vzdělávání a</w:t>
      </w:r>
      <w:r w:rsidR="0003053E">
        <w:t> </w:t>
      </w:r>
      <w:r>
        <w:t>trhu práce (zhruba 19,8 %) a</w:t>
      </w:r>
      <w:r w:rsidR="0003053E">
        <w:t> </w:t>
      </w:r>
      <w:r>
        <w:t>pilířem digitální transformace (zhruba 16,7 %). Dalších 7,6 % představují projekty REPowerEU a</w:t>
      </w:r>
      <w:r w:rsidR="0003053E">
        <w:t> </w:t>
      </w:r>
      <w:r>
        <w:t>ostatní pilíře by si pak v</w:t>
      </w:r>
      <w:r w:rsidR="0003053E">
        <w:t> </w:t>
      </w:r>
      <w:r>
        <w:t>souhrnu za celé období rozdělily po 4,4–5,4 % z</w:t>
      </w:r>
      <w:r w:rsidR="0003053E">
        <w:t> </w:t>
      </w:r>
      <w:r>
        <w:t>celkové částky.</w:t>
      </w:r>
    </w:p>
    <w:p w14:paraId="34315895" w14:textId="6C9A7450" w:rsidR="001F5332" w:rsidRDefault="001F5332" w:rsidP="001F5332">
      <w:pPr>
        <w:pStyle w:val="Titulek"/>
        <w:keepNext/>
        <w:spacing w:after="120"/>
      </w:pPr>
      <w:r>
        <w:t xml:space="preserve">Graf </w:t>
      </w:r>
      <w:r>
        <w:fldChar w:fldCharType="begin"/>
      </w:r>
      <w:r>
        <w:instrText xml:space="preserve"> SEQ Graf \* ARABIC </w:instrText>
      </w:r>
      <w:r>
        <w:fldChar w:fldCharType="separate"/>
      </w:r>
      <w:r>
        <w:t>1</w:t>
      </w:r>
      <w:r>
        <w:fldChar w:fldCharType="end"/>
      </w:r>
      <w:r>
        <w:t xml:space="preserve">: Rozdělení výdajů na projekty </w:t>
      </w:r>
      <w:r w:rsidR="00D70836">
        <w:t xml:space="preserve">NPO </w:t>
      </w:r>
      <w:r>
        <w:t xml:space="preserve"> v</w:t>
      </w:r>
      <w:r w:rsidR="0003053E">
        <w:t> </w:t>
      </w:r>
      <w:r>
        <w:t>čase</w:t>
      </w:r>
    </w:p>
    <w:p w14:paraId="64200E4A" w14:textId="77777777" w:rsidR="001F5332" w:rsidRPr="00256106" w:rsidRDefault="001F5332" w:rsidP="001F5332">
      <w:pPr>
        <w:pStyle w:val="Tabulkaagraf"/>
      </w:pPr>
      <w:r>
        <w:t>% HDP</w:t>
      </w:r>
    </w:p>
    <w:p w14:paraId="3CD115A2" w14:textId="77777777" w:rsidR="001F5332" w:rsidRDefault="001F5332" w:rsidP="001F5332">
      <w:pPr>
        <w:pStyle w:val="Tabulkaagraf"/>
      </w:pPr>
      <w:r w:rsidRPr="00107F9B">
        <w:rPr>
          <w:noProof/>
        </w:rPr>
        <w:drawing>
          <wp:inline distT="0" distB="0" distL="0" distR="0" wp14:anchorId="3D1E2C24" wp14:editId="49904362">
            <wp:extent cx="6159500" cy="177673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159500" cy="1776730"/>
                    </a:xfrm>
                    <a:prstGeom prst="rect">
                      <a:avLst/>
                    </a:prstGeom>
                    <a:noFill/>
                    <a:ln>
                      <a:noFill/>
                    </a:ln>
                  </pic:spPr>
                </pic:pic>
              </a:graphicData>
            </a:graphic>
          </wp:inline>
        </w:drawing>
      </w:r>
    </w:p>
    <w:p w14:paraId="3C37BF25" w14:textId="77777777" w:rsidR="001F5332" w:rsidRDefault="001F5332" w:rsidP="001F5332">
      <w:pPr>
        <w:pStyle w:val="Zdrojpodtabulkounebografem"/>
      </w:pPr>
      <w:r>
        <w:t>Zdroj: NPO.</w:t>
      </w:r>
    </w:p>
    <w:p w14:paraId="41ACB95F" w14:textId="7FF395F7" w:rsidR="001F5332" w:rsidRPr="008A7A8F" w:rsidRDefault="001F5332" w:rsidP="001F5332">
      <w:pPr>
        <w:jc w:val="both"/>
      </w:pPr>
      <w:r>
        <w:t>Odhadujeme, že zatímco v</w:t>
      </w:r>
      <w:r w:rsidR="0003053E">
        <w:t> </w:t>
      </w:r>
      <w:r>
        <w:t xml:space="preserve">krátkém, dvouletém horizontu (2020–2021) mohlo být díky investicím realizovaným prostřednictvím Národního plánu obnovy vytvořeno </w:t>
      </w:r>
      <w:r w:rsidRPr="00E923ED">
        <w:t xml:space="preserve">dodatečných </w:t>
      </w:r>
      <w:r>
        <w:t xml:space="preserve">téměř </w:t>
      </w:r>
      <w:r w:rsidRPr="00E923ED">
        <w:t>0,</w:t>
      </w:r>
      <w:r>
        <w:t>2</w:t>
      </w:r>
      <w:r w:rsidRPr="00E923ED">
        <w:t xml:space="preserve"> %</w:t>
      </w:r>
      <w:r>
        <w:t xml:space="preserve"> reálného</w:t>
      </w:r>
      <w:r w:rsidRPr="00E923ED">
        <w:t xml:space="preserve"> HDP</w:t>
      </w:r>
      <w:r>
        <w:t xml:space="preserve"> ročně</w:t>
      </w:r>
      <w:r w:rsidRPr="00E923ED">
        <w:t>, ve středně dlouhém období 5 let</w:t>
      </w:r>
      <w:r>
        <w:t xml:space="preserve"> (2020–2024) a</w:t>
      </w:r>
      <w:r w:rsidR="0003053E">
        <w:t> </w:t>
      </w:r>
      <w:r>
        <w:t xml:space="preserve">dlouhodobém </w:t>
      </w:r>
      <w:r w:rsidR="008A11C2">
        <w:t>horizontu (2020</w:t>
      </w:r>
      <w:r>
        <w:t>–2040</w:t>
      </w:r>
      <w:r w:rsidR="008A11C2">
        <w:t>)</w:t>
      </w:r>
      <w:r w:rsidR="008A11C2" w:rsidRPr="00E923ED">
        <w:t xml:space="preserve"> </w:t>
      </w:r>
      <w:r w:rsidR="008A11C2">
        <w:t>pak</w:t>
      </w:r>
      <w:r>
        <w:t xml:space="preserve"> každoročně</w:t>
      </w:r>
      <w:r w:rsidRPr="00E923ED">
        <w:t xml:space="preserve"> </w:t>
      </w:r>
      <w:r>
        <w:t>zhruba</w:t>
      </w:r>
      <w:r w:rsidRPr="00E923ED">
        <w:t xml:space="preserve"> </w:t>
      </w:r>
      <w:r>
        <w:t>0</w:t>
      </w:r>
      <w:r w:rsidRPr="00E923ED">
        <w:t>,</w:t>
      </w:r>
      <w:r>
        <w:t>5</w:t>
      </w:r>
      <w:r w:rsidRPr="00E923ED">
        <w:t> </w:t>
      </w:r>
      <w:r>
        <w:t xml:space="preserve">% HDP </w:t>
      </w:r>
      <w:r w:rsidRPr="00E923ED">
        <w:t>(</w:t>
      </w:r>
      <w:r w:rsidRPr="00E923ED">
        <w:fldChar w:fldCharType="begin"/>
      </w:r>
      <w:r w:rsidRPr="00E923ED">
        <w:instrText xml:space="preserve"> REF _Ref71814756 \h </w:instrText>
      </w:r>
      <w:r>
        <w:instrText xml:space="preserve"> \* MERGEFORMAT </w:instrText>
      </w:r>
      <w:r w:rsidRPr="00E923ED">
        <w:fldChar w:fldCharType="separate"/>
      </w:r>
      <w:r w:rsidRPr="0020334C">
        <w:t xml:space="preserve">Tabulka </w:t>
      </w:r>
      <w:r w:rsidRPr="0020334C">
        <w:rPr>
          <w:noProof/>
        </w:rPr>
        <w:t>2</w:t>
      </w:r>
      <w:r w:rsidRPr="00E923ED">
        <w:fldChar w:fldCharType="end"/>
      </w:r>
      <w:r w:rsidRPr="00E923ED">
        <w:t>).</w:t>
      </w:r>
      <w:r w:rsidRPr="00E923ED">
        <w:rPr>
          <w:rStyle w:val="Znakapoznpodarou"/>
        </w:rPr>
        <w:footnoteReference w:id="6"/>
      </w:r>
      <w:r w:rsidRPr="00E923ED">
        <w:t xml:space="preserve"> </w:t>
      </w:r>
    </w:p>
    <w:p w14:paraId="1A503D91" w14:textId="5E8ECC5D" w:rsidR="001F5332" w:rsidRPr="00164E98" w:rsidRDefault="001F5332" w:rsidP="001F5332">
      <w:pPr>
        <w:pStyle w:val="Titulek"/>
        <w:keepNext/>
        <w:spacing w:after="120"/>
        <w:rPr>
          <w:i w:val="0"/>
          <w:iCs w:val="0"/>
        </w:rPr>
      </w:pPr>
      <w:bookmarkStart w:id="307" w:name="_Toc151444592"/>
      <w:r w:rsidRPr="00164E98">
        <w:t xml:space="preserve">Tabulka </w:t>
      </w:r>
      <w:r w:rsidRPr="00164E98">
        <w:rPr>
          <w:i w:val="0"/>
          <w:iCs w:val="0"/>
        </w:rPr>
        <w:fldChar w:fldCharType="begin"/>
      </w:r>
      <w:r w:rsidRPr="00164E98">
        <w:instrText xml:space="preserve"> SEQ Tabulka \* ARABIC </w:instrText>
      </w:r>
      <w:r w:rsidRPr="00164E98">
        <w:rPr>
          <w:i w:val="0"/>
          <w:iCs w:val="0"/>
        </w:rPr>
        <w:fldChar w:fldCharType="separate"/>
      </w:r>
      <w:r w:rsidR="00E25A73">
        <w:t>7</w:t>
      </w:r>
      <w:r w:rsidRPr="00164E98">
        <w:rPr>
          <w:i w:val="0"/>
          <w:iCs w:val="0"/>
        </w:rPr>
        <w:fldChar w:fldCharType="end"/>
      </w:r>
      <w:r w:rsidRPr="00164E98">
        <w:t>: Dopady na HDP a</w:t>
      </w:r>
      <w:r w:rsidR="0003053E">
        <w:t> </w:t>
      </w:r>
      <w:r w:rsidRPr="00164E98">
        <w:t>zaměstnanost</w:t>
      </w:r>
      <w:bookmarkEnd w:id="307"/>
    </w:p>
    <w:p w14:paraId="1356A52B" w14:textId="77777777" w:rsidR="001F5332" w:rsidRPr="00416339" w:rsidRDefault="001F5332" w:rsidP="001F5332">
      <w:pPr>
        <w:pStyle w:val="Tabulkaagraf"/>
      </w:pPr>
      <w:r>
        <w:t>% HDP, % zaměstnanosti</w:t>
      </w:r>
    </w:p>
    <w:p w14:paraId="7E0B0CA7" w14:textId="544E7D82" w:rsidR="001F5332" w:rsidRDefault="001F5332" w:rsidP="001F5332">
      <w:pPr>
        <w:pStyle w:val="Zdrojpodtabulkounebografem"/>
      </w:pPr>
      <w:r w:rsidRPr="00107F9B">
        <w:rPr>
          <w:noProof/>
        </w:rPr>
        <w:drawing>
          <wp:inline distT="0" distB="0" distL="0" distR="0" wp14:anchorId="3E75EC6E" wp14:editId="4CFC0C08">
            <wp:extent cx="6124575" cy="1612900"/>
            <wp:effectExtent l="0" t="0" r="9525" b="635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24575" cy="1612900"/>
                    </a:xfrm>
                    <a:prstGeom prst="rect">
                      <a:avLst/>
                    </a:prstGeom>
                    <a:noFill/>
                    <a:ln>
                      <a:noFill/>
                    </a:ln>
                  </pic:spPr>
                </pic:pic>
              </a:graphicData>
            </a:graphic>
          </wp:inline>
        </w:drawing>
      </w:r>
      <w:r>
        <w:t>Pozn.: Údaje u</w:t>
      </w:r>
      <w:r w:rsidR="0003053E">
        <w:t> </w:t>
      </w:r>
      <w:r>
        <w:t>HDP vyjadřují dodatečně vytvořenou přidanou hodnotu v</w:t>
      </w:r>
      <w:r w:rsidR="0003053E">
        <w:t> </w:t>
      </w:r>
      <w:r>
        <w:t>uvedených letech vlivem Národního plánu obnovy v</w:t>
      </w:r>
      <w:r w:rsidR="0003053E">
        <w:t> </w:t>
      </w:r>
      <w:r>
        <w:t>poměru k</w:t>
      </w:r>
      <w:r w:rsidR="0003053E">
        <w:t> </w:t>
      </w:r>
      <w:r>
        <w:t>HDP ve výchozím roce 2020, vůči němuž jsou velikosti impulzů do ekonomiky přepočteny. V</w:t>
      </w:r>
      <w:r w:rsidR="0003053E">
        <w:t> </w:t>
      </w:r>
      <w:r>
        <w:t>případě zaměstnanosti jde o</w:t>
      </w:r>
      <w:r w:rsidR="0003053E">
        <w:t> </w:t>
      </w:r>
      <w:r>
        <w:t>dodatečně vytvořenou poptávku na trhu práce v</w:t>
      </w:r>
      <w:r w:rsidR="0003053E">
        <w:t> </w:t>
      </w:r>
      <w:r>
        <w:t>uvedených letech v</w:t>
      </w:r>
      <w:r w:rsidR="0003053E">
        <w:t> </w:t>
      </w:r>
      <w:r>
        <w:t>poměru k</w:t>
      </w:r>
      <w:r w:rsidR="0003053E">
        <w:t> </w:t>
      </w:r>
      <w:r>
        <w:t>objemu zaměstnanosti v</w:t>
      </w:r>
      <w:r w:rsidR="0003053E">
        <w:t> </w:t>
      </w:r>
      <w:r>
        <w:t>témže výchozím roce 2020.</w:t>
      </w:r>
    </w:p>
    <w:p w14:paraId="08F15F0D" w14:textId="77777777" w:rsidR="001F5332" w:rsidRDefault="001F5332" w:rsidP="001F5332">
      <w:pPr>
        <w:pStyle w:val="Zdrojpodtabulkounebografem"/>
      </w:pPr>
      <w:r>
        <w:t>Zdroj: Výpočty MF ČR.</w:t>
      </w:r>
    </w:p>
    <w:p w14:paraId="2ED83D48" w14:textId="26F7AC52" w:rsidR="001F5332" w:rsidRPr="00DB399F" w:rsidRDefault="001F5332" w:rsidP="001F5332">
      <w:pPr>
        <w:jc w:val="both"/>
        <w:rPr>
          <w:lang w:eastAsia="cs-CZ"/>
        </w:rPr>
      </w:pPr>
      <w:r w:rsidRPr="00E923ED">
        <w:lastRenderedPageBreak/>
        <w:t>Příspěvky jednotlivých pilířů k</w:t>
      </w:r>
      <w:r w:rsidR="0003053E">
        <w:t> </w:t>
      </w:r>
      <w:r w:rsidRPr="00E923ED">
        <w:t>efektu na HDP odráží nejenom objem investovaných prostředků, ale také jejich multiplikační efekty a</w:t>
      </w:r>
      <w:r w:rsidR="0003053E">
        <w:t> </w:t>
      </w:r>
      <w:r w:rsidRPr="00E923ED">
        <w:t>dopady na potenciální růst české ekonomiky. Při detailnějším pohledu na časový profil přínosu jednotlivých</w:t>
      </w:r>
      <w:r>
        <w:t xml:space="preserve"> pilířů (</w:t>
      </w:r>
      <w:r>
        <w:fldChar w:fldCharType="begin"/>
      </w:r>
      <w:r>
        <w:instrText xml:space="preserve"> REF _Ref71086345 \h  \* MERGEFORMAT </w:instrText>
      </w:r>
      <w:r>
        <w:fldChar w:fldCharType="separate"/>
      </w:r>
      <w:r>
        <w:t xml:space="preserve">Graf </w:t>
      </w:r>
      <w:r>
        <w:rPr>
          <w:noProof/>
        </w:rPr>
        <w:t>2</w:t>
      </w:r>
      <w:r>
        <w:fldChar w:fldCharType="end"/>
      </w:r>
      <w:r>
        <w:t>) je zřejmé, že zatímco např. fyzická infrastruktura, část projektů „zelené tranzice“</w:t>
      </w:r>
      <w:r>
        <w:rPr>
          <w:rStyle w:val="Znakapoznpodarou"/>
        </w:rPr>
        <w:footnoteReference w:id="7"/>
      </w:r>
      <w:r>
        <w:t>, podpora trhu práce či podnikání se projeví již relativně brzy, digitální transformace nebo podpora výzkumu a</w:t>
      </w:r>
      <w:r w:rsidR="0003053E">
        <w:t> </w:t>
      </w:r>
      <w:r>
        <w:t>vývoje mají pozitivní dopad až spíše v</w:t>
      </w:r>
      <w:r w:rsidR="0003053E">
        <w:t> </w:t>
      </w:r>
      <w:r>
        <w:t>delším horizontu. Nový pilíř REPowerEU má s</w:t>
      </w:r>
      <w:r w:rsidR="0003053E">
        <w:t> </w:t>
      </w:r>
      <w:r>
        <w:t>ohledem na své investiční projekty související s</w:t>
      </w:r>
      <w:r w:rsidR="0003053E">
        <w:t> </w:t>
      </w:r>
      <w:r>
        <w:t>budováním infrastruktury pozitivní přínos rovněž již v</w:t>
      </w:r>
      <w:r w:rsidR="0003053E">
        <w:t> </w:t>
      </w:r>
      <w:r>
        <w:t>krátkém horizontu, nicméně kladný příspěvek k</w:t>
      </w:r>
      <w:r w:rsidR="0003053E">
        <w:t> </w:t>
      </w:r>
      <w:r>
        <w:t>růstu bude zachován i</w:t>
      </w:r>
      <w:r w:rsidR="0003053E">
        <w:t> </w:t>
      </w:r>
      <w:r>
        <w:t>v dlouhém horizontu.</w:t>
      </w:r>
    </w:p>
    <w:p w14:paraId="38B3B88A" w14:textId="6F6D1466" w:rsidR="001F5332" w:rsidRDefault="001F5332" w:rsidP="001F5332">
      <w:pPr>
        <w:pStyle w:val="Titulek"/>
        <w:keepNext/>
        <w:spacing w:after="120"/>
      </w:pPr>
      <w:r>
        <w:t xml:space="preserve">Graf </w:t>
      </w:r>
      <w:r>
        <w:fldChar w:fldCharType="begin"/>
      </w:r>
      <w:r>
        <w:instrText xml:space="preserve"> SEQ Graf \* ARABIC </w:instrText>
      </w:r>
      <w:r>
        <w:fldChar w:fldCharType="separate"/>
      </w:r>
      <w:r>
        <w:t>2</w:t>
      </w:r>
      <w:r>
        <w:fldChar w:fldCharType="end"/>
      </w:r>
      <w:r>
        <w:t xml:space="preserve">: Dodatečně vytvořený reálný </w:t>
      </w:r>
      <w:r w:rsidRPr="00D5066A">
        <w:t xml:space="preserve">HDP </w:t>
      </w:r>
      <w:r>
        <w:t xml:space="preserve">Národním plánem obnovy </w:t>
      </w:r>
      <w:r w:rsidRPr="00D5066A">
        <w:t>v</w:t>
      </w:r>
      <w:r w:rsidR="0003053E">
        <w:t> </w:t>
      </w:r>
      <w:r w:rsidRPr="00D5066A">
        <w:t>jednotlivých letech</w:t>
      </w:r>
    </w:p>
    <w:p w14:paraId="61BB679D" w14:textId="77777777" w:rsidR="001F5332" w:rsidRPr="00AF0A36" w:rsidRDefault="001F5332" w:rsidP="001F5332">
      <w:pPr>
        <w:pStyle w:val="Tabulkaagraf"/>
      </w:pPr>
      <w:r>
        <w:t>% HDP</w:t>
      </w:r>
    </w:p>
    <w:p w14:paraId="6D82D7EF" w14:textId="77777777" w:rsidR="001F5332" w:rsidRDefault="001F5332" w:rsidP="001F5332">
      <w:pPr>
        <w:pStyle w:val="Tabulkaagraf"/>
      </w:pPr>
      <w:r w:rsidRPr="009A6FC5">
        <w:rPr>
          <w:noProof/>
        </w:rPr>
        <w:drawing>
          <wp:inline distT="0" distB="0" distL="0" distR="0" wp14:anchorId="7C666119" wp14:editId="7EA8063F">
            <wp:extent cx="6116320" cy="1759585"/>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6116320" cy="1759585"/>
                    </a:xfrm>
                    <a:prstGeom prst="rect">
                      <a:avLst/>
                    </a:prstGeom>
                    <a:noFill/>
                    <a:ln>
                      <a:noFill/>
                    </a:ln>
                  </pic:spPr>
                </pic:pic>
              </a:graphicData>
            </a:graphic>
          </wp:inline>
        </w:drawing>
      </w:r>
    </w:p>
    <w:p w14:paraId="4FA2ED3A" w14:textId="77777777" w:rsidR="001F5332" w:rsidRPr="00AF0A36" w:rsidRDefault="001F5332" w:rsidP="001F5332">
      <w:pPr>
        <w:pStyle w:val="Zdrojpodtabulkounebografem"/>
      </w:pPr>
      <w:r>
        <w:t>Zdroj: Výpočty MF ČR.</w:t>
      </w:r>
    </w:p>
    <w:p w14:paraId="38739839" w14:textId="54738516" w:rsidR="001F5332" w:rsidRDefault="001F5332" w:rsidP="001F5332">
      <w:pPr>
        <w:jc w:val="both"/>
      </w:pPr>
      <w:r>
        <w:t>Kromě dopadu na HDP byly modelovány i</w:t>
      </w:r>
      <w:r w:rsidR="0003053E">
        <w:t> </w:t>
      </w:r>
      <w:r>
        <w:t>efekty na trh práce. Pozitivní dlouhodobý efekt na zaměstnanost odhadujeme na necelá 0,3 % ročně, což představuje kolem 15 tisíc potenciálně dodatečně zaměstnaných osob. Nicméně zde je třeba poznamenat, že jde o</w:t>
      </w:r>
      <w:r w:rsidR="0003053E">
        <w:t> </w:t>
      </w:r>
      <w:r>
        <w:t>hypotetický dopad do zaměstnanosti tvořený zvýšenou poptávkou po práci, který by se rovněž mohl projevit, nebude-li dostatečně saturovaný nabídkou práce, v</w:t>
      </w:r>
      <w:r w:rsidR="0003053E">
        <w:t> </w:t>
      </w:r>
      <w:r>
        <w:t>tlaku na růst průměrné mzdy.</w:t>
      </w:r>
    </w:p>
    <w:p w14:paraId="45A3877E" w14:textId="4CD63720" w:rsidR="001F5332" w:rsidRDefault="001F5332" w:rsidP="001F5332">
      <w:pPr>
        <w:jc w:val="both"/>
      </w:pPr>
      <w:r w:rsidRPr="00F8659E">
        <w:t>Z časového hlediska</w:t>
      </w:r>
      <w:r>
        <w:t xml:space="preserve"> je poptávkový tlak na zaměstnanost zřejmý převážně v</w:t>
      </w:r>
      <w:r w:rsidR="0003053E">
        <w:t> </w:t>
      </w:r>
      <w:r>
        <w:t>průběhu investičního horizontu, tedy do roku 2026, nicméně i</w:t>
      </w:r>
      <w:r w:rsidR="0003053E">
        <w:t> </w:t>
      </w:r>
      <w:r>
        <w:t>přesto by měl pozitivní efekt na zaměstnanost přetrvat (</w:t>
      </w:r>
      <w:r>
        <w:fldChar w:fldCharType="begin"/>
      </w:r>
      <w:r>
        <w:instrText xml:space="preserve"> REF _Ref71089234 \h  \* MERGEFORMAT </w:instrText>
      </w:r>
      <w:r>
        <w:fldChar w:fldCharType="separate"/>
      </w:r>
      <w:r>
        <w:t xml:space="preserve">Graf </w:t>
      </w:r>
      <w:r>
        <w:rPr>
          <w:noProof/>
        </w:rPr>
        <w:t>3</w:t>
      </w:r>
      <w:r>
        <w:fldChar w:fldCharType="end"/>
      </w:r>
      <w:r>
        <w:t>).</w:t>
      </w:r>
      <w:r>
        <w:rPr>
          <w:rStyle w:val="Znakapoznpodarou"/>
        </w:rPr>
        <w:footnoteReference w:id="8"/>
      </w:r>
      <w:r>
        <w:t xml:space="preserve"> </w:t>
      </w:r>
    </w:p>
    <w:p w14:paraId="2D91BCE0" w14:textId="11001BDB" w:rsidR="001F5332" w:rsidRDefault="001F5332" w:rsidP="001F5332">
      <w:pPr>
        <w:pStyle w:val="Titulek"/>
        <w:keepNext/>
        <w:spacing w:after="120"/>
      </w:pPr>
      <w:r>
        <w:t xml:space="preserve">Graf </w:t>
      </w:r>
      <w:r>
        <w:fldChar w:fldCharType="begin"/>
      </w:r>
      <w:r>
        <w:instrText xml:space="preserve"> SEQ Graf \* ARABIC </w:instrText>
      </w:r>
      <w:r>
        <w:fldChar w:fldCharType="separate"/>
      </w:r>
      <w:r>
        <w:t>3</w:t>
      </w:r>
      <w:r>
        <w:fldChar w:fldCharType="end"/>
      </w:r>
      <w:r>
        <w:t>: Dodatečná poptávka po práci vytvořená Národním plánem obnovy v</w:t>
      </w:r>
      <w:r w:rsidR="0003053E">
        <w:t> </w:t>
      </w:r>
      <w:r>
        <w:t>jednotlivých letech</w:t>
      </w:r>
    </w:p>
    <w:p w14:paraId="4B079785" w14:textId="77777777" w:rsidR="001F5332" w:rsidRPr="00AF0A36" w:rsidRDefault="001F5332" w:rsidP="001F5332">
      <w:pPr>
        <w:pStyle w:val="Tabulkaagraf"/>
      </w:pPr>
      <w:r>
        <w:t>% zaměstnanosti</w:t>
      </w:r>
    </w:p>
    <w:p w14:paraId="7D4CA15B" w14:textId="77777777" w:rsidR="001F5332" w:rsidRDefault="001F5332" w:rsidP="001F5332">
      <w:pPr>
        <w:pStyle w:val="Tabulkaagraf"/>
      </w:pPr>
      <w:r w:rsidRPr="009A6FC5">
        <w:rPr>
          <w:noProof/>
        </w:rPr>
        <w:drawing>
          <wp:inline distT="0" distB="0" distL="0" distR="0" wp14:anchorId="0F049CFF" wp14:editId="3F078AB9">
            <wp:extent cx="6159500" cy="1785620"/>
            <wp:effectExtent l="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6159500" cy="1785620"/>
                    </a:xfrm>
                    <a:prstGeom prst="rect">
                      <a:avLst/>
                    </a:prstGeom>
                    <a:noFill/>
                    <a:ln>
                      <a:noFill/>
                    </a:ln>
                  </pic:spPr>
                </pic:pic>
              </a:graphicData>
            </a:graphic>
          </wp:inline>
        </w:drawing>
      </w:r>
    </w:p>
    <w:p w14:paraId="7FD70A4E" w14:textId="77777777" w:rsidR="001F5332" w:rsidRDefault="001F5332" w:rsidP="001F5332">
      <w:pPr>
        <w:pStyle w:val="Zdrojpodtabulkounebografem"/>
      </w:pPr>
      <w:r>
        <w:t>Zdroj: Výpočty MF ČR.</w:t>
      </w:r>
    </w:p>
    <w:p w14:paraId="77B3420D" w14:textId="5B00EB93" w:rsidR="001F5332" w:rsidRDefault="001F5332" w:rsidP="001F5332">
      <w:pPr>
        <w:jc w:val="both"/>
      </w:pPr>
      <w:r>
        <w:t>Pokud jde o</w:t>
      </w:r>
      <w:r w:rsidR="0003053E">
        <w:t> </w:t>
      </w:r>
      <w:r>
        <w:t>průběh, efekt zaměstnanosti není příliš dynamický. Ačkoli šoky v</w:t>
      </w:r>
      <w:r w:rsidR="0003053E">
        <w:t> </w:t>
      </w:r>
      <w:r>
        <w:t>digitální transformaci a</w:t>
      </w:r>
      <w:r w:rsidR="0003053E">
        <w:t> </w:t>
      </w:r>
      <w:r>
        <w:t>výzkumu a</w:t>
      </w:r>
      <w:r w:rsidR="0003053E">
        <w:t> </w:t>
      </w:r>
      <w:r>
        <w:t>vývoji ovlivňují zejména snižování nákladů firem a</w:t>
      </w:r>
      <w:r w:rsidR="0003053E">
        <w:t> </w:t>
      </w:r>
      <w:r>
        <w:t>jejich produktivitu, pozitivní dopad na zaměstnanost pramení především z</w:t>
      </w:r>
      <w:r w:rsidR="0003053E">
        <w:t> </w:t>
      </w:r>
      <w:r>
        <w:t>vyššího ekonomického růstu. Další pracovní místa v</w:t>
      </w:r>
      <w:r w:rsidR="0003053E">
        <w:t> </w:t>
      </w:r>
      <w:r>
        <w:t xml:space="preserve">těchto pilířích jsou </w:t>
      </w:r>
      <w:r>
        <w:lastRenderedPageBreak/>
        <w:t>vytvořena poměrně brzy po začátku programu a</w:t>
      </w:r>
      <w:r w:rsidR="0003053E">
        <w:t> </w:t>
      </w:r>
      <w:r>
        <w:t>rozdíl úrovní ve srovnání se základní výší zůstává relativně stabilní.</w:t>
      </w:r>
    </w:p>
    <w:p w14:paraId="32F9E655" w14:textId="3621BFA5" w:rsidR="001F5332" w:rsidRDefault="001F5332" w:rsidP="001F5332">
      <w:pPr>
        <w:jc w:val="both"/>
      </w:pPr>
      <w:r>
        <w:t>Kumulativní zvýšení HDP (</w:t>
      </w:r>
      <w:r>
        <w:fldChar w:fldCharType="begin"/>
      </w:r>
      <w:r>
        <w:instrText xml:space="preserve"> REF _Ref71009116 \h  \* MERGEFORMAT </w:instrText>
      </w:r>
      <w:r>
        <w:fldChar w:fldCharType="separate"/>
      </w:r>
      <w:r>
        <w:t xml:space="preserve">Graf </w:t>
      </w:r>
      <w:r>
        <w:rPr>
          <w:noProof/>
        </w:rPr>
        <w:t>4</w:t>
      </w:r>
      <w:r>
        <w:fldChar w:fldCharType="end"/>
      </w:r>
      <w:r>
        <w:t>) porovnává dodatečné zvýšení HDP v</w:t>
      </w:r>
      <w:r w:rsidR="0003053E">
        <w:t> </w:t>
      </w:r>
      <w:r>
        <w:t>poměru k</w:t>
      </w:r>
      <w:r w:rsidR="0003053E">
        <w:t> </w:t>
      </w:r>
      <w:r>
        <w:t>vynaloženým prostředkům, tedy kolik dodatečných korun HDP se kumulativně získá z</w:t>
      </w:r>
      <w:r w:rsidR="0003053E">
        <w:t> </w:t>
      </w:r>
      <w:r>
        <w:t>jedné investované koruny.</w:t>
      </w:r>
      <w:r w:rsidRPr="00A663B0">
        <w:t xml:space="preserve"> </w:t>
      </w:r>
      <w:r>
        <w:t>V</w:t>
      </w:r>
      <w:r w:rsidR="0003053E">
        <w:t> </w:t>
      </w:r>
      <w:r>
        <w:t xml:space="preserve">souhrnu za celý </w:t>
      </w:r>
      <w:r w:rsidR="00D70836">
        <w:t>NPO</w:t>
      </w:r>
      <w:r>
        <w:t xml:space="preserve"> modelové propočty naznačují, že dojde k</w:t>
      </w:r>
      <w:r w:rsidR="0003053E">
        <w:t> </w:t>
      </w:r>
      <w:r>
        <w:t>dosažení jednotkové hranice v</w:t>
      </w:r>
      <w:r w:rsidR="0003053E">
        <w:t> </w:t>
      </w:r>
      <w:r>
        <w:t>roce 2028. Dlouhodobý dopad všech pilířů převyšuje v</w:t>
      </w:r>
      <w:r w:rsidR="0003053E">
        <w:t> </w:t>
      </w:r>
      <w:r>
        <w:t>kumulaci původní objem investice. Největšího efektu pak dosahují investice do vzdělání, výzkumu, vývoje, či zelené tranzice.</w:t>
      </w:r>
    </w:p>
    <w:p w14:paraId="38061D3A" w14:textId="77777777" w:rsidR="001F5332" w:rsidRDefault="001F5332" w:rsidP="001F5332">
      <w:pPr>
        <w:pStyle w:val="Titulek"/>
        <w:keepNext/>
        <w:spacing w:after="120"/>
      </w:pPr>
      <w:r>
        <w:t xml:space="preserve">Graf </w:t>
      </w:r>
      <w:r>
        <w:fldChar w:fldCharType="begin"/>
      </w:r>
      <w:r>
        <w:instrText xml:space="preserve"> SEQ Graf \* ARABIC </w:instrText>
      </w:r>
      <w:r>
        <w:fldChar w:fldCharType="separate"/>
      </w:r>
      <w:r>
        <w:t>4</w:t>
      </w:r>
      <w:r>
        <w:fldChar w:fldCharType="end"/>
      </w:r>
      <w:r>
        <w:t>: Kumulativní „multiplikátor“ HDP Národního plánu obnovy</w:t>
      </w:r>
    </w:p>
    <w:p w14:paraId="5D9C0572" w14:textId="737EF25B" w:rsidR="001F5332" w:rsidRPr="00A36904" w:rsidRDefault="001F5332" w:rsidP="001F5332">
      <w:pPr>
        <w:pStyle w:val="Tabulkaagraf"/>
      </w:pPr>
      <w:r>
        <w:t>dodatečný HDP na korunu investovaných prostředků, v</w:t>
      </w:r>
      <w:r w:rsidR="0003053E">
        <w:t> </w:t>
      </w:r>
      <w:r>
        <w:t>Kč</w:t>
      </w:r>
    </w:p>
    <w:p w14:paraId="4589DC47" w14:textId="77777777" w:rsidR="001F5332" w:rsidRDefault="001F5332" w:rsidP="001F5332">
      <w:pPr>
        <w:pStyle w:val="Zdrojpodtabulkounebografem"/>
      </w:pPr>
      <w:r w:rsidRPr="00942F04">
        <w:rPr>
          <w:noProof/>
        </w:rPr>
        <w:drawing>
          <wp:inline distT="0" distB="0" distL="0" distR="0" wp14:anchorId="1F61BBDE" wp14:editId="0370F344">
            <wp:extent cx="6124575" cy="1768475"/>
            <wp:effectExtent l="0" t="0" r="9525"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124575" cy="1768475"/>
                    </a:xfrm>
                    <a:prstGeom prst="rect">
                      <a:avLst/>
                    </a:prstGeom>
                    <a:noFill/>
                    <a:ln>
                      <a:noFill/>
                    </a:ln>
                  </pic:spPr>
                </pic:pic>
              </a:graphicData>
            </a:graphic>
          </wp:inline>
        </w:drawing>
      </w:r>
      <w:r w:rsidRPr="00F83E72">
        <w:t xml:space="preserve"> </w:t>
      </w:r>
      <w:r>
        <w:t>Zdroj: Výpočty MF ČR.</w:t>
      </w:r>
    </w:p>
    <w:p w14:paraId="54D45EEB" w14:textId="062E5A26" w:rsidR="001F5332" w:rsidRDefault="001F5332" w:rsidP="001F5332">
      <w:pPr>
        <w:jc w:val="both"/>
      </w:pPr>
      <w:r w:rsidRPr="00B30600">
        <w:t>Výdaje na vzdělá</w:t>
      </w:r>
      <w:r>
        <w:t>vá</w:t>
      </w:r>
      <w:r w:rsidRPr="00B30600">
        <w:t>ní zahrnují především investice do školního a</w:t>
      </w:r>
      <w:r w:rsidR="0003053E">
        <w:t> </w:t>
      </w:r>
      <w:r w:rsidRPr="00B30600">
        <w:t xml:space="preserve">dalšího profesního vzdělávání či do rekvalifikace. </w:t>
      </w:r>
      <w:r>
        <w:t>Efekt</w:t>
      </w:r>
      <w:r w:rsidRPr="00B30600">
        <w:t xml:space="preserve"> </w:t>
      </w:r>
      <w:r>
        <w:t>investic do</w:t>
      </w:r>
      <w:r w:rsidRPr="00B30600">
        <w:t xml:space="preserve"> dovednost</w:t>
      </w:r>
      <w:r>
        <w:t>í</w:t>
      </w:r>
      <w:r w:rsidRPr="00B30600">
        <w:t xml:space="preserve"> a</w:t>
      </w:r>
      <w:r w:rsidR="0003053E">
        <w:t> </w:t>
      </w:r>
      <w:r w:rsidRPr="00B30600">
        <w:t>znalost</w:t>
      </w:r>
      <w:r>
        <w:t xml:space="preserve">í má </w:t>
      </w:r>
      <w:r w:rsidRPr="00B30600">
        <w:t>zpočátku pomalý náběh s</w:t>
      </w:r>
      <w:r w:rsidR="0003053E">
        <w:t> </w:t>
      </w:r>
      <w:r>
        <w:t>ohledem na nezbytnou dobu pro získání konkrétní kvalifikace</w:t>
      </w:r>
      <w:r w:rsidRPr="00B30600">
        <w:t>, avšak v</w:t>
      </w:r>
      <w:r w:rsidR="0003053E">
        <w:t> </w:t>
      </w:r>
      <w:r w:rsidRPr="00B30600">
        <w:t xml:space="preserve">dlouhém období </w:t>
      </w:r>
      <w:r>
        <w:t>zvýšená</w:t>
      </w:r>
      <w:r w:rsidRPr="00B30600">
        <w:t xml:space="preserve"> produktivit</w:t>
      </w:r>
      <w:r>
        <w:t>a</w:t>
      </w:r>
      <w:r w:rsidRPr="00B30600">
        <w:t xml:space="preserve"> </w:t>
      </w:r>
      <w:r>
        <w:t>práce výrazně přispívá</w:t>
      </w:r>
      <w:r w:rsidRPr="00B30600">
        <w:t xml:space="preserve"> k</w:t>
      </w:r>
      <w:r w:rsidR="0003053E">
        <w:t> </w:t>
      </w:r>
      <w:r w:rsidRPr="00B30600">
        <w:t>růstu HDP.</w:t>
      </w:r>
    </w:p>
    <w:p w14:paraId="724A3004" w14:textId="13367B02" w:rsidR="001F5332" w:rsidRPr="00B30600" w:rsidRDefault="001F5332" w:rsidP="001F5332">
      <w:pPr>
        <w:jc w:val="both"/>
      </w:pPr>
      <w:r>
        <w:t xml:space="preserve">Další výrazný kumulativní efekt </w:t>
      </w:r>
      <w:r w:rsidRPr="00B30600">
        <w:t>mají investice do výzkumu a</w:t>
      </w:r>
      <w:r w:rsidR="0003053E">
        <w:t> </w:t>
      </w:r>
      <w:r w:rsidRPr="00B30600">
        <w:t>vývoje</w:t>
      </w:r>
      <w:r>
        <w:t>. Jejich</w:t>
      </w:r>
      <w:r w:rsidRPr="00B30600">
        <w:t xml:space="preserve"> průběh </w:t>
      </w:r>
      <w:r>
        <w:t xml:space="preserve">je </w:t>
      </w:r>
      <w:r w:rsidRPr="00B30600">
        <w:t>obdobný</w:t>
      </w:r>
      <w:r>
        <w:t xml:space="preserve"> jako u</w:t>
      </w:r>
      <w:r w:rsidR="0003053E">
        <w:t> </w:t>
      </w:r>
      <w:r>
        <w:t>vzdělávání</w:t>
      </w:r>
      <w:r w:rsidRPr="00B30600">
        <w:t xml:space="preserve">, </w:t>
      </w:r>
      <w:r>
        <w:t>přestože</w:t>
      </w:r>
      <w:r w:rsidRPr="00B30600">
        <w:t xml:space="preserve"> v</w:t>
      </w:r>
      <w:r w:rsidR="0003053E">
        <w:t> </w:t>
      </w:r>
      <w:r w:rsidRPr="00B30600">
        <w:t xml:space="preserve">prvních letech </w:t>
      </w:r>
      <w:r>
        <w:t>by mohl</w:t>
      </w:r>
      <w:r w:rsidRPr="00B30600">
        <w:t xml:space="preserve"> dokonce mírně zpomalovat růst HDP,</w:t>
      </w:r>
      <w:r>
        <w:t xml:space="preserve"> a</w:t>
      </w:r>
      <w:r w:rsidR="0003053E">
        <w:t> </w:t>
      </w:r>
      <w:r>
        <w:t>to</w:t>
      </w:r>
      <w:r w:rsidRPr="00B30600">
        <w:t xml:space="preserve"> vlivem přesunu zaměstnanců z</w:t>
      </w:r>
      <w:r w:rsidR="0003053E">
        <w:t> </w:t>
      </w:r>
      <w:r>
        <w:t xml:space="preserve">jiných oblastí ekonomiky </w:t>
      </w:r>
      <w:r w:rsidRPr="00B30600">
        <w:t>do výzkumu a</w:t>
      </w:r>
      <w:r w:rsidR="0003053E">
        <w:t> </w:t>
      </w:r>
      <w:r w:rsidRPr="00B30600">
        <w:t xml:space="preserve">vývoje. Časem </w:t>
      </w:r>
      <w:r>
        <w:t xml:space="preserve">by </w:t>
      </w:r>
      <w:r w:rsidRPr="00B30600">
        <w:t>však nové inovace a</w:t>
      </w:r>
      <w:r w:rsidR="0003053E">
        <w:t> </w:t>
      </w:r>
      <w:r w:rsidRPr="00B30600">
        <w:t xml:space="preserve">následný nárůst produktivity </w:t>
      </w:r>
      <w:r>
        <w:t xml:space="preserve">měly </w:t>
      </w:r>
      <w:r w:rsidRPr="00B30600">
        <w:t>přev</w:t>
      </w:r>
      <w:r>
        <w:t>ážit a</w:t>
      </w:r>
      <w:r w:rsidR="0003053E">
        <w:t> </w:t>
      </w:r>
      <w:r w:rsidRPr="00B30600">
        <w:t>významn</w:t>
      </w:r>
      <w:r>
        <w:t>ě</w:t>
      </w:r>
      <w:r w:rsidRPr="00B30600">
        <w:t xml:space="preserve"> přisp</w:t>
      </w:r>
      <w:r>
        <w:t>ívat k</w:t>
      </w:r>
      <w:r w:rsidR="0003053E">
        <w:t> </w:t>
      </w:r>
      <w:r>
        <w:t xml:space="preserve">růstu </w:t>
      </w:r>
      <w:r w:rsidRPr="00B30600">
        <w:t>i</w:t>
      </w:r>
      <w:r w:rsidR="0003053E">
        <w:t> </w:t>
      </w:r>
      <w:r w:rsidRPr="00B30600">
        <w:t xml:space="preserve">dlouho po skončení </w:t>
      </w:r>
      <w:r>
        <w:t xml:space="preserve">realizovaných záměrů </w:t>
      </w:r>
      <w:r w:rsidR="00D70836">
        <w:t>NPO</w:t>
      </w:r>
      <w:r w:rsidRPr="00B30600">
        <w:t>.</w:t>
      </w:r>
    </w:p>
    <w:p w14:paraId="2320F0B5" w14:textId="40405E73" w:rsidR="001F5332" w:rsidRPr="00B30600" w:rsidRDefault="001F5332" w:rsidP="001F5332">
      <w:pPr>
        <w:jc w:val="both"/>
      </w:pPr>
      <w:r>
        <w:t>Programy z</w:t>
      </w:r>
      <w:r w:rsidR="0003053E">
        <w:t> </w:t>
      </w:r>
      <w:r>
        <w:t>oblasti f</w:t>
      </w:r>
      <w:r w:rsidRPr="00B30600">
        <w:t>yzick</w:t>
      </w:r>
      <w:r>
        <w:t>é</w:t>
      </w:r>
      <w:r w:rsidRPr="00B30600">
        <w:t xml:space="preserve"> infrastruktur</w:t>
      </w:r>
      <w:r>
        <w:t>y</w:t>
      </w:r>
      <w:r w:rsidRPr="00B30600">
        <w:t xml:space="preserve"> a</w:t>
      </w:r>
      <w:r w:rsidR="0003053E">
        <w:t> </w:t>
      </w:r>
      <w:r w:rsidRPr="00B30600">
        <w:t>zelen</w:t>
      </w:r>
      <w:r>
        <w:t>é</w:t>
      </w:r>
      <w:r w:rsidRPr="00B30600">
        <w:t xml:space="preserve"> tranzice stimuluj</w:t>
      </w:r>
      <w:r>
        <w:t>í</w:t>
      </w:r>
      <w:r w:rsidRPr="00B30600">
        <w:t xml:space="preserve"> inovace s</w:t>
      </w:r>
      <w:r w:rsidR="0003053E">
        <w:t> </w:t>
      </w:r>
      <w:r w:rsidRPr="00B30600">
        <w:t>ohledem na životní prostředí, jako např. cirkulární řešení v</w:t>
      </w:r>
      <w:r w:rsidR="0003053E">
        <w:t> </w:t>
      </w:r>
      <w:r w:rsidRPr="00B30600">
        <w:t>podnicích nebo nové technologie na řízení železniční infrastruktury. Významně také podporuj</w:t>
      </w:r>
      <w:r>
        <w:t>í</w:t>
      </w:r>
      <w:r w:rsidRPr="00B30600">
        <w:t xml:space="preserve"> české podnikatele ve stavebnictví s</w:t>
      </w:r>
      <w:r w:rsidR="0003053E">
        <w:t> </w:t>
      </w:r>
      <w:r w:rsidRPr="00B30600">
        <w:t>programy</w:t>
      </w:r>
      <w:r>
        <w:t>,</w:t>
      </w:r>
      <w:r w:rsidRPr="00B30600">
        <w:t xml:space="preserve"> jako </w:t>
      </w:r>
      <w:r>
        <w:t>jsou N</w:t>
      </w:r>
      <w:r w:rsidRPr="00B30600">
        <w:t xml:space="preserve">ová zelená úsporám, výstavba nových fotovoltaických zdrojů nebo modernizace distribuce tepla. </w:t>
      </w:r>
      <w:r>
        <w:t>A</w:t>
      </w:r>
      <w:r w:rsidR="0003053E">
        <w:t> </w:t>
      </w:r>
      <w:r>
        <w:t>v neposlední řadě samotná „</w:t>
      </w:r>
      <w:r w:rsidRPr="00B30600">
        <w:t>zelen</w:t>
      </w:r>
      <w:r>
        <w:t>á</w:t>
      </w:r>
      <w:r w:rsidRPr="00B30600">
        <w:t xml:space="preserve"> infrastruktur</w:t>
      </w:r>
      <w:r>
        <w:t xml:space="preserve">a“ </w:t>
      </w:r>
      <w:r w:rsidRPr="00B30600">
        <w:t>směřuje k</w:t>
      </w:r>
      <w:r w:rsidR="0003053E">
        <w:t> </w:t>
      </w:r>
      <w:r w:rsidRPr="00B30600">
        <w:t xml:space="preserve">posílení udržitelnosti životního prostředí. </w:t>
      </w:r>
      <w:r>
        <w:t xml:space="preserve">Tento pilíř </w:t>
      </w:r>
      <w:r w:rsidR="00D70836">
        <w:t>NPO</w:t>
      </w:r>
      <w:r>
        <w:t xml:space="preserve"> má jednu z</w:t>
      </w:r>
      <w:r w:rsidR="0003053E">
        <w:t> </w:t>
      </w:r>
      <w:r>
        <w:t>nejrychlejších návratností vynaložených prostředků.</w:t>
      </w:r>
    </w:p>
    <w:p w14:paraId="41BF0EEB" w14:textId="5ADD3DAD" w:rsidR="001F5332" w:rsidRDefault="001F5332" w:rsidP="001F5332">
      <w:pPr>
        <w:jc w:val="both"/>
      </w:pPr>
      <w:r>
        <w:t>Pilíř d</w:t>
      </w:r>
      <w:r w:rsidRPr="00B30600">
        <w:t>igitální transformace se skládá z</w:t>
      </w:r>
      <w:r w:rsidR="0003053E">
        <w:t> </w:t>
      </w:r>
      <w:r w:rsidRPr="00B30600">
        <w:t>různě produktivních investic</w:t>
      </w:r>
      <w:r>
        <w:t xml:space="preserve"> zaměřených </w:t>
      </w:r>
      <w:r w:rsidRPr="00B30600">
        <w:t>na výzkum a</w:t>
      </w:r>
      <w:r w:rsidR="0003053E">
        <w:t> </w:t>
      </w:r>
      <w:r w:rsidRPr="00B30600">
        <w:t>vývoj, podpor</w:t>
      </w:r>
      <w:r>
        <w:t>u</w:t>
      </w:r>
      <w:r w:rsidRPr="00B30600">
        <w:t xml:space="preserve"> podnikání či školení, </w:t>
      </w:r>
      <w:r>
        <w:t xml:space="preserve">nebo na investice posilující digitalizaci </w:t>
      </w:r>
      <w:r w:rsidRPr="00B30600">
        <w:t xml:space="preserve">veřejné správy. </w:t>
      </w:r>
      <w:r>
        <w:t>Dopady p</w:t>
      </w:r>
      <w:r w:rsidRPr="00B30600">
        <w:t>rogram</w:t>
      </w:r>
      <w:r>
        <w:t>u</w:t>
      </w:r>
      <w:r w:rsidRPr="00B30600">
        <w:t xml:space="preserve"> podpory investic do lidského kapitálu </w:t>
      </w:r>
      <w:r>
        <w:t xml:space="preserve">stojí za </w:t>
      </w:r>
      <w:r w:rsidRPr="00B30600">
        <w:t>počáteční</w:t>
      </w:r>
      <w:r>
        <w:t>m</w:t>
      </w:r>
      <w:r w:rsidRPr="00B30600">
        <w:t xml:space="preserve"> negativní</w:t>
      </w:r>
      <w:r>
        <w:t>m</w:t>
      </w:r>
      <w:r w:rsidRPr="00B30600">
        <w:t xml:space="preserve"> dopad</w:t>
      </w:r>
      <w:r>
        <w:t>em</w:t>
      </w:r>
      <w:r w:rsidRPr="00B30600">
        <w:t xml:space="preserve"> na HDP</w:t>
      </w:r>
      <w:r>
        <w:t>, nicméně doplněná o</w:t>
      </w:r>
      <w:r w:rsidR="0003053E">
        <w:t> </w:t>
      </w:r>
      <w:r w:rsidRPr="00B30600">
        <w:t>podpor</w:t>
      </w:r>
      <w:r>
        <w:t>u</w:t>
      </w:r>
      <w:r w:rsidRPr="00B30600">
        <w:t xml:space="preserve"> inovací nakonec dlouhodobě pozitivně </w:t>
      </w:r>
      <w:r>
        <w:t>ovlivní</w:t>
      </w:r>
      <w:r w:rsidRPr="00B30600">
        <w:t xml:space="preserve"> </w:t>
      </w:r>
      <w:r>
        <w:t>ekonomickou aktivitu.</w:t>
      </w:r>
    </w:p>
    <w:p w14:paraId="59AC2BEE" w14:textId="471E7CBC" w:rsidR="001F5332" w:rsidRPr="00B30600" w:rsidRDefault="001F5332" w:rsidP="001F5332">
      <w:pPr>
        <w:jc w:val="both"/>
      </w:pPr>
      <w:r>
        <w:t>Nový pilíř REPowerEU obsahuje komponenty zaměřující se především na budování energetické infrastruktury a</w:t>
      </w:r>
      <w:r w:rsidR="0003053E">
        <w:t> </w:t>
      </w:r>
      <w:r>
        <w:t>podpory investic do obnovitelných zdrojů, tedy investic s</w:t>
      </w:r>
      <w:r w:rsidR="0003053E">
        <w:t> </w:t>
      </w:r>
      <w:r>
        <w:t>dlouhodobě poměrně vysokým multiplikačním efektem, který se projevuje brzy po zahájení investičních projektů v</w:t>
      </w:r>
      <w:r w:rsidR="0003053E">
        <w:t> </w:t>
      </w:r>
      <w:r>
        <w:t>letech 2023, resp. 2024.</w:t>
      </w:r>
    </w:p>
    <w:p w14:paraId="63B369B5" w14:textId="77777777" w:rsidR="005F3AC2" w:rsidRDefault="005F3AC2" w:rsidP="001F5332">
      <w:pPr>
        <w:pStyle w:val="Nadpis3"/>
      </w:pPr>
      <w:bookmarkStart w:id="308" w:name="_Toc73468617"/>
      <w:bookmarkStart w:id="309" w:name="_Toc151444371"/>
      <w:r>
        <w:lastRenderedPageBreak/>
        <w:t>Dekompozice dopadů do dílčích komponent</w:t>
      </w:r>
      <w:bookmarkEnd w:id="308"/>
      <w:bookmarkEnd w:id="309"/>
    </w:p>
    <w:p w14:paraId="53965A1B" w14:textId="78234240" w:rsidR="001F5332" w:rsidRPr="0063128C" w:rsidRDefault="001F5332" w:rsidP="001F5332">
      <w:pPr>
        <w:jc w:val="both"/>
      </w:pPr>
      <w:r>
        <w:t>Následující část se zaměřuje především na popis modelového způsobu zachycení jednotlivých projektů, tedy definici primárního impulzu (šoku) a</w:t>
      </w:r>
      <w:r w:rsidR="0003053E">
        <w:t> </w:t>
      </w:r>
      <w:r>
        <w:t>jeho následného průběhu ekonomikou. Při stanovení velikosti šoku se vychází z</w:t>
      </w:r>
      <w:r w:rsidR="0003053E">
        <w:t> </w:t>
      </w:r>
      <w:r>
        <w:t>objemu alokovaných prostředků v</w:t>
      </w:r>
      <w:r w:rsidR="0003053E">
        <w:t> </w:t>
      </w:r>
      <w:r>
        <w:t>poměru k</w:t>
      </w:r>
      <w:r w:rsidR="0003053E">
        <w:t> </w:t>
      </w:r>
      <w:r>
        <w:t>HDP ve výchozím roce 2020. Relativní velikost impulzu plynoucí z</w:t>
      </w:r>
      <w:r w:rsidR="0003053E">
        <w:t> </w:t>
      </w:r>
      <w:r>
        <w:t>té které komponenty je patrná vždy z</w:t>
      </w:r>
      <w:r w:rsidR="0003053E">
        <w:t> </w:t>
      </w:r>
      <w:r>
        <w:t>uvedené tabulky, graficky je pak ilustrována odhadovaným dopadem na HDP a</w:t>
      </w:r>
      <w:r w:rsidR="0003053E">
        <w:t> </w:t>
      </w:r>
      <w:r>
        <w:t>zaměstnanost.</w:t>
      </w:r>
    </w:p>
    <w:p w14:paraId="4A0B95C6" w14:textId="77777777" w:rsidR="001F5332" w:rsidRPr="002979CB" w:rsidRDefault="001F5332" w:rsidP="001F5332">
      <w:pPr>
        <w:pStyle w:val="Nadpismal"/>
        <w:spacing w:before="240"/>
      </w:pPr>
      <w:r w:rsidRPr="002979CB">
        <w:t>1. pilíř: Digitální transformace</w:t>
      </w:r>
    </w:p>
    <w:p w14:paraId="397DB036" w14:textId="06DB7E27" w:rsidR="001F5332" w:rsidRDefault="001F5332" w:rsidP="001F5332">
      <w:pPr>
        <w:jc w:val="both"/>
      </w:pPr>
      <w:r>
        <w:t>Investice v</w:t>
      </w:r>
      <w:r w:rsidR="0003053E">
        <w:t> </w:t>
      </w:r>
      <w:r>
        <w:t>rámci komponenty 1.1 Digitální služby občanům a</w:t>
      </w:r>
      <w:r w:rsidR="0003053E">
        <w:t> </w:t>
      </w:r>
      <w:r>
        <w:t>firmám směřují především do rozvoje digitálních služeb a</w:t>
      </w:r>
      <w:r w:rsidR="0003053E">
        <w:t> </w:t>
      </w:r>
      <w:r>
        <w:t>poskytování otevřených dat pro koncové uživatele spolu s</w:t>
      </w:r>
      <w:r w:rsidR="0003053E">
        <w:t> </w:t>
      </w:r>
      <w:r>
        <w:t>rozvojem datového fondu. Zjednodušení podávání formulářů pro státní správu sníží náklady firmám a</w:t>
      </w:r>
      <w:r w:rsidR="0003053E">
        <w:t> </w:t>
      </w:r>
      <w:r>
        <w:t>snadný přístup k</w:t>
      </w:r>
      <w:r w:rsidR="0003053E">
        <w:t> </w:t>
      </w:r>
      <w:r>
        <w:t>datům podpoří ekonomickou konkurenci firem. Dále otevřená data nejen na úrovni ústředních orgánů státní správy stimulují další výzkum. Tento scénář je tak modelován jako pokles fixních nákladů firem, jež pozitivně působí na růst konkurence a</w:t>
      </w:r>
      <w:r w:rsidR="0003053E">
        <w:t> </w:t>
      </w:r>
      <w:r>
        <w:t>výzkumných aktivit v</w:t>
      </w:r>
      <w:r w:rsidR="0003053E">
        <w:t> </w:t>
      </w:r>
      <w:r>
        <w:t>ekonomice. Podkategorie této komponenty v</w:t>
      </w:r>
      <w:r w:rsidR="0003053E">
        <w:t> </w:t>
      </w:r>
      <w:r>
        <w:t>oblasti eHealth je modelována jako zvýšení vládních výdajů.</w:t>
      </w:r>
    </w:p>
    <w:p w14:paraId="25DDD4F2" w14:textId="13B900AE" w:rsidR="001F5332" w:rsidRPr="00B23602" w:rsidRDefault="001F5332" w:rsidP="001F5332">
      <w:pPr>
        <w:jc w:val="both"/>
        <w:rPr>
          <w:lang w:val="en-US"/>
        </w:rPr>
      </w:pPr>
      <w:r>
        <w:t>Komponenta 1.2 je zaměřena na digitalizaci státní správy. Konkrétně zahrnuje vytvoření datového fondu eGovernment Service Bus k</w:t>
      </w:r>
      <w:r w:rsidR="0003053E">
        <w:t> </w:t>
      </w:r>
      <w:r>
        <w:t>snadné a</w:t>
      </w:r>
      <w:r w:rsidR="0003053E">
        <w:t> </w:t>
      </w:r>
      <w:r>
        <w:t>bezpečné výměně dat v</w:t>
      </w:r>
      <w:r w:rsidR="0003053E">
        <w:t> </w:t>
      </w:r>
      <w:r>
        <w:t>rámci státní správy a</w:t>
      </w:r>
      <w:r w:rsidR="0003053E">
        <w:t> </w:t>
      </w:r>
      <w:r>
        <w:t>elektronizaci zdravotnictví, což představuje přímé vládní výdaje do ekonomiky.</w:t>
      </w:r>
    </w:p>
    <w:p w14:paraId="4A3F0CC6" w14:textId="4A20B568" w:rsidR="001F5332" w:rsidRDefault="001F5332" w:rsidP="001F5332">
      <w:pPr>
        <w:jc w:val="both"/>
      </w:pPr>
      <w:r>
        <w:t>Budování vysokorychlostních sítí v</w:t>
      </w:r>
      <w:r w:rsidR="0003053E">
        <w:t> </w:t>
      </w:r>
      <w:r>
        <w:t>rámci komponenty 1.3 znamená úsporu firmám, resp. jejich jednodušší vstup do odvětví. Digitalizace tak napomůže růstu konkurence a</w:t>
      </w:r>
      <w:r w:rsidR="0003053E">
        <w:t> </w:t>
      </w:r>
      <w:r>
        <w:t>celkově zvýší ekonomickou produktivitu.</w:t>
      </w:r>
    </w:p>
    <w:p w14:paraId="6FD9DEFE" w14:textId="5DE19594" w:rsidR="001F5332" w:rsidRDefault="001F5332" w:rsidP="001F5332">
      <w:pPr>
        <w:jc w:val="both"/>
      </w:pPr>
      <w:r>
        <w:t>Podpora digitální ekonomiky a</w:t>
      </w:r>
      <w:r w:rsidR="0003053E">
        <w:t> </w:t>
      </w:r>
      <w:r>
        <w:t>společnosti komponenty 1.4 v</w:t>
      </w:r>
      <w:r w:rsidR="0003053E">
        <w:t> </w:t>
      </w:r>
      <w:r>
        <w:t>sobě zahrnuje více typů investic, přičemž zhruba tři čtvrtiny směřují do podpory výzkumu, inovativních činností a</w:t>
      </w:r>
      <w:r w:rsidR="0003053E">
        <w:t> </w:t>
      </w:r>
      <w:r>
        <w:t>podpory digitální transformace, tedy do budoucích nižších nákladů pro firmy. Růst zisků bude motivovat vstup nových firem do těchto odvětví, a</w:t>
      </w:r>
      <w:r w:rsidR="0003053E">
        <w:t> </w:t>
      </w:r>
      <w:r>
        <w:t>dále tím stimulovat růst inovací. Část programu směřuje na dotace do strategických odvětví, např. leteckého průmyslu, jež sníží kapitálové náklady v</w:t>
      </w:r>
      <w:r w:rsidR="0003053E">
        <w:t> </w:t>
      </w:r>
      <w:r>
        <w:t>odvětví. Zbylou část tvoří administrativní náklady představující běžné vládní výdaje do ekonomiky, a</w:t>
      </w:r>
      <w:r w:rsidR="0003053E">
        <w:t> </w:t>
      </w:r>
      <w:r>
        <w:t>také náklady na školení a</w:t>
      </w:r>
      <w:r w:rsidR="0003053E">
        <w:t> </w:t>
      </w:r>
      <w:r>
        <w:t>rekvalifikaci zaměstnanců, které se pozitivně projeví na produktivitě pracovní síly.</w:t>
      </w:r>
    </w:p>
    <w:p w14:paraId="144CB907" w14:textId="655EFE65" w:rsidR="001F5332" w:rsidRDefault="001F5332" w:rsidP="001F5332">
      <w:pPr>
        <w:jc w:val="both"/>
      </w:pPr>
      <w:r>
        <w:t>Komponenty 1.5–1.7 směřují k</w:t>
      </w:r>
      <w:r w:rsidR="0003053E">
        <w:t> </w:t>
      </w:r>
      <w:r>
        <w:t>podpoře digitální transformace podniků, digitalizaci stavebního řízení a</w:t>
      </w:r>
      <w:r w:rsidR="0003053E">
        <w:t> </w:t>
      </w:r>
      <w:r>
        <w:t>další podpoře datové infrastruktury, což se projeví v</w:t>
      </w:r>
      <w:r w:rsidR="0003053E">
        <w:t> </w:t>
      </w:r>
      <w:r>
        <w:t>podobě nižších nákladů firem, ale také v</w:t>
      </w:r>
      <w:r w:rsidR="0003053E">
        <w:t> </w:t>
      </w:r>
      <w:r>
        <w:t>růstu inovací a</w:t>
      </w:r>
      <w:r w:rsidR="0003053E">
        <w:t> </w:t>
      </w:r>
      <w:r>
        <w:t>podpoře konkurenceschopnosti podniků.</w:t>
      </w:r>
    </w:p>
    <w:p w14:paraId="5E62F3AB" w14:textId="57A103A3" w:rsidR="001F5332" w:rsidRDefault="001F5332" w:rsidP="001F5332">
      <w:pPr>
        <w:pStyle w:val="Titulek"/>
        <w:keepNext/>
        <w:spacing w:after="120"/>
      </w:pPr>
      <w:bookmarkStart w:id="310" w:name="_Toc151444593"/>
      <w:r>
        <w:t xml:space="preserve">Tabulka </w:t>
      </w:r>
      <w:r>
        <w:fldChar w:fldCharType="begin"/>
      </w:r>
      <w:r>
        <w:instrText xml:space="preserve"> SEQ Tabulka \* ARABIC </w:instrText>
      </w:r>
      <w:r>
        <w:fldChar w:fldCharType="separate"/>
      </w:r>
      <w:r w:rsidR="00E25A73">
        <w:t>8</w:t>
      </w:r>
      <w:r>
        <w:fldChar w:fldCharType="end"/>
      </w:r>
      <w:r>
        <w:t>: Stanovené impulzy v</w:t>
      </w:r>
      <w:r w:rsidR="0003053E">
        <w:t> </w:t>
      </w:r>
      <w:r>
        <w:t>rámci 1. pilíře – digitální transformace</w:t>
      </w:r>
      <w:bookmarkEnd w:id="310"/>
    </w:p>
    <w:p w14:paraId="152AD4D2" w14:textId="77777777" w:rsidR="001F5332" w:rsidRPr="00A36904" w:rsidRDefault="001F5332" w:rsidP="001F5332">
      <w:pPr>
        <w:pStyle w:val="Tabulkaagraf"/>
      </w:pPr>
      <w:r>
        <w:t>mil. Kč</w:t>
      </w:r>
    </w:p>
    <w:tbl>
      <w:tblPr>
        <w:tblW w:w="5000" w:type="pct"/>
        <w:tblCellMar>
          <w:left w:w="70" w:type="dxa"/>
          <w:right w:w="70" w:type="dxa"/>
        </w:tblCellMar>
        <w:tblLook w:val="04A0" w:firstRow="1" w:lastRow="0" w:firstColumn="1" w:lastColumn="0" w:noHBand="0" w:noVBand="1"/>
      </w:tblPr>
      <w:tblGrid>
        <w:gridCol w:w="3334"/>
        <w:gridCol w:w="748"/>
        <w:gridCol w:w="748"/>
        <w:gridCol w:w="748"/>
        <w:gridCol w:w="748"/>
        <w:gridCol w:w="748"/>
        <w:gridCol w:w="786"/>
        <w:gridCol w:w="748"/>
        <w:gridCol w:w="890"/>
      </w:tblGrid>
      <w:tr w:rsidR="004E56C3" w:rsidRPr="009E4255" w14:paraId="66254A4C" w14:textId="77777777" w:rsidTr="004E56C3">
        <w:trPr>
          <w:trHeight w:val="300"/>
          <w:tblHeader/>
        </w:trPr>
        <w:tc>
          <w:tcPr>
            <w:tcW w:w="1757" w:type="pct"/>
            <w:tcBorders>
              <w:top w:val="nil"/>
              <w:left w:val="nil"/>
              <w:bottom w:val="single" w:sz="4" w:space="0" w:color="auto"/>
              <w:right w:val="single" w:sz="4" w:space="0" w:color="auto"/>
            </w:tcBorders>
            <w:shd w:val="clear" w:color="000000" w:fill="D9E1F2"/>
            <w:noWrap/>
            <w:vAlign w:val="center"/>
            <w:hideMark/>
          </w:tcPr>
          <w:p w14:paraId="713E16F3" w14:textId="77777777" w:rsidR="004E56C3" w:rsidRPr="009E4255" w:rsidRDefault="004E56C3" w:rsidP="004E56C3">
            <w:pPr>
              <w:spacing w:after="0" w:line="240" w:lineRule="auto"/>
              <w:rPr>
                <w:rFonts w:eastAsia="Times New Roman" w:cstheme="minorHAnsi"/>
                <w:b/>
                <w:bCs/>
                <w:color w:val="000000"/>
                <w:sz w:val="16"/>
                <w:szCs w:val="16"/>
                <w:lang w:eastAsia="cs-CZ"/>
              </w:rPr>
            </w:pPr>
            <w:r w:rsidRPr="009E4255">
              <w:rPr>
                <w:rFonts w:eastAsia="Times New Roman" w:cstheme="minorHAnsi"/>
                <w:b/>
                <w:bCs/>
                <w:color w:val="000000"/>
                <w:sz w:val="16"/>
                <w:szCs w:val="16"/>
                <w:lang w:eastAsia="cs-CZ"/>
              </w:rPr>
              <w:t> </w:t>
            </w:r>
          </w:p>
        </w:tc>
        <w:tc>
          <w:tcPr>
            <w:tcW w:w="396" w:type="pct"/>
            <w:tcBorders>
              <w:top w:val="nil"/>
              <w:left w:val="nil"/>
              <w:bottom w:val="single" w:sz="4" w:space="0" w:color="auto"/>
              <w:right w:val="nil"/>
            </w:tcBorders>
            <w:shd w:val="clear" w:color="000000" w:fill="D9E1F2"/>
            <w:noWrap/>
            <w:vAlign w:val="center"/>
            <w:hideMark/>
          </w:tcPr>
          <w:p w14:paraId="760363D5" w14:textId="77777777" w:rsidR="004E56C3" w:rsidRPr="009E4255" w:rsidRDefault="004E56C3" w:rsidP="004E56C3">
            <w:pPr>
              <w:spacing w:after="0" w:line="240" w:lineRule="auto"/>
              <w:jc w:val="right"/>
              <w:rPr>
                <w:rFonts w:eastAsia="Times New Roman" w:cstheme="minorHAnsi"/>
                <w:b/>
                <w:bCs/>
                <w:color w:val="000000"/>
                <w:sz w:val="16"/>
                <w:szCs w:val="16"/>
                <w:lang w:eastAsia="cs-CZ"/>
              </w:rPr>
            </w:pPr>
            <w:r w:rsidRPr="009E4255">
              <w:rPr>
                <w:rFonts w:eastAsia="Times New Roman" w:cstheme="minorHAnsi"/>
                <w:b/>
                <w:bCs/>
                <w:color w:val="000000"/>
                <w:sz w:val="16"/>
                <w:szCs w:val="16"/>
                <w:lang w:eastAsia="cs-CZ"/>
              </w:rPr>
              <w:t>2020</w:t>
            </w:r>
          </w:p>
        </w:tc>
        <w:tc>
          <w:tcPr>
            <w:tcW w:w="396" w:type="pct"/>
            <w:tcBorders>
              <w:top w:val="nil"/>
              <w:left w:val="nil"/>
              <w:bottom w:val="single" w:sz="4" w:space="0" w:color="auto"/>
              <w:right w:val="nil"/>
            </w:tcBorders>
            <w:shd w:val="clear" w:color="000000" w:fill="D9E1F2"/>
            <w:noWrap/>
            <w:vAlign w:val="center"/>
            <w:hideMark/>
          </w:tcPr>
          <w:p w14:paraId="7B19D072" w14:textId="77777777" w:rsidR="004E56C3" w:rsidRPr="009E4255" w:rsidRDefault="004E56C3" w:rsidP="004E56C3">
            <w:pPr>
              <w:spacing w:after="0" w:line="240" w:lineRule="auto"/>
              <w:jc w:val="right"/>
              <w:rPr>
                <w:rFonts w:eastAsia="Times New Roman" w:cstheme="minorHAnsi"/>
                <w:b/>
                <w:bCs/>
                <w:color w:val="000000"/>
                <w:sz w:val="16"/>
                <w:szCs w:val="16"/>
                <w:lang w:eastAsia="cs-CZ"/>
              </w:rPr>
            </w:pPr>
            <w:r w:rsidRPr="009E4255">
              <w:rPr>
                <w:rFonts w:eastAsia="Times New Roman" w:cstheme="minorHAnsi"/>
                <w:b/>
                <w:bCs/>
                <w:color w:val="000000"/>
                <w:sz w:val="16"/>
                <w:szCs w:val="16"/>
                <w:lang w:eastAsia="cs-CZ"/>
              </w:rPr>
              <w:t>2021</w:t>
            </w:r>
          </w:p>
        </w:tc>
        <w:tc>
          <w:tcPr>
            <w:tcW w:w="396" w:type="pct"/>
            <w:tcBorders>
              <w:top w:val="nil"/>
              <w:left w:val="nil"/>
              <w:bottom w:val="single" w:sz="4" w:space="0" w:color="auto"/>
              <w:right w:val="nil"/>
            </w:tcBorders>
            <w:shd w:val="clear" w:color="000000" w:fill="D9E1F2"/>
            <w:noWrap/>
            <w:vAlign w:val="center"/>
            <w:hideMark/>
          </w:tcPr>
          <w:p w14:paraId="285E9F2D" w14:textId="77777777" w:rsidR="004E56C3" w:rsidRPr="009E4255" w:rsidRDefault="004E56C3" w:rsidP="004E56C3">
            <w:pPr>
              <w:spacing w:after="0" w:line="240" w:lineRule="auto"/>
              <w:jc w:val="right"/>
              <w:rPr>
                <w:rFonts w:eastAsia="Times New Roman" w:cstheme="minorHAnsi"/>
                <w:b/>
                <w:bCs/>
                <w:color w:val="000000"/>
                <w:sz w:val="16"/>
                <w:szCs w:val="16"/>
                <w:lang w:eastAsia="cs-CZ"/>
              </w:rPr>
            </w:pPr>
            <w:r w:rsidRPr="009E4255">
              <w:rPr>
                <w:rFonts w:eastAsia="Times New Roman" w:cstheme="minorHAnsi"/>
                <w:b/>
                <w:bCs/>
                <w:color w:val="000000"/>
                <w:sz w:val="16"/>
                <w:szCs w:val="16"/>
                <w:lang w:eastAsia="cs-CZ"/>
              </w:rPr>
              <w:t>2022</w:t>
            </w:r>
          </w:p>
        </w:tc>
        <w:tc>
          <w:tcPr>
            <w:tcW w:w="396" w:type="pct"/>
            <w:tcBorders>
              <w:top w:val="nil"/>
              <w:left w:val="nil"/>
              <w:bottom w:val="single" w:sz="4" w:space="0" w:color="auto"/>
              <w:right w:val="nil"/>
            </w:tcBorders>
            <w:shd w:val="clear" w:color="000000" w:fill="D9E1F2"/>
            <w:noWrap/>
            <w:vAlign w:val="center"/>
            <w:hideMark/>
          </w:tcPr>
          <w:p w14:paraId="510D3B44" w14:textId="77777777" w:rsidR="004E56C3" w:rsidRPr="009E4255" w:rsidRDefault="004E56C3" w:rsidP="004E56C3">
            <w:pPr>
              <w:spacing w:after="0" w:line="240" w:lineRule="auto"/>
              <w:jc w:val="right"/>
              <w:rPr>
                <w:rFonts w:eastAsia="Times New Roman" w:cstheme="minorHAnsi"/>
                <w:b/>
                <w:bCs/>
                <w:color w:val="000000"/>
                <w:sz w:val="16"/>
                <w:szCs w:val="16"/>
                <w:lang w:eastAsia="cs-CZ"/>
              </w:rPr>
            </w:pPr>
            <w:r w:rsidRPr="009E4255">
              <w:rPr>
                <w:rFonts w:eastAsia="Times New Roman" w:cstheme="minorHAnsi"/>
                <w:b/>
                <w:bCs/>
                <w:color w:val="000000"/>
                <w:sz w:val="16"/>
                <w:szCs w:val="16"/>
                <w:lang w:eastAsia="cs-CZ"/>
              </w:rPr>
              <w:t>2023</w:t>
            </w:r>
          </w:p>
        </w:tc>
        <w:tc>
          <w:tcPr>
            <w:tcW w:w="396" w:type="pct"/>
            <w:tcBorders>
              <w:top w:val="nil"/>
              <w:left w:val="nil"/>
              <w:bottom w:val="single" w:sz="4" w:space="0" w:color="auto"/>
              <w:right w:val="nil"/>
            </w:tcBorders>
            <w:shd w:val="clear" w:color="000000" w:fill="D9E1F2"/>
            <w:noWrap/>
            <w:vAlign w:val="center"/>
            <w:hideMark/>
          </w:tcPr>
          <w:p w14:paraId="03A78935" w14:textId="77777777" w:rsidR="004E56C3" w:rsidRPr="009E4255" w:rsidRDefault="004E56C3" w:rsidP="004E56C3">
            <w:pPr>
              <w:spacing w:after="0" w:line="240" w:lineRule="auto"/>
              <w:jc w:val="right"/>
              <w:rPr>
                <w:rFonts w:eastAsia="Times New Roman" w:cstheme="minorHAnsi"/>
                <w:b/>
                <w:bCs/>
                <w:color w:val="000000"/>
                <w:sz w:val="16"/>
                <w:szCs w:val="16"/>
                <w:lang w:eastAsia="cs-CZ"/>
              </w:rPr>
            </w:pPr>
            <w:r w:rsidRPr="009E4255">
              <w:rPr>
                <w:rFonts w:eastAsia="Times New Roman" w:cstheme="minorHAnsi"/>
                <w:b/>
                <w:bCs/>
                <w:color w:val="000000"/>
                <w:sz w:val="16"/>
                <w:szCs w:val="16"/>
                <w:lang w:eastAsia="cs-CZ"/>
              </w:rPr>
              <w:t>2024</w:t>
            </w:r>
          </w:p>
        </w:tc>
        <w:tc>
          <w:tcPr>
            <w:tcW w:w="396" w:type="pct"/>
            <w:tcBorders>
              <w:top w:val="nil"/>
              <w:left w:val="nil"/>
              <w:bottom w:val="single" w:sz="4" w:space="0" w:color="auto"/>
              <w:right w:val="nil"/>
            </w:tcBorders>
            <w:shd w:val="clear" w:color="000000" w:fill="D9E1F2"/>
            <w:noWrap/>
            <w:vAlign w:val="center"/>
            <w:hideMark/>
          </w:tcPr>
          <w:p w14:paraId="4D476023" w14:textId="77777777" w:rsidR="004E56C3" w:rsidRPr="009E4255" w:rsidRDefault="004E56C3" w:rsidP="004E56C3">
            <w:pPr>
              <w:spacing w:after="0" w:line="240" w:lineRule="auto"/>
              <w:jc w:val="right"/>
              <w:rPr>
                <w:rFonts w:eastAsia="Times New Roman" w:cstheme="minorHAnsi"/>
                <w:b/>
                <w:bCs/>
                <w:color w:val="000000"/>
                <w:sz w:val="16"/>
                <w:szCs w:val="16"/>
                <w:lang w:eastAsia="cs-CZ"/>
              </w:rPr>
            </w:pPr>
            <w:r w:rsidRPr="009E4255">
              <w:rPr>
                <w:rFonts w:eastAsia="Times New Roman" w:cstheme="minorHAnsi"/>
                <w:b/>
                <w:bCs/>
                <w:color w:val="000000"/>
                <w:sz w:val="16"/>
                <w:szCs w:val="16"/>
                <w:lang w:eastAsia="cs-CZ"/>
              </w:rPr>
              <w:t>2025</w:t>
            </w:r>
          </w:p>
        </w:tc>
        <w:tc>
          <w:tcPr>
            <w:tcW w:w="396" w:type="pct"/>
            <w:tcBorders>
              <w:top w:val="nil"/>
              <w:left w:val="nil"/>
              <w:bottom w:val="single" w:sz="4" w:space="0" w:color="auto"/>
              <w:right w:val="nil"/>
            </w:tcBorders>
            <w:shd w:val="clear" w:color="000000" w:fill="D9E1F2"/>
            <w:noWrap/>
            <w:vAlign w:val="center"/>
            <w:hideMark/>
          </w:tcPr>
          <w:p w14:paraId="46400D29" w14:textId="77777777" w:rsidR="004E56C3" w:rsidRPr="009E4255" w:rsidRDefault="004E56C3" w:rsidP="004E56C3">
            <w:pPr>
              <w:spacing w:after="0" w:line="240" w:lineRule="auto"/>
              <w:jc w:val="right"/>
              <w:rPr>
                <w:rFonts w:eastAsia="Times New Roman" w:cstheme="minorHAnsi"/>
                <w:b/>
                <w:bCs/>
                <w:color w:val="000000"/>
                <w:sz w:val="16"/>
                <w:szCs w:val="16"/>
                <w:lang w:eastAsia="cs-CZ"/>
              </w:rPr>
            </w:pPr>
            <w:r w:rsidRPr="009E4255">
              <w:rPr>
                <w:rFonts w:eastAsia="Times New Roman" w:cstheme="minorHAnsi"/>
                <w:b/>
                <w:bCs/>
                <w:color w:val="000000"/>
                <w:sz w:val="16"/>
                <w:szCs w:val="16"/>
                <w:lang w:eastAsia="cs-CZ"/>
              </w:rPr>
              <w:t>2026</w:t>
            </w:r>
          </w:p>
        </w:tc>
        <w:tc>
          <w:tcPr>
            <w:tcW w:w="470" w:type="pct"/>
            <w:tcBorders>
              <w:top w:val="nil"/>
              <w:left w:val="single" w:sz="4" w:space="0" w:color="auto"/>
              <w:bottom w:val="single" w:sz="4" w:space="0" w:color="auto"/>
              <w:right w:val="nil"/>
            </w:tcBorders>
            <w:shd w:val="clear" w:color="000000" w:fill="D9E1F2"/>
            <w:noWrap/>
            <w:vAlign w:val="center"/>
            <w:hideMark/>
          </w:tcPr>
          <w:p w14:paraId="2245ADB2" w14:textId="77777777" w:rsidR="004E56C3" w:rsidRPr="009E4255" w:rsidRDefault="004E56C3" w:rsidP="004E56C3">
            <w:pPr>
              <w:spacing w:after="0" w:line="240" w:lineRule="auto"/>
              <w:jc w:val="center"/>
              <w:rPr>
                <w:rFonts w:eastAsia="Times New Roman" w:cstheme="minorHAnsi"/>
                <w:b/>
                <w:bCs/>
                <w:color w:val="000000"/>
                <w:sz w:val="16"/>
                <w:szCs w:val="16"/>
                <w:lang w:eastAsia="cs-CZ"/>
              </w:rPr>
            </w:pPr>
            <w:r w:rsidRPr="009E4255">
              <w:rPr>
                <w:rFonts w:eastAsia="Times New Roman" w:cstheme="minorHAnsi"/>
                <w:b/>
                <w:bCs/>
                <w:color w:val="000000"/>
                <w:sz w:val="16"/>
                <w:szCs w:val="16"/>
                <w:lang w:eastAsia="cs-CZ"/>
              </w:rPr>
              <w:t>celkem</w:t>
            </w:r>
          </w:p>
        </w:tc>
      </w:tr>
      <w:tr w:rsidR="004E56C3" w:rsidRPr="009E4255" w14:paraId="442A7A8C" w14:textId="77777777" w:rsidTr="004E56C3">
        <w:trPr>
          <w:trHeight w:val="300"/>
        </w:trPr>
        <w:tc>
          <w:tcPr>
            <w:tcW w:w="1757" w:type="pct"/>
            <w:tcBorders>
              <w:top w:val="nil"/>
              <w:left w:val="nil"/>
              <w:bottom w:val="nil"/>
              <w:right w:val="single" w:sz="4" w:space="0" w:color="auto"/>
            </w:tcBorders>
            <w:shd w:val="clear" w:color="auto" w:fill="auto"/>
            <w:noWrap/>
            <w:vAlign w:val="center"/>
            <w:hideMark/>
          </w:tcPr>
          <w:p w14:paraId="3FA02E22" w14:textId="77777777" w:rsidR="004E56C3" w:rsidRPr="009E4255" w:rsidRDefault="004E56C3" w:rsidP="004E56C3">
            <w:pPr>
              <w:spacing w:after="0" w:line="240" w:lineRule="auto"/>
              <w:rPr>
                <w:rFonts w:eastAsia="Times New Roman" w:cstheme="minorHAnsi"/>
                <w:b/>
                <w:bCs/>
                <w:color w:val="000000"/>
                <w:sz w:val="16"/>
                <w:szCs w:val="16"/>
                <w:lang w:eastAsia="cs-CZ"/>
              </w:rPr>
            </w:pPr>
            <w:r w:rsidRPr="009E4255">
              <w:rPr>
                <w:rFonts w:eastAsia="Times New Roman" w:cstheme="minorHAnsi"/>
                <w:b/>
                <w:bCs/>
                <w:color w:val="000000"/>
                <w:sz w:val="16"/>
                <w:szCs w:val="16"/>
                <w:lang w:eastAsia="cs-CZ"/>
              </w:rPr>
              <w:t>1. PILÍŘ: DIGITÁLNÍ TRANSFORMACE</w:t>
            </w:r>
          </w:p>
        </w:tc>
        <w:tc>
          <w:tcPr>
            <w:tcW w:w="396" w:type="pct"/>
            <w:tcBorders>
              <w:top w:val="nil"/>
              <w:left w:val="nil"/>
              <w:bottom w:val="nil"/>
              <w:right w:val="nil"/>
            </w:tcBorders>
            <w:shd w:val="clear" w:color="auto" w:fill="auto"/>
            <w:noWrap/>
            <w:vAlign w:val="center"/>
            <w:hideMark/>
          </w:tcPr>
          <w:p w14:paraId="7F16B719" w14:textId="77777777" w:rsidR="004E56C3" w:rsidRPr="00375357" w:rsidRDefault="004E56C3" w:rsidP="004E56C3">
            <w:pPr>
              <w:spacing w:after="0" w:line="240" w:lineRule="auto"/>
              <w:jc w:val="right"/>
              <w:rPr>
                <w:rFonts w:eastAsia="Times New Roman" w:cstheme="minorHAnsi"/>
                <w:b/>
                <w:color w:val="000000"/>
                <w:sz w:val="16"/>
                <w:szCs w:val="16"/>
                <w:lang w:eastAsia="cs-CZ"/>
              </w:rPr>
            </w:pPr>
            <w:r w:rsidRPr="00375357">
              <w:rPr>
                <w:rFonts w:eastAsia="Times New Roman" w:cstheme="minorHAnsi"/>
                <w:b/>
                <w:color w:val="000000"/>
                <w:sz w:val="16"/>
                <w:szCs w:val="16"/>
                <w:lang w:eastAsia="cs-CZ"/>
              </w:rPr>
              <w:t>0,00</w:t>
            </w:r>
          </w:p>
        </w:tc>
        <w:tc>
          <w:tcPr>
            <w:tcW w:w="396" w:type="pct"/>
            <w:tcBorders>
              <w:top w:val="nil"/>
              <w:left w:val="nil"/>
              <w:bottom w:val="nil"/>
              <w:right w:val="nil"/>
            </w:tcBorders>
            <w:shd w:val="clear" w:color="auto" w:fill="auto"/>
            <w:noWrap/>
            <w:vAlign w:val="center"/>
            <w:hideMark/>
          </w:tcPr>
          <w:p w14:paraId="257B37BD" w14:textId="77777777" w:rsidR="004E56C3" w:rsidRPr="00375357" w:rsidRDefault="004E56C3" w:rsidP="004E56C3">
            <w:pPr>
              <w:spacing w:after="0" w:line="240" w:lineRule="auto"/>
              <w:jc w:val="right"/>
              <w:rPr>
                <w:rFonts w:eastAsia="Times New Roman" w:cstheme="minorHAnsi"/>
                <w:b/>
                <w:color w:val="000000"/>
                <w:sz w:val="16"/>
                <w:szCs w:val="16"/>
                <w:lang w:eastAsia="cs-CZ"/>
              </w:rPr>
            </w:pPr>
            <w:r w:rsidRPr="00375357">
              <w:rPr>
                <w:rFonts w:eastAsia="Times New Roman" w:cstheme="minorHAnsi"/>
                <w:b/>
                <w:color w:val="000000"/>
                <w:sz w:val="16"/>
                <w:szCs w:val="16"/>
                <w:lang w:eastAsia="cs-CZ"/>
              </w:rPr>
              <w:t>2 279,70</w:t>
            </w:r>
          </w:p>
        </w:tc>
        <w:tc>
          <w:tcPr>
            <w:tcW w:w="396" w:type="pct"/>
            <w:tcBorders>
              <w:top w:val="nil"/>
              <w:left w:val="nil"/>
              <w:bottom w:val="nil"/>
              <w:right w:val="nil"/>
            </w:tcBorders>
            <w:shd w:val="clear" w:color="auto" w:fill="auto"/>
            <w:noWrap/>
            <w:vAlign w:val="center"/>
            <w:hideMark/>
          </w:tcPr>
          <w:p w14:paraId="031618AB" w14:textId="77777777" w:rsidR="004E56C3" w:rsidRPr="00375357" w:rsidRDefault="004E56C3" w:rsidP="004E56C3">
            <w:pPr>
              <w:spacing w:after="0" w:line="240" w:lineRule="auto"/>
              <w:jc w:val="right"/>
              <w:rPr>
                <w:rFonts w:eastAsia="Times New Roman" w:cstheme="minorHAnsi"/>
                <w:b/>
                <w:color w:val="000000"/>
                <w:sz w:val="16"/>
                <w:szCs w:val="16"/>
                <w:lang w:eastAsia="cs-CZ"/>
              </w:rPr>
            </w:pPr>
            <w:r w:rsidRPr="00375357">
              <w:rPr>
                <w:rFonts w:eastAsia="Times New Roman" w:cstheme="minorHAnsi"/>
                <w:b/>
                <w:color w:val="000000"/>
                <w:sz w:val="16"/>
                <w:szCs w:val="16"/>
                <w:lang w:eastAsia="cs-CZ"/>
              </w:rPr>
              <w:t>6 428,10</w:t>
            </w:r>
          </w:p>
        </w:tc>
        <w:tc>
          <w:tcPr>
            <w:tcW w:w="396" w:type="pct"/>
            <w:tcBorders>
              <w:top w:val="nil"/>
              <w:left w:val="nil"/>
              <w:bottom w:val="nil"/>
              <w:right w:val="nil"/>
            </w:tcBorders>
            <w:shd w:val="clear" w:color="auto" w:fill="auto"/>
            <w:noWrap/>
            <w:vAlign w:val="center"/>
            <w:hideMark/>
          </w:tcPr>
          <w:p w14:paraId="01BD04C8" w14:textId="77777777" w:rsidR="004E56C3" w:rsidRPr="00375357" w:rsidRDefault="004E56C3" w:rsidP="004E56C3">
            <w:pPr>
              <w:spacing w:after="0" w:line="240" w:lineRule="auto"/>
              <w:jc w:val="right"/>
              <w:rPr>
                <w:rFonts w:eastAsia="Times New Roman" w:cstheme="minorHAnsi"/>
                <w:b/>
                <w:color w:val="000000"/>
                <w:sz w:val="16"/>
                <w:szCs w:val="16"/>
                <w:lang w:eastAsia="cs-CZ"/>
              </w:rPr>
            </w:pPr>
            <w:r w:rsidRPr="00375357">
              <w:rPr>
                <w:rFonts w:eastAsia="Times New Roman" w:cstheme="minorHAnsi"/>
                <w:b/>
                <w:color w:val="000000"/>
                <w:sz w:val="16"/>
                <w:szCs w:val="16"/>
                <w:lang w:eastAsia="cs-CZ"/>
              </w:rPr>
              <w:t>6 683,80</w:t>
            </w:r>
          </w:p>
        </w:tc>
        <w:tc>
          <w:tcPr>
            <w:tcW w:w="396" w:type="pct"/>
            <w:tcBorders>
              <w:top w:val="nil"/>
              <w:left w:val="nil"/>
              <w:bottom w:val="nil"/>
              <w:right w:val="nil"/>
            </w:tcBorders>
            <w:shd w:val="clear" w:color="auto" w:fill="auto"/>
            <w:noWrap/>
            <w:vAlign w:val="center"/>
            <w:hideMark/>
          </w:tcPr>
          <w:p w14:paraId="4B6D2A06" w14:textId="77777777" w:rsidR="004E56C3" w:rsidRPr="00375357" w:rsidRDefault="004E56C3" w:rsidP="004E56C3">
            <w:pPr>
              <w:spacing w:after="0" w:line="240" w:lineRule="auto"/>
              <w:jc w:val="right"/>
              <w:rPr>
                <w:rFonts w:eastAsia="Times New Roman" w:cstheme="minorHAnsi"/>
                <w:b/>
                <w:color w:val="000000"/>
                <w:sz w:val="16"/>
                <w:szCs w:val="16"/>
                <w:lang w:eastAsia="cs-CZ"/>
              </w:rPr>
            </w:pPr>
            <w:r w:rsidRPr="00375357">
              <w:rPr>
                <w:rFonts w:eastAsia="Times New Roman" w:cstheme="minorHAnsi"/>
                <w:b/>
                <w:color w:val="000000"/>
                <w:sz w:val="16"/>
                <w:szCs w:val="16"/>
                <w:lang w:eastAsia="cs-CZ"/>
              </w:rPr>
              <w:t>9 612,90</w:t>
            </w:r>
          </w:p>
        </w:tc>
        <w:tc>
          <w:tcPr>
            <w:tcW w:w="396" w:type="pct"/>
            <w:tcBorders>
              <w:top w:val="nil"/>
              <w:left w:val="nil"/>
              <w:bottom w:val="nil"/>
              <w:right w:val="nil"/>
            </w:tcBorders>
            <w:shd w:val="clear" w:color="auto" w:fill="auto"/>
            <w:noWrap/>
            <w:vAlign w:val="center"/>
            <w:hideMark/>
          </w:tcPr>
          <w:p w14:paraId="35F20FF4" w14:textId="77777777" w:rsidR="004E56C3" w:rsidRPr="00375357" w:rsidRDefault="004E56C3" w:rsidP="004E56C3">
            <w:pPr>
              <w:spacing w:after="0" w:line="240" w:lineRule="auto"/>
              <w:jc w:val="right"/>
              <w:rPr>
                <w:rFonts w:eastAsia="Times New Roman" w:cstheme="minorHAnsi"/>
                <w:b/>
                <w:color w:val="000000"/>
                <w:sz w:val="16"/>
                <w:szCs w:val="16"/>
                <w:lang w:eastAsia="cs-CZ"/>
              </w:rPr>
            </w:pPr>
            <w:r w:rsidRPr="00375357">
              <w:rPr>
                <w:rFonts w:eastAsia="Times New Roman" w:cstheme="minorHAnsi"/>
                <w:b/>
                <w:color w:val="000000"/>
                <w:sz w:val="16"/>
                <w:szCs w:val="16"/>
                <w:lang w:eastAsia="cs-CZ"/>
              </w:rPr>
              <w:t>10 396,40</w:t>
            </w:r>
          </w:p>
        </w:tc>
        <w:tc>
          <w:tcPr>
            <w:tcW w:w="396" w:type="pct"/>
            <w:tcBorders>
              <w:top w:val="nil"/>
              <w:left w:val="nil"/>
              <w:bottom w:val="nil"/>
              <w:right w:val="nil"/>
            </w:tcBorders>
            <w:shd w:val="clear" w:color="auto" w:fill="auto"/>
            <w:noWrap/>
            <w:vAlign w:val="center"/>
            <w:hideMark/>
          </w:tcPr>
          <w:p w14:paraId="225AC56E" w14:textId="77777777" w:rsidR="004E56C3" w:rsidRPr="00375357" w:rsidRDefault="004E56C3" w:rsidP="004E56C3">
            <w:pPr>
              <w:spacing w:after="0" w:line="240" w:lineRule="auto"/>
              <w:jc w:val="right"/>
              <w:rPr>
                <w:rFonts w:eastAsia="Times New Roman" w:cstheme="minorHAnsi"/>
                <w:b/>
                <w:color w:val="000000"/>
                <w:sz w:val="16"/>
                <w:szCs w:val="16"/>
                <w:lang w:eastAsia="cs-CZ"/>
              </w:rPr>
            </w:pPr>
            <w:r w:rsidRPr="00375357">
              <w:rPr>
                <w:rFonts w:eastAsia="Times New Roman" w:cstheme="minorHAnsi"/>
                <w:b/>
                <w:color w:val="000000"/>
                <w:sz w:val="16"/>
                <w:szCs w:val="16"/>
                <w:lang w:eastAsia="cs-CZ"/>
              </w:rPr>
              <w:t>2 388,20</w:t>
            </w:r>
          </w:p>
        </w:tc>
        <w:tc>
          <w:tcPr>
            <w:tcW w:w="470" w:type="pct"/>
            <w:tcBorders>
              <w:top w:val="nil"/>
              <w:left w:val="single" w:sz="4" w:space="0" w:color="auto"/>
              <w:bottom w:val="nil"/>
              <w:right w:val="nil"/>
            </w:tcBorders>
            <w:shd w:val="clear" w:color="auto" w:fill="auto"/>
            <w:noWrap/>
            <w:vAlign w:val="center"/>
            <w:hideMark/>
          </w:tcPr>
          <w:p w14:paraId="0F54D2DF" w14:textId="77777777" w:rsidR="004E56C3" w:rsidRPr="009E4255" w:rsidRDefault="004E56C3" w:rsidP="004E56C3">
            <w:pPr>
              <w:spacing w:after="0" w:line="240" w:lineRule="auto"/>
              <w:jc w:val="right"/>
              <w:rPr>
                <w:rFonts w:eastAsia="Times New Roman" w:cstheme="minorHAnsi"/>
                <w:b/>
                <w:bCs/>
                <w:color w:val="000000"/>
                <w:sz w:val="16"/>
                <w:szCs w:val="16"/>
                <w:lang w:eastAsia="cs-CZ"/>
              </w:rPr>
            </w:pPr>
            <w:r w:rsidRPr="009E4255">
              <w:rPr>
                <w:rFonts w:eastAsia="Times New Roman" w:cstheme="minorHAnsi"/>
                <w:b/>
                <w:bCs/>
                <w:color w:val="000000"/>
                <w:sz w:val="16"/>
                <w:szCs w:val="16"/>
                <w:lang w:eastAsia="cs-CZ"/>
              </w:rPr>
              <w:t>37 789,10</w:t>
            </w:r>
          </w:p>
        </w:tc>
      </w:tr>
      <w:tr w:rsidR="004E56C3" w:rsidRPr="009E4255" w14:paraId="5FC597A9" w14:textId="77777777" w:rsidTr="004E56C3">
        <w:trPr>
          <w:trHeight w:val="300"/>
        </w:trPr>
        <w:tc>
          <w:tcPr>
            <w:tcW w:w="1757" w:type="pct"/>
            <w:tcBorders>
              <w:top w:val="nil"/>
              <w:left w:val="nil"/>
              <w:bottom w:val="nil"/>
              <w:right w:val="single" w:sz="4" w:space="0" w:color="auto"/>
            </w:tcBorders>
            <w:shd w:val="clear" w:color="auto" w:fill="auto"/>
            <w:noWrap/>
            <w:vAlign w:val="center"/>
            <w:hideMark/>
          </w:tcPr>
          <w:p w14:paraId="2CAC15EA" w14:textId="6A9DA70E" w:rsidR="004E56C3" w:rsidRPr="009E4255" w:rsidRDefault="004E56C3" w:rsidP="004E56C3">
            <w:pPr>
              <w:spacing w:after="0" w:line="240" w:lineRule="auto"/>
              <w:rPr>
                <w:rFonts w:eastAsia="Times New Roman" w:cstheme="minorHAnsi"/>
                <w:color w:val="000000"/>
                <w:sz w:val="16"/>
                <w:szCs w:val="16"/>
                <w:lang w:eastAsia="cs-CZ"/>
              </w:rPr>
            </w:pPr>
            <w:r w:rsidRPr="009E4255">
              <w:rPr>
                <w:rFonts w:eastAsia="Times New Roman" w:cstheme="minorHAnsi"/>
                <w:color w:val="000000"/>
                <w:sz w:val="16"/>
                <w:szCs w:val="16"/>
                <w:lang w:eastAsia="cs-CZ"/>
              </w:rPr>
              <w:t>1.1 Digitální služby občanům a</w:t>
            </w:r>
            <w:r w:rsidR="0003053E">
              <w:rPr>
                <w:rFonts w:eastAsia="Times New Roman" w:cstheme="minorHAnsi"/>
                <w:color w:val="000000"/>
                <w:sz w:val="16"/>
                <w:szCs w:val="16"/>
                <w:lang w:eastAsia="cs-CZ"/>
              </w:rPr>
              <w:t> </w:t>
            </w:r>
            <w:r w:rsidRPr="009E4255">
              <w:rPr>
                <w:rFonts w:eastAsia="Times New Roman" w:cstheme="minorHAnsi"/>
                <w:color w:val="000000"/>
                <w:sz w:val="16"/>
                <w:szCs w:val="16"/>
                <w:lang w:eastAsia="cs-CZ"/>
              </w:rPr>
              <w:t>firmám</w:t>
            </w:r>
          </w:p>
        </w:tc>
        <w:tc>
          <w:tcPr>
            <w:tcW w:w="396" w:type="pct"/>
            <w:tcBorders>
              <w:top w:val="nil"/>
              <w:left w:val="nil"/>
              <w:bottom w:val="nil"/>
              <w:right w:val="nil"/>
            </w:tcBorders>
            <w:shd w:val="clear" w:color="auto" w:fill="auto"/>
            <w:noWrap/>
            <w:vAlign w:val="center"/>
            <w:hideMark/>
          </w:tcPr>
          <w:p w14:paraId="60D18FAB"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0,00</w:t>
            </w:r>
          </w:p>
        </w:tc>
        <w:tc>
          <w:tcPr>
            <w:tcW w:w="396" w:type="pct"/>
            <w:tcBorders>
              <w:top w:val="nil"/>
              <w:left w:val="nil"/>
              <w:bottom w:val="nil"/>
              <w:right w:val="nil"/>
            </w:tcBorders>
            <w:shd w:val="clear" w:color="auto" w:fill="auto"/>
            <w:noWrap/>
            <w:vAlign w:val="center"/>
            <w:hideMark/>
          </w:tcPr>
          <w:p w14:paraId="62816EE8"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425,80</w:t>
            </w:r>
          </w:p>
        </w:tc>
        <w:tc>
          <w:tcPr>
            <w:tcW w:w="396" w:type="pct"/>
            <w:tcBorders>
              <w:top w:val="nil"/>
              <w:left w:val="nil"/>
              <w:bottom w:val="nil"/>
              <w:right w:val="nil"/>
            </w:tcBorders>
            <w:shd w:val="clear" w:color="auto" w:fill="auto"/>
            <w:noWrap/>
            <w:vAlign w:val="center"/>
            <w:hideMark/>
          </w:tcPr>
          <w:p w14:paraId="1A88A7AE"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1 002,70</w:t>
            </w:r>
          </w:p>
        </w:tc>
        <w:tc>
          <w:tcPr>
            <w:tcW w:w="396" w:type="pct"/>
            <w:tcBorders>
              <w:top w:val="nil"/>
              <w:left w:val="nil"/>
              <w:bottom w:val="nil"/>
              <w:right w:val="nil"/>
            </w:tcBorders>
            <w:shd w:val="clear" w:color="auto" w:fill="auto"/>
            <w:noWrap/>
            <w:vAlign w:val="center"/>
            <w:hideMark/>
          </w:tcPr>
          <w:p w14:paraId="0795792F"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1 094,00</w:t>
            </w:r>
          </w:p>
        </w:tc>
        <w:tc>
          <w:tcPr>
            <w:tcW w:w="396" w:type="pct"/>
            <w:tcBorders>
              <w:top w:val="nil"/>
              <w:left w:val="nil"/>
              <w:bottom w:val="nil"/>
              <w:right w:val="nil"/>
            </w:tcBorders>
            <w:shd w:val="clear" w:color="auto" w:fill="auto"/>
            <w:noWrap/>
            <w:vAlign w:val="center"/>
            <w:hideMark/>
          </w:tcPr>
          <w:p w14:paraId="0C56B1AE"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519,60</w:t>
            </w:r>
          </w:p>
        </w:tc>
        <w:tc>
          <w:tcPr>
            <w:tcW w:w="396" w:type="pct"/>
            <w:tcBorders>
              <w:top w:val="nil"/>
              <w:left w:val="nil"/>
              <w:bottom w:val="nil"/>
              <w:right w:val="nil"/>
            </w:tcBorders>
            <w:shd w:val="clear" w:color="auto" w:fill="auto"/>
            <w:noWrap/>
            <w:vAlign w:val="center"/>
            <w:hideMark/>
          </w:tcPr>
          <w:p w14:paraId="74EB1D20"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163,50</w:t>
            </w:r>
          </w:p>
        </w:tc>
        <w:tc>
          <w:tcPr>
            <w:tcW w:w="396" w:type="pct"/>
            <w:tcBorders>
              <w:top w:val="nil"/>
              <w:left w:val="nil"/>
              <w:bottom w:val="nil"/>
              <w:right w:val="nil"/>
            </w:tcBorders>
            <w:shd w:val="clear" w:color="auto" w:fill="auto"/>
            <w:noWrap/>
            <w:vAlign w:val="center"/>
            <w:hideMark/>
          </w:tcPr>
          <w:p w14:paraId="7AC94850"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0,00</w:t>
            </w:r>
          </w:p>
        </w:tc>
        <w:tc>
          <w:tcPr>
            <w:tcW w:w="470" w:type="pct"/>
            <w:tcBorders>
              <w:top w:val="nil"/>
              <w:left w:val="single" w:sz="4" w:space="0" w:color="auto"/>
              <w:bottom w:val="nil"/>
              <w:right w:val="nil"/>
            </w:tcBorders>
            <w:shd w:val="clear" w:color="auto" w:fill="auto"/>
            <w:noWrap/>
            <w:vAlign w:val="center"/>
            <w:hideMark/>
          </w:tcPr>
          <w:p w14:paraId="16E8104A" w14:textId="77777777" w:rsidR="004E56C3" w:rsidRPr="009E4255" w:rsidRDefault="004E56C3" w:rsidP="004E56C3">
            <w:pPr>
              <w:spacing w:after="0" w:line="240" w:lineRule="auto"/>
              <w:jc w:val="right"/>
              <w:rPr>
                <w:rFonts w:eastAsia="Times New Roman" w:cstheme="minorHAnsi"/>
                <w:b/>
                <w:bCs/>
                <w:color w:val="000000"/>
                <w:sz w:val="16"/>
                <w:szCs w:val="16"/>
                <w:lang w:eastAsia="cs-CZ"/>
              </w:rPr>
            </w:pPr>
            <w:r w:rsidRPr="009E4255">
              <w:rPr>
                <w:rFonts w:eastAsia="Times New Roman" w:cstheme="minorHAnsi"/>
                <w:b/>
                <w:bCs/>
                <w:color w:val="000000"/>
                <w:sz w:val="16"/>
                <w:szCs w:val="16"/>
                <w:lang w:eastAsia="cs-CZ"/>
              </w:rPr>
              <w:t>3 205,60</w:t>
            </w:r>
          </w:p>
        </w:tc>
      </w:tr>
      <w:tr w:rsidR="004E56C3" w:rsidRPr="009E4255" w14:paraId="2ADE1917" w14:textId="77777777" w:rsidTr="004E56C3">
        <w:trPr>
          <w:trHeight w:val="300"/>
        </w:trPr>
        <w:tc>
          <w:tcPr>
            <w:tcW w:w="1757" w:type="pct"/>
            <w:tcBorders>
              <w:top w:val="nil"/>
              <w:left w:val="nil"/>
              <w:bottom w:val="nil"/>
              <w:right w:val="single" w:sz="4" w:space="0" w:color="auto"/>
            </w:tcBorders>
            <w:shd w:val="clear" w:color="auto" w:fill="auto"/>
            <w:noWrap/>
            <w:vAlign w:val="center"/>
            <w:hideMark/>
          </w:tcPr>
          <w:p w14:paraId="3A5811C0" w14:textId="77777777" w:rsidR="004E56C3" w:rsidRPr="009E4255" w:rsidRDefault="004E56C3" w:rsidP="004E56C3">
            <w:pPr>
              <w:spacing w:after="0" w:line="240" w:lineRule="auto"/>
              <w:rPr>
                <w:rFonts w:eastAsia="Times New Roman" w:cstheme="minorHAnsi"/>
                <w:color w:val="000000"/>
                <w:sz w:val="16"/>
                <w:szCs w:val="16"/>
                <w:lang w:eastAsia="cs-CZ"/>
              </w:rPr>
            </w:pPr>
            <w:r w:rsidRPr="009E4255">
              <w:rPr>
                <w:rFonts w:eastAsia="Times New Roman" w:cstheme="minorHAnsi"/>
                <w:color w:val="000000"/>
                <w:sz w:val="16"/>
                <w:szCs w:val="16"/>
                <w:lang w:eastAsia="cs-CZ"/>
              </w:rPr>
              <w:t>1.2 Digitální systémy státní správy</w:t>
            </w:r>
          </w:p>
        </w:tc>
        <w:tc>
          <w:tcPr>
            <w:tcW w:w="396" w:type="pct"/>
            <w:tcBorders>
              <w:top w:val="nil"/>
              <w:left w:val="nil"/>
              <w:bottom w:val="nil"/>
              <w:right w:val="nil"/>
            </w:tcBorders>
            <w:shd w:val="clear" w:color="auto" w:fill="auto"/>
            <w:noWrap/>
            <w:vAlign w:val="center"/>
            <w:hideMark/>
          </w:tcPr>
          <w:p w14:paraId="5FADC70B"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0,00</w:t>
            </w:r>
          </w:p>
        </w:tc>
        <w:tc>
          <w:tcPr>
            <w:tcW w:w="396" w:type="pct"/>
            <w:tcBorders>
              <w:top w:val="nil"/>
              <w:left w:val="nil"/>
              <w:bottom w:val="nil"/>
              <w:right w:val="nil"/>
            </w:tcBorders>
            <w:shd w:val="clear" w:color="auto" w:fill="auto"/>
            <w:noWrap/>
            <w:vAlign w:val="center"/>
            <w:hideMark/>
          </w:tcPr>
          <w:p w14:paraId="28B9D819"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1 273,90</w:t>
            </w:r>
          </w:p>
        </w:tc>
        <w:tc>
          <w:tcPr>
            <w:tcW w:w="396" w:type="pct"/>
            <w:tcBorders>
              <w:top w:val="nil"/>
              <w:left w:val="nil"/>
              <w:bottom w:val="nil"/>
              <w:right w:val="nil"/>
            </w:tcBorders>
            <w:shd w:val="clear" w:color="auto" w:fill="auto"/>
            <w:noWrap/>
            <w:vAlign w:val="center"/>
            <w:hideMark/>
          </w:tcPr>
          <w:p w14:paraId="7CA40E85"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2 663,00</w:t>
            </w:r>
          </w:p>
        </w:tc>
        <w:tc>
          <w:tcPr>
            <w:tcW w:w="396" w:type="pct"/>
            <w:tcBorders>
              <w:top w:val="nil"/>
              <w:left w:val="nil"/>
              <w:bottom w:val="nil"/>
              <w:right w:val="nil"/>
            </w:tcBorders>
            <w:shd w:val="clear" w:color="auto" w:fill="auto"/>
            <w:noWrap/>
            <w:vAlign w:val="center"/>
            <w:hideMark/>
          </w:tcPr>
          <w:p w14:paraId="3CCE038C"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2 421,90</w:t>
            </w:r>
          </w:p>
        </w:tc>
        <w:tc>
          <w:tcPr>
            <w:tcW w:w="396" w:type="pct"/>
            <w:tcBorders>
              <w:top w:val="nil"/>
              <w:left w:val="nil"/>
              <w:bottom w:val="nil"/>
              <w:right w:val="nil"/>
            </w:tcBorders>
            <w:shd w:val="clear" w:color="auto" w:fill="auto"/>
            <w:noWrap/>
            <w:vAlign w:val="center"/>
            <w:hideMark/>
          </w:tcPr>
          <w:p w14:paraId="466AD5D2"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4 225,40</w:t>
            </w:r>
          </w:p>
        </w:tc>
        <w:tc>
          <w:tcPr>
            <w:tcW w:w="396" w:type="pct"/>
            <w:tcBorders>
              <w:top w:val="nil"/>
              <w:left w:val="nil"/>
              <w:bottom w:val="nil"/>
              <w:right w:val="nil"/>
            </w:tcBorders>
            <w:shd w:val="clear" w:color="auto" w:fill="auto"/>
            <w:noWrap/>
            <w:vAlign w:val="center"/>
            <w:hideMark/>
          </w:tcPr>
          <w:p w14:paraId="0B99A977"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5 448,20</w:t>
            </w:r>
          </w:p>
        </w:tc>
        <w:tc>
          <w:tcPr>
            <w:tcW w:w="396" w:type="pct"/>
            <w:tcBorders>
              <w:top w:val="nil"/>
              <w:left w:val="nil"/>
              <w:bottom w:val="nil"/>
              <w:right w:val="nil"/>
            </w:tcBorders>
            <w:shd w:val="clear" w:color="auto" w:fill="auto"/>
            <w:noWrap/>
            <w:vAlign w:val="center"/>
            <w:hideMark/>
          </w:tcPr>
          <w:p w14:paraId="2106FB58"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0,00</w:t>
            </w:r>
          </w:p>
        </w:tc>
        <w:tc>
          <w:tcPr>
            <w:tcW w:w="470" w:type="pct"/>
            <w:tcBorders>
              <w:top w:val="nil"/>
              <w:left w:val="single" w:sz="4" w:space="0" w:color="auto"/>
              <w:bottom w:val="nil"/>
              <w:right w:val="nil"/>
            </w:tcBorders>
            <w:shd w:val="clear" w:color="auto" w:fill="auto"/>
            <w:noWrap/>
            <w:vAlign w:val="center"/>
            <w:hideMark/>
          </w:tcPr>
          <w:p w14:paraId="23E532E4" w14:textId="77777777" w:rsidR="004E56C3" w:rsidRPr="009E4255" w:rsidRDefault="004E56C3" w:rsidP="004E56C3">
            <w:pPr>
              <w:spacing w:after="0" w:line="240" w:lineRule="auto"/>
              <w:jc w:val="right"/>
              <w:rPr>
                <w:rFonts w:eastAsia="Times New Roman" w:cstheme="minorHAnsi"/>
                <w:b/>
                <w:bCs/>
                <w:color w:val="000000"/>
                <w:sz w:val="16"/>
                <w:szCs w:val="16"/>
                <w:lang w:eastAsia="cs-CZ"/>
              </w:rPr>
            </w:pPr>
            <w:r w:rsidRPr="009E4255">
              <w:rPr>
                <w:rFonts w:eastAsia="Times New Roman" w:cstheme="minorHAnsi"/>
                <w:b/>
                <w:bCs/>
                <w:color w:val="000000"/>
                <w:sz w:val="16"/>
                <w:szCs w:val="16"/>
                <w:lang w:eastAsia="cs-CZ"/>
              </w:rPr>
              <w:t>16 032,40</w:t>
            </w:r>
          </w:p>
        </w:tc>
      </w:tr>
      <w:tr w:rsidR="004E56C3" w:rsidRPr="009E4255" w14:paraId="30D49E35" w14:textId="77777777" w:rsidTr="004E56C3">
        <w:trPr>
          <w:trHeight w:val="300"/>
        </w:trPr>
        <w:tc>
          <w:tcPr>
            <w:tcW w:w="1757" w:type="pct"/>
            <w:tcBorders>
              <w:top w:val="nil"/>
              <w:left w:val="nil"/>
              <w:bottom w:val="nil"/>
              <w:right w:val="single" w:sz="4" w:space="0" w:color="auto"/>
            </w:tcBorders>
            <w:shd w:val="clear" w:color="auto" w:fill="auto"/>
            <w:noWrap/>
            <w:vAlign w:val="center"/>
            <w:hideMark/>
          </w:tcPr>
          <w:p w14:paraId="25754D0A" w14:textId="77777777" w:rsidR="004E56C3" w:rsidRPr="009E4255" w:rsidRDefault="004E56C3" w:rsidP="004E56C3">
            <w:pPr>
              <w:spacing w:after="0" w:line="240" w:lineRule="auto"/>
              <w:rPr>
                <w:rFonts w:eastAsia="Times New Roman" w:cstheme="minorHAnsi"/>
                <w:color w:val="000000"/>
                <w:sz w:val="16"/>
                <w:szCs w:val="16"/>
                <w:lang w:eastAsia="cs-CZ"/>
              </w:rPr>
            </w:pPr>
            <w:r w:rsidRPr="009E4255">
              <w:rPr>
                <w:rFonts w:eastAsia="Times New Roman" w:cstheme="minorHAnsi"/>
                <w:color w:val="000000"/>
                <w:sz w:val="16"/>
                <w:szCs w:val="16"/>
                <w:lang w:eastAsia="cs-CZ"/>
              </w:rPr>
              <w:t>1.3 Digitální vysokorychlostní sítě</w:t>
            </w:r>
          </w:p>
        </w:tc>
        <w:tc>
          <w:tcPr>
            <w:tcW w:w="396" w:type="pct"/>
            <w:tcBorders>
              <w:top w:val="nil"/>
              <w:left w:val="nil"/>
              <w:bottom w:val="nil"/>
              <w:right w:val="nil"/>
            </w:tcBorders>
            <w:shd w:val="clear" w:color="auto" w:fill="auto"/>
            <w:noWrap/>
            <w:vAlign w:val="center"/>
            <w:hideMark/>
          </w:tcPr>
          <w:p w14:paraId="20194FA0"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0,00</w:t>
            </w:r>
          </w:p>
        </w:tc>
        <w:tc>
          <w:tcPr>
            <w:tcW w:w="396" w:type="pct"/>
            <w:tcBorders>
              <w:top w:val="nil"/>
              <w:left w:val="nil"/>
              <w:bottom w:val="nil"/>
              <w:right w:val="nil"/>
            </w:tcBorders>
            <w:shd w:val="clear" w:color="auto" w:fill="auto"/>
            <w:noWrap/>
            <w:vAlign w:val="center"/>
            <w:hideMark/>
          </w:tcPr>
          <w:p w14:paraId="0610828C"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0,00</w:t>
            </w:r>
          </w:p>
        </w:tc>
        <w:tc>
          <w:tcPr>
            <w:tcW w:w="396" w:type="pct"/>
            <w:tcBorders>
              <w:top w:val="nil"/>
              <w:left w:val="nil"/>
              <w:bottom w:val="nil"/>
              <w:right w:val="nil"/>
            </w:tcBorders>
            <w:shd w:val="clear" w:color="auto" w:fill="auto"/>
            <w:noWrap/>
            <w:vAlign w:val="center"/>
            <w:hideMark/>
          </w:tcPr>
          <w:p w14:paraId="426CEB08"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432,70</w:t>
            </w:r>
          </w:p>
        </w:tc>
        <w:tc>
          <w:tcPr>
            <w:tcW w:w="396" w:type="pct"/>
            <w:tcBorders>
              <w:top w:val="nil"/>
              <w:left w:val="nil"/>
              <w:bottom w:val="nil"/>
              <w:right w:val="nil"/>
            </w:tcBorders>
            <w:shd w:val="clear" w:color="auto" w:fill="auto"/>
            <w:noWrap/>
            <w:vAlign w:val="center"/>
            <w:hideMark/>
          </w:tcPr>
          <w:p w14:paraId="67817842"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756,20</w:t>
            </w:r>
          </w:p>
        </w:tc>
        <w:tc>
          <w:tcPr>
            <w:tcW w:w="396" w:type="pct"/>
            <w:tcBorders>
              <w:top w:val="nil"/>
              <w:left w:val="nil"/>
              <w:bottom w:val="nil"/>
              <w:right w:val="nil"/>
            </w:tcBorders>
            <w:shd w:val="clear" w:color="auto" w:fill="auto"/>
            <w:noWrap/>
            <w:vAlign w:val="center"/>
            <w:hideMark/>
          </w:tcPr>
          <w:p w14:paraId="6CEF5A75"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970,20</w:t>
            </w:r>
          </w:p>
        </w:tc>
        <w:tc>
          <w:tcPr>
            <w:tcW w:w="396" w:type="pct"/>
            <w:tcBorders>
              <w:top w:val="nil"/>
              <w:left w:val="nil"/>
              <w:bottom w:val="nil"/>
              <w:right w:val="nil"/>
            </w:tcBorders>
            <w:shd w:val="clear" w:color="auto" w:fill="auto"/>
            <w:noWrap/>
            <w:vAlign w:val="center"/>
            <w:hideMark/>
          </w:tcPr>
          <w:p w14:paraId="356E3C95"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2 881,20</w:t>
            </w:r>
          </w:p>
        </w:tc>
        <w:tc>
          <w:tcPr>
            <w:tcW w:w="396" w:type="pct"/>
            <w:tcBorders>
              <w:top w:val="nil"/>
              <w:left w:val="nil"/>
              <w:bottom w:val="nil"/>
              <w:right w:val="nil"/>
            </w:tcBorders>
            <w:shd w:val="clear" w:color="auto" w:fill="auto"/>
            <w:noWrap/>
            <w:vAlign w:val="center"/>
            <w:hideMark/>
          </w:tcPr>
          <w:p w14:paraId="6116E031"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1 774,90</w:t>
            </w:r>
          </w:p>
        </w:tc>
        <w:tc>
          <w:tcPr>
            <w:tcW w:w="470" w:type="pct"/>
            <w:tcBorders>
              <w:top w:val="nil"/>
              <w:left w:val="single" w:sz="4" w:space="0" w:color="auto"/>
              <w:bottom w:val="nil"/>
              <w:right w:val="nil"/>
            </w:tcBorders>
            <w:shd w:val="clear" w:color="auto" w:fill="auto"/>
            <w:noWrap/>
            <w:vAlign w:val="center"/>
            <w:hideMark/>
          </w:tcPr>
          <w:p w14:paraId="45A39D41" w14:textId="77777777" w:rsidR="004E56C3" w:rsidRPr="009E4255" w:rsidRDefault="004E56C3" w:rsidP="004E56C3">
            <w:pPr>
              <w:spacing w:after="0" w:line="240" w:lineRule="auto"/>
              <w:jc w:val="right"/>
              <w:rPr>
                <w:rFonts w:eastAsia="Times New Roman" w:cstheme="minorHAnsi"/>
                <w:b/>
                <w:bCs/>
                <w:color w:val="000000"/>
                <w:sz w:val="16"/>
                <w:szCs w:val="16"/>
                <w:lang w:eastAsia="cs-CZ"/>
              </w:rPr>
            </w:pPr>
            <w:r w:rsidRPr="009E4255">
              <w:rPr>
                <w:rFonts w:eastAsia="Times New Roman" w:cstheme="minorHAnsi"/>
                <w:b/>
                <w:bCs/>
                <w:color w:val="000000"/>
                <w:sz w:val="16"/>
                <w:szCs w:val="16"/>
                <w:lang w:eastAsia="cs-CZ"/>
              </w:rPr>
              <w:t>6 815,20</w:t>
            </w:r>
          </w:p>
        </w:tc>
      </w:tr>
      <w:tr w:rsidR="004E56C3" w:rsidRPr="009E4255" w14:paraId="5105A81A" w14:textId="77777777" w:rsidTr="004E56C3">
        <w:trPr>
          <w:trHeight w:val="300"/>
        </w:trPr>
        <w:tc>
          <w:tcPr>
            <w:tcW w:w="1757" w:type="pct"/>
            <w:tcBorders>
              <w:top w:val="nil"/>
              <w:left w:val="nil"/>
              <w:bottom w:val="nil"/>
              <w:right w:val="single" w:sz="4" w:space="0" w:color="auto"/>
            </w:tcBorders>
            <w:shd w:val="clear" w:color="auto" w:fill="auto"/>
            <w:noWrap/>
            <w:vAlign w:val="center"/>
            <w:hideMark/>
          </w:tcPr>
          <w:p w14:paraId="67C617B1" w14:textId="5FF88114" w:rsidR="004E56C3" w:rsidRPr="009E4255" w:rsidRDefault="004E56C3" w:rsidP="004E56C3">
            <w:pPr>
              <w:spacing w:after="0" w:line="240" w:lineRule="auto"/>
              <w:rPr>
                <w:rFonts w:eastAsia="Times New Roman" w:cstheme="minorHAnsi"/>
                <w:color w:val="000000"/>
                <w:sz w:val="16"/>
                <w:szCs w:val="16"/>
                <w:lang w:eastAsia="cs-CZ"/>
              </w:rPr>
            </w:pPr>
            <w:r w:rsidRPr="009E4255">
              <w:rPr>
                <w:rFonts w:eastAsia="Times New Roman" w:cstheme="minorHAnsi"/>
                <w:color w:val="000000"/>
                <w:sz w:val="16"/>
                <w:szCs w:val="16"/>
                <w:lang w:eastAsia="cs-CZ"/>
              </w:rPr>
              <w:t>1.4 Digitální ekonomika a</w:t>
            </w:r>
            <w:r w:rsidR="0003053E">
              <w:rPr>
                <w:rFonts w:eastAsia="Times New Roman" w:cstheme="minorHAnsi"/>
                <w:color w:val="000000"/>
                <w:sz w:val="16"/>
                <w:szCs w:val="16"/>
                <w:lang w:eastAsia="cs-CZ"/>
              </w:rPr>
              <w:t> </w:t>
            </w:r>
            <w:r w:rsidRPr="009E4255">
              <w:rPr>
                <w:rFonts w:eastAsia="Times New Roman" w:cstheme="minorHAnsi"/>
                <w:color w:val="000000"/>
                <w:sz w:val="16"/>
                <w:szCs w:val="16"/>
                <w:lang w:eastAsia="cs-CZ"/>
              </w:rPr>
              <w:t>společnost</w:t>
            </w:r>
          </w:p>
        </w:tc>
        <w:tc>
          <w:tcPr>
            <w:tcW w:w="396" w:type="pct"/>
            <w:tcBorders>
              <w:top w:val="nil"/>
              <w:left w:val="nil"/>
              <w:bottom w:val="nil"/>
              <w:right w:val="nil"/>
            </w:tcBorders>
            <w:shd w:val="clear" w:color="auto" w:fill="auto"/>
            <w:noWrap/>
            <w:vAlign w:val="center"/>
            <w:hideMark/>
          </w:tcPr>
          <w:p w14:paraId="3587C33C"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0,00</w:t>
            </w:r>
          </w:p>
        </w:tc>
        <w:tc>
          <w:tcPr>
            <w:tcW w:w="396" w:type="pct"/>
            <w:tcBorders>
              <w:top w:val="nil"/>
              <w:left w:val="nil"/>
              <w:bottom w:val="nil"/>
              <w:right w:val="nil"/>
            </w:tcBorders>
            <w:shd w:val="clear" w:color="auto" w:fill="auto"/>
            <w:noWrap/>
            <w:vAlign w:val="center"/>
            <w:hideMark/>
          </w:tcPr>
          <w:p w14:paraId="345997C9"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580,00</w:t>
            </w:r>
          </w:p>
        </w:tc>
        <w:tc>
          <w:tcPr>
            <w:tcW w:w="396" w:type="pct"/>
            <w:tcBorders>
              <w:top w:val="nil"/>
              <w:left w:val="nil"/>
              <w:bottom w:val="nil"/>
              <w:right w:val="nil"/>
            </w:tcBorders>
            <w:shd w:val="clear" w:color="auto" w:fill="auto"/>
            <w:noWrap/>
            <w:vAlign w:val="center"/>
            <w:hideMark/>
          </w:tcPr>
          <w:p w14:paraId="6C20BC54"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849,50</w:t>
            </w:r>
          </w:p>
        </w:tc>
        <w:tc>
          <w:tcPr>
            <w:tcW w:w="396" w:type="pct"/>
            <w:tcBorders>
              <w:top w:val="nil"/>
              <w:left w:val="nil"/>
              <w:bottom w:val="nil"/>
              <w:right w:val="nil"/>
            </w:tcBorders>
            <w:shd w:val="clear" w:color="auto" w:fill="auto"/>
            <w:noWrap/>
            <w:vAlign w:val="center"/>
            <w:hideMark/>
          </w:tcPr>
          <w:p w14:paraId="3EE5D934"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905,40</w:t>
            </w:r>
          </w:p>
        </w:tc>
        <w:tc>
          <w:tcPr>
            <w:tcW w:w="396" w:type="pct"/>
            <w:tcBorders>
              <w:top w:val="nil"/>
              <w:left w:val="nil"/>
              <w:bottom w:val="nil"/>
              <w:right w:val="nil"/>
            </w:tcBorders>
            <w:shd w:val="clear" w:color="auto" w:fill="auto"/>
            <w:noWrap/>
            <w:vAlign w:val="center"/>
            <w:hideMark/>
          </w:tcPr>
          <w:p w14:paraId="12CA6EF1"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2 226,70</w:t>
            </w:r>
          </w:p>
        </w:tc>
        <w:tc>
          <w:tcPr>
            <w:tcW w:w="396" w:type="pct"/>
            <w:tcBorders>
              <w:top w:val="nil"/>
              <w:left w:val="nil"/>
              <w:bottom w:val="nil"/>
              <w:right w:val="nil"/>
            </w:tcBorders>
            <w:shd w:val="clear" w:color="auto" w:fill="auto"/>
            <w:noWrap/>
            <w:vAlign w:val="center"/>
            <w:hideMark/>
          </w:tcPr>
          <w:p w14:paraId="7B0EDF3A"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1 041,20</w:t>
            </w:r>
          </w:p>
        </w:tc>
        <w:tc>
          <w:tcPr>
            <w:tcW w:w="396" w:type="pct"/>
            <w:tcBorders>
              <w:top w:val="nil"/>
              <w:left w:val="nil"/>
              <w:bottom w:val="nil"/>
              <w:right w:val="nil"/>
            </w:tcBorders>
            <w:shd w:val="clear" w:color="auto" w:fill="auto"/>
            <w:noWrap/>
            <w:vAlign w:val="center"/>
            <w:hideMark/>
          </w:tcPr>
          <w:p w14:paraId="04969F72"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55,60</w:t>
            </w:r>
          </w:p>
        </w:tc>
        <w:tc>
          <w:tcPr>
            <w:tcW w:w="470" w:type="pct"/>
            <w:tcBorders>
              <w:top w:val="nil"/>
              <w:left w:val="single" w:sz="4" w:space="0" w:color="auto"/>
              <w:bottom w:val="nil"/>
              <w:right w:val="nil"/>
            </w:tcBorders>
            <w:shd w:val="clear" w:color="auto" w:fill="auto"/>
            <w:noWrap/>
            <w:vAlign w:val="center"/>
            <w:hideMark/>
          </w:tcPr>
          <w:p w14:paraId="216F9722" w14:textId="77777777" w:rsidR="004E56C3" w:rsidRPr="009E4255" w:rsidRDefault="004E56C3" w:rsidP="004E56C3">
            <w:pPr>
              <w:spacing w:after="0" w:line="240" w:lineRule="auto"/>
              <w:jc w:val="right"/>
              <w:rPr>
                <w:rFonts w:eastAsia="Times New Roman" w:cstheme="minorHAnsi"/>
                <w:b/>
                <w:bCs/>
                <w:color w:val="000000"/>
                <w:sz w:val="16"/>
                <w:szCs w:val="16"/>
                <w:lang w:eastAsia="cs-CZ"/>
              </w:rPr>
            </w:pPr>
            <w:r w:rsidRPr="009E4255">
              <w:rPr>
                <w:rFonts w:eastAsia="Times New Roman" w:cstheme="minorHAnsi"/>
                <w:b/>
                <w:bCs/>
                <w:color w:val="000000"/>
                <w:sz w:val="16"/>
                <w:szCs w:val="16"/>
                <w:lang w:eastAsia="cs-CZ"/>
              </w:rPr>
              <w:t>5 658,40</w:t>
            </w:r>
          </w:p>
        </w:tc>
      </w:tr>
      <w:tr w:rsidR="004E56C3" w:rsidRPr="009E4255" w14:paraId="17DF46CA" w14:textId="77777777" w:rsidTr="004E56C3">
        <w:trPr>
          <w:trHeight w:val="300"/>
        </w:trPr>
        <w:tc>
          <w:tcPr>
            <w:tcW w:w="1757" w:type="pct"/>
            <w:tcBorders>
              <w:top w:val="nil"/>
              <w:left w:val="nil"/>
              <w:bottom w:val="nil"/>
              <w:right w:val="single" w:sz="4" w:space="0" w:color="auto"/>
            </w:tcBorders>
            <w:shd w:val="clear" w:color="auto" w:fill="auto"/>
            <w:noWrap/>
            <w:vAlign w:val="center"/>
            <w:hideMark/>
          </w:tcPr>
          <w:p w14:paraId="610EC27D" w14:textId="77777777" w:rsidR="004E56C3" w:rsidRPr="009E4255" w:rsidRDefault="004E56C3" w:rsidP="004E56C3">
            <w:pPr>
              <w:spacing w:after="0" w:line="240" w:lineRule="auto"/>
              <w:rPr>
                <w:rFonts w:eastAsia="Times New Roman" w:cstheme="minorHAnsi"/>
                <w:color w:val="000000"/>
                <w:sz w:val="16"/>
                <w:szCs w:val="16"/>
                <w:lang w:eastAsia="cs-CZ"/>
              </w:rPr>
            </w:pPr>
            <w:r w:rsidRPr="009E4255">
              <w:rPr>
                <w:rFonts w:eastAsia="Times New Roman" w:cstheme="minorHAnsi"/>
                <w:color w:val="000000"/>
                <w:sz w:val="16"/>
                <w:szCs w:val="16"/>
                <w:lang w:eastAsia="cs-CZ"/>
              </w:rPr>
              <w:t>1.5 Digitální transformace podniků</w:t>
            </w:r>
          </w:p>
        </w:tc>
        <w:tc>
          <w:tcPr>
            <w:tcW w:w="396" w:type="pct"/>
            <w:tcBorders>
              <w:top w:val="nil"/>
              <w:left w:val="nil"/>
              <w:bottom w:val="nil"/>
              <w:right w:val="nil"/>
            </w:tcBorders>
            <w:shd w:val="clear" w:color="auto" w:fill="auto"/>
            <w:noWrap/>
            <w:vAlign w:val="center"/>
            <w:hideMark/>
          </w:tcPr>
          <w:p w14:paraId="0E481579"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0,00</w:t>
            </w:r>
          </w:p>
        </w:tc>
        <w:tc>
          <w:tcPr>
            <w:tcW w:w="396" w:type="pct"/>
            <w:tcBorders>
              <w:top w:val="nil"/>
              <w:left w:val="nil"/>
              <w:bottom w:val="nil"/>
              <w:right w:val="nil"/>
            </w:tcBorders>
            <w:shd w:val="clear" w:color="auto" w:fill="auto"/>
            <w:noWrap/>
            <w:vAlign w:val="center"/>
            <w:hideMark/>
          </w:tcPr>
          <w:p w14:paraId="7E6C712F"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0,00</w:t>
            </w:r>
          </w:p>
        </w:tc>
        <w:tc>
          <w:tcPr>
            <w:tcW w:w="396" w:type="pct"/>
            <w:tcBorders>
              <w:top w:val="nil"/>
              <w:left w:val="nil"/>
              <w:bottom w:val="nil"/>
              <w:right w:val="nil"/>
            </w:tcBorders>
            <w:shd w:val="clear" w:color="auto" w:fill="auto"/>
            <w:noWrap/>
            <w:vAlign w:val="center"/>
            <w:hideMark/>
          </w:tcPr>
          <w:p w14:paraId="213F1B0D"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658,30</w:t>
            </w:r>
          </w:p>
        </w:tc>
        <w:tc>
          <w:tcPr>
            <w:tcW w:w="396" w:type="pct"/>
            <w:tcBorders>
              <w:top w:val="nil"/>
              <w:left w:val="nil"/>
              <w:bottom w:val="nil"/>
              <w:right w:val="nil"/>
            </w:tcBorders>
            <w:shd w:val="clear" w:color="auto" w:fill="auto"/>
            <w:noWrap/>
            <w:vAlign w:val="center"/>
            <w:hideMark/>
          </w:tcPr>
          <w:p w14:paraId="0CFD88AF"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878,30</w:t>
            </w:r>
          </w:p>
        </w:tc>
        <w:tc>
          <w:tcPr>
            <w:tcW w:w="396" w:type="pct"/>
            <w:tcBorders>
              <w:top w:val="nil"/>
              <w:left w:val="nil"/>
              <w:bottom w:val="nil"/>
              <w:right w:val="nil"/>
            </w:tcBorders>
            <w:shd w:val="clear" w:color="auto" w:fill="auto"/>
            <w:noWrap/>
            <w:vAlign w:val="center"/>
            <w:hideMark/>
          </w:tcPr>
          <w:p w14:paraId="75715592"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1 304,40</w:t>
            </w:r>
          </w:p>
        </w:tc>
        <w:tc>
          <w:tcPr>
            <w:tcW w:w="396" w:type="pct"/>
            <w:tcBorders>
              <w:top w:val="nil"/>
              <w:left w:val="nil"/>
              <w:bottom w:val="nil"/>
              <w:right w:val="nil"/>
            </w:tcBorders>
            <w:shd w:val="clear" w:color="auto" w:fill="auto"/>
            <w:noWrap/>
            <w:vAlign w:val="center"/>
            <w:hideMark/>
          </w:tcPr>
          <w:p w14:paraId="17ECC47E"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414,00</w:t>
            </w:r>
          </w:p>
        </w:tc>
        <w:tc>
          <w:tcPr>
            <w:tcW w:w="396" w:type="pct"/>
            <w:tcBorders>
              <w:top w:val="nil"/>
              <w:left w:val="nil"/>
              <w:bottom w:val="nil"/>
              <w:right w:val="nil"/>
            </w:tcBorders>
            <w:shd w:val="clear" w:color="auto" w:fill="auto"/>
            <w:noWrap/>
            <w:vAlign w:val="center"/>
            <w:hideMark/>
          </w:tcPr>
          <w:p w14:paraId="713AD263"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314,20</w:t>
            </w:r>
          </w:p>
        </w:tc>
        <w:tc>
          <w:tcPr>
            <w:tcW w:w="470" w:type="pct"/>
            <w:tcBorders>
              <w:top w:val="nil"/>
              <w:left w:val="single" w:sz="4" w:space="0" w:color="auto"/>
              <w:bottom w:val="nil"/>
              <w:right w:val="nil"/>
            </w:tcBorders>
            <w:shd w:val="clear" w:color="auto" w:fill="auto"/>
            <w:noWrap/>
            <w:vAlign w:val="center"/>
            <w:hideMark/>
          </w:tcPr>
          <w:p w14:paraId="78A61E24" w14:textId="77777777" w:rsidR="004E56C3" w:rsidRPr="009E4255" w:rsidRDefault="004E56C3" w:rsidP="004E56C3">
            <w:pPr>
              <w:spacing w:after="0" w:line="240" w:lineRule="auto"/>
              <w:jc w:val="right"/>
              <w:rPr>
                <w:rFonts w:eastAsia="Times New Roman" w:cstheme="minorHAnsi"/>
                <w:b/>
                <w:bCs/>
                <w:color w:val="000000"/>
                <w:sz w:val="16"/>
                <w:szCs w:val="16"/>
                <w:lang w:eastAsia="cs-CZ"/>
              </w:rPr>
            </w:pPr>
            <w:r w:rsidRPr="009E4255">
              <w:rPr>
                <w:rFonts w:eastAsia="Times New Roman" w:cstheme="minorHAnsi"/>
                <w:b/>
                <w:bCs/>
                <w:color w:val="000000"/>
                <w:sz w:val="16"/>
                <w:szCs w:val="16"/>
                <w:lang w:eastAsia="cs-CZ"/>
              </w:rPr>
              <w:t>3 569,20</w:t>
            </w:r>
          </w:p>
        </w:tc>
      </w:tr>
      <w:tr w:rsidR="004E56C3" w:rsidRPr="009E4255" w14:paraId="5060CD52" w14:textId="77777777" w:rsidTr="004E56C3">
        <w:trPr>
          <w:trHeight w:val="300"/>
        </w:trPr>
        <w:tc>
          <w:tcPr>
            <w:tcW w:w="1757" w:type="pct"/>
            <w:tcBorders>
              <w:top w:val="nil"/>
              <w:left w:val="nil"/>
              <w:bottom w:val="nil"/>
              <w:right w:val="single" w:sz="4" w:space="0" w:color="auto"/>
            </w:tcBorders>
            <w:shd w:val="clear" w:color="auto" w:fill="auto"/>
            <w:noWrap/>
            <w:vAlign w:val="center"/>
            <w:hideMark/>
          </w:tcPr>
          <w:p w14:paraId="6BAB62A9" w14:textId="5EAFE9F2" w:rsidR="004E56C3" w:rsidRPr="009E4255" w:rsidRDefault="004E56C3" w:rsidP="004E56C3">
            <w:pPr>
              <w:spacing w:after="0" w:line="240" w:lineRule="auto"/>
              <w:rPr>
                <w:rFonts w:eastAsia="Times New Roman" w:cstheme="minorHAnsi"/>
                <w:color w:val="000000"/>
                <w:sz w:val="16"/>
                <w:szCs w:val="16"/>
                <w:lang w:eastAsia="cs-CZ"/>
              </w:rPr>
            </w:pPr>
            <w:r w:rsidRPr="009E4255">
              <w:rPr>
                <w:rFonts w:eastAsia="Times New Roman" w:cstheme="minorHAnsi"/>
                <w:color w:val="000000"/>
                <w:sz w:val="16"/>
                <w:szCs w:val="16"/>
                <w:lang w:eastAsia="cs-CZ"/>
              </w:rPr>
              <w:t>1.6 Zrychlení a</w:t>
            </w:r>
            <w:r w:rsidR="0003053E">
              <w:rPr>
                <w:rFonts w:eastAsia="Times New Roman" w:cstheme="minorHAnsi"/>
                <w:color w:val="000000"/>
                <w:sz w:val="16"/>
                <w:szCs w:val="16"/>
                <w:lang w:eastAsia="cs-CZ"/>
              </w:rPr>
              <w:t> </w:t>
            </w:r>
            <w:r w:rsidRPr="009E4255">
              <w:rPr>
                <w:rFonts w:eastAsia="Times New Roman" w:cstheme="minorHAnsi"/>
                <w:color w:val="000000"/>
                <w:sz w:val="16"/>
                <w:szCs w:val="16"/>
                <w:lang w:eastAsia="cs-CZ"/>
              </w:rPr>
              <w:t>digitalizace stavebního řízení</w:t>
            </w:r>
          </w:p>
        </w:tc>
        <w:tc>
          <w:tcPr>
            <w:tcW w:w="396" w:type="pct"/>
            <w:tcBorders>
              <w:top w:val="nil"/>
              <w:left w:val="nil"/>
              <w:bottom w:val="nil"/>
              <w:right w:val="nil"/>
            </w:tcBorders>
            <w:shd w:val="clear" w:color="auto" w:fill="auto"/>
            <w:noWrap/>
            <w:vAlign w:val="center"/>
            <w:hideMark/>
          </w:tcPr>
          <w:p w14:paraId="28F4DED6"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0,00</w:t>
            </w:r>
          </w:p>
        </w:tc>
        <w:tc>
          <w:tcPr>
            <w:tcW w:w="396" w:type="pct"/>
            <w:tcBorders>
              <w:top w:val="nil"/>
              <w:left w:val="nil"/>
              <w:bottom w:val="nil"/>
              <w:right w:val="nil"/>
            </w:tcBorders>
            <w:shd w:val="clear" w:color="auto" w:fill="auto"/>
            <w:noWrap/>
            <w:vAlign w:val="center"/>
            <w:hideMark/>
          </w:tcPr>
          <w:p w14:paraId="551591E1"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0,00</w:t>
            </w:r>
          </w:p>
        </w:tc>
        <w:tc>
          <w:tcPr>
            <w:tcW w:w="396" w:type="pct"/>
            <w:tcBorders>
              <w:top w:val="nil"/>
              <w:left w:val="nil"/>
              <w:bottom w:val="nil"/>
              <w:right w:val="nil"/>
            </w:tcBorders>
            <w:shd w:val="clear" w:color="auto" w:fill="auto"/>
            <w:noWrap/>
            <w:vAlign w:val="center"/>
            <w:hideMark/>
          </w:tcPr>
          <w:p w14:paraId="378A5249"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821,90</w:t>
            </w:r>
          </w:p>
        </w:tc>
        <w:tc>
          <w:tcPr>
            <w:tcW w:w="396" w:type="pct"/>
            <w:tcBorders>
              <w:top w:val="nil"/>
              <w:left w:val="nil"/>
              <w:bottom w:val="nil"/>
              <w:right w:val="nil"/>
            </w:tcBorders>
            <w:shd w:val="clear" w:color="auto" w:fill="auto"/>
            <w:noWrap/>
            <w:vAlign w:val="center"/>
            <w:hideMark/>
          </w:tcPr>
          <w:p w14:paraId="5083836D"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559,80</w:t>
            </w:r>
          </w:p>
        </w:tc>
        <w:tc>
          <w:tcPr>
            <w:tcW w:w="396" w:type="pct"/>
            <w:tcBorders>
              <w:top w:val="nil"/>
              <w:left w:val="nil"/>
              <w:bottom w:val="nil"/>
              <w:right w:val="nil"/>
            </w:tcBorders>
            <w:shd w:val="clear" w:color="auto" w:fill="auto"/>
            <w:noWrap/>
            <w:vAlign w:val="center"/>
            <w:hideMark/>
          </w:tcPr>
          <w:p w14:paraId="6055BC52"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33,20</w:t>
            </w:r>
          </w:p>
        </w:tc>
        <w:tc>
          <w:tcPr>
            <w:tcW w:w="396" w:type="pct"/>
            <w:tcBorders>
              <w:top w:val="nil"/>
              <w:left w:val="nil"/>
              <w:bottom w:val="nil"/>
              <w:right w:val="nil"/>
            </w:tcBorders>
            <w:shd w:val="clear" w:color="auto" w:fill="auto"/>
            <w:noWrap/>
            <w:vAlign w:val="center"/>
            <w:hideMark/>
          </w:tcPr>
          <w:p w14:paraId="542679D1"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31,40</w:t>
            </w:r>
          </w:p>
        </w:tc>
        <w:tc>
          <w:tcPr>
            <w:tcW w:w="396" w:type="pct"/>
            <w:tcBorders>
              <w:top w:val="nil"/>
              <w:left w:val="nil"/>
              <w:bottom w:val="nil"/>
              <w:right w:val="nil"/>
            </w:tcBorders>
            <w:shd w:val="clear" w:color="auto" w:fill="auto"/>
            <w:noWrap/>
            <w:vAlign w:val="center"/>
            <w:hideMark/>
          </w:tcPr>
          <w:p w14:paraId="631C3392"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0,00</w:t>
            </w:r>
          </w:p>
        </w:tc>
        <w:tc>
          <w:tcPr>
            <w:tcW w:w="470" w:type="pct"/>
            <w:tcBorders>
              <w:top w:val="nil"/>
              <w:left w:val="single" w:sz="4" w:space="0" w:color="auto"/>
              <w:bottom w:val="nil"/>
              <w:right w:val="nil"/>
            </w:tcBorders>
            <w:shd w:val="clear" w:color="auto" w:fill="auto"/>
            <w:noWrap/>
            <w:vAlign w:val="center"/>
            <w:hideMark/>
          </w:tcPr>
          <w:p w14:paraId="4BF3506A" w14:textId="77777777" w:rsidR="004E56C3" w:rsidRPr="009E4255" w:rsidRDefault="004E56C3" w:rsidP="004E56C3">
            <w:pPr>
              <w:spacing w:after="0" w:line="240" w:lineRule="auto"/>
              <w:jc w:val="right"/>
              <w:rPr>
                <w:rFonts w:eastAsia="Times New Roman" w:cstheme="minorHAnsi"/>
                <w:b/>
                <w:bCs/>
                <w:color w:val="000000"/>
                <w:sz w:val="16"/>
                <w:szCs w:val="16"/>
                <w:lang w:eastAsia="cs-CZ"/>
              </w:rPr>
            </w:pPr>
            <w:r w:rsidRPr="009E4255">
              <w:rPr>
                <w:rFonts w:eastAsia="Times New Roman" w:cstheme="minorHAnsi"/>
                <w:b/>
                <w:bCs/>
                <w:color w:val="000000"/>
                <w:sz w:val="16"/>
                <w:szCs w:val="16"/>
                <w:lang w:eastAsia="cs-CZ"/>
              </w:rPr>
              <w:t>1 446,30</w:t>
            </w:r>
          </w:p>
        </w:tc>
      </w:tr>
      <w:tr w:rsidR="004E56C3" w:rsidRPr="009E4255" w14:paraId="297C579C" w14:textId="77777777" w:rsidTr="004E56C3">
        <w:trPr>
          <w:trHeight w:val="300"/>
        </w:trPr>
        <w:tc>
          <w:tcPr>
            <w:tcW w:w="1757" w:type="pct"/>
            <w:tcBorders>
              <w:top w:val="nil"/>
              <w:left w:val="nil"/>
              <w:bottom w:val="nil"/>
              <w:right w:val="single" w:sz="4" w:space="0" w:color="auto"/>
            </w:tcBorders>
            <w:shd w:val="clear" w:color="auto" w:fill="auto"/>
            <w:noWrap/>
            <w:vAlign w:val="center"/>
            <w:hideMark/>
          </w:tcPr>
          <w:p w14:paraId="2CB1A253" w14:textId="77777777" w:rsidR="004E56C3" w:rsidRPr="009E4255" w:rsidRDefault="004E56C3" w:rsidP="004E56C3">
            <w:pPr>
              <w:spacing w:after="0" w:line="240" w:lineRule="auto"/>
              <w:rPr>
                <w:rFonts w:eastAsia="Times New Roman" w:cstheme="minorHAnsi"/>
                <w:color w:val="000000"/>
                <w:sz w:val="16"/>
                <w:szCs w:val="16"/>
                <w:lang w:eastAsia="cs-CZ"/>
              </w:rPr>
            </w:pPr>
            <w:r w:rsidRPr="009E4255">
              <w:rPr>
                <w:rFonts w:eastAsia="Times New Roman" w:cstheme="minorHAnsi"/>
                <w:color w:val="000000"/>
                <w:sz w:val="16"/>
                <w:szCs w:val="16"/>
                <w:lang w:eastAsia="cs-CZ"/>
              </w:rPr>
              <w:t>1.7 Komplexní redesign řízení</w:t>
            </w:r>
          </w:p>
        </w:tc>
        <w:tc>
          <w:tcPr>
            <w:tcW w:w="396" w:type="pct"/>
            <w:tcBorders>
              <w:top w:val="nil"/>
              <w:left w:val="nil"/>
              <w:bottom w:val="nil"/>
              <w:right w:val="nil"/>
            </w:tcBorders>
            <w:shd w:val="clear" w:color="auto" w:fill="auto"/>
            <w:noWrap/>
            <w:vAlign w:val="center"/>
            <w:hideMark/>
          </w:tcPr>
          <w:p w14:paraId="35AD1455"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0,00</w:t>
            </w:r>
          </w:p>
        </w:tc>
        <w:tc>
          <w:tcPr>
            <w:tcW w:w="396" w:type="pct"/>
            <w:tcBorders>
              <w:top w:val="nil"/>
              <w:left w:val="nil"/>
              <w:bottom w:val="nil"/>
              <w:right w:val="nil"/>
            </w:tcBorders>
            <w:shd w:val="clear" w:color="auto" w:fill="auto"/>
            <w:noWrap/>
            <w:vAlign w:val="center"/>
            <w:hideMark/>
          </w:tcPr>
          <w:p w14:paraId="4BF1D3F9"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0,00</w:t>
            </w:r>
          </w:p>
        </w:tc>
        <w:tc>
          <w:tcPr>
            <w:tcW w:w="396" w:type="pct"/>
            <w:tcBorders>
              <w:top w:val="nil"/>
              <w:left w:val="nil"/>
              <w:bottom w:val="nil"/>
              <w:right w:val="nil"/>
            </w:tcBorders>
            <w:shd w:val="clear" w:color="auto" w:fill="auto"/>
            <w:noWrap/>
            <w:vAlign w:val="center"/>
            <w:hideMark/>
          </w:tcPr>
          <w:p w14:paraId="175DE228"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0,00</w:t>
            </w:r>
          </w:p>
        </w:tc>
        <w:tc>
          <w:tcPr>
            <w:tcW w:w="396" w:type="pct"/>
            <w:tcBorders>
              <w:top w:val="nil"/>
              <w:left w:val="nil"/>
              <w:bottom w:val="nil"/>
              <w:right w:val="nil"/>
            </w:tcBorders>
            <w:shd w:val="clear" w:color="auto" w:fill="auto"/>
            <w:noWrap/>
            <w:vAlign w:val="center"/>
            <w:hideMark/>
          </w:tcPr>
          <w:p w14:paraId="07B9E530"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68,20</w:t>
            </w:r>
          </w:p>
        </w:tc>
        <w:tc>
          <w:tcPr>
            <w:tcW w:w="396" w:type="pct"/>
            <w:tcBorders>
              <w:top w:val="nil"/>
              <w:left w:val="nil"/>
              <w:bottom w:val="nil"/>
              <w:right w:val="nil"/>
            </w:tcBorders>
            <w:shd w:val="clear" w:color="auto" w:fill="auto"/>
            <w:noWrap/>
            <w:vAlign w:val="center"/>
            <w:hideMark/>
          </w:tcPr>
          <w:p w14:paraId="019A0EF3"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333,40</w:t>
            </w:r>
          </w:p>
        </w:tc>
        <w:tc>
          <w:tcPr>
            <w:tcW w:w="396" w:type="pct"/>
            <w:tcBorders>
              <w:top w:val="nil"/>
              <w:left w:val="nil"/>
              <w:bottom w:val="nil"/>
              <w:right w:val="nil"/>
            </w:tcBorders>
            <w:shd w:val="clear" w:color="auto" w:fill="auto"/>
            <w:noWrap/>
            <w:vAlign w:val="center"/>
            <w:hideMark/>
          </w:tcPr>
          <w:p w14:paraId="0E3C2FB6"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416,90</w:t>
            </w:r>
          </w:p>
        </w:tc>
        <w:tc>
          <w:tcPr>
            <w:tcW w:w="396" w:type="pct"/>
            <w:tcBorders>
              <w:top w:val="nil"/>
              <w:left w:val="nil"/>
              <w:bottom w:val="nil"/>
              <w:right w:val="nil"/>
            </w:tcBorders>
            <w:shd w:val="clear" w:color="auto" w:fill="auto"/>
            <w:noWrap/>
            <w:vAlign w:val="center"/>
            <w:hideMark/>
          </w:tcPr>
          <w:p w14:paraId="35FF0BC5" w14:textId="77777777" w:rsidR="004E56C3" w:rsidRPr="009E4255" w:rsidRDefault="004E56C3" w:rsidP="004E56C3">
            <w:pPr>
              <w:spacing w:after="0" w:line="240" w:lineRule="auto"/>
              <w:jc w:val="right"/>
              <w:rPr>
                <w:rFonts w:eastAsia="Times New Roman" w:cstheme="minorHAnsi"/>
                <w:color w:val="000000"/>
                <w:sz w:val="16"/>
                <w:szCs w:val="16"/>
                <w:lang w:eastAsia="cs-CZ"/>
              </w:rPr>
            </w:pPr>
            <w:r w:rsidRPr="009E4255">
              <w:rPr>
                <w:rFonts w:eastAsia="Times New Roman" w:cstheme="minorHAnsi"/>
                <w:color w:val="000000"/>
                <w:sz w:val="16"/>
                <w:szCs w:val="16"/>
                <w:lang w:eastAsia="cs-CZ"/>
              </w:rPr>
              <w:t>243,50</w:t>
            </w:r>
          </w:p>
        </w:tc>
        <w:tc>
          <w:tcPr>
            <w:tcW w:w="470" w:type="pct"/>
            <w:tcBorders>
              <w:top w:val="nil"/>
              <w:left w:val="single" w:sz="4" w:space="0" w:color="auto"/>
              <w:bottom w:val="nil"/>
              <w:right w:val="nil"/>
            </w:tcBorders>
            <w:shd w:val="clear" w:color="auto" w:fill="auto"/>
            <w:noWrap/>
            <w:vAlign w:val="center"/>
            <w:hideMark/>
          </w:tcPr>
          <w:p w14:paraId="147361D1" w14:textId="77777777" w:rsidR="004E56C3" w:rsidRPr="009E4255" w:rsidRDefault="004E56C3" w:rsidP="004E56C3">
            <w:pPr>
              <w:spacing w:after="0" w:line="240" w:lineRule="auto"/>
              <w:jc w:val="right"/>
              <w:rPr>
                <w:rFonts w:eastAsia="Times New Roman" w:cstheme="minorHAnsi"/>
                <w:b/>
                <w:bCs/>
                <w:color w:val="000000"/>
                <w:sz w:val="16"/>
                <w:szCs w:val="16"/>
                <w:lang w:eastAsia="cs-CZ"/>
              </w:rPr>
            </w:pPr>
            <w:r w:rsidRPr="009E4255">
              <w:rPr>
                <w:rFonts w:eastAsia="Times New Roman" w:cstheme="minorHAnsi"/>
                <w:b/>
                <w:bCs/>
                <w:color w:val="000000"/>
                <w:sz w:val="16"/>
                <w:szCs w:val="16"/>
                <w:lang w:eastAsia="cs-CZ"/>
              </w:rPr>
              <w:t>1 062,00</w:t>
            </w:r>
          </w:p>
        </w:tc>
      </w:tr>
    </w:tbl>
    <w:p w14:paraId="27332CC5" w14:textId="1C6C7B89" w:rsidR="001F5332" w:rsidRDefault="001F5332" w:rsidP="001F5332">
      <w:pPr>
        <w:pStyle w:val="Zdrojpodtabulkounebografem"/>
      </w:pPr>
      <w:r w:rsidRPr="00996D1E">
        <w:t xml:space="preserve"> </w:t>
      </w:r>
      <w:r>
        <w:t>Zdroj: NPO.</w:t>
      </w:r>
    </w:p>
    <w:p w14:paraId="6AF00F89" w14:textId="77777777" w:rsidR="005E60F3" w:rsidRPr="005E60F3" w:rsidRDefault="005E60F3" w:rsidP="005E60F3">
      <w:pPr>
        <w:rPr>
          <w:lang w:eastAsia="cs-CZ"/>
        </w:rPr>
      </w:pPr>
    </w:p>
    <w:p w14:paraId="7149490C" w14:textId="0451282C" w:rsidR="001F5332" w:rsidRPr="00D75CEF" w:rsidRDefault="001F5332" w:rsidP="001F5332">
      <w:pPr>
        <w:jc w:val="both"/>
      </w:pPr>
      <w:r>
        <w:lastRenderedPageBreak/>
        <w:t>Dopady jak na HDP, tak i</w:t>
      </w:r>
      <w:r w:rsidR="0003053E">
        <w:t> </w:t>
      </w:r>
      <w:r>
        <w:t>zaměstnanost jsou patrné teprve až z</w:t>
      </w:r>
      <w:r w:rsidR="0003053E">
        <w:t> </w:t>
      </w:r>
      <w:r>
        <w:t>dlouhodobého hlediska. Optikou těchto kritérií má nejzřetelnější efekt rozvoj digitální ekonomiky, digitalizace podniků a</w:t>
      </w:r>
      <w:r w:rsidR="0003053E">
        <w:t> </w:t>
      </w:r>
      <w:r>
        <w:t>budování vysokorychlostních sítí.</w:t>
      </w:r>
    </w:p>
    <w:p w14:paraId="23843624" w14:textId="5E1B08DD" w:rsidR="001F5332" w:rsidRDefault="001F5332" w:rsidP="001F5332">
      <w:pPr>
        <w:pStyle w:val="Titulek"/>
        <w:keepNext/>
        <w:spacing w:after="120"/>
      </w:pPr>
      <w:bookmarkStart w:id="311" w:name="_Toc151444594"/>
      <w:r>
        <w:t xml:space="preserve">Tabulka </w:t>
      </w:r>
      <w:r>
        <w:fldChar w:fldCharType="begin"/>
      </w:r>
      <w:r>
        <w:instrText xml:space="preserve"> SEQ Tabulka \* ARABIC </w:instrText>
      </w:r>
      <w:r>
        <w:fldChar w:fldCharType="separate"/>
      </w:r>
      <w:r w:rsidR="00E25A73">
        <w:t>9</w:t>
      </w:r>
      <w:r>
        <w:fldChar w:fldCharType="end"/>
      </w:r>
      <w:r>
        <w:t>: Makroekonomické dopady 1. pilíře – digitální transformace</w:t>
      </w:r>
      <w:bookmarkEnd w:id="311"/>
    </w:p>
    <w:p w14:paraId="221DC265" w14:textId="77777777" w:rsidR="001F5332" w:rsidRDefault="001F5332" w:rsidP="001F5332">
      <w:pPr>
        <w:pStyle w:val="Tabulkaagraf"/>
      </w:pPr>
      <w:r>
        <w:t>% HDP, % zaměstnanosti</w:t>
      </w:r>
    </w:p>
    <w:p w14:paraId="6AB762D2" w14:textId="1CCFBA0A" w:rsidR="001F5332" w:rsidRDefault="001F5332" w:rsidP="001F5332">
      <w:pPr>
        <w:pStyle w:val="Zdrojpodtabulkounebografem"/>
      </w:pPr>
      <w:r w:rsidRPr="005F6689">
        <w:rPr>
          <w:noProof/>
        </w:rPr>
        <w:drawing>
          <wp:inline distT="0" distB="0" distL="0" distR="0" wp14:anchorId="03E6B1E1" wp14:editId="4442B717">
            <wp:extent cx="6124575" cy="1612900"/>
            <wp:effectExtent l="0" t="0" r="9525" b="6350"/>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24575" cy="1612900"/>
                    </a:xfrm>
                    <a:prstGeom prst="rect">
                      <a:avLst/>
                    </a:prstGeom>
                    <a:noFill/>
                    <a:ln>
                      <a:noFill/>
                    </a:ln>
                  </pic:spPr>
                </pic:pic>
              </a:graphicData>
            </a:graphic>
          </wp:inline>
        </w:drawing>
      </w:r>
      <w:r w:rsidRPr="00996D1E">
        <w:t xml:space="preserve"> </w:t>
      </w:r>
      <w:r>
        <w:t>Pozn.: Údaje u</w:t>
      </w:r>
      <w:r w:rsidR="0003053E">
        <w:t> </w:t>
      </w:r>
      <w:r>
        <w:t>HDP vyjadřují dodatečně vytvořenou přidanou hodnotu v</w:t>
      </w:r>
      <w:r w:rsidR="0003053E">
        <w:t> </w:t>
      </w:r>
      <w:r>
        <w:t xml:space="preserve">uvedených letech vlivem </w:t>
      </w:r>
      <w:r w:rsidR="00D70836">
        <w:t>NPO</w:t>
      </w:r>
      <w:r>
        <w:t xml:space="preserve"> v</w:t>
      </w:r>
      <w:r w:rsidR="0003053E">
        <w:t> </w:t>
      </w:r>
      <w:r>
        <w:t>poměru k</w:t>
      </w:r>
      <w:r w:rsidR="0003053E">
        <w:t> </w:t>
      </w:r>
      <w:r>
        <w:t>HDP ve výchozím roce 2020, vůči němuž jsou velikosti impulzů do ekonomiky přepočteny. V</w:t>
      </w:r>
      <w:r w:rsidR="0003053E">
        <w:t> </w:t>
      </w:r>
      <w:r>
        <w:t>případě zaměstnanosti jde o</w:t>
      </w:r>
      <w:r w:rsidR="0003053E">
        <w:t> </w:t>
      </w:r>
      <w:r>
        <w:t>dodatečně vytvořenou poptávku na trhu práce v</w:t>
      </w:r>
      <w:r w:rsidR="0003053E">
        <w:t> </w:t>
      </w:r>
      <w:r>
        <w:t>uvedených letech v</w:t>
      </w:r>
      <w:r w:rsidR="0003053E">
        <w:t> </w:t>
      </w:r>
      <w:r>
        <w:t>poměru k</w:t>
      </w:r>
      <w:r w:rsidR="0003053E">
        <w:t> </w:t>
      </w:r>
      <w:r>
        <w:t>objemu zaměstnanosti v</w:t>
      </w:r>
      <w:r w:rsidR="0003053E">
        <w:t> </w:t>
      </w:r>
      <w:r>
        <w:t>témže výchozím roce 2020.</w:t>
      </w:r>
    </w:p>
    <w:p w14:paraId="18571318" w14:textId="77777777" w:rsidR="001F5332" w:rsidRDefault="001F5332" w:rsidP="001F5332">
      <w:pPr>
        <w:pStyle w:val="Zdrojpodtabulkounebografem"/>
      </w:pPr>
      <w:r>
        <w:t>Zdroj: Výpočty MF ČR.</w:t>
      </w:r>
    </w:p>
    <w:p w14:paraId="5F843C69" w14:textId="4CF72C2E" w:rsidR="001F5332" w:rsidRDefault="001F5332" w:rsidP="001F5332">
      <w:pPr>
        <w:pStyle w:val="Nadpismal"/>
      </w:pPr>
      <w:r>
        <w:t>2. pilíř: Fyzická infrastruktura a</w:t>
      </w:r>
      <w:r w:rsidR="0003053E">
        <w:t> </w:t>
      </w:r>
      <w:r>
        <w:t>zelená tranzice</w:t>
      </w:r>
    </w:p>
    <w:p w14:paraId="6F0E66ED" w14:textId="71FBACA7" w:rsidR="001F5332" w:rsidRDefault="001F5332" w:rsidP="001F5332">
      <w:pPr>
        <w:jc w:val="both"/>
      </w:pPr>
      <w:r>
        <w:t>V rámci projektů fyzické infrastruktury a</w:t>
      </w:r>
      <w:r w:rsidR="0003053E">
        <w:t> </w:t>
      </w:r>
      <w:r>
        <w:t>zelené tranzice dominují projekty směřující k</w:t>
      </w:r>
      <w:r w:rsidR="0003053E">
        <w:t> </w:t>
      </w:r>
      <w:r>
        <w:t>udržitelné a</w:t>
      </w:r>
      <w:r w:rsidR="0003053E">
        <w:t> </w:t>
      </w:r>
      <w:r>
        <w:t>bezpečné dopravě, renovaci budov a</w:t>
      </w:r>
      <w:r w:rsidR="0003053E">
        <w:t> </w:t>
      </w:r>
      <w:r>
        <w:t>ochraně přírody a</w:t>
      </w:r>
      <w:r w:rsidR="0003053E">
        <w:t> </w:t>
      </w:r>
      <w:r>
        <w:t>ovzduší.</w:t>
      </w:r>
    </w:p>
    <w:p w14:paraId="168F89B0" w14:textId="18722C15" w:rsidR="001F5332" w:rsidRDefault="001F5332" w:rsidP="001F5332">
      <w:pPr>
        <w:jc w:val="both"/>
      </w:pPr>
      <w:r>
        <w:t>Udržitelná doprava (2.1) v</w:t>
      </w:r>
      <w:r w:rsidR="0003053E">
        <w:t> </w:t>
      </w:r>
      <w:r>
        <w:t>sobě zahrnuje převážně investice směřující do staveb budov, železničních tratí, digitalizace dopravy a</w:t>
      </w:r>
      <w:r w:rsidR="0003053E">
        <w:t> </w:t>
      </w:r>
      <w:r>
        <w:t>její lepší zabezpečení. Představuje tak zvýšení veřejných investic. Poměrně menší část, asi 4 % z</w:t>
      </w:r>
      <w:r w:rsidR="0003053E">
        <w:t> </w:t>
      </w:r>
      <w:r>
        <w:t>objemu komponenty, pak představuje podporu inovací a</w:t>
      </w:r>
      <w:r w:rsidR="0003053E">
        <w:t> </w:t>
      </w:r>
      <w:r>
        <w:t>rozvoje nových technologií.</w:t>
      </w:r>
    </w:p>
    <w:p w14:paraId="1BA1D485" w14:textId="54BC2370" w:rsidR="001F5332" w:rsidRDefault="001F5332" w:rsidP="001F5332">
      <w:pPr>
        <w:jc w:val="both"/>
      </w:pPr>
      <w:r>
        <w:t>Komponenta 2.2 se zaměřuje na realizaci energetických úspor při rekonstrukcích budov a</w:t>
      </w:r>
      <w:r w:rsidR="0003053E">
        <w:t> </w:t>
      </w:r>
      <w:r>
        <w:t>veřejných osvětlení. Jde tedy primárně o</w:t>
      </w:r>
      <w:r w:rsidR="0003053E">
        <w:t> </w:t>
      </w:r>
      <w:r>
        <w:t>dodatečné zelené investice v</w:t>
      </w:r>
      <w:r w:rsidR="0003053E">
        <w:t> </w:t>
      </w:r>
      <w:r>
        <w:t>duchu environmentálního rozšíření modelu, o</w:t>
      </w:r>
      <w:r w:rsidR="0003053E">
        <w:t> </w:t>
      </w:r>
      <w:r>
        <w:t>kterém bylo pojednáno výše. Obdobně je chápána i</w:t>
      </w:r>
      <w:r w:rsidR="0003053E">
        <w:t> </w:t>
      </w:r>
      <w:r>
        <w:t>podpora čisté mobility (2.4) jako přímá podpora zelené infrastruktury či oblast 2.6, podpora ochrany přírody a</w:t>
      </w:r>
      <w:r w:rsidR="0003053E">
        <w:t> </w:t>
      </w:r>
      <w:r>
        <w:t>adaptace na klimatickou změnu.</w:t>
      </w:r>
    </w:p>
    <w:p w14:paraId="2A62B2E8" w14:textId="42E45077" w:rsidR="001F5332" w:rsidRDefault="001F5332" w:rsidP="001F5332">
      <w:pPr>
        <w:jc w:val="both"/>
      </w:pPr>
      <w:r>
        <w:t>V případě přechodu na čistší zdroje energie (komponenta 2.3) představuje modernizace distribuce tepla přechod k</w:t>
      </w:r>
      <w:r w:rsidR="0003053E">
        <w:t> </w:t>
      </w:r>
      <w:r>
        <w:t>obnovitelným zdrojům energie. To se projeví v</w:t>
      </w:r>
      <w:r w:rsidR="0003053E">
        <w:t> </w:t>
      </w:r>
      <w:r w:rsidRPr="0096127F">
        <w:t>růst</w:t>
      </w:r>
      <w:r>
        <w:t>u</w:t>
      </w:r>
      <w:r w:rsidRPr="0096127F">
        <w:t xml:space="preserve"> produkce v</w:t>
      </w:r>
      <w:r w:rsidR="0003053E">
        <w:t> </w:t>
      </w:r>
      <w:r w:rsidRPr="0096127F">
        <w:t>sektoru s</w:t>
      </w:r>
      <w:r w:rsidR="0003053E">
        <w:t> </w:t>
      </w:r>
      <w:r w:rsidRPr="0096127F">
        <w:t>obnovitelnými zdroji energie a</w:t>
      </w:r>
      <w:r w:rsidR="0003053E">
        <w:t> </w:t>
      </w:r>
      <w:r w:rsidRPr="0096127F">
        <w:t>současn</w:t>
      </w:r>
      <w:r>
        <w:t>ě v</w:t>
      </w:r>
      <w:r w:rsidR="0003053E">
        <w:t> </w:t>
      </w:r>
      <w:r w:rsidRPr="0096127F">
        <w:t>pokles</w:t>
      </w:r>
      <w:r>
        <w:t>u</w:t>
      </w:r>
      <w:r w:rsidRPr="0096127F">
        <w:t xml:space="preserve"> produkce v</w:t>
      </w:r>
      <w:r w:rsidR="0003053E">
        <w:t> </w:t>
      </w:r>
      <w:r w:rsidRPr="0096127F">
        <w:t>sektoru s</w:t>
      </w:r>
      <w:r w:rsidR="0003053E">
        <w:t> </w:t>
      </w:r>
      <w:r w:rsidRPr="0096127F">
        <w:t>neobnovitelnými zdroji energie.</w:t>
      </w:r>
      <w:r>
        <w:t xml:space="preserve"> Zároveň je </w:t>
      </w:r>
      <w:r w:rsidRPr="00F56CBE">
        <w:t>vybudování soustav zásobování tepelnou energií chápáno jako pokles fixních nákladů</w:t>
      </w:r>
      <w:r>
        <w:t>,</w:t>
      </w:r>
      <w:r w:rsidRPr="00F56CBE">
        <w:t xml:space="preserve"> </w:t>
      </w:r>
      <w:r>
        <w:t xml:space="preserve">což </w:t>
      </w:r>
      <w:r w:rsidRPr="00F56CBE">
        <w:t>přímo ovlivňuje produktivitu soukromých firem.</w:t>
      </w:r>
      <w:r>
        <w:t xml:space="preserve"> Dotace na nákup fotovoltaiky jsou potom modelově zachyceny jako pokles ceny obnovitelných zdrojů plynoucích do ostatních hospodářských odvětví, což podpoří poptávku po fotovoltaických zdrojích.</w:t>
      </w:r>
    </w:p>
    <w:p w14:paraId="336C0553" w14:textId="2A954E59" w:rsidR="00572DBA" w:rsidRDefault="00572DBA" w:rsidP="001F5332">
      <w:pPr>
        <w:jc w:val="both"/>
        <w:rPr>
          <w:color w:val="000000"/>
        </w:rPr>
      </w:pPr>
      <w:r w:rsidRPr="002029A5">
        <w:rPr>
          <w:color w:val="000000"/>
        </w:rPr>
        <w:t>Renovace budov a</w:t>
      </w:r>
      <w:r w:rsidR="0003053E">
        <w:rPr>
          <w:color w:val="000000"/>
        </w:rPr>
        <w:t> </w:t>
      </w:r>
      <w:r w:rsidRPr="002029A5">
        <w:rPr>
          <w:color w:val="000000"/>
        </w:rPr>
        <w:t>ochrana ovzduší (2.5) je realizována prostřednictvím programu Nová zelená úsporám.  Program podporuje rekonstrukce domů nebo stavby nízkoenergetických či pasivních domů, čímž přináší ekonomický stimul firmám ve stavebnictví. Pro získání dotace je nutné dosažení stanovené minimální úspory spotřeby energie. Program Nová zelená úsporám zahrnuje i</w:t>
      </w:r>
      <w:r w:rsidR="0003053E">
        <w:rPr>
          <w:color w:val="000000"/>
        </w:rPr>
        <w:t> </w:t>
      </w:r>
      <w:r w:rsidRPr="002029A5">
        <w:rPr>
          <w:color w:val="000000"/>
        </w:rPr>
        <w:t>tzv. kotlíkové dotace, které snižují domácnostem náklady spojené</w:t>
      </w:r>
      <w:r>
        <w:rPr>
          <w:color w:val="000000"/>
        </w:rPr>
        <w:t xml:space="preserve"> </w:t>
      </w:r>
      <w:r w:rsidRPr="002029A5">
        <w:rPr>
          <w:color w:val="000000"/>
        </w:rPr>
        <w:t>s</w:t>
      </w:r>
      <w:r w:rsidR="0003053E">
        <w:rPr>
          <w:color w:val="000000"/>
        </w:rPr>
        <w:t> </w:t>
      </w:r>
      <w:r w:rsidRPr="002029A5">
        <w:rPr>
          <w:color w:val="000000"/>
        </w:rPr>
        <w:t>nákupem nového ekologicky šetrnějšího vytápění.</w:t>
      </w:r>
    </w:p>
    <w:p w14:paraId="0C04931E" w14:textId="77777777" w:rsidR="00572DBA" w:rsidRDefault="00572DBA" w:rsidP="001F5332">
      <w:pPr>
        <w:jc w:val="both"/>
        <w:rPr>
          <w:color w:val="000000"/>
        </w:rPr>
      </w:pPr>
    </w:p>
    <w:p w14:paraId="7D46FB20" w14:textId="7F1341FE" w:rsidR="001F5332" w:rsidRDefault="001F5332" w:rsidP="001F5332">
      <w:pPr>
        <w:jc w:val="both"/>
      </w:pPr>
      <w:r>
        <w:t>Cirkulární ekonomika a</w:t>
      </w:r>
      <w:r w:rsidR="0003053E">
        <w:t> </w:t>
      </w:r>
      <w:r>
        <w:t>recyklace (2.7) představuje podporu</w:t>
      </w:r>
      <w:r w:rsidRPr="00886C94">
        <w:t xml:space="preserve"> </w:t>
      </w:r>
      <w:r w:rsidRPr="00A3275D">
        <w:t>nov</w:t>
      </w:r>
      <w:r>
        <w:t>ý</w:t>
      </w:r>
      <w:r w:rsidRPr="00A3275D">
        <w:t>ch p</w:t>
      </w:r>
      <w:r>
        <w:t>ří</w:t>
      </w:r>
      <w:r w:rsidRPr="00A3275D">
        <w:t>stup</w:t>
      </w:r>
      <w:r>
        <w:t>ů</w:t>
      </w:r>
      <w:r w:rsidRPr="00A3275D">
        <w:t xml:space="preserve"> firem</w:t>
      </w:r>
      <w:r>
        <w:t xml:space="preserve"> k</w:t>
      </w:r>
      <w:r w:rsidR="0003053E">
        <w:t> </w:t>
      </w:r>
      <w:r>
        <w:t>využívání</w:t>
      </w:r>
      <w:r w:rsidRPr="00A3275D">
        <w:t xml:space="preserve"> druhotn</w:t>
      </w:r>
      <w:r>
        <w:t xml:space="preserve">ých </w:t>
      </w:r>
      <w:r w:rsidRPr="00A3275D">
        <w:t>surovin</w:t>
      </w:r>
      <w:r>
        <w:t>. Dochází tak k</w:t>
      </w:r>
      <w:r w:rsidR="0003053E">
        <w:t> </w:t>
      </w:r>
      <w:r>
        <w:t>poklesu nákladů firem, podpoře konkurenčního prostředí a</w:t>
      </w:r>
      <w:r w:rsidR="0003053E">
        <w:t> </w:t>
      </w:r>
      <w:r>
        <w:t>konečně i</w:t>
      </w:r>
      <w:r w:rsidR="0003053E">
        <w:t> </w:t>
      </w:r>
      <w:r>
        <w:t>růstu sektoru výzkumu a</w:t>
      </w:r>
      <w:r w:rsidR="0003053E">
        <w:t> </w:t>
      </w:r>
      <w:r>
        <w:t>vývoje. Částečně také dochází k</w:t>
      </w:r>
      <w:r w:rsidR="0003053E">
        <w:t> </w:t>
      </w:r>
      <w:r>
        <w:t>nárůstu investic do infrastruktury ekologicky šetrných odvětví.</w:t>
      </w:r>
    </w:p>
    <w:p w14:paraId="271CE40D" w14:textId="110EF7B3" w:rsidR="001F5332" w:rsidRDefault="001F5332" w:rsidP="001F5332">
      <w:pPr>
        <w:pStyle w:val="Titulek"/>
        <w:keepNext/>
        <w:spacing w:after="120"/>
      </w:pPr>
      <w:bookmarkStart w:id="312" w:name="_Toc151444595"/>
      <w:r>
        <w:lastRenderedPageBreak/>
        <w:t xml:space="preserve">Tabulka </w:t>
      </w:r>
      <w:r>
        <w:fldChar w:fldCharType="begin"/>
      </w:r>
      <w:r>
        <w:instrText xml:space="preserve"> SEQ Tabulka \* ARABIC </w:instrText>
      </w:r>
      <w:r>
        <w:fldChar w:fldCharType="separate"/>
      </w:r>
      <w:r w:rsidR="00E25A73">
        <w:t>10</w:t>
      </w:r>
      <w:r>
        <w:fldChar w:fldCharType="end"/>
      </w:r>
      <w:r>
        <w:t>: Stanovené impulzy v</w:t>
      </w:r>
      <w:r w:rsidR="0003053E">
        <w:t> </w:t>
      </w:r>
      <w:r>
        <w:t>rámci 2. pilíře – fyzická infrastruktura a</w:t>
      </w:r>
      <w:r w:rsidR="0003053E">
        <w:t> </w:t>
      </w:r>
      <w:r>
        <w:t>zelená tranzice</w:t>
      </w:r>
      <w:bookmarkEnd w:id="312"/>
    </w:p>
    <w:p w14:paraId="1A659014" w14:textId="4AFD36DF" w:rsidR="001F5332" w:rsidRDefault="001F5332" w:rsidP="001F5332">
      <w:pPr>
        <w:pStyle w:val="Tabulkaagraf"/>
      </w:pPr>
      <w:r>
        <w:t>mil. Kč</w:t>
      </w:r>
    </w:p>
    <w:tbl>
      <w:tblPr>
        <w:tblW w:w="5000" w:type="pct"/>
        <w:tblCellMar>
          <w:left w:w="70" w:type="dxa"/>
          <w:right w:w="70" w:type="dxa"/>
        </w:tblCellMar>
        <w:tblLook w:val="04A0" w:firstRow="1" w:lastRow="0" w:firstColumn="1" w:lastColumn="0" w:noHBand="0" w:noVBand="1"/>
      </w:tblPr>
      <w:tblGrid>
        <w:gridCol w:w="3578"/>
        <w:gridCol w:w="682"/>
        <w:gridCol w:w="760"/>
        <w:gridCol w:w="760"/>
        <w:gridCol w:w="760"/>
        <w:gridCol w:w="760"/>
        <w:gridCol w:w="760"/>
        <w:gridCol w:w="682"/>
        <w:gridCol w:w="756"/>
      </w:tblGrid>
      <w:tr w:rsidR="004E56C3" w:rsidRPr="006C2AEE" w14:paraId="6B57EEC2" w14:textId="77777777" w:rsidTr="004E56C3">
        <w:trPr>
          <w:trHeight w:val="300"/>
          <w:tblHeader/>
        </w:trPr>
        <w:tc>
          <w:tcPr>
            <w:tcW w:w="1884" w:type="pct"/>
            <w:tcBorders>
              <w:top w:val="nil"/>
              <w:left w:val="nil"/>
              <w:bottom w:val="single" w:sz="4" w:space="0" w:color="auto"/>
              <w:right w:val="single" w:sz="4" w:space="0" w:color="auto"/>
            </w:tcBorders>
            <w:shd w:val="clear" w:color="000000" w:fill="D9E1F2"/>
            <w:noWrap/>
            <w:vAlign w:val="center"/>
            <w:hideMark/>
          </w:tcPr>
          <w:p w14:paraId="75B02C21" w14:textId="77777777" w:rsidR="004E56C3" w:rsidRPr="00E97A72" w:rsidRDefault="004E56C3" w:rsidP="004E56C3">
            <w:pPr>
              <w:spacing w:after="0" w:line="240" w:lineRule="auto"/>
              <w:rPr>
                <w:rFonts w:eastAsia="Times New Roman" w:cstheme="minorHAnsi"/>
                <w:b/>
                <w:bCs/>
                <w:color w:val="000000"/>
                <w:sz w:val="14"/>
                <w:szCs w:val="14"/>
                <w:lang w:eastAsia="cs-CZ"/>
              </w:rPr>
            </w:pPr>
            <w:r w:rsidRPr="00E97A72">
              <w:rPr>
                <w:rFonts w:eastAsia="Times New Roman" w:cstheme="minorHAnsi"/>
                <w:b/>
                <w:bCs/>
                <w:color w:val="000000"/>
                <w:sz w:val="14"/>
                <w:szCs w:val="14"/>
                <w:lang w:eastAsia="cs-CZ"/>
              </w:rPr>
              <w:t> </w:t>
            </w:r>
          </w:p>
        </w:tc>
        <w:tc>
          <w:tcPr>
            <w:tcW w:w="359" w:type="pct"/>
            <w:tcBorders>
              <w:top w:val="nil"/>
              <w:left w:val="nil"/>
              <w:bottom w:val="single" w:sz="4" w:space="0" w:color="auto"/>
              <w:right w:val="nil"/>
            </w:tcBorders>
            <w:shd w:val="clear" w:color="000000" w:fill="D9E1F2"/>
            <w:noWrap/>
            <w:vAlign w:val="center"/>
            <w:hideMark/>
          </w:tcPr>
          <w:p w14:paraId="0299F10B" w14:textId="77777777" w:rsidR="004E56C3" w:rsidRPr="00E97A72" w:rsidRDefault="004E56C3" w:rsidP="004E56C3">
            <w:pPr>
              <w:spacing w:after="0" w:line="240" w:lineRule="auto"/>
              <w:jc w:val="right"/>
              <w:rPr>
                <w:rFonts w:eastAsia="Times New Roman" w:cstheme="minorHAnsi"/>
                <w:b/>
                <w:bCs/>
                <w:color w:val="000000"/>
                <w:sz w:val="14"/>
                <w:szCs w:val="14"/>
                <w:lang w:eastAsia="cs-CZ"/>
              </w:rPr>
            </w:pPr>
            <w:r w:rsidRPr="00E97A72">
              <w:rPr>
                <w:rFonts w:eastAsia="Times New Roman" w:cstheme="minorHAnsi"/>
                <w:b/>
                <w:bCs/>
                <w:color w:val="000000"/>
                <w:sz w:val="14"/>
                <w:szCs w:val="14"/>
                <w:lang w:eastAsia="cs-CZ"/>
              </w:rPr>
              <w:t>2020</w:t>
            </w:r>
          </w:p>
        </w:tc>
        <w:tc>
          <w:tcPr>
            <w:tcW w:w="400" w:type="pct"/>
            <w:tcBorders>
              <w:top w:val="nil"/>
              <w:left w:val="nil"/>
              <w:bottom w:val="single" w:sz="4" w:space="0" w:color="auto"/>
              <w:right w:val="nil"/>
            </w:tcBorders>
            <w:shd w:val="clear" w:color="000000" w:fill="D9E1F2"/>
            <w:noWrap/>
            <w:vAlign w:val="center"/>
            <w:hideMark/>
          </w:tcPr>
          <w:p w14:paraId="66C0DAA2" w14:textId="77777777" w:rsidR="004E56C3" w:rsidRPr="00E97A72" w:rsidRDefault="004E56C3" w:rsidP="004E56C3">
            <w:pPr>
              <w:spacing w:after="0" w:line="240" w:lineRule="auto"/>
              <w:jc w:val="right"/>
              <w:rPr>
                <w:rFonts w:eastAsia="Times New Roman" w:cstheme="minorHAnsi"/>
                <w:b/>
                <w:bCs/>
                <w:color w:val="000000"/>
                <w:sz w:val="14"/>
                <w:szCs w:val="14"/>
                <w:lang w:eastAsia="cs-CZ"/>
              </w:rPr>
            </w:pPr>
            <w:r w:rsidRPr="00E97A72">
              <w:rPr>
                <w:rFonts w:eastAsia="Times New Roman" w:cstheme="minorHAnsi"/>
                <w:b/>
                <w:bCs/>
                <w:color w:val="000000"/>
                <w:sz w:val="14"/>
                <w:szCs w:val="14"/>
                <w:lang w:eastAsia="cs-CZ"/>
              </w:rPr>
              <w:t>2021</w:t>
            </w:r>
          </w:p>
        </w:tc>
        <w:tc>
          <w:tcPr>
            <w:tcW w:w="400" w:type="pct"/>
            <w:tcBorders>
              <w:top w:val="nil"/>
              <w:left w:val="nil"/>
              <w:bottom w:val="single" w:sz="4" w:space="0" w:color="auto"/>
              <w:right w:val="nil"/>
            </w:tcBorders>
            <w:shd w:val="clear" w:color="000000" w:fill="D9E1F2"/>
            <w:noWrap/>
            <w:vAlign w:val="center"/>
            <w:hideMark/>
          </w:tcPr>
          <w:p w14:paraId="0F905611" w14:textId="77777777" w:rsidR="004E56C3" w:rsidRPr="00E97A72" w:rsidRDefault="004E56C3" w:rsidP="004E56C3">
            <w:pPr>
              <w:spacing w:after="0" w:line="240" w:lineRule="auto"/>
              <w:jc w:val="right"/>
              <w:rPr>
                <w:rFonts w:eastAsia="Times New Roman" w:cstheme="minorHAnsi"/>
                <w:b/>
                <w:bCs/>
                <w:color w:val="000000"/>
                <w:sz w:val="14"/>
                <w:szCs w:val="14"/>
                <w:lang w:eastAsia="cs-CZ"/>
              </w:rPr>
            </w:pPr>
            <w:r w:rsidRPr="00E97A72">
              <w:rPr>
                <w:rFonts w:eastAsia="Times New Roman" w:cstheme="minorHAnsi"/>
                <w:b/>
                <w:bCs/>
                <w:color w:val="000000"/>
                <w:sz w:val="14"/>
                <w:szCs w:val="14"/>
                <w:lang w:eastAsia="cs-CZ"/>
              </w:rPr>
              <w:t>2022</w:t>
            </w:r>
          </w:p>
        </w:tc>
        <w:tc>
          <w:tcPr>
            <w:tcW w:w="400" w:type="pct"/>
            <w:tcBorders>
              <w:top w:val="nil"/>
              <w:left w:val="nil"/>
              <w:bottom w:val="single" w:sz="4" w:space="0" w:color="auto"/>
              <w:right w:val="nil"/>
            </w:tcBorders>
            <w:shd w:val="clear" w:color="000000" w:fill="D9E1F2"/>
            <w:noWrap/>
            <w:vAlign w:val="center"/>
            <w:hideMark/>
          </w:tcPr>
          <w:p w14:paraId="2F429328" w14:textId="77777777" w:rsidR="004E56C3" w:rsidRPr="00E97A72" w:rsidRDefault="004E56C3" w:rsidP="004E56C3">
            <w:pPr>
              <w:spacing w:after="0" w:line="240" w:lineRule="auto"/>
              <w:jc w:val="right"/>
              <w:rPr>
                <w:rFonts w:eastAsia="Times New Roman" w:cstheme="minorHAnsi"/>
                <w:b/>
                <w:bCs/>
                <w:color w:val="000000"/>
                <w:sz w:val="14"/>
                <w:szCs w:val="14"/>
                <w:lang w:eastAsia="cs-CZ"/>
              </w:rPr>
            </w:pPr>
            <w:r w:rsidRPr="00E97A72">
              <w:rPr>
                <w:rFonts w:eastAsia="Times New Roman" w:cstheme="minorHAnsi"/>
                <w:b/>
                <w:bCs/>
                <w:color w:val="000000"/>
                <w:sz w:val="14"/>
                <w:szCs w:val="14"/>
                <w:lang w:eastAsia="cs-CZ"/>
              </w:rPr>
              <w:t>2023</w:t>
            </w:r>
          </w:p>
        </w:tc>
        <w:tc>
          <w:tcPr>
            <w:tcW w:w="400" w:type="pct"/>
            <w:tcBorders>
              <w:top w:val="nil"/>
              <w:left w:val="nil"/>
              <w:bottom w:val="single" w:sz="4" w:space="0" w:color="auto"/>
              <w:right w:val="nil"/>
            </w:tcBorders>
            <w:shd w:val="clear" w:color="000000" w:fill="D9E1F2"/>
            <w:noWrap/>
            <w:vAlign w:val="center"/>
            <w:hideMark/>
          </w:tcPr>
          <w:p w14:paraId="28143C3A" w14:textId="77777777" w:rsidR="004E56C3" w:rsidRPr="00E97A72" w:rsidRDefault="004E56C3" w:rsidP="004E56C3">
            <w:pPr>
              <w:spacing w:after="0" w:line="240" w:lineRule="auto"/>
              <w:jc w:val="right"/>
              <w:rPr>
                <w:rFonts w:eastAsia="Times New Roman" w:cstheme="minorHAnsi"/>
                <w:b/>
                <w:bCs/>
                <w:color w:val="000000"/>
                <w:sz w:val="14"/>
                <w:szCs w:val="14"/>
                <w:lang w:eastAsia="cs-CZ"/>
              </w:rPr>
            </w:pPr>
            <w:r w:rsidRPr="00E97A72">
              <w:rPr>
                <w:rFonts w:eastAsia="Times New Roman" w:cstheme="minorHAnsi"/>
                <w:b/>
                <w:bCs/>
                <w:color w:val="000000"/>
                <w:sz w:val="14"/>
                <w:szCs w:val="14"/>
                <w:lang w:eastAsia="cs-CZ"/>
              </w:rPr>
              <w:t>2024</w:t>
            </w:r>
          </w:p>
        </w:tc>
        <w:tc>
          <w:tcPr>
            <w:tcW w:w="400" w:type="pct"/>
            <w:tcBorders>
              <w:top w:val="nil"/>
              <w:left w:val="nil"/>
              <w:bottom w:val="single" w:sz="4" w:space="0" w:color="auto"/>
              <w:right w:val="nil"/>
            </w:tcBorders>
            <w:shd w:val="clear" w:color="000000" w:fill="D9E1F2"/>
            <w:noWrap/>
            <w:vAlign w:val="center"/>
            <w:hideMark/>
          </w:tcPr>
          <w:p w14:paraId="2B57369E" w14:textId="77777777" w:rsidR="004E56C3" w:rsidRPr="00E97A72" w:rsidRDefault="004E56C3" w:rsidP="004E56C3">
            <w:pPr>
              <w:spacing w:after="0" w:line="240" w:lineRule="auto"/>
              <w:jc w:val="right"/>
              <w:rPr>
                <w:rFonts w:eastAsia="Times New Roman" w:cstheme="minorHAnsi"/>
                <w:b/>
                <w:bCs/>
                <w:color w:val="000000"/>
                <w:sz w:val="14"/>
                <w:szCs w:val="14"/>
                <w:lang w:eastAsia="cs-CZ"/>
              </w:rPr>
            </w:pPr>
            <w:r w:rsidRPr="00E97A72">
              <w:rPr>
                <w:rFonts w:eastAsia="Times New Roman" w:cstheme="minorHAnsi"/>
                <w:b/>
                <w:bCs/>
                <w:color w:val="000000"/>
                <w:sz w:val="14"/>
                <w:szCs w:val="14"/>
                <w:lang w:eastAsia="cs-CZ"/>
              </w:rPr>
              <w:t>2025</w:t>
            </w:r>
          </w:p>
        </w:tc>
        <w:tc>
          <w:tcPr>
            <w:tcW w:w="359" w:type="pct"/>
            <w:tcBorders>
              <w:top w:val="nil"/>
              <w:left w:val="nil"/>
              <w:bottom w:val="single" w:sz="4" w:space="0" w:color="auto"/>
              <w:right w:val="nil"/>
            </w:tcBorders>
            <w:shd w:val="clear" w:color="000000" w:fill="D9E1F2"/>
            <w:noWrap/>
            <w:vAlign w:val="center"/>
            <w:hideMark/>
          </w:tcPr>
          <w:p w14:paraId="4BD7120E" w14:textId="77777777" w:rsidR="004E56C3" w:rsidRPr="00E97A72" w:rsidRDefault="004E56C3" w:rsidP="004E56C3">
            <w:pPr>
              <w:spacing w:after="0" w:line="240" w:lineRule="auto"/>
              <w:jc w:val="right"/>
              <w:rPr>
                <w:rFonts w:eastAsia="Times New Roman" w:cstheme="minorHAnsi"/>
                <w:b/>
                <w:bCs/>
                <w:color w:val="000000"/>
                <w:sz w:val="14"/>
                <w:szCs w:val="14"/>
                <w:lang w:eastAsia="cs-CZ"/>
              </w:rPr>
            </w:pPr>
            <w:r w:rsidRPr="00E97A72">
              <w:rPr>
                <w:rFonts w:eastAsia="Times New Roman" w:cstheme="minorHAnsi"/>
                <w:b/>
                <w:bCs/>
                <w:color w:val="000000"/>
                <w:sz w:val="14"/>
                <w:szCs w:val="14"/>
                <w:lang w:eastAsia="cs-CZ"/>
              </w:rPr>
              <w:t>2026</w:t>
            </w:r>
          </w:p>
        </w:tc>
        <w:tc>
          <w:tcPr>
            <w:tcW w:w="400" w:type="pct"/>
            <w:tcBorders>
              <w:top w:val="nil"/>
              <w:left w:val="single" w:sz="4" w:space="0" w:color="auto"/>
              <w:bottom w:val="single" w:sz="4" w:space="0" w:color="auto"/>
              <w:right w:val="nil"/>
            </w:tcBorders>
            <w:shd w:val="clear" w:color="000000" w:fill="D9E1F2"/>
            <w:noWrap/>
            <w:vAlign w:val="center"/>
            <w:hideMark/>
          </w:tcPr>
          <w:p w14:paraId="14DC87F1" w14:textId="77777777" w:rsidR="004E56C3" w:rsidRPr="00E97A72" w:rsidRDefault="004E56C3" w:rsidP="004E56C3">
            <w:pPr>
              <w:spacing w:after="0" w:line="240" w:lineRule="auto"/>
              <w:jc w:val="center"/>
              <w:rPr>
                <w:rFonts w:eastAsia="Times New Roman" w:cstheme="minorHAnsi"/>
                <w:b/>
                <w:bCs/>
                <w:color w:val="000000"/>
                <w:sz w:val="14"/>
                <w:szCs w:val="14"/>
                <w:lang w:eastAsia="cs-CZ"/>
              </w:rPr>
            </w:pPr>
            <w:r w:rsidRPr="00E97A72">
              <w:rPr>
                <w:rFonts w:eastAsia="Times New Roman" w:cstheme="minorHAnsi"/>
                <w:b/>
                <w:bCs/>
                <w:color w:val="000000"/>
                <w:sz w:val="14"/>
                <w:szCs w:val="14"/>
                <w:lang w:eastAsia="cs-CZ"/>
              </w:rPr>
              <w:t>celkem</w:t>
            </w:r>
          </w:p>
        </w:tc>
      </w:tr>
      <w:tr w:rsidR="004E56C3" w:rsidRPr="00E97A72" w14:paraId="63AA4759" w14:textId="77777777" w:rsidTr="004E56C3">
        <w:trPr>
          <w:trHeight w:val="300"/>
          <w:tblHeader/>
        </w:trPr>
        <w:tc>
          <w:tcPr>
            <w:tcW w:w="1884" w:type="pct"/>
            <w:tcBorders>
              <w:top w:val="nil"/>
              <w:left w:val="nil"/>
              <w:bottom w:val="nil"/>
              <w:right w:val="single" w:sz="4" w:space="0" w:color="auto"/>
            </w:tcBorders>
            <w:shd w:val="clear" w:color="auto" w:fill="auto"/>
            <w:noWrap/>
            <w:vAlign w:val="center"/>
            <w:hideMark/>
          </w:tcPr>
          <w:p w14:paraId="276F69E3" w14:textId="0EB1B81A" w:rsidR="004E56C3" w:rsidRPr="00E97A72" w:rsidRDefault="004E56C3" w:rsidP="004E56C3">
            <w:pPr>
              <w:spacing w:after="0" w:line="240" w:lineRule="auto"/>
              <w:rPr>
                <w:rFonts w:eastAsia="Times New Roman" w:cstheme="minorHAnsi"/>
                <w:b/>
                <w:bCs/>
                <w:color w:val="000000"/>
                <w:sz w:val="14"/>
                <w:szCs w:val="14"/>
                <w:lang w:eastAsia="cs-CZ"/>
              </w:rPr>
            </w:pPr>
            <w:r w:rsidRPr="006C2AEE">
              <w:rPr>
                <w:rFonts w:eastAsia="Times New Roman" w:cstheme="minorHAnsi"/>
                <w:b/>
                <w:bCs/>
                <w:color w:val="000000"/>
                <w:sz w:val="14"/>
                <w:szCs w:val="14"/>
                <w:lang w:eastAsia="cs-CZ"/>
              </w:rPr>
              <w:t>2</w:t>
            </w:r>
            <w:r w:rsidRPr="00E97A72">
              <w:rPr>
                <w:rFonts w:eastAsia="Times New Roman" w:cstheme="minorHAnsi"/>
                <w:b/>
                <w:bCs/>
                <w:color w:val="000000"/>
                <w:sz w:val="14"/>
                <w:szCs w:val="14"/>
                <w:lang w:eastAsia="cs-CZ"/>
              </w:rPr>
              <w:t>. PILÍŘ: FYZICKÁ INFRASTUKTURA A</w:t>
            </w:r>
            <w:r w:rsidR="0003053E">
              <w:rPr>
                <w:rFonts w:eastAsia="Times New Roman" w:cstheme="minorHAnsi"/>
                <w:b/>
                <w:bCs/>
                <w:color w:val="000000"/>
                <w:sz w:val="14"/>
                <w:szCs w:val="14"/>
                <w:lang w:eastAsia="cs-CZ"/>
              </w:rPr>
              <w:t> </w:t>
            </w:r>
            <w:r w:rsidRPr="00E97A72">
              <w:rPr>
                <w:rFonts w:eastAsia="Times New Roman" w:cstheme="minorHAnsi"/>
                <w:b/>
                <w:bCs/>
                <w:color w:val="000000"/>
                <w:sz w:val="14"/>
                <w:szCs w:val="14"/>
                <w:lang w:eastAsia="cs-CZ"/>
              </w:rPr>
              <w:t>ZELENÁ TRANIZCE</w:t>
            </w:r>
          </w:p>
        </w:tc>
        <w:tc>
          <w:tcPr>
            <w:tcW w:w="359" w:type="pct"/>
            <w:tcBorders>
              <w:top w:val="nil"/>
              <w:left w:val="nil"/>
              <w:bottom w:val="nil"/>
              <w:right w:val="nil"/>
            </w:tcBorders>
            <w:shd w:val="clear" w:color="auto" w:fill="auto"/>
            <w:noWrap/>
            <w:vAlign w:val="center"/>
            <w:hideMark/>
          </w:tcPr>
          <w:p w14:paraId="783DE208" w14:textId="77777777" w:rsidR="004E56C3" w:rsidRPr="00E97A72" w:rsidRDefault="004E56C3" w:rsidP="004E56C3">
            <w:pPr>
              <w:spacing w:after="0" w:line="240" w:lineRule="auto"/>
              <w:jc w:val="right"/>
              <w:rPr>
                <w:rFonts w:eastAsia="Times New Roman" w:cstheme="minorHAnsi"/>
                <w:b/>
                <w:color w:val="000000"/>
                <w:sz w:val="14"/>
                <w:szCs w:val="14"/>
                <w:lang w:eastAsia="cs-CZ"/>
              </w:rPr>
            </w:pPr>
            <w:r w:rsidRPr="00E97A72">
              <w:rPr>
                <w:rFonts w:eastAsia="Times New Roman" w:cstheme="minorHAnsi"/>
                <w:b/>
                <w:color w:val="000000"/>
                <w:sz w:val="14"/>
                <w:szCs w:val="14"/>
                <w:lang w:eastAsia="cs-CZ"/>
              </w:rPr>
              <w:t>3 288,60</w:t>
            </w:r>
          </w:p>
        </w:tc>
        <w:tc>
          <w:tcPr>
            <w:tcW w:w="400" w:type="pct"/>
            <w:tcBorders>
              <w:top w:val="nil"/>
              <w:left w:val="nil"/>
              <w:bottom w:val="nil"/>
              <w:right w:val="nil"/>
            </w:tcBorders>
            <w:shd w:val="clear" w:color="auto" w:fill="auto"/>
            <w:noWrap/>
            <w:vAlign w:val="center"/>
            <w:hideMark/>
          </w:tcPr>
          <w:p w14:paraId="7915526D" w14:textId="77777777" w:rsidR="004E56C3" w:rsidRPr="00E97A72" w:rsidRDefault="004E56C3" w:rsidP="004E56C3">
            <w:pPr>
              <w:spacing w:after="0" w:line="240" w:lineRule="auto"/>
              <w:jc w:val="right"/>
              <w:rPr>
                <w:rFonts w:eastAsia="Times New Roman" w:cstheme="minorHAnsi"/>
                <w:b/>
                <w:color w:val="000000"/>
                <w:sz w:val="14"/>
                <w:szCs w:val="14"/>
                <w:lang w:eastAsia="cs-CZ"/>
              </w:rPr>
            </w:pPr>
            <w:r w:rsidRPr="00E97A72">
              <w:rPr>
                <w:rFonts w:eastAsia="Times New Roman" w:cstheme="minorHAnsi"/>
                <w:b/>
                <w:color w:val="000000"/>
                <w:sz w:val="14"/>
                <w:szCs w:val="14"/>
                <w:lang w:eastAsia="cs-CZ"/>
              </w:rPr>
              <w:t>12 180,70</w:t>
            </w:r>
          </w:p>
        </w:tc>
        <w:tc>
          <w:tcPr>
            <w:tcW w:w="400" w:type="pct"/>
            <w:tcBorders>
              <w:top w:val="nil"/>
              <w:left w:val="nil"/>
              <w:bottom w:val="nil"/>
              <w:right w:val="nil"/>
            </w:tcBorders>
            <w:shd w:val="clear" w:color="auto" w:fill="auto"/>
            <w:noWrap/>
            <w:vAlign w:val="center"/>
            <w:hideMark/>
          </w:tcPr>
          <w:p w14:paraId="420813D0" w14:textId="77777777" w:rsidR="004E56C3" w:rsidRPr="00E97A72" w:rsidRDefault="004E56C3" w:rsidP="004E56C3">
            <w:pPr>
              <w:spacing w:after="0" w:line="240" w:lineRule="auto"/>
              <w:jc w:val="right"/>
              <w:rPr>
                <w:rFonts w:eastAsia="Times New Roman" w:cstheme="minorHAnsi"/>
                <w:b/>
                <w:color w:val="000000"/>
                <w:sz w:val="14"/>
                <w:szCs w:val="14"/>
                <w:lang w:eastAsia="cs-CZ"/>
              </w:rPr>
            </w:pPr>
            <w:r w:rsidRPr="00E97A72">
              <w:rPr>
                <w:rFonts w:eastAsia="Times New Roman" w:cstheme="minorHAnsi"/>
                <w:b/>
                <w:color w:val="000000"/>
                <w:sz w:val="14"/>
                <w:szCs w:val="14"/>
                <w:lang w:eastAsia="cs-CZ"/>
              </w:rPr>
              <w:t>28 154,10</w:t>
            </w:r>
          </w:p>
        </w:tc>
        <w:tc>
          <w:tcPr>
            <w:tcW w:w="400" w:type="pct"/>
            <w:tcBorders>
              <w:top w:val="nil"/>
              <w:left w:val="nil"/>
              <w:bottom w:val="nil"/>
              <w:right w:val="nil"/>
            </w:tcBorders>
            <w:shd w:val="clear" w:color="auto" w:fill="auto"/>
            <w:noWrap/>
            <w:vAlign w:val="center"/>
            <w:hideMark/>
          </w:tcPr>
          <w:p w14:paraId="4AECE1E9" w14:textId="77777777" w:rsidR="004E56C3" w:rsidRPr="00E97A72" w:rsidRDefault="004E56C3" w:rsidP="004E56C3">
            <w:pPr>
              <w:spacing w:after="0" w:line="240" w:lineRule="auto"/>
              <w:jc w:val="right"/>
              <w:rPr>
                <w:rFonts w:eastAsia="Times New Roman" w:cstheme="minorHAnsi"/>
                <w:b/>
                <w:color w:val="000000"/>
                <w:sz w:val="14"/>
                <w:szCs w:val="14"/>
                <w:lang w:eastAsia="cs-CZ"/>
              </w:rPr>
            </w:pPr>
            <w:r w:rsidRPr="00E97A72">
              <w:rPr>
                <w:rFonts w:eastAsia="Times New Roman" w:cstheme="minorHAnsi"/>
                <w:b/>
                <w:color w:val="000000"/>
                <w:sz w:val="14"/>
                <w:szCs w:val="14"/>
                <w:lang w:eastAsia="cs-CZ"/>
              </w:rPr>
              <w:t>18 726,20</w:t>
            </w:r>
          </w:p>
        </w:tc>
        <w:tc>
          <w:tcPr>
            <w:tcW w:w="400" w:type="pct"/>
            <w:tcBorders>
              <w:top w:val="nil"/>
              <w:left w:val="nil"/>
              <w:bottom w:val="nil"/>
              <w:right w:val="nil"/>
            </w:tcBorders>
            <w:shd w:val="clear" w:color="auto" w:fill="auto"/>
            <w:noWrap/>
            <w:vAlign w:val="center"/>
            <w:hideMark/>
          </w:tcPr>
          <w:p w14:paraId="7CA38F31" w14:textId="77777777" w:rsidR="004E56C3" w:rsidRPr="00E97A72" w:rsidRDefault="004E56C3" w:rsidP="004E56C3">
            <w:pPr>
              <w:spacing w:after="0" w:line="240" w:lineRule="auto"/>
              <w:jc w:val="right"/>
              <w:rPr>
                <w:rFonts w:eastAsia="Times New Roman" w:cstheme="minorHAnsi"/>
                <w:b/>
                <w:color w:val="000000"/>
                <w:sz w:val="14"/>
                <w:szCs w:val="14"/>
                <w:lang w:eastAsia="cs-CZ"/>
              </w:rPr>
            </w:pPr>
            <w:r w:rsidRPr="00E97A72">
              <w:rPr>
                <w:rFonts w:eastAsia="Times New Roman" w:cstheme="minorHAnsi"/>
                <w:b/>
                <w:color w:val="000000"/>
                <w:sz w:val="14"/>
                <w:szCs w:val="14"/>
                <w:lang w:eastAsia="cs-CZ"/>
              </w:rPr>
              <w:t>13 061,10</w:t>
            </w:r>
          </w:p>
        </w:tc>
        <w:tc>
          <w:tcPr>
            <w:tcW w:w="400" w:type="pct"/>
            <w:tcBorders>
              <w:top w:val="nil"/>
              <w:left w:val="nil"/>
              <w:bottom w:val="nil"/>
              <w:right w:val="nil"/>
            </w:tcBorders>
            <w:shd w:val="clear" w:color="auto" w:fill="auto"/>
            <w:noWrap/>
            <w:vAlign w:val="center"/>
            <w:hideMark/>
          </w:tcPr>
          <w:p w14:paraId="29B94C0E" w14:textId="77777777" w:rsidR="004E56C3" w:rsidRPr="00E97A72" w:rsidRDefault="004E56C3" w:rsidP="004E56C3">
            <w:pPr>
              <w:spacing w:after="0" w:line="240" w:lineRule="auto"/>
              <w:jc w:val="right"/>
              <w:rPr>
                <w:rFonts w:eastAsia="Times New Roman" w:cstheme="minorHAnsi"/>
                <w:b/>
                <w:color w:val="000000"/>
                <w:sz w:val="14"/>
                <w:szCs w:val="14"/>
                <w:lang w:eastAsia="cs-CZ"/>
              </w:rPr>
            </w:pPr>
            <w:r w:rsidRPr="00E97A72">
              <w:rPr>
                <w:rFonts w:eastAsia="Times New Roman" w:cstheme="minorHAnsi"/>
                <w:b/>
                <w:color w:val="000000"/>
                <w:sz w:val="14"/>
                <w:szCs w:val="14"/>
                <w:lang w:eastAsia="cs-CZ"/>
              </w:rPr>
              <w:t>14 270,70</w:t>
            </w:r>
          </w:p>
        </w:tc>
        <w:tc>
          <w:tcPr>
            <w:tcW w:w="359" w:type="pct"/>
            <w:tcBorders>
              <w:top w:val="nil"/>
              <w:left w:val="nil"/>
              <w:bottom w:val="nil"/>
              <w:right w:val="nil"/>
            </w:tcBorders>
            <w:shd w:val="clear" w:color="auto" w:fill="auto"/>
            <w:noWrap/>
            <w:vAlign w:val="center"/>
            <w:hideMark/>
          </w:tcPr>
          <w:p w14:paraId="44A7754D" w14:textId="77777777" w:rsidR="004E56C3" w:rsidRPr="00E97A72" w:rsidRDefault="004E56C3" w:rsidP="004E56C3">
            <w:pPr>
              <w:spacing w:after="0" w:line="240" w:lineRule="auto"/>
              <w:jc w:val="right"/>
              <w:rPr>
                <w:rFonts w:eastAsia="Times New Roman" w:cstheme="minorHAnsi"/>
                <w:b/>
                <w:color w:val="000000"/>
                <w:sz w:val="14"/>
                <w:szCs w:val="14"/>
                <w:lang w:eastAsia="cs-CZ"/>
              </w:rPr>
            </w:pPr>
            <w:r w:rsidRPr="00E97A72">
              <w:rPr>
                <w:rFonts w:eastAsia="Times New Roman" w:cstheme="minorHAnsi"/>
                <w:b/>
                <w:color w:val="000000"/>
                <w:sz w:val="14"/>
                <w:szCs w:val="14"/>
                <w:lang w:eastAsia="cs-CZ"/>
              </w:rPr>
              <w:t>5 331,70</w:t>
            </w:r>
          </w:p>
        </w:tc>
        <w:tc>
          <w:tcPr>
            <w:tcW w:w="400" w:type="pct"/>
            <w:tcBorders>
              <w:top w:val="nil"/>
              <w:left w:val="single" w:sz="4" w:space="0" w:color="auto"/>
              <w:bottom w:val="nil"/>
              <w:right w:val="nil"/>
            </w:tcBorders>
            <w:shd w:val="clear" w:color="auto" w:fill="auto"/>
            <w:noWrap/>
            <w:vAlign w:val="center"/>
            <w:hideMark/>
          </w:tcPr>
          <w:p w14:paraId="674BD7FF" w14:textId="77777777" w:rsidR="004E56C3" w:rsidRPr="00E97A72" w:rsidRDefault="004E56C3" w:rsidP="004E56C3">
            <w:pPr>
              <w:spacing w:after="0" w:line="240" w:lineRule="auto"/>
              <w:jc w:val="right"/>
              <w:rPr>
                <w:rFonts w:eastAsia="Times New Roman" w:cstheme="minorHAnsi"/>
                <w:b/>
                <w:bCs/>
                <w:color w:val="000000"/>
                <w:sz w:val="14"/>
                <w:szCs w:val="14"/>
                <w:lang w:eastAsia="cs-CZ"/>
              </w:rPr>
            </w:pPr>
            <w:r w:rsidRPr="00E97A72">
              <w:rPr>
                <w:rFonts w:eastAsia="Times New Roman" w:cstheme="minorHAnsi"/>
                <w:b/>
                <w:bCs/>
                <w:color w:val="000000"/>
                <w:sz w:val="14"/>
                <w:szCs w:val="14"/>
                <w:lang w:eastAsia="cs-CZ"/>
              </w:rPr>
              <w:t>95 013,10</w:t>
            </w:r>
          </w:p>
        </w:tc>
      </w:tr>
      <w:tr w:rsidR="004E56C3" w:rsidRPr="00E97A72" w14:paraId="41C1444F" w14:textId="77777777" w:rsidTr="004E56C3">
        <w:trPr>
          <w:trHeight w:val="300"/>
          <w:tblHeader/>
        </w:trPr>
        <w:tc>
          <w:tcPr>
            <w:tcW w:w="1884" w:type="pct"/>
            <w:tcBorders>
              <w:top w:val="nil"/>
              <w:left w:val="nil"/>
              <w:bottom w:val="nil"/>
              <w:right w:val="single" w:sz="4" w:space="0" w:color="auto"/>
            </w:tcBorders>
            <w:shd w:val="clear" w:color="auto" w:fill="auto"/>
            <w:noWrap/>
            <w:vAlign w:val="center"/>
            <w:hideMark/>
          </w:tcPr>
          <w:p w14:paraId="168008E3" w14:textId="6D8D7AE1" w:rsidR="004E56C3" w:rsidRPr="00E97A72" w:rsidRDefault="004E56C3" w:rsidP="004E56C3">
            <w:pPr>
              <w:spacing w:after="0" w:line="240" w:lineRule="auto"/>
              <w:rPr>
                <w:rFonts w:eastAsia="Times New Roman" w:cstheme="minorHAnsi"/>
                <w:color w:val="000000"/>
                <w:sz w:val="14"/>
                <w:szCs w:val="14"/>
                <w:lang w:eastAsia="cs-CZ"/>
              </w:rPr>
            </w:pPr>
            <w:r w:rsidRPr="00E97A72">
              <w:rPr>
                <w:rFonts w:eastAsia="Times New Roman" w:cstheme="minorHAnsi"/>
                <w:color w:val="000000"/>
                <w:sz w:val="14"/>
                <w:szCs w:val="14"/>
                <w:lang w:eastAsia="cs-CZ"/>
              </w:rPr>
              <w:t>2.1 Udržitelná a</w:t>
            </w:r>
            <w:r w:rsidR="0003053E">
              <w:rPr>
                <w:rFonts w:eastAsia="Times New Roman" w:cstheme="minorHAnsi"/>
                <w:color w:val="000000"/>
                <w:sz w:val="14"/>
                <w:szCs w:val="14"/>
                <w:lang w:eastAsia="cs-CZ"/>
              </w:rPr>
              <w:t> </w:t>
            </w:r>
            <w:r w:rsidRPr="00E97A72">
              <w:rPr>
                <w:rFonts w:eastAsia="Times New Roman" w:cstheme="minorHAnsi"/>
                <w:color w:val="000000"/>
                <w:sz w:val="14"/>
                <w:szCs w:val="14"/>
                <w:lang w:eastAsia="cs-CZ"/>
              </w:rPr>
              <w:t>bezpečná doprava</w:t>
            </w:r>
          </w:p>
        </w:tc>
        <w:tc>
          <w:tcPr>
            <w:tcW w:w="359" w:type="pct"/>
            <w:tcBorders>
              <w:top w:val="nil"/>
              <w:left w:val="nil"/>
              <w:bottom w:val="nil"/>
              <w:right w:val="nil"/>
            </w:tcBorders>
            <w:shd w:val="clear" w:color="auto" w:fill="auto"/>
            <w:noWrap/>
            <w:vAlign w:val="center"/>
            <w:hideMark/>
          </w:tcPr>
          <w:p w14:paraId="48E1A0FD"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3 107,00</w:t>
            </w:r>
          </w:p>
        </w:tc>
        <w:tc>
          <w:tcPr>
            <w:tcW w:w="400" w:type="pct"/>
            <w:tcBorders>
              <w:top w:val="nil"/>
              <w:left w:val="nil"/>
              <w:bottom w:val="nil"/>
              <w:right w:val="nil"/>
            </w:tcBorders>
            <w:shd w:val="clear" w:color="auto" w:fill="auto"/>
            <w:noWrap/>
            <w:vAlign w:val="center"/>
            <w:hideMark/>
          </w:tcPr>
          <w:p w14:paraId="12E9F06A"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8 351,40</w:t>
            </w:r>
          </w:p>
        </w:tc>
        <w:tc>
          <w:tcPr>
            <w:tcW w:w="400" w:type="pct"/>
            <w:tcBorders>
              <w:top w:val="nil"/>
              <w:left w:val="nil"/>
              <w:bottom w:val="nil"/>
              <w:right w:val="nil"/>
            </w:tcBorders>
            <w:shd w:val="clear" w:color="auto" w:fill="auto"/>
            <w:noWrap/>
            <w:vAlign w:val="center"/>
            <w:hideMark/>
          </w:tcPr>
          <w:p w14:paraId="33B8D891"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11 021,10</w:t>
            </w:r>
          </w:p>
        </w:tc>
        <w:tc>
          <w:tcPr>
            <w:tcW w:w="400" w:type="pct"/>
            <w:tcBorders>
              <w:top w:val="nil"/>
              <w:left w:val="nil"/>
              <w:bottom w:val="nil"/>
              <w:right w:val="nil"/>
            </w:tcBorders>
            <w:shd w:val="clear" w:color="auto" w:fill="auto"/>
            <w:noWrap/>
            <w:vAlign w:val="center"/>
            <w:hideMark/>
          </w:tcPr>
          <w:p w14:paraId="55590625"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1 520,60</w:t>
            </w:r>
          </w:p>
        </w:tc>
        <w:tc>
          <w:tcPr>
            <w:tcW w:w="400" w:type="pct"/>
            <w:tcBorders>
              <w:top w:val="nil"/>
              <w:left w:val="nil"/>
              <w:bottom w:val="nil"/>
              <w:right w:val="nil"/>
            </w:tcBorders>
            <w:shd w:val="clear" w:color="auto" w:fill="auto"/>
            <w:noWrap/>
            <w:vAlign w:val="center"/>
            <w:hideMark/>
          </w:tcPr>
          <w:p w14:paraId="534DA09E"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nil"/>
              <w:bottom w:val="nil"/>
              <w:right w:val="nil"/>
            </w:tcBorders>
            <w:shd w:val="clear" w:color="auto" w:fill="auto"/>
            <w:noWrap/>
            <w:vAlign w:val="center"/>
            <w:hideMark/>
          </w:tcPr>
          <w:p w14:paraId="6417ABCE"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359" w:type="pct"/>
            <w:tcBorders>
              <w:top w:val="nil"/>
              <w:left w:val="nil"/>
              <w:bottom w:val="nil"/>
              <w:right w:val="nil"/>
            </w:tcBorders>
            <w:shd w:val="clear" w:color="auto" w:fill="auto"/>
            <w:noWrap/>
            <w:vAlign w:val="center"/>
            <w:hideMark/>
          </w:tcPr>
          <w:p w14:paraId="7B26F8F1"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single" w:sz="4" w:space="0" w:color="auto"/>
              <w:bottom w:val="nil"/>
              <w:right w:val="nil"/>
            </w:tcBorders>
            <w:shd w:val="clear" w:color="auto" w:fill="auto"/>
            <w:noWrap/>
            <w:vAlign w:val="center"/>
            <w:hideMark/>
          </w:tcPr>
          <w:p w14:paraId="2129201A" w14:textId="77777777" w:rsidR="004E56C3" w:rsidRPr="00E97A72" w:rsidRDefault="004E56C3" w:rsidP="004E56C3">
            <w:pPr>
              <w:spacing w:after="0" w:line="240" w:lineRule="auto"/>
              <w:jc w:val="right"/>
              <w:rPr>
                <w:rFonts w:eastAsia="Times New Roman" w:cstheme="minorHAnsi"/>
                <w:b/>
                <w:bCs/>
                <w:color w:val="000000"/>
                <w:sz w:val="14"/>
                <w:szCs w:val="14"/>
                <w:lang w:eastAsia="cs-CZ"/>
              </w:rPr>
            </w:pPr>
            <w:r w:rsidRPr="00E97A72">
              <w:rPr>
                <w:rFonts w:eastAsia="Times New Roman" w:cstheme="minorHAnsi"/>
                <w:b/>
                <w:bCs/>
                <w:color w:val="000000"/>
                <w:sz w:val="14"/>
                <w:szCs w:val="14"/>
                <w:lang w:eastAsia="cs-CZ"/>
              </w:rPr>
              <w:t>24 000,10</w:t>
            </w:r>
          </w:p>
        </w:tc>
      </w:tr>
      <w:tr w:rsidR="004E56C3" w:rsidRPr="00E97A72" w14:paraId="776AC6D8" w14:textId="77777777" w:rsidTr="004E56C3">
        <w:trPr>
          <w:trHeight w:val="300"/>
          <w:tblHeader/>
        </w:trPr>
        <w:tc>
          <w:tcPr>
            <w:tcW w:w="1884" w:type="pct"/>
            <w:tcBorders>
              <w:top w:val="nil"/>
              <w:left w:val="nil"/>
              <w:bottom w:val="nil"/>
              <w:right w:val="single" w:sz="4" w:space="0" w:color="auto"/>
            </w:tcBorders>
            <w:shd w:val="clear" w:color="auto" w:fill="auto"/>
            <w:noWrap/>
            <w:vAlign w:val="center"/>
            <w:hideMark/>
          </w:tcPr>
          <w:p w14:paraId="2E6673C0" w14:textId="77777777" w:rsidR="004E56C3" w:rsidRPr="00E97A72" w:rsidRDefault="004E56C3" w:rsidP="004E56C3">
            <w:pPr>
              <w:spacing w:after="0" w:line="240" w:lineRule="auto"/>
              <w:rPr>
                <w:rFonts w:eastAsia="Times New Roman" w:cstheme="minorHAnsi"/>
                <w:color w:val="000000"/>
                <w:sz w:val="14"/>
                <w:szCs w:val="14"/>
                <w:lang w:eastAsia="cs-CZ"/>
              </w:rPr>
            </w:pPr>
            <w:r w:rsidRPr="00E97A72">
              <w:rPr>
                <w:rFonts w:eastAsia="Times New Roman" w:cstheme="minorHAnsi"/>
                <w:color w:val="000000"/>
                <w:sz w:val="14"/>
                <w:szCs w:val="14"/>
                <w:lang w:eastAsia="cs-CZ"/>
              </w:rPr>
              <w:t>2.2 Snižování spotřeby energie</w:t>
            </w:r>
          </w:p>
        </w:tc>
        <w:tc>
          <w:tcPr>
            <w:tcW w:w="359" w:type="pct"/>
            <w:tcBorders>
              <w:top w:val="nil"/>
              <w:left w:val="nil"/>
              <w:bottom w:val="nil"/>
              <w:right w:val="nil"/>
            </w:tcBorders>
            <w:shd w:val="clear" w:color="auto" w:fill="auto"/>
            <w:noWrap/>
            <w:vAlign w:val="center"/>
            <w:hideMark/>
          </w:tcPr>
          <w:p w14:paraId="2B73598E"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nil"/>
              <w:bottom w:val="nil"/>
              <w:right w:val="nil"/>
            </w:tcBorders>
            <w:shd w:val="clear" w:color="auto" w:fill="auto"/>
            <w:noWrap/>
            <w:vAlign w:val="center"/>
            <w:hideMark/>
          </w:tcPr>
          <w:p w14:paraId="033F5709"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nil"/>
              <w:bottom w:val="nil"/>
              <w:right w:val="nil"/>
            </w:tcBorders>
            <w:shd w:val="clear" w:color="auto" w:fill="auto"/>
            <w:noWrap/>
            <w:vAlign w:val="center"/>
            <w:hideMark/>
          </w:tcPr>
          <w:p w14:paraId="2FFA9B75"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4 854,60</w:t>
            </w:r>
          </w:p>
        </w:tc>
        <w:tc>
          <w:tcPr>
            <w:tcW w:w="400" w:type="pct"/>
            <w:tcBorders>
              <w:top w:val="nil"/>
              <w:left w:val="nil"/>
              <w:bottom w:val="nil"/>
              <w:right w:val="nil"/>
            </w:tcBorders>
            <w:shd w:val="clear" w:color="auto" w:fill="auto"/>
            <w:noWrap/>
            <w:vAlign w:val="center"/>
            <w:hideMark/>
          </w:tcPr>
          <w:p w14:paraId="3C2AB145"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3 212,40</w:t>
            </w:r>
          </w:p>
        </w:tc>
        <w:tc>
          <w:tcPr>
            <w:tcW w:w="400" w:type="pct"/>
            <w:tcBorders>
              <w:top w:val="nil"/>
              <w:left w:val="nil"/>
              <w:bottom w:val="nil"/>
              <w:right w:val="nil"/>
            </w:tcBorders>
            <w:shd w:val="clear" w:color="auto" w:fill="auto"/>
            <w:noWrap/>
            <w:vAlign w:val="center"/>
            <w:hideMark/>
          </w:tcPr>
          <w:p w14:paraId="4CDF85C6"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918,00</w:t>
            </w:r>
          </w:p>
        </w:tc>
        <w:tc>
          <w:tcPr>
            <w:tcW w:w="400" w:type="pct"/>
            <w:tcBorders>
              <w:top w:val="nil"/>
              <w:left w:val="nil"/>
              <w:bottom w:val="nil"/>
              <w:right w:val="nil"/>
            </w:tcBorders>
            <w:shd w:val="clear" w:color="auto" w:fill="auto"/>
            <w:noWrap/>
            <w:vAlign w:val="center"/>
            <w:hideMark/>
          </w:tcPr>
          <w:p w14:paraId="361BD160"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780,00</w:t>
            </w:r>
          </w:p>
        </w:tc>
        <w:tc>
          <w:tcPr>
            <w:tcW w:w="359" w:type="pct"/>
            <w:tcBorders>
              <w:top w:val="nil"/>
              <w:left w:val="nil"/>
              <w:bottom w:val="nil"/>
              <w:right w:val="nil"/>
            </w:tcBorders>
            <w:shd w:val="clear" w:color="auto" w:fill="auto"/>
            <w:noWrap/>
            <w:vAlign w:val="center"/>
            <w:hideMark/>
          </w:tcPr>
          <w:p w14:paraId="643C1E8C"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single" w:sz="4" w:space="0" w:color="auto"/>
              <w:bottom w:val="nil"/>
              <w:right w:val="nil"/>
            </w:tcBorders>
            <w:shd w:val="clear" w:color="auto" w:fill="auto"/>
            <w:noWrap/>
            <w:vAlign w:val="center"/>
            <w:hideMark/>
          </w:tcPr>
          <w:p w14:paraId="716CD66B" w14:textId="77777777" w:rsidR="004E56C3" w:rsidRPr="00E97A72" w:rsidRDefault="004E56C3" w:rsidP="004E56C3">
            <w:pPr>
              <w:spacing w:after="0" w:line="240" w:lineRule="auto"/>
              <w:jc w:val="right"/>
              <w:rPr>
                <w:rFonts w:eastAsia="Times New Roman" w:cstheme="minorHAnsi"/>
                <w:b/>
                <w:bCs/>
                <w:color w:val="000000"/>
                <w:sz w:val="14"/>
                <w:szCs w:val="14"/>
                <w:lang w:eastAsia="cs-CZ"/>
              </w:rPr>
            </w:pPr>
            <w:r w:rsidRPr="00E97A72">
              <w:rPr>
                <w:rFonts w:eastAsia="Times New Roman" w:cstheme="minorHAnsi"/>
                <w:b/>
                <w:bCs/>
                <w:color w:val="000000"/>
                <w:sz w:val="14"/>
                <w:szCs w:val="14"/>
                <w:lang w:eastAsia="cs-CZ"/>
              </w:rPr>
              <w:t>9 765,00</w:t>
            </w:r>
          </w:p>
        </w:tc>
      </w:tr>
      <w:tr w:rsidR="004E56C3" w:rsidRPr="00E97A72" w14:paraId="1D70D569" w14:textId="77777777" w:rsidTr="004E56C3">
        <w:trPr>
          <w:trHeight w:val="300"/>
          <w:tblHeader/>
        </w:trPr>
        <w:tc>
          <w:tcPr>
            <w:tcW w:w="1884" w:type="pct"/>
            <w:tcBorders>
              <w:top w:val="nil"/>
              <w:left w:val="nil"/>
              <w:bottom w:val="nil"/>
              <w:right w:val="single" w:sz="4" w:space="0" w:color="auto"/>
            </w:tcBorders>
            <w:shd w:val="clear" w:color="auto" w:fill="auto"/>
            <w:noWrap/>
            <w:vAlign w:val="center"/>
            <w:hideMark/>
          </w:tcPr>
          <w:p w14:paraId="565B55F6" w14:textId="630AC74E" w:rsidR="004E56C3" w:rsidRPr="00E97A72" w:rsidRDefault="004E56C3" w:rsidP="004E56C3">
            <w:pPr>
              <w:spacing w:after="0" w:line="240" w:lineRule="auto"/>
              <w:rPr>
                <w:rFonts w:eastAsia="Times New Roman" w:cstheme="minorHAnsi"/>
                <w:color w:val="000000"/>
                <w:sz w:val="14"/>
                <w:szCs w:val="14"/>
                <w:lang w:eastAsia="cs-CZ"/>
              </w:rPr>
            </w:pPr>
            <w:r w:rsidRPr="00E97A72">
              <w:rPr>
                <w:rFonts w:eastAsia="Times New Roman" w:cstheme="minorHAnsi"/>
                <w:color w:val="000000"/>
                <w:sz w:val="14"/>
                <w:szCs w:val="14"/>
                <w:lang w:eastAsia="cs-CZ"/>
              </w:rPr>
              <w:t>2.3 Transformace průmyslu a</w:t>
            </w:r>
            <w:r w:rsidR="0003053E">
              <w:rPr>
                <w:rFonts w:eastAsia="Times New Roman" w:cstheme="minorHAnsi"/>
                <w:color w:val="000000"/>
                <w:sz w:val="14"/>
                <w:szCs w:val="14"/>
                <w:lang w:eastAsia="cs-CZ"/>
              </w:rPr>
              <w:t> </w:t>
            </w:r>
            <w:r w:rsidRPr="00E97A72">
              <w:rPr>
                <w:rFonts w:eastAsia="Times New Roman" w:cstheme="minorHAnsi"/>
                <w:color w:val="000000"/>
                <w:sz w:val="14"/>
                <w:szCs w:val="14"/>
                <w:lang w:eastAsia="cs-CZ"/>
              </w:rPr>
              <w:t>přechod na čistší zdroje</w:t>
            </w:r>
          </w:p>
        </w:tc>
        <w:tc>
          <w:tcPr>
            <w:tcW w:w="359" w:type="pct"/>
            <w:tcBorders>
              <w:top w:val="nil"/>
              <w:left w:val="nil"/>
              <w:bottom w:val="nil"/>
              <w:right w:val="nil"/>
            </w:tcBorders>
            <w:shd w:val="clear" w:color="auto" w:fill="auto"/>
            <w:noWrap/>
            <w:vAlign w:val="center"/>
            <w:hideMark/>
          </w:tcPr>
          <w:p w14:paraId="08FDA433"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nil"/>
              <w:bottom w:val="nil"/>
              <w:right w:val="nil"/>
            </w:tcBorders>
            <w:shd w:val="clear" w:color="auto" w:fill="auto"/>
            <w:noWrap/>
            <w:vAlign w:val="center"/>
            <w:hideMark/>
          </w:tcPr>
          <w:p w14:paraId="0590E63D"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nil"/>
              <w:bottom w:val="nil"/>
              <w:right w:val="nil"/>
            </w:tcBorders>
            <w:shd w:val="clear" w:color="auto" w:fill="auto"/>
            <w:noWrap/>
            <w:vAlign w:val="center"/>
            <w:hideMark/>
          </w:tcPr>
          <w:p w14:paraId="22DD5DFF"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1 125,10</w:t>
            </w:r>
          </w:p>
        </w:tc>
        <w:tc>
          <w:tcPr>
            <w:tcW w:w="400" w:type="pct"/>
            <w:tcBorders>
              <w:top w:val="nil"/>
              <w:left w:val="nil"/>
              <w:bottom w:val="nil"/>
              <w:right w:val="nil"/>
            </w:tcBorders>
            <w:shd w:val="clear" w:color="auto" w:fill="auto"/>
            <w:noWrap/>
            <w:vAlign w:val="center"/>
            <w:hideMark/>
          </w:tcPr>
          <w:p w14:paraId="216BBD15"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1 575,90</w:t>
            </w:r>
          </w:p>
        </w:tc>
        <w:tc>
          <w:tcPr>
            <w:tcW w:w="400" w:type="pct"/>
            <w:tcBorders>
              <w:top w:val="nil"/>
              <w:left w:val="nil"/>
              <w:bottom w:val="nil"/>
              <w:right w:val="nil"/>
            </w:tcBorders>
            <w:shd w:val="clear" w:color="auto" w:fill="auto"/>
            <w:noWrap/>
            <w:vAlign w:val="center"/>
            <w:hideMark/>
          </w:tcPr>
          <w:p w14:paraId="3D418002"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1 575,90</w:t>
            </w:r>
          </w:p>
        </w:tc>
        <w:tc>
          <w:tcPr>
            <w:tcW w:w="400" w:type="pct"/>
            <w:tcBorders>
              <w:top w:val="nil"/>
              <w:left w:val="nil"/>
              <w:bottom w:val="nil"/>
              <w:right w:val="nil"/>
            </w:tcBorders>
            <w:shd w:val="clear" w:color="auto" w:fill="auto"/>
            <w:noWrap/>
            <w:vAlign w:val="center"/>
            <w:hideMark/>
          </w:tcPr>
          <w:p w14:paraId="14D89B1B"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1 575,90</w:t>
            </w:r>
          </w:p>
        </w:tc>
        <w:tc>
          <w:tcPr>
            <w:tcW w:w="359" w:type="pct"/>
            <w:tcBorders>
              <w:top w:val="nil"/>
              <w:left w:val="nil"/>
              <w:bottom w:val="nil"/>
              <w:right w:val="nil"/>
            </w:tcBorders>
            <w:shd w:val="clear" w:color="auto" w:fill="auto"/>
            <w:noWrap/>
            <w:vAlign w:val="center"/>
            <w:hideMark/>
          </w:tcPr>
          <w:p w14:paraId="54C30E22"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807,20</w:t>
            </w:r>
          </w:p>
        </w:tc>
        <w:tc>
          <w:tcPr>
            <w:tcW w:w="400" w:type="pct"/>
            <w:tcBorders>
              <w:top w:val="nil"/>
              <w:left w:val="single" w:sz="4" w:space="0" w:color="auto"/>
              <w:bottom w:val="nil"/>
              <w:right w:val="nil"/>
            </w:tcBorders>
            <w:shd w:val="clear" w:color="auto" w:fill="auto"/>
            <w:noWrap/>
            <w:vAlign w:val="center"/>
            <w:hideMark/>
          </w:tcPr>
          <w:p w14:paraId="5A021873" w14:textId="77777777" w:rsidR="004E56C3" w:rsidRPr="00E97A72" w:rsidRDefault="004E56C3" w:rsidP="004E56C3">
            <w:pPr>
              <w:spacing w:after="0" w:line="240" w:lineRule="auto"/>
              <w:jc w:val="right"/>
              <w:rPr>
                <w:rFonts w:eastAsia="Times New Roman" w:cstheme="minorHAnsi"/>
                <w:b/>
                <w:bCs/>
                <w:color w:val="000000"/>
                <w:sz w:val="14"/>
                <w:szCs w:val="14"/>
                <w:lang w:eastAsia="cs-CZ"/>
              </w:rPr>
            </w:pPr>
            <w:r w:rsidRPr="00E97A72">
              <w:rPr>
                <w:rFonts w:eastAsia="Times New Roman" w:cstheme="minorHAnsi"/>
                <w:b/>
                <w:bCs/>
                <w:color w:val="000000"/>
                <w:sz w:val="14"/>
                <w:szCs w:val="14"/>
                <w:lang w:eastAsia="cs-CZ"/>
              </w:rPr>
              <w:t>6 660,00</w:t>
            </w:r>
          </w:p>
        </w:tc>
      </w:tr>
      <w:tr w:rsidR="004E56C3" w:rsidRPr="00E97A72" w14:paraId="77C0C347" w14:textId="77777777" w:rsidTr="004E56C3">
        <w:trPr>
          <w:trHeight w:val="300"/>
          <w:tblHeader/>
        </w:trPr>
        <w:tc>
          <w:tcPr>
            <w:tcW w:w="1884" w:type="pct"/>
            <w:tcBorders>
              <w:top w:val="nil"/>
              <w:left w:val="nil"/>
              <w:bottom w:val="nil"/>
              <w:right w:val="single" w:sz="4" w:space="0" w:color="auto"/>
            </w:tcBorders>
            <w:shd w:val="clear" w:color="auto" w:fill="auto"/>
            <w:noWrap/>
            <w:vAlign w:val="center"/>
            <w:hideMark/>
          </w:tcPr>
          <w:p w14:paraId="0CB7EAA0" w14:textId="77777777" w:rsidR="004E56C3" w:rsidRPr="00E97A72" w:rsidRDefault="004E56C3" w:rsidP="004E56C3">
            <w:pPr>
              <w:spacing w:after="0" w:line="240" w:lineRule="auto"/>
              <w:rPr>
                <w:rFonts w:eastAsia="Times New Roman" w:cstheme="minorHAnsi"/>
                <w:color w:val="000000"/>
                <w:sz w:val="14"/>
                <w:szCs w:val="14"/>
                <w:lang w:eastAsia="cs-CZ"/>
              </w:rPr>
            </w:pPr>
            <w:r w:rsidRPr="00E97A72">
              <w:rPr>
                <w:rFonts w:eastAsia="Times New Roman" w:cstheme="minorHAnsi"/>
                <w:color w:val="000000"/>
                <w:sz w:val="14"/>
                <w:szCs w:val="14"/>
                <w:lang w:eastAsia="cs-CZ"/>
              </w:rPr>
              <w:t>2.4 Rozvoj čisté mobility</w:t>
            </w:r>
          </w:p>
        </w:tc>
        <w:tc>
          <w:tcPr>
            <w:tcW w:w="359" w:type="pct"/>
            <w:tcBorders>
              <w:top w:val="nil"/>
              <w:left w:val="nil"/>
              <w:bottom w:val="nil"/>
              <w:right w:val="nil"/>
            </w:tcBorders>
            <w:shd w:val="clear" w:color="auto" w:fill="auto"/>
            <w:noWrap/>
            <w:vAlign w:val="center"/>
            <w:hideMark/>
          </w:tcPr>
          <w:p w14:paraId="06B0A890"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nil"/>
              <w:bottom w:val="nil"/>
              <w:right w:val="nil"/>
            </w:tcBorders>
            <w:shd w:val="clear" w:color="auto" w:fill="auto"/>
            <w:noWrap/>
            <w:vAlign w:val="center"/>
            <w:hideMark/>
          </w:tcPr>
          <w:p w14:paraId="423F44C6"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nil"/>
              <w:bottom w:val="nil"/>
              <w:right w:val="nil"/>
            </w:tcBorders>
            <w:shd w:val="clear" w:color="auto" w:fill="auto"/>
            <w:noWrap/>
            <w:vAlign w:val="center"/>
            <w:hideMark/>
          </w:tcPr>
          <w:p w14:paraId="103E3D12"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587,00</w:t>
            </w:r>
          </w:p>
        </w:tc>
        <w:tc>
          <w:tcPr>
            <w:tcW w:w="400" w:type="pct"/>
            <w:tcBorders>
              <w:top w:val="nil"/>
              <w:left w:val="nil"/>
              <w:bottom w:val="nil"/>
              <w:right w:val="nil"/>
            </w:tcBorders>
            <w:shd w:val="clear" w:color="auto" w:fill="auto"/>
            <w:noWrap/>
            <w:vAlign w:val="center"/>
            <w:hideMark/>
          </w:tcPr>
          <w:p w14:paraId="3EB9868C"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1 237,00</w:t>
            </w:r>
          </w:p>
        </w:tc>
        <w:tc>
          <w:tcPr>
            <w:tcW w:w="400" w:type="pct"/>
            <w:tcBorders>
              <w:top w:val="nil"/>
              <w:left w:val="nil"/>
              <w:bottom w:val="nil"/>
              <w:right w:val="nil"/>
            </w:tcBorders>
            <w:shd w:val="clear" w:color="auto" w:fill="auto"/>
            <w:noWrap/>
            <w:vAlign w:val="center"/>
            <w:hideMark/>
          </w:tcPr>
          <w:p w14:paraId="6E6B8CBC"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1 607,00</w:t>
            </w:r>
          </w:p>
        </w:tc>
        <w:tc>
          <w:tcPr>
            <w:tcW w:w="400" w:type="pct"/>
            <w:tcBorders>
              <w:top w:val="nil"/>
              <w:left w:val="nil"/>
              <w:bottom w:val="nil"/>
              <w:right w:val="nil"/>
            </w:tcBorders>
            <w:shd w:val="clear" w:color="auto" w:fill="auto"/>
            <w:noWrap/>
            <w:vAlign w:val="center"/>
            <w:hideMark/>
          </w:tcPr>
          <w:p w14:paraId="2F030D5F"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1 158,00</w:t>
            </w:r>
          </w:p>
        </w:tc>
        <w:tc>
          <w:tcPr>
            <w:tcW w:w="359" w:type="pct"/>
            <w:tcBorders>
              <w:top w:val="nil"/>
              <w:left w:val="nil"/>
              <w:bottom w:val="nil"/>
              <w:right w:val="nil"/>
            </w:tcBorders>
            <w:shd w:val="clear" w:color="auto" w:fill="auto"/>
            <w:noWrap/>
            <w:vAlign w:val="center"/>
            <w:hideMark/>
          </w:tcPr>
          <w:p w14:paraId="2324BFC5"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295,00</w:t>
            </w:r>
          </w:p>
        </w:tc>
        <w:tc>
          <w:tcPr>
            <w:tcW w:w="400" w:type="pct"/>
            <w:tcBorders>
              <w:top w:val="nil"/>
              <w:left w:val="single" w:sz="4" w:space="0" w:color="auto"/>
              <w:bottom w:val="nil"/>
              <w:right w:val="nil"/>
            </w:tcBorders>
            <w:shd w:val="clear" w:color="auto" w:fill="auto"/>
            <w:noWrap/>
            <w:vAlign w:val="center"/>
            <w:hideMark/>
          </w:tcPr>
          <w:p w14:paraId="53DD9C44" w14:textId="77777777" w:rsidR="004E56C3" w:rsidRPr="00E97A72" w:rsidRDefault="004E56C3" w:rsidP="004E56C3">
            <w:pPr>
              <w:spacing w:after="0" w:line="240" w:lineRule="auto"/>
              <w:jc w:val="right"/>
              <w:rPr>
                <w:rFonts w:eastAsia="Times New Roman" w:cstheme="minorHAnsi"/>
                <w:b/>
                <w:bCs/>
                <w:color w:val="000000"/>
                <w:sz w:val="14"/>
                <w:szCs w:val="14"/>
                <w:lang w:eastAsia="cs-CZ"/>
              </w:rPr>
            </w:pPr>
            <w:r w:rsidRPr="00E97A72">
              <w:rPr>
                <w:rFonts w:eastAsia="Times New Roman" w:cstheme="minorHAnsi"/>
                <w:b/>
                <w:bCs/>
                <w:color w:val="000000"/>
                <w:sz w:val="14"/>
                <w:szCs w:val="14"/>
                <w:lang w:eastAsia="cs-CZ"/>
              </w:rPr>
              <w:t>4 884,00</w:t>
            </w:r>
          </w:p>
        </w:tc>
      </w:tr>
      <w:tr w:rsidR="004E56C3" w:rsidRPr="00E97A72" w14:paraId="2F9535E5" w14:textId="77777777" w:rsidTr="004E56C3">
        <w:trPr>
          <w:trHeight w:val="300"/>
          <w:tblHeader/>
        </w:trPr>
        <w:tc>
          <w:tcPr>
            <w:tcW w:w="1884" w:type="pct"/>
            <w:tcBorders>
              <w:top w:val="nil"/>
              <w:left w:val="nil"/>
              <w:bottom w:val="nil"/>
              <w:right w:val="single" w:sz="4" w:space="0" w:color="auto"/>
            </w:tcBorders>
            <w:shd w:val="clear" w:color="auto" w:fill="auto"/>
            <w:noWrap/>
            <w:vAlign w:val="center"/>
            <w:hideMark/>
          </w:tcPr>
          <w:p w14:paraId="39106E2F" w14:textId="4B44F537" w:rsidR="004E56C3" w:rsidRPr="00E97A72" w:rsidRDefault="004E56C3" w:rsidP="004E56C3">
            <w:pPr>
              <w:spacing w:after="0" w:line="240" w:lineRule="auto"/>
              <w:rPr>
                <w:rFonts w:eastAsia="Times New Roman" w:cstheme="minorHAnsi"/>
                <w:color w:val="000000"/>
                <w:sz w:val="14"/>
                <w:szCs w:val="14"/>
                <w:lang w:eastAsia="cs-CZ"/>
              </w:rPr>
            </w:pPr>
            <w:r w:rsidRPr="00E97A72">
              <w:rPr>
                <w:rFonts w:eastAsia="Times New Roman" w:cstheme="minorHAnsi"/>
                <w:color w:val="000000"/>
                <w:sz w:val="14"/>
                <w:szCs w:val="14"/>
                <w:lang w:eastAsia="cs-CZ"/>
              </w:rPr>
              <w:t>2.5 Renovace budov a</w:t>
            </w:r>
            <w:r w:rsidR="0003053E">
              <w:rPr>
                <w:rFonts w:eastAsia="Times New Roman" w:cstheme="minorHAnsi"/>
                <w:color w:val="000000"/>
                <w:sz w:val="14"/>
                <w:szCs w:val="14"/>
                <w:lang w:eastAsia="cs-CZ"/>
              </w:rPr>
              <w:t> </w:t>
            </w:r>
            <w:r w:rsidRPr="00E97A72">
              <w:rPr>
                <w:rFonts w:eastAsia="Times New Roman" w:cstheme="minorHAnsi"/>
                <w:color w:val="000000"/>
                <w:sz w:val="14"/>
                <w:szCs w:val="14"/>
                <w:lang w:eastAsia="cs-CZ"/>
              </w:rPr>
              <w:t>ochrana ovzduší</w:t>
            </w:r>
          </w:p>
        </w:tc>
        <w:tc>
          <w:tcPr>
            <w:tcW w:w="359" w:type="pct"/>
            <w:tcBorders>
              <w:top w:val="nil"/>
              <w:left w:val="nil"/>
              <w:bottom w:val="nil"/>
              <w:right w:val="nil"/>
            </w:tcBorders>
            <w:shd w:val="clear" w:color="auto" w:fill="auto"/>
            <w:noWrap/>
            <w:vAlign w:val="center"/>
            <w:hideMark/>
          </w:tcPr>
          <w:p w14:paraId="465FD06C"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nil"/>
              <w:bottom w:val="nil"/>
              <w:right w:val="nil"/>
            </w:tcBorders>
            <w:shd w:val="clear" w:color="auto" w:fill="auto"/>
            <w:noWrap/>
            <w:vAlign w:val="center"/>
            <w:hideMark/>
          </w:tcPr>
          <w:p w14:paraId="64CBA6C9"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nil"/>
              <w:bottom w:val="nil"/>
              <w:right w:val="nil"/>
            </w:tcBorders>
            <w:shd w:val="clear" w:color="auto" w:fill="auto"/>
            <w:noWrap/>
            <w:vAlign w:val="center"/>
            <w:hideMark/>
          </w:tcPr>
          <w:p w14:paraId="73CA47E8"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4 895,10</w:t>
            </w:r>
          </w:p>
        </w:tc>
        <w:tc>
          <w:tcPr>
            <w:tcW w:w="400" w:type="pct"/>
            <w:tcBorders>
              <w:top w:val="nil"/>
              <w:left w:val="nil"/>
              <w:bottom w:val="nil"/>
              <w:right w:val="nil"/>
            </w:tcBorders>
            <w:shd w:val="clear" w:color="auto" w:fill="auto"/>
            <w:noWrap/>
            <w:vAlign w:val="center"/>
            <w:hideMark/>
          </w:tcPr>
          <w:p w14:paraId="323575C9"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4 678,50</w:t>
            </w:r>
          </w:p>
        </w:tc>
        <w:tc>
          <w:tcPr>
            <w:tcW w:w="400" w:type="pct"/>
            <w:tcBorders>
              <w:top w:val="nil"/>
              <w:left w:val="nil"/>
              <w:bottom w:val="nil"/>
              <w:right w:val="nil"/>
            </w:tcBorders>
            <w:shd w:val="clear" w:color="auto" w:fill="auto"/>
            <w:noWrap/>
            <w:vAlign w:val="center"/>
            <w:hideMark/>
          </w:tcPr>
          <w:p w14:paraId="47F46614"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4 638,10</w:t>
            </w:r>
          </w:p>
        </w:tc>
        <w:tc>
          <w:tcPr>
            <w:tcW w:w="400" w:type="pct"/>
            <w:tcBorders>
              <w:top w:val="nil"/>
              <w:left w:val="nil"/>
              <w:bottom w:val="nil"/>
              <w:right w:val="nil"/>
            </w:tcBorders>
            <w:shd w:val="clear" w:color="auto" w:fill="auto"/>
            <w:noWrap/>
            <w:vAlign w:val="center"/>
            <w:hideMark/>
          </w:tcPr>
          <w:p w14:paraId="05FCE0BD"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3 848,80</w:t>
            </w:r>
          </w:p>
        </w:tc>
        <w:tc>
          <w:tcPr>
            <w:tcW w:w="359" w:type="pct"/>
            <w:tcBorders>
              <w:top w:val="nil"/>
              <w:left w:val="nil"/>
              <w:bottom w:val="nil"/>
              <w:right w:val="nil"/>
            </w:tcBorders>
            <w:shd w:val="clear" w:color="auto" w:fill="auto"/>
            <w:noWrap/>
            <w:vAlign w:val="center"/>
            <w:hideMark/>
          </w:tcPr>
          <w:p w14:paraId="51467379"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single" w:sz="4" w:space="0" w:color="auto"/>
              <w:bottom w:val="nil"/>
              <w:right w:val="nil"/>
            </w:tcBorders>
            <w:shd w:val="clear" w:color="auto" w:fill="auto"/>
            <w:noWrap/>
            <w:vAlign w:val="center"/>
            <w:hideMark/>
          </w:tcPr>
          <w:p w14:paraId="16C8C75F" w14:textId="77777777" w:rsidR="004E56C3" w:rsidRPr="00E97A72" w:rsidRDefault="004E56C3" w:rsidP="004E56C3">
            <w:pPr>
              <w:spacing w:after="0" w:line="240" w:lineRule="auto"/>
              <w:jc w:val="right"/>
              <w:rPr>
                <w:rFonts w:eastAsia="Times New Roman" w:cstheme="minorHAnsi"/>
                <w:b/>
                <w:bCs/>
                <w:color w:val="000000"/>
                <w:sz w:val="14"/>
                <w:szCs w:val="14"/>
                <w:lang w:eastAsia="cs-CZ"/>
              </w:rPr>
            </w:pPr>
            <w:r w:rsidRPr="00E97A72">
              <w:rPr>
                <w:rFonts w:eastAsia="Times New Roman" w:cstheme="minorHAnsi"/>
                <w:b/>
                <w:bCs/>
                <w:color w:val="000000"/>
                <w:sz w:val="14"/>
                <w:szCs w:val="14"/>
                <w:lang w:eastAsia="cs-CZ"/>
              </w:rPr>
              <w:t>18 060,50</w:t>
            </w:r>
          </w:p>
        </w:tc>
      </w:tr>
      <w:tr w:rsidR="004E56C3" w:rsidRPr="00E97A72" w14:paraId="47D1422B" w14:textId="77777777" w:rsidTr="004E56C3">
        <w:trPr>
          <w:trHeight w:val="300"/>
          <w:tblHeader/>
        </w:trPr>
        <w:tc>
          <w:tcPr>
            <w:tcW w:w="1884" w:type="pct"/>
            <w:tcBorders>
              <w:top w:val="nil"/>
              <w:left w:val="nil"/>
              <w:bottom w:val="nil"/>
              <w:right w:val="single" w:sz="4" w:space="0" w:color="auto"/>
            </w:tcBorders>
            <w:shd w:val="clear" w:color="auto" w:fill="auto"/>
            <w:noWrap/>
            <w:vAlign w:val="center"/>
            <w:hideMark/>
          </w:tcPr>
          <w:p w14:paraId="0A415661" w14:textId="5FA6E912" w:rsidR="004E56C3" w:rsidRPr="00E97A72" w:rsidRDefault="004E56C3" w:rsidP="004E56C3">
            <w:pPr>
              <w:spacing w:after="0" w:line="240" w:lineRule="auto"/>
              <w:rPr>
                <w:rFonts w:eastAsia="Times New Roman" w:cstheme="minorHAnsi"/>
                <w:color w:val="000000"/>
                <w:sz w:val="14"/>
                <w:szCs w:val="14"/>
                <w:lang w:eastAsia="cs-CZ"/>
              </w:rPr>
            </w:pPr>
            <w:r w:rsidRPr="00E97A72">
              <w:rPr>
                <w:rFonts w:eastAsia="Times New Roman" w:cstheme="minorHAnsi"/>
                <w:color w:val="000000"/>
                <w:sz w:val="14"/>
                <w:szCs w:val="14"/>
                <w:lang w:eastAsia="cs-CZ"/>
              </w:rPr>
              <w:t>2.6 Ochrana přírody a</w:t>
            </w:r>
            <w:r w:rsidR="0003053E">
              <w:rPr>
                <w:rFonts w:eastAsia="Times New Roman" w:cstheme="minorHAnsi"/>
                <w:color w:val="000000"/>
                <w:sz w:val="14"/>
                <w:szCs w:val="14"/>
                <w:lang w:eastAsia="cs-CZ"/>
              </w:rPr>
              <w:t> </w:t>
            </w:r>
            <w:r w:rsidRPr="00E97A72">
              <w:rPr>
                <w:rFonts w:eastAsia="Times New Roman" w:cstheme="minorHAnsi"/>
                <w:color w:val="000000"/>
                <w:sz w:val="14"/>
                <w:szCs w:val="14"/>
                <w:lang w:eastAsia="cs-CZ"/>
              </w:rPr>
              <w:t>adaptace na klimatickou změnu</w:t>
            </w:r>
          </w:p>
        </w:tc>
        <w:tc>
          <w:tcPr>
            <w:tcW w:w="359" w:type="pct"/>
            <w:tcBorders>
              <w:top w:val="nil"/>
              <w:left w:val="nil"/>
              <w:bottom w:val="nil"/>
              <w:right w:val="nil"/>
            </w:tcBorders>
            <w:shd w:val="clear" w:color="auto" w:fill="auto"/>
            <w:noWrap/>
            <w:vAlign w:val="center"/>
            <w:hideMark/>
          </w:tcPr>
          <w:p w14:paraId="079B85F5"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181,60</w:t>
            </w:r>
          </w:p>
        </w:tc>
        <w:tc>
          <w:tcPr>
            <w:tcW w:w="400" w:type="pct"/>
            <w:tcBorders>
              <w:top w:val="nil"/>
              <w:left w:val="nil"/>
              <w:bottom w:val="nil"/>
              <w:right w:val="nil"/>
            </w:tcBorders>
            <w:shd w:val="clear" w:color="auto" w:fill="auto"/>
            <w:noWrap/>
            <w:vAlign w:val="center"/>
            <w:hideMark/>
          </w:tcPr>
          <w:p w14:paraId="746EBCC0"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3 829,30</w:t>
            </w:r>
          </w:p>
        </w:tc>
        <w:tc>
          <w:tcPr>
            <w:tcW w:w="400" w:type="pct"/>
            <w:tcBorders>
              <w:top w:val="nil"/>
              <w:left w:val="nil"/>
              <w:bottom w:val="nil"/>
              <w:right w:val="nil"/>
            </w:tcBorders>
            <w:shd w:val="clear" w:color="auto" w:fill="auto"/>
            <w:noWrap/>
            <w:vAlign w:val="center"/>
            <w:hideMark/>
          </w:tcPr>
          <w:p w14:paraId="574C0D28"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4 652,20</w:t>
            </w:r>
          </w:p>
        </w:tc>
        <w:tc>
          <w:tcPr>
            <w:tcW w:w="400" w:type="pct"/>
            <w:tcBorders>
              <w:top w:val="nil"/>
              <w:left w:val="nil"/>
              <w:bottom w:val="nil"/>
              <w:right w:val="nil"/>
            </w:tcBorders>
            <w:shd w:val="clear" w:color="auto" w:fill="auto"/>
            <w:noWrap/>
            <w:vAlign w:val="center"/>
            <w:hideMark/>
          </w:tcPr>
          <w:p w14:paraId="1BA197AB"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3 841,30</w:t>
            </w:r>
          </w:p>
        </w:tc>
        <w:tc>
          <w:tcPr>
            <w:tcW w:w="400" w:type="pct"/>
            <w:tcBorders>
              <w:top w:val="nil"/>
              <w:left w:val="nil"/>
              <w:bottom w:val="nil"/>
              <w:right w:val="nil"/>
            </w:tcBorders>
            <w:shd w:val="clear" w:color="auto" w:fill="auto"/>
            <w:noWrap/>
            <w:vAlign w:val="center"/>
            <w:hideMark/>
          </w:tcPr>
          <w:p w14:paraId="21443053"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479,60</w:t>
            </w:r>
          </w:p>
        </w:tc>
        <w:tc>
          <w:tcPr>
            <w:tcW w:w="400" w:type="pct"/>
            <w:tcBorders>
              <w:top w:val="nil"/>
              <w:left w:val="nil"/>
              <w:bottom w:val="nil"/>
              <w:right w:val="nil"/>
            </w:tcBorders>
            <w:shd w:val="clear" w:color="auto" w:fill="auto"/>
            <w:noWrap/>
            <w:vAlign w:val="center"/>
            <w:hideMark/>
          </w:tcPr>
          <w:p w14:paraId="4FFE9247"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359" w:type="pct"/>
            <w:tcBorders>
              <w:top w:val="nil"/>
              <w:left w:val="nil"/>
              <w:bottom w:val="nil"/>
              <w:right w:val="nil"/>
            </w:tcBorders>
            <w:shd w:val="clear" w:color="auto" w:fill="auto"/>
            <w:noWrap/>
            <w:vAlign w:val="center"/>
            <w:hideMark/>
          </w:tcPr>
          <w:p w14:paraId="743E9B7C"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single" w:sz="4" w:space="0" w:color="auto"/>
              <w:bottom w:val="nil"/>
              <w:right w:val="nil"/>
            </w:tcBorders>
            <w:shd w:val="clear" w:color="auto" w:fill="auto"/>
            <w:noWrap/>
            <w:vAlign w:val="center"/>
            <w:hideMark/>
          </w:tcPr>
          <w:p w14:paraId="20DFE141" w14:textId="77777777" w:rsidR="004E56C3" w:rsidRPr="00E97A72" w:rsidRDefault="004E56C3" w:rsidP="004E56C3">
            <w:pPr>
              <w:spacing w:after="0" w:line="240" w:lineRule="auto"/>
              <w:jc w:val="right"/>
              <w:rPr>
                <w:rFonts w:eastAsia="Times New Roman" w:cstheme="minorHAnsi"/>
                <w:b/>
                <w:bCs/>
                <w:color w:val="000000"/>
                <w:sz w:val="14"/>
                <w:szCs w:val="14"/>
                <w:lang w:eastAsia="cs-CZ"/>
              </w:rPr>
            </w:pPr>
            <w:r w:rsidRPr="00E97A72">
              <w:rPr>
                <w:rFonts w:eastAsia="Times New Roman" w:cstheme="minorHAnsi"/>
                <w:b/>
                <w:bCs/>
                <w:color w:val="000000"/>
                <w:sz w:val="14"/>
                <w:szCs w:val="14"/>
                <w:lang w:eastAsia="cs-CZ"/>
              </w:rPr>
              <w:t>12 984,00</w:t>
            </w:r>
          </w:p>
        </w:tc>
      </w:tr>
      <w:tr w:rsidR="004E56C3" w:rsidRPr="00E97A72" w14:paraId="3BE4851F" w14:textId="77777777" w:rsidTr="004E56C3">
        <w:trPr>
          <w:trHeight w:val="300"/>
          <w:tblHeader/>
        </w:trPr>
        <w:tc>
          <w:tcPr>
            <w:tcW w:w="1884" w:type="pct"/>
            <w:tcBorders>
              <w:top w:val="nil"/>
              <w:left w:val="nil"/>
              <w:bottom w:val="nil"/>
              <w:right w:val="single" w:sz="4" w:space="0" w:color="auto"/>
            </w:tcBorders>
            <w:shd w:val="clear" w:color="auto" w:fill="auto"/>
            <w:noWrap/>
            <w:vAlign w:val="center"/>
            <w:hideMark/>
          </w:tcPr>
          <w:p w14:paraId="41E4575E" w14:textId="0BF0C791" w:rsidR="004E56C3" w:rsidRPr="00E97A72" w:rsidRDefault="004E56C3" w:rsidP="004E56C3">
            <w:pPr>
              <w:spacing w:after="0" w:line="240" w:lineRule="auto"/>
              <w:rPr>
                <w:rFonts w:eastAsia="Times New Roman" w:cstheme="minorHAnsi"/>
                <w:color w:val="000000"/>
                <w:sz w:val="14"/>
                <w:szCs w:val="14"/>
                <w:lang w:eastAsia="cs-CZ"/>
              </w:rPr>
            </w:pPr>
            <w:r w:rsidRPr="00E97A72">
              <w:rPr>
                <w:rFonts w:eastAsia="Times New Roman" w:cstheme="minorHAnsi"/>
                <w:color w:val="000000"/>
                <w:sz w:val="14"/>
                <w:szCs w:val="14"/>
                <w:lang w:eastAsia="cs-CZ"/>
              </w:rPr>
              <w:t>2.7 Cirkulární ekonomika a</w:t>
            </w:r>
            <w:r w:rsidR="0003053E">
              <w:rPr>
                <w:rFonts w:eastAsia="Times New Roman" w:cstheme="minorHAnsi"/>
                <w:color w:val="000000"/>
                <w:sz w:val="14"/>
                <w:szCs w:val="14"/>
                <w:lang w:eastAsia="cs-CZ"/>
              </w:rPr>
              <w:t> </w:t>
            </w:r>
            <w:r w:rsidRPr="00E97A72">
              <w:rPr>
                <w:rFonts w:eastAsia="Times New Roman" w:cstheme="minorHAnsi"/>
                <w:color w:val="000000"/>
                <w:sz w:val="14"/>
                <w:szCs w:val="14"/>
                <w:lang w:eastAsia="cs-CZ"/>
              </w:rPr>
              <w:t>recyklace a</w:t>
            </w:r>
            <w:r w:rsidR="0003053E">
              <w:rPr>
                <w:rFonts w:eastAsia="Times New Roman" w:cstheme="minorHAnsi"/>
                <w:color w:val="000000"/>
                <w:sz w:val="14"/>
                <w:szCs w:val="14"/>
                <w:lang w:eastAsia="cs-CZ"/>
              </w:rPr>
              <w:t> </w:t>
            </w:r>
            <w:r w:rsidRPr="00E97A72">
              <w:rPr>
                <w:rFonts w:eastAsia="Times New Roman" w:cstheme="minorHAnsi"/>
                <w:color w:val="000000"/>
                <w:sz w:val="14"/>
                <w:szCs w:val="14"/>
                <w:lang w:eastAsia="cs-CZ"/>
              </w:rPr>
              <w:t>průmyslová voda</w:t>
            </w:r>
          </w:p>
        </w:tc>
        <w:tc>
          <w:tcPr>
            <w:tcW w:w="359" w:type="pct"/>
            <w:tcBorders>
              <w:top w:val="nil"/>
              <w:left w:val="nil"/>
              <w:bottom w:val="nil"/>
              <w:right w:val="nil"/>
            </w:tcBorders>
            <w:shd w:val="clear" w:color="auto" w:fill="auto"/>
            <w:noWrap/>
            <w:vAlign w:val="center"/>
            <w:hideMark/>
          </w:tcPr>
          <w:p w14:paraId="6FF892A1"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nil"/>
              <w:bottom w:val="nil"/>
              <w:right w:val="nil"/>
            </w:tcBorders>
            <w:shd w:val="clear" w:color="auto" w:fill="auto"/>
            <w:noWrap/>
            <w:vAlign w:val="center"/>
            <w:hideMark/>
          </w:tcPr>
          <w:p w14:paraId="2E1E1064"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nil"/>
              <w:bottom w:val="nil"/>
              <w:right w:val="nil"/>
            </w:tcBorders>
            <w:shd w:val="clear" w:color="auto" w:fill="auto"/>
            <w:noWrap/>
            <w:vAlign w:val="center"/>
            <w:hideMark/>
          </w:tcPr>
          <w:p w14:paraId="5267A75D"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100,00</w:t>
            </w:r>
          </w:p>
        </w:tc>
        <w:tc>
          <w:tcPr>
            <w:tcW w:w="400" w:type="pct"/>
            <w:tcBorders>
              <w:top w:val="nil"/>
              <w:left w:val="nil"/>
              <w:bottom w:val="nil"/>
              <w:right w:val="nil"/>
            </w:tcBorders>
            <w:shd w:val="clear" w:color="auto" w:fill="auto"/>
            <w:noWrap/>
            <w:vAlign w:val="center"/>
            <w:hideMark/>
          </w:tcPr>
          <w:p w14:paraId="6D8C8F39"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637,50</w:t>
            </w:r>
          </w:p>
        </w:tc>
        <w:tc>
          <w:tcPr>
            <w:tcW w:w="400" w:type="pct"/>
            <w:tcBorders>
              <w:top w:val="nil"/>
              <w:left w:val="nil"/>
              <w:bottom w:val="nil"/>
              <w:right w:val="nil"/>
            </w:tcBorders>
            <w:shd w:val="clear" w:color="auto" w:fill="auto"/>
            <w:noWrap/>
            <w:vAlign w:val="center"/>
            <w:hideMark/>
          </w:tcPr>
          <w:p w14:paraId="445F61E3"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972,50</w:t>
            </w:r>
          </w:p>
        </w:tc>
        <w:tc>
          <w:tcPr>
            <w:tcW w:w="400" w:type="pct"/>
            <w:tcBorders>
              <w:top w:val="nil"/>
              <w:left w:val="nil"/>
              <w:bottom w:val="nil"/>
              <w:right w:val="nil"/>
            </w:tcBorders>
            <w:shd w:val="clear" w:color="auto" w:fill="auto"/>
            <w:noWrap/>
            <w:vAlign w:val="center"/>
            <w:hideMark/>
          </w:tcPr>
          <w:p w14:paraId="1A3B15C3"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1 240,00</w:t>
            </w:r>
          </w:p>
        </w:tc>
        <w:tc>
          <w:tcPr>
            <w:tcW w:w="359" w:type="pct"/>
            <w:tcBorders>
              <w:top w:val="nil"/>
              <w:left w:val="nil"/>
              <w:bottom w:val="nil"/>
              <w:right w:val="nil"/>
            </w:tcBorders>
            <w:shd w:val="clear" w:color="auto" w:fill="auto"/>
            <w:noWrap/>
            <w:vAlign w:val="center"/>
            <w:hideMark/>
          </w:tcPr>
          <w:p w14:paraId="67BE9A93"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single" w:sz="4" w:space="0" w:color="auto"/>
              <w:bottom w:val="nil"/>
              <w:right w:val="nil"/>
            </w:tcBorders>
            <w:shd w:val="clear" w:color="auto" w:fill="auto"/>
            <w:noWrap/>
            <w:vAlign w:val="center"/>
            <w:hideMark/>
          </w:tcPr>
          <w:p w14:paraId="163CF736" w14:textId="77777777" w:rsidR="004E56C3" w:rsidRPr="00E97A72" w:rsidRDefault="004E56C3" w:rsidP="004E56C3">
            <w:pPr>
              <w:spacing w:after="0" w:line="240" w:lineRule="auto"/>
              <w:jc w:val="right"/>
              <w:rPr>
                <w:rFonts w:eastAsia="Times New Roman" w:cstheme="minorHAnsi"/>
                <w:b/>
                <w:bCs/>
                <w:color w:val="000000"/>
                <w:sz w:val="14"/>
                <w:szCs w:val="14"/>
                <w:lang w:eastAsia="cs-CZ"/>
              </w:rPr>
            </w:pPr>
            <w:r w:rsidRPr="00E97A72">
              <w:rPr>
                <w:rFonts w:eastAsia="Times New Roman" w:cstheme="minorHAnsi"/>
                <w:b/>
                <w:bCs/>
                <w:color w:val="000000"/>
                <w:sz w:val="14"/>
                <w:szCs w:val="14"/>
                <w:lang w:eastAsia="cs-CZ"/>
              </w:rPr>
              <w:t>2 950,00</w:t>
            </w:r>
          </w:p>
        </w:tc>
      </w:tr>
      <w:tr w:rsidR="004E56C3" w:rsidRPr="00E97A72" w14:paraId="1C604DC2" w14:textId="77777777" w:rsidTr="004E56C3">
        <w:trPr>
          <w:trHeight w:val="300"/>
          <w:tblHeader/>
        </w:trPr>
        <w:tc>
          <w:tcPr>
            <w:tcW w:w="1884" w:type="pct"/>
            <w:tcBorders>
              <w:top w:val="nil"/>
              <w:left w:val="nil"/>
              <w:bottom w:val="nil"/>
              <w:right w:val="single" w:sz="4" w:space="0" w:color="auto"/>
            </w:tcBorders>
            <w:shd w:val="clear" w:color="auto" w:fill="auto"/>
            <w:noWrap/>
            <w:vAlign w:val="center"/>
            <w:hideMark/>
          </w:tcPr>
          <w:p w14:paraId="48D3BA12" w14:textId="77777777" w:rsidR="004E56C3" w:rsidRPr="00E97A72" w:rsidRDefault="004E56C3" w:rsidP="004E56C3">
            <w:pPr>
              <w:spacing w:after="0" w:line="240" w:lineRule="auto"/>
              <w:rPr>
                <w:rFonts w:eastAsia="Times New Roman" w:cstheme="minorHAnsi"/>
                <w:color w:val="000000"/>
                <w:sz w:val="14"/>
                <w:szCs w:val="14"/>
                <w:lang w:eastAsia="cs-CZ"/>
              </w:rPr>
            </w:pPr>
            <w:r w:rsidRPr="00E97A72">
              <w:rPr>
                <w:rFonts w:eastAsia="Times New Roman" w:cstheme="minorHAnsi"/>
                <w:color w:val="000000"/>
                <w:sz w:val="14"/>
                <w:szCs w:val="14"/>
                <w:lang w:eastAsia="cs-CZ"/>
              </w:rPr>
              <w:t>2.8 Regenerace brownfieldů</w:t>
            </w:r>
          </w:p>
        </w:tc>
        <w:tc>
          <w:tcPr>
            <w:tcW w:w="359" w:type="pct"/>
            <w:tcBorders>
              <w:top w:val="nil"/>
              <w:left w:val="nil"/>
              <w:bottom w:val="nil"/>
              <w:right w:val="nil"/>
            </w:tcBorders>
            <w:shd w:val="clear" w:color="auto" w:fill="auto"/>
            <w:noWrap/>
            <w:vAlign w:val="center"/>
            <w:hideMark/>
          </w:tcPr>
          <w:p w14:paraId="7D962D23"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nil"/>
              <w:bottom w:val="nil"/>
              <w:right w:val="nil"/>
            </w:tcBorders>
            <w:shd w:val="clear" w:color="auto" w:fill="auto"/>
            <w:noWrap/>
            <w:vAlign w:val="center"/>
            <w:hideMark/>
          </w:tcPr>
          <w:p w14:paraId="054E8770"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nil"/>
              <w:bottom w:val="nil"/>
              <w:right w:val="nil"/>
            </w:tcBorders>
            <w:shd w:val="clear" w:color="auto" w:fill="auto"/>
            <w:noWrap/>
            <w:vAlign w:val="center"/>
            <w:hideMark/>
          </w:tcPr>
          <w:p w14:paraId="30AE8092"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105,00</w:t>
            </w:r>
          </w:p>
        </w:tc>
        <w:tc>
          <w:tcPr>
            <w:tcW w:w="400" w:type="pct"/>
            <w:tcBorders>
              <w:top w:val="nil"/>
              <w:left w:val="nil"/>
              <w:bottom w:val="nil"/>
              <w:right w:val="nil"/>
            </w:tcBorders>
            <w:shd w:val="clear" w:color="auto" w:fill="auto"/>
            <w:noWrap/>
            <w:vAlign w:val="center"/>
            <w:hideMark/>
          </w:tcPr>
          <w:p w14:paraId="31873350"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550,00</w:t>
            </w:r>
          </w:p>
        </w:tc>
        <w:tc>
          <w:tcPr>
            <w:tcW w:w="400" w:type="pct"/>
            <w:tcBorders>
              <w:top w:val="nil"/>
              <w:left w:val="nil"/>
              <w:bottom w:val="nil"/>
              <w:right w:val="nil"/>
            </w:tcBorders>
            <w:shd w:val="clear" w:color="auto" w:fill="auto"/>
            <w:noWrap/>
            <w:vAlign w:val="center"/>
            <w:hideMark/>
          </w:tcPr>
          <w:p w14:paraId="2AC84879"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1 120,00</w:t>
            </w:r>
          </w:p>
        </w:tc>
        <w:tc>
          <w:tcPr>
            <w:tcW w:w="400" w:type="pct"/>
            <w:tcBorders>
              <w:top w:val="nil"/>
              <w:left w:val="nil"/>
              <w:bottom w:val="nil"/>
              <w:right w:val="nil"/>
            </w:tcBorders>
            <w:shd w:val="clear" w:color="auto" w:fill="auto"/>
            <w:noWrap/>
            <w:vAlign w:val="center"/>
            <w:hideMark/>
          </w:tcPr>
          <w:p w14:paraId="60911D93"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1 557,00</w:t>
            </w:r>
          </w:p>
        </w:tc>
        <w:tc>
          <w:tcPr>
            <w:tcW w:w="359" w:type="pct"/>
            <w:tcBorders>
              <w:top w:val="nil"/>
              <w:left w:val="nil"/>
              <w:bottom w:val="nil"/>
              <w:right w:val="nil"/>
            </w:tcBorders>
            <w:shd w:val="clear" w:color="auto" w:fill="auto"/>
            <w:noWrap/>
            <w:vAlign w:val="center"/>
            <w:hideMark/>
          </w:tcPr>
          <w:p w14:paraId="3A288584"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single" w:sz="4" w:space="0" w:color="auto"/>
              <w:bottom w:val="nil"/>
              <w:right w:val="nil"/>
            </w:tcBorders>
            <w:shd w:val="clear" w:color="auto" w:fill="auto"/>
            <w:noWrap/>
            <w:vAlign w:val="center"/>
            <w:hideMark/>
          </w:tcPr>
          <w:p w14:paraId="3F96EF1F" w14:textId="77777777" w:rsidR="004E56C3" w:rsidRPr="00E97A72" w:rsidRDefault="004E56C3" w:rsidP="004E56C3">
            <w:pPr>
              <w:spacing w:after="0" w:line="240" w:lineRule="auto"/>
              <w:jc w:val="right"/>
              <w:rPr>
                <w:rFonts w:eastAsia="Times New Roman" w:cstheme="minorHAnsi"/>
                <w:b/>
                <w:bCs/>
                <w:color w:val="000000"/>
                <w:sz w:val="14"/>
                <w:szCs w:val="14"/>
                <w:lang w:eastAsia="cs-CZ"/>
              </w:rPr>
            </w:pPr>
            <w:r w:rsidRPr="00E97A72">
              <w:rPr>
                <w:rFonts w:eastAsia="Times New Roman" w:cstheme="minorHAnsi"/>
                <w:b/>
                <w:bCs/>
                <w:color w:val="000000"/>
                <w:sz w:val="14"/>
                <w:szCs w:val="14"/>
                <w:lang w:eastAsia="cs-CZ"/>
              </w:rPr>
              <w:t>3 332,00</w:t>
            </w:r>
          </w:p>
        </w:tc>
      </w:tr>
      <w:tr w:rsidR="004E56C3" w:rsidRPr="00E97A72" w14:paraId="26FF77D5" w14:textId="77777777" w:rsidTr="004E56C3">
        <w:trPr>
          <w:trHeight w:val="300"/>
          <w:tblHeader/>
        </w:trPr>
        <w:tc>
          <w:tcPr>
            <w:tcW w:w="1884" w:type="pct"/>
            <w:tcBorders>
              <w:top w:val="nil"/>
              <w:left w:val="nil"/>
              <w:bottom w:val="nil"/>
              <w:right w:val="single" w:sz="4" w:space="0" w:color="auto"/>
            </w:tcBorders>
            <w:shd w:val="clear" w:color="auto" w:fill="auto"/>
            <w:noWrap/>
            <w:vAlign w:val="center"/>
            <w:hideMark/>
          </w:tcPr>
          <w:p w14:paraId="3593C89E" w14:textId="31BCDDDD" w:rsidR="004E56C3" w:rsidRPr="00E97A72" w:rsidRDefault="004E56C3" w:rsidP="004E56C3">
            <w:pPr>
              <w:spacing w:after="0" w:line="240" w:lineRule="auto"/>
              <w:rPr>
                <w:rFonts w:eastAsia="Times New Roman" w:cstheme="minorHAnsi"/>
                <w:color w:val="000000"/>
                <w:sz w:val="14"/>
                <w:szCs w:val="14"/>
                <w:lang w:eastAsia="cs-CZ"/>
              </w:rPr>
            </w:pPr>
            <w:r w:rsidRPr="00E97A72">
              <w:rPr>
                <w:rFonts w:eastAsia="Times New Roman" w:cstheme="minorHAnsi"/>
                <w:color w:val="000000"/>
                <w:sz w:val="14"/>
                <w:szCs w:val="14"/>
                <w:lang w:eastAsia="cs-CZ"/>
              </w:rPr>
              <w:t xml:space="preserve">2.9 Podpora </w:t>
            </w:r>
            <w:proofErr w:type="spellStart"/>
            <w:r w:rsidRPr="00E97A72">
              <w:rPr>
                <w:rFonts w:eastAsia="Times New Roman" w:cstheme="minorHAnsi"/>
                <w:color w:val="000000"/>
                <w:sz w:val="14"/>
                <w:szCs w:val="14"/>
                <w:lang w:eastAsia="cs-CZ"/>
              </w:rPr>
              <w:t>biodeverzity</w:t>
            </w:r>
            <w:proofErr w:type="spellEnd"/>
            <w:r w:rsidRPr="00E97A72">
              <w:rPr>
                <w:rFonts w:eastAsia="Times New Roman" w:cstheme="minorHAnsi"/>
                <w:color w:val="000000"/>
                <w:sz w:val="14"/>
                <w:szCs w:val="14"/>
                <w:lang w:eastAsia="cs-CZ"/>
              </w:rPr>
              <w:t xml:space="preserve"> a</w:t>
            </w:r>
            <w:r w:rsidR="0003053E">
              <w:rPr>
                <w:rFonts w:eastAsia="Times New Roman" w:cstheme="minorHAnsi"/>
                <w:color w:val="000000"/>
                <w:sz w:val="14"/>
                <w:szCs w:val="14"/>
                <w:lang w:eastAsia="cs-CZ"/>
              </w:rPr>
              <w:t> </w:t>
            </w:r>
            <w:r w:rsidRPr="00E97A72">
              <w:rPr>
                <w:rFonts w:eastAsia="Times New Roman" w:cstheme="minorHAnsi"/>
                <w:color w:val="000000"/>
                <w:sz w:val="14"/>
                <w:szCs w:val="14"/>
                <w:lang w:eastAsia="cs-CZ"/>
              </w:rPr>
              <w:t>boj se suchem</w:t>
            </w:r>
          </w:p>
        </w:tc>
        <w:tc>
          <w:tcPr>
            <w:tcW w:w="359" w:type="pct"/>
            <w:tcBorders>
              <w:top w:val="nil"/>
              <w:left w:val="nil"/>
              <w:bottom w:val="nil"/>
              <w:right w:val="nil"/>
            </w:tcBorders>
            <w:shd w:val="clear" w:color="auto" w:fill="auto"/>
            <w:noWrap/>
            <w:vAlign w:val="center"/>
            <w:hideMark/>
          </w:tcPr>
          <w:p w14:paraId="018437A2"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nil"/>
              <w:bottom w:val="nil"/>
              <w:right w:val="nil"/>
            </w:tcBorders>
            <w:shd w:val="clear" w:color="auto" w:fill="auto"/>
            <w:noWrap/>
            <w:vAlign w:val="center"/>
            <w:hideMark/>
          </w:tcPr>
          <w:p w14:paraId="4856FA59"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nil"/>
              <w:bottom w:val="nil"/>
              <w:right w:val="nil"/>
            </w:tcBorders>
            <w:shd w:val="clear" w:color="auto" w:fill="auto"/>
            <w:noWrap/>
            <w:vAlign w:val="center"/>
            <w:hideMark/>
          </w:tcPr>
          <w:p w14:paraId="4BCF0086"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814,00</w:t>
            </w:r>
          </w:p>
        </w:tc>
        <w:tc>
          <w:tcPr>
            <w:tcW w:w="400" w:type="pct"/>
            <w:tcBorders>
              <w:top w:val="nil"/>
              <w:left w:val="nil"/>
              <w:bottom w:val="nil"/>
              <w:right w:val="nil"/>
            </w:tcBorders>
            <w:shd w:val="clear" w:color="auto" w:fill="auto"/>
            <w:noWrap/>
            <w:vAlign w:val="center"/>
            <w:hideMark/>
          </w:tcPr>
          <w:p w14:paraId="5F53F1F7"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1 468,00</w:t>
            </w:r>
          </w:p>
        </w:tc>
        <w:tc>
          <w:tcPr>
            <w:tcW w:w="400" w:type="pct"/>
            <w:tcBorders>
              <w:top w:val="nil"/>
              <w:left w:val="nil"/>
              <w:bottom w:val="nil"/>
              <w:right w:val="nil"/>
            </w:tcBorders>
            <w:shd w:val="clear" w:color="auto" w:fill="auto"/>
            <w:noWrap/>
            <w:vAlign w:val="center"/>
            <w:hideMark/>
          </w:tcPr>
          <w:p w14:paraId="3276700A"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886,00</w:t>
            </w:r>
          </w:p>
        </w:tc>
        <w:tc>
          <w:tcPr>
            <w:tcW w:w="400" w:type="pct"/>
            <w:tcBorders>
              <w:top w:val="nil"/>
              <w:left w:val="nil"/>
              <w:bottom w:val="nil"/>
              <w:right w:val="nil"/>
            </w:tcBorders>
            <w:shd w:val="clear" w:color="auto" w:fill="auto"/>
            <w:noWrap/>
            <w:vAlign w:val="center"/>
            <w:hideMark/>
          </w:tcPr>
          <w:p w14:paraId="04B50B46"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693,00</w:t>
            </w:r>
          </w:p>
        </w:tc>
        <w:tc>
          <w:tcPr>
            <w:tcW w:w="359" w:type="pct"/>
            <w:tcBorders>
              <w:top w:val="nil"/>
              <w:left w:val="nil"/>
              <w:bottom w:val="nil"/>
              <w:right w:val="nil"/>
            </w:tcBorders>
            <w:shd w:val="clear" w:color="auto" w:fill="auto"/>
            <w:noWrap/>
            <w:vAlign w:val="center"/>
            <w:hideMark/>
          </w:tcPr>
          <w:p w14:paraId="307E3587"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16,50</w:t>
            </w:r>
          </w:p>
        </w:tc>
        <w:tc>
          <w:tcPr>
            <w:tcW w:w="400" w:type="pct"/>
            <w:tcBorders>
              <w:top w:val="nil"/>
              <w:left w:val="single" w:sz="4" w:space="0" w:color="auto"/>
              <w:bottom w:val="nil"/>
              <w:right w:val="nil"/>
            </w:tcBorders>
            <w:shd w:val="clear" w:color="auto" w:fill="auto"/>
            <w:noWrap/>
            <w:vAlign w:val="center"/>
            <w:hideMark/>
          </w:tcPr>
          <w:p w14:paraId="74D83F40" w14:textId="77777777" w:rsidR="004E56C3" w:rsidRPr="00E97A72" w:rsidRDefault="004E56C3" w:rsidP="004E56C3">
            <w:pPr>
              <w:spacing w:after="0" w:line="240" w:lineRule="auto"/>
              <w:jc w:val="right"/>
              <w:rPr>
                <w:rFonts w:eastAsia="Times New Roman" w:cstheme="minorHAnsi"/>
                <w:b/>
                <w:bCs/>
                <w:color w:val="000000"/>
                <w:sz w:val="14"/>
                <w:szCs w:val="14"/>
                <w:lang w:eastAsia="cs-CZ"/>
              </w:rPr>
            </w:pPr>
            <w:r w:rsidRPr="00E97A72">
              <w:rPr>
                <w:rFonts w:eastAsia="Times New Roman" w:cstheme="minorHAnsi"/>
                <w:b/>
                <w:bCs/>
                <w:color w:val="000000"/>
                <w:sz w:val="14"/>
                <w:szCs w:val="14"/>
                <w:lang w:eastAsia="cs-CZ"/>
              </w:rPr>
              <w:t>3 877,50</w:t>
            </w:r>
          </w:p>
        </w:tc>
      </w:tr>
      <w:tr w:rsidR="004E56C3" w:rsidRPr="00E97A72" w14:paraId="21837534" w14:textId="77777777" w:rsidTr="004E56C3">
        <w:trPr>
          <w:trHeight w:val="300"/>
          <w:tblHeader/>
        </w:trPr>
        <w:tc>
          <w:tcPr>
            <w:tcW w:w="1884" w:type="pct"/>
            <w:tcBorders>
              <w:top w:val="nil"/>
              <w:left w:val="nil"/>
              <w:bottom w:val="nil"/>
              <w:right w:val="single" w:sz="4" w:space="0" w:color="auto"/>
            </w:tcBorders>
            <w:shd w:val="clear" w:color="auto" w:fill="auto"/>
            <w:noWrap/>
            <w:vAlign w:val="center"/>
            <w:hideMark/>
          </w:tcPr>
          <w:p w14:paraId="31A4EA57" w14:textId="77777777" w:rsidR="004E56C3" w:rsidRPr="00E97A72" w:rsidRDefault="004E56C3" w:rsidP="004E56C3">
            <w:pPr>
              <w:spacing w:after="0" w:line="240" w:lineRule="auto"/>
              <w:rPr>
                <w:rFonts w:eastAsia="Times New Roman" w:cstheme="minorHAnsi"/>
                <w:color w:val="000000"/>
                <w:sz w:val="14"/>
                <w:szCs w:val="14"/>
                <w:lang w:eastAsia="cs-CZ"/>
              </w:rPr>
            </w:pPr>
            <w:r w:rsidRPr="00E97A72">
              <w:rPr>
                <w:rFonts w:eastAsia="Times New Roman" w:cstheme="minorHAnsi"/>
                <w:color w:val="000000"/>
                <w:sz w:val="14"/>
                <w:szCs w:val="14"/>
                <w:lang w:eastAsia="cs-CZ"/>
              </w:rPr>
              <w:t>2.10 Reforma dostupného bydlení</w:t>
            </w:r>
          </w:p>
        </w:tc>
        <w:tc>
          <w:tcPr>
            <w:tcW w:w="359" w:type="pct"/>
            <w:tcBorders>
              <w:top w:val="nil"/>
              <w:left w:val="nil"/>
              <w:bottom w:val="nil"/>
              <w:right w:val="nil"/>
            </w:tcBorders>
            <w:shd w:val="clear" w:color="auto" w:fill="auto"/>
            <w:noWrap/>
            <w:vAlign w:val="center"/>
            <w:hideMark/>
          </w:tcPr>
          <w:p w14:paraId="1EBEDBC8"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nil"/>
              <w:bottom w:val="nil"/>
              <w:right w:val="nil"/>
            </w:tcBorders>
            <w:shd w:val="clear" w:color="auto" w:fill="auto"/>
            <w:noWrap/>
            <w:vAlign w:val="center"/>
            <w:hideMark/>
          </w:tcPr>
          <w:p w14:paraId="1B0248C6"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nil"/>
              <w:bottom w:val="nil"/>
              <w:right w:val="nil"/>
            </w:tcBorders>
            <w:shd w:val="clear" w:color="auto" w:fill="auto"/>
            <w:noWrap/>
            <w:vAlign w:val="center"/>
            <w:hideMark/>
          </w:tcPr>
          <w:p w14:paraId="41AE817C"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0,00</w:t>
            </w:r>
          </w:p>
        </w:tc>
        <w:tc>
          <w:tcPr>
            <w:tcW w:w="400" w:type="pct"/>
            <w:tcBorders>
              <w:top w:val="nil"/>
              <w:left w:val="nil"/>
              <w:bottom w:val="nil"/>
              <w:right w:val="nil"/>
            </w:tcBorders>
            <w:shd w:val="clear" w:color="auto" w:fill="auto"/>
            <w:noWrap/>
            <w:vAlign w:val="center"/>
            <w:hideMark/>
          </w:tcPr>
          <w:p w14:paraId="5EAA5CAB"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5,00</w:t>
            </w:r>
          </w:p>
        </w:tc>
        <w:tc>
          <w:tcPr>
            <w:tcW w:w="400" w:type="pct"/>
            <w:tcBorders>
              <w:top w:val="nil"/>
              <w:left w:val="nil"/>
              <w:bottom w:val="nil"/>
              <w:right w:val="nil"/>
            </w:tcBorders>
            <w:shd w:val="clear" w:color="auto" w:fill="auto"/>
            <w:noWrap/>
            <w:vAlign w:val="center"/>
            <w:hideMark/>
          </w:tcPr>
          <w:p w14:paraId="48B1F82B"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864,00</w:t>
            </w:r>
          </w:p>
        </w:tc>
        <w:tc>
          <w:tcPr>
            <w:tcW w:w="400" w:type="pct"/>
            <w:tcBorders>
              <w:top w:val="nil"/>
              <w:left w:val="nil"/>
              <w:bottom w:val="nil"/>
              <w:right w:val="nil"/>
            </w:tcBorders>
            <w:shd w:val="clear" w:color="auto" w:fill="auto"/>
            <w:noWrap/>
            <w:vAlign w:val="center"/>
            <w:hideMark/>
          </w:tcPr>
          <w:p w14:paraId="6E8A609C"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3 418,00</w:t>
            </w:r>
          </w:p>
        </w:tc>
        <w:tc>
          <w:tcPr>
            <w:tcW w:w="359" w:type="pct"/>
            <w:tcBorders>
              <w:top w:val="nil"/>
              <w:left w:val="nil"/>
              <w:bottom w:val="nil"/>
              <w:right w:val="nil"/>
            </w:tcBorders>
            <w:shd w:val="clear" w:color="auto" w:fill="auto"/>
            <w:noWrap/>
            <w:vAlign w:val="center"/>
            <w:hideMark/>
          </w:tcPr>
          <w:p w14:paraId="4DA93C74" w14:textId="77777777" w:rsidR="004E56C3" w:rsidRPr="00E97A72" w:rsidRDefault="004E56C3" w:rsidP="004E56C3">
            <w:pPr>
              <w:spacing w:after="0" w:line="240" w:lineRule="auto"/>
              <w:jc w:val="right"/>
              <w:rPr>
                <w:rFonts w:eastAsia="Times New Roman" w:cstheme="minorHAnsi"/>
                <w:color w:val="000000"/>
                <w:sz w:val="14"/>
                <w:szCs w:val="14"/>
                <w:lang w:eastAsia="cs-CZ"/>
              </w:rPr>
            </w:pPr>
            <w:r w:rsidRPr="00E97A72">
              <w:rPr>
                <w:rFonts w:eastAsia="Times New Roman" w:cstheme="minorHAnsi"/>
                <w:color w:val="000000"/>
                <w:sz w:val="14"/>
                <w:szCs w:val="14"/>
                <w:lang w:eastAsia="cs-CZ"/>
              </w:rPr>
              <w:t>4 213,00</w:t>
            </w:r>
          </w:p>
        </w:tc>
        <w:tc>
          <w:tcPr>
            <w:tcW w:w="400" w:type="pct"/>
            <w:tcBorders>
              <w:top w:val="nil"/>
              <w:left w:val="single" w:sz="4" w:space="0" w:color="auto"/>
              <w:bottom w:val="nil"/>
              <w:right w:val="nil"/>
            </w:tcBorders>
            <w:shd w:val="clear" w:color="auto" w:fill="auto"/>
            <w:noWrap/>
            <w:vAlign w:val="center"/>
            <w:hideMark/>
          </w:tcPr>
          <w:p w14:paraId="70810AAD" w14:textId="77777777" w:rsidR="004E56C3" w:rsidRPr="00E97A72" w:rsidRDefault="004E56C3" w:rsidP="004E56C3">
            <w:pPr>
              <w:spacing w:after="0" w:line="240" w:lineRule="auto"/>
              <w:jc w:val="right"/>
              <w:rPr>
                <w:rFonts w:eastAsia="Times New Roman" w:cstheme="minorHAnsi"/>
                <w:b/>
                <w:bCs/>
                <w:color w:val="000000"/>
                <w:sz w:val="14"/>
                <w:szCs w:val="14"/>
                <w:lang w:eastAsia="cs-CZ"/>
              </w:rPr>
            </w:pPr>
            <w:r w:rsidRPr="00E97A72">
              <w:rPr>
                <w:rFonts w:eastAsia="Times New Roman" w:cstheme="minorHAnsi"/>
                <w:b/>
                <w:bCs/>
                <w:color w:val="000000"/>
                <w:sz w:val="14"/>
                <w:szCs w:val="14"/>
                <w:lang w:eastAsia="cs-CZ"/>
              </w:rPr>
              <w:t>8 500,00</w:t>
            </w:r>
          </w:p>
        </w:tc>
      </w:tr>
    </w:tbl>
    <w:p w14:paraId="45552270" w14:textId="2239B67E" w:rsidR="001F5332" w:rsidRDefault="001F5332" w:rsidP="001F5332">
      <w:pPr>
        <w:pStyle w:val="Zdrojpodtabulkounebografem"/>
      </w:pPr>
      <w:r w:rsidRPr="009D0816">
        <w:t xml:space="preserve"> </w:t>
      </w:r>
      <w:r>
        <w:t>Zdroj: NPO.</w:t>
      </w:r>
    </w:p>
    <w:p w14:paraId="71A17F52" w14:textId="77777777" w:rsidR="00E97A72" w:rsidRPr="00E97A72" w:rsidRDefault="00E97A72" w:rsidP="00E97A72">
      <w:pPr>
        <w:rPr>
          <w:sz w:val="18"/>
          <w:szCs w:val="18"/>
          <w:lang w:eastAsia="cs-CZ"/>
        </w:rPr>
      </w:pPr>
    </w:p>
    <w:p w14:paraId="6E16EDFD" w14:textId="39DC71D2" w:rsidR="001F5332" w:rsidRPr="00743021" w:rsidRDefault="001F5332" w:rsidP="001F5332">
      <w:pPr>
        <w:jc w:val="both"/>
      </w:pPr>
      <w:r>
        <w:t>U budování fyzické infrastruktury se v</w:t>
      </w:r>
      <w:r w:rsidR="0003053E">
        <w:t> </w:t>
      </w:r>
      <w:r>
        <w:t>dopadech odráží objem investovaných prostředků do jednotlivých komponent. Dominují tedy pozitivní efekty z</w:t>
      </w:r>
      <w:r w:rsidR="0003053E">
        <w:t> </w:t>
      </w:r>
      <w:r>
        <w:t>investic do rozvoje železniční a</w:t>
      </w:r>
      <w:r w:rsidR="0003053E">
        <w:t> </w:t>
      </w:r>
      <w:r>
        <w:t>jiné veřejné infrastruktury, modernizace tratí a</w:t>
      </w:r>
      <w:r w:rsidR="0003053E">
        <w:t> </w:t>
      </w:r>
      <w:r>
        <w:t xml:space="preserve">dalších ekologických investic jako např. program </w:t>
      </w:r>
      <w:r w:rsidR="00D70836">
        <w:t>Nová z</w:t>
      </w:r>
      <w:r>
        <w:t>elená úsporám.</w:t>
      </w:r>
    </w:p>
    <w:p w14:paraId="00B4F1CF" w14:textId="0918DAD7" w:rsidR="001F5332" w:rsidRDefault="001F5332" w:rsidP="001F5332">
      <w:pPr>
        <w:pStyle w:val="Titulek"/>
        <w:keepNext/>
        <w:spacing w:after="120"/>
      </w:pPr>
      <w:bookmarkStart w:id="313" w:name="_Toc151444596"/>
      <w:r>
        <w:t xml:space="preserve">Tabulka </w:t>
      </w:r>
      <w:r>
        <w:fldChar w:fldCharType="begin"/>
      </w:r>
      <w:r>
        <w:instrText xml:space="preserve"> SEQ Tabulka \* ARABIC </w:instrText>
      </w:r>
      <w:r>
        <w:fldChar w:fldCharType="separate"/>
      </w:r>
      <w:r w:rsidR="00E25A73">
        <w:t>11</w:t>
      </w:r>
      <w:r>
        <w:fldChar w:fldCharType="end"/>
      </w:r>
      <w:r>
        <w:t>: Makroekonomické dopady 2. pilíře – fyzická infrastruktura a</w:t>
      </w:r>
      <w:r w:rsidR="0003053E">
        <w:t> </w:t>
      </w:r>
      <w:r>
        <w:t>zelená tranzice</w:t>
      </w:r>
      <w:bookmarkEnd w:id="313"/>
    </w:p>
    <w:p w14:paraId="38AD3F15" w14:textId="77777777" w:rsidR="001F5332" w:rsidRDefault="001F5332" w:rsidP="001F5332">
      <w:pPr>
        <w:pStyle w:val="Tabulkaagraf"/>
      </w:pPr>
      <w:r>
        <w:t>% HDP, % zaměstnanosti</w:t>
      </w:r>
    </w:p>
    <w:p w14:paraId="6959DAE6" w14:textId="708A10F5" w:rsidR="001F5332" w:rsidRDefault="001F5332" w:rsidP="001F5332">
      <w:pPr>
        <w:pStyle w:val="Zdrojpodtabulkounebografem"/>
        <w:keepNext/>
      </w:pPr>
      <w:r w:rsidRPr="005F6689">
        <w:rPr>
          <w:noProof/>
        </w:rPr>
        <w:drawing>
          <wp:inline distT="0" distB="0" distL="0" distR="0" wp14:anchorId="034219A3" wp14:editId="19DE3611">
            <wp:extent cx="6124575" cy="2096135"/>
            <wp:effectExtent l="0" t="0" r="9525" b="0"/>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24575" cy="2096135"/>
                    </a:xfrm>
                    <a:prstGeom prst="rect">
                      <a:avLst/>
                    </a:prstGeom>
                    <a:noFill/>
                    <a:ln>
                      <a:noFill/>
                    </a:ln>
                  </pic:spPr>
                </pic:pic>
              </a:graphicData>
            </a:graphic>
          </wp:inline>
        </w:drawing>
      </w:r>
      <w:r w:rsidRPr="009D0816">
        <w:t xml:space="preserve"> </w:t>
      </w:r>
      <w:r>
        <w:t>Pozn.: Údaje u</w:t>
      </w:r>
      <w:r w:rsidR="0003053E">
        <w:t> </w:t>
      </w:r>
      <w:r>
        <w:t>HDP vyjadřují dodatečně vytvořenou přidanou hodnotu v</w:t>
      </w:r>
      <w:r w:rsidR="0003053E">
        <w:t> </w:t>
      </w:r>
      <w:r>
        <w:t xml:space="preserve">uvedených letech vlivem </w:t>
      </w:r>
      <w:r w:rsidR="00D70836">
        <w:t>NPO</w:t>
      </w:r>
      <w:r>
        <w:t xml:space="preserve"> v</w:t>
      </w:r>
      <w:r w:rsidR="0003053E">
        <w:t> </w:t>
      </w:r>
      <w:r>
        <w:t>poměru k</w:t>
      </w:r>
      <w:r w:rsidR="0003053E">
        <w:t> </w:t>
      </w:r>
      <w:r>
        <w:t>HDP ve výchozím roce 2020, vůči němuž jsou velikosti impulzů do ekonomiky přepočteny. V</w:t>
      </w:r>
      <w:r w:rsidR="0003053E">
        <w:t> </w:t>
      </w:r>
      <w:r>
        <w:t>případě zaměstnanosti jde o</w:t>
      </w:r>
      <w:r w:rsidR="0003053E">
        <w:t> </w:t>
      </w:r>
      <w:r>
        <w:t>dodatečně vytvořenou poptávku na trhu práce v</w:t>
      </w:r>
      <w:r w:rsidR="0003053E">
        <w:t> </w:t>
      </w:r>
      <w:r>
        <w:t>uvedených letech v</w:t>
      </w:r>
      <w:r w:rsidR="0003053E">
        <w:t> </w:t>
      </w:r>
      <w:r>
        <w:t>poměru k</w:t>
      </w:r>
      <w:r w:rsidR="0003053E">
        <w:t> </w:t>
      </w:r>
      <w:r>
        <w:t>objemu zaměstnanosti v</w:t>
      </w:r>
      <w:r w:rsidR="0003053E">
        <w:t> </w:t>
      </w:r>
      <w:r>
        <w:t>témže výchozím roce 2020.</w:t>
      </w:r>
    </w:p>
    <w:p w14:paraId="372F9FCB" w14:textId="77777777" w:rsidR="001F5332" w:rsidRDefault="001F5332" w:rsidP="001F5332">
      <w:pPr>
        <w:pStyle w:val="Zdrojpodtabulkounebografem"/>
        <w:keepNext/>
      </w:pPr>
      <w:r>
        <w:t>Zdroj: Výpočty MF ČR.</w:t>
      </w:r>
    </w:p>
    <w:p w14:paraId="3911FA59" w14:textId="159F03EF" w:rsidR="001F5332" w:rsidRDefault="001F5332" w:rsidP="001F5332">
      <w:pPr>
        <w:pStyle w:val="Nadpismal"/>
      </w:pPr>
      <w:r>
        <w:t>3. pilíř: Vzdělávání a</w:t>
      </w:r>
      <w:r w:rsidR="0003053E">
        <w:t> </w:t>
      </w:r>
      <w:r>
        <w:t>trh práce</w:t>
      </w:r>
    </w:p>
    <w:p w14:paraId="01BE0CBD" w14:textId="09983AF8" w:rsidR="001F5332" w:rsidRPr="004561C8" w:rsidRDefault="001F5332" w:rsidP="001F5332">
      <w:pPr>
        <w:jc w:val="both"/>
      </w:pPr>
      <w:r>
        <w:t>Oblast vzdělávání a</w:t>
      </w:r>
      <w:r w:rsidR="0003053E">
        <w:t> </w:t>
      </w:r>
      <w:r>
        <w:t>trhu práce ve všech svých komponentách představuje zvyšování efektivity práce nejen v</w:t>
      </w:r>
      <w:r w:rsidR="0003053E">
        <w:t> </w:t>
      </w:r>
      <w:r>
        <w:t>podobě podpory vzdělávání, ale také zvyšování kvalifikace pedagogických pracovníků. Část komponenty 3.3 zahrnuje také výstavbu budov, tedy nárůst výdajů vládního sektoru. Nově byl tento pilíř objemově výrazně navýšen především s</w:t>
      </w:r>
      <w:r w:rsidR="0003053E">
        <w:t> </w:t>
      </w:r>
      <w:r>
        <w:t>ohledem na investice směřující ke zvýšení dostupnosti vzdělání.</w:t>
      </w:r>
    </w:p>
    <w:p w14:paraId="72FB716B" w14:textId="52B88CE1" w:rsidR="001F5332" w:rsidRDefault="001F5332" w:rsidP="001F5332">
      <w:pPr>
        <w:pStyle w:val="Titulek"/>
        <w:keepNext/>
        <w:spacing w:after="120"/>
      </w:pPr>
      <w:bookmarkStart w:id="314" w:name="_Toc151444597"/>
      <w:r>
        <w:lastRenderedPageBreak/>
        <w:t xml:space="preserve">Tabulka </w:t>
      </w:r>
      <w:r>
        <w:fldChar w:fldCharType="begin"/>
      </w:r>
      <w:r>
        <w:instrText xml:space="preserve"> SEQ Tabulka \* ARABIC </w:instrText>
      </w:r>
      <w:r>
        <w:fldChar w:fldCharType="separate"/>
      </w:r>
      <w:r w:rsidR="00E25A73">
        <w:t>12</w:t>
      </w:r>
      <w:r>
        <w:fldChar w:fldCharType="end"/>
      </w:r>
      <w:r>
        <w:t>: Stanovené impulzy v</w:t>
      </w:r>
      <w:r w:rsidR="0003053E">
        <w:t> </w:t>
      </w:r>
      <w:r>
        <w:t>rámci 3. pilíře – vzdělávání a</w:t>
      </w:r>
      <w:r w:rsidR="0003053E">
        <w:t> </w:t>
      </w:r>
      <w:r>
        <w:t>trh práce</w:t>
      </w:r>
      <w:bookmarkEnd w:id="314"/>
    </w:p>
    <w:p w14:paraId="333B1002" w14:textId="50509539" w:rsidR="001F5332" w:rsidRDefault="001F5332" w:rsidP="001F5332">
      <w:pPr>
        <w:pStyle w:val="Tabulkaagraf"/>
      </w:pPr>
      <w:r>
        <w:t>mil. Kč</w:t>
      </w:r>
    </w:p>
    <w:tbl>
      <w:tblPr>
        <w:tblW w:w="5000" w:type="pct"/>
        <w:tblCellMar>
          <w:left w:w="70" w:type="dxa"/>
          <w:right w:w="70" w:type="dxa"/>
        </w:tblCellMar>
        <w:tblLook w:val="04A0" w:firstRow="1" w:lastRow="0" w:firstColumn="1" w:lastColumn="0" w:noHBand="0" w:noVBand="1"/>
      </w:tblPr>
      <w:tblGrid>
        <w:gridCol w:w="3876"/>
        <w:gridCol w:w="681"/>
        <w:gridCol w:w="681"/>
        <w:gridCol w:w="681"/>
        <w:gridCol w:w="680"/>
        <w:gridCol w:w="705"/>
        <w:gridCol w:w="705"/>
        <w:gridCol w:w="680"/>
        <w:gridCol w:w="809"/>
      </w:tblGrid>
      <w:tr w:rsidR="004E56C3" w:rsidRPr="009E4255" w14:paraId="698C0021" w14:textId="77777777" w:rsidTr="004E56C3">
        <w:trPr>
          <w:trHeight w:val="300"/>
          <w:tblHeader/>
        </w:trPr>
        <w:tc>
          <w:tcPr>
            <w:tcW w:w="2039" w:type="pct"/>
            <w:tcBorders>
              <w:top w:val="nil"/>
              <w:left w:val="nil"/>
              <w:bottom w:val="single" w:sz="4" w:space="0" w:color="auto"/>
              <w:right w:val="single" w:sz="4" w:space="0" w:color="auto"/>
            </w:tcBorders>
            <w:shd w:val="clear" w:color="000000" w:fill="D9E1F2"/>
            <w:noWrap/>
            <w:vAlign w:val="center"/>
            <w:hideMark/>
          </w:tcPr>
          <w:p w14:paraId="5A71D616" w14:textId="77777777" w:rsidR="004E56C3" w:rsidRPr="009E4255" w:rsidRDefault="004E56C3" w:rsidP="004E56C3">
            <w:pPr>
              <w:spacing w:after="0" w:line="240" w:lineRule="auto"/>
              <w:rPr>
                <w:rFonts w:ascii="Calibri" w:eastAsia="Times New Roman" w:hAnsi="Calibri" w:cs="Calibri"/>
                <w:b/>
                <w:bCs/>
                <w:color w:val="000000"/>
                <w:sz w:val="14"/>
                <w:szCs w:val="14"/>
                <w:lang w:eastAsia="cs-CZ"/>
              </w:rPr>
            </w:pPr>
            <w:r w:rsidRPr="009E4255">
              <w:rPr>
                <w:rFonts w:ascii="Calibri" w:eastAsia="Times New Roman" w:hAnsi="Calibri" w:cs="Calibri"/>
                <w:b/>
                <w:bCs/>
                <w:color w:val="000000"/>
                <w:sz w:val="14"/>
                <w:szCs w:val="14"/>
                <w:lang w:eastAsia="cs-CZ"/>
              </w:rPr>
              <w:t> </w:t>
            </w:r>
          </w:p>
        </w:tc>
        <w:tc>
          <w:tcPr>
            <w:tcW w:w="358" w:type="pct"/>
            <w:tcBorders>
              <w:top w:val="nil"/>
              <w:left w:val="nil"/>
              <w:bottom w:val="single" w:sz="4" w:space="0" w:color="auto"/>
              <w:right w:val="nil"/>
            </w:tcBorders>
            <w:shd w:val="clear" w:color="000000" w:fill="D9E1F2"/>
            <w:noWrap/>
            <w:vAlign w:val="center"/>
            <w:hideMark/>
          </w:tcPr>
          <w:p w14:paraId="5C2EEC72" w14:textId="77777777" w:rsidR="004E56C3" w:rsidRPr="009E4255" w:rsidRDefault="004E56C3" w:rsidP="004E56C3">
            <w:pPr>
              <w:spacing w:after="0" w:line="240" w:lineRule="auto"/>
              <w:jc w:val="right"/>
              <w:rPr>
                <w:rFonts w:ascii="Calibri" w:eastAsia="Times New Roman" w:hAnsi="Calibri" w:cs="Calibri"/>
                <w:b/>
                <w:bCs/>
                <w:color w:val="000000"/>
                <w:sz w:val="14"/>
                <w:szCs w:val="14"/>
                <w:lang w:eastAsia="cs-CZ"/>
              </w:rPr>
            </w:pPr>
            <w:r w:rsidRPr="009E4255">
              <w:rPr>
                <w:rFonts w:ascii="Calibri" w:eastAsia="Times New Roman" w:hAnsi="Calibri" w:cs="Calibri"/>
                <w:b/>
                <w:bCs/>
                <w:color w:val="000000"/>
                <w:sz w:val="14"/>
                <w:szCs w:val="14"/>
                <w:lang w:eastAsia="cs-CZ"/>
              </w:rPr>
              <w:t>2020</w:t>
            </w:r>
          </w:p>
        </w:tc>
        <w:tc>
          <w:tcPr>
            <w:tcW w:w="358" w:type="pct"/>
            <w:tcBorders>
              <w:top w:val="nil"/>
              <w:left w:val="nil"/>
              <w:bottom w:val="single" w:sz="4" w:space="0" w:color="auto"/>
              <w:right w:val="nil"/>
            </w:tcBorders>
            <w:shd w:val="clear" w:color="000000" w:fill="D9E1F2"/>
            <w:noWrap/>
            <w:vAlign w:val="center"/>
            <w:hideMark/>
          </w:tcPr>
          <w:p w14:paraId="0F31C52E" w14:textId="77777777" w:rsidR="004E56C3" w:rsidRPr="009E4255" w:rsidRDefault="004E56C3" w:rsidP="004E56C3">
            <w:pPr>
              <w:spacing w:after="0" w:line="240" w:lineRule="auto"/>
              <w:jc w:val="right"/>
              <w:rPr>
                <w:rFonts w:ascii="Calibri" w:eastAsia="Times New Roman" w:hAnsi="Calibri" w:cs="Calibri"/>
                <w:b/>
                <w:bCs/>
                <w:color w:val="000000"/>
                <w:sz w:val="14"/>
                <w:szCs w:val="14"/>
                <w:lang w:eastAsia="cs-CZ"/>
              </w:rPr>
            </w:pPr>
            <w:r w:rsidRPr="009E4255">
              <w:rPr>
                <w:rFonts w:ascii="Calibri" w:eastAsia="Times New Roman" w:hAnsi="Calibri" w:cs="Calibri"/>
                <w:b/>
                <w:bCs/>
                <w:color w:val="000000"/>
                <w:sz w:val="14"/>
                <w:szCs w:val="14"/>
                <w:lang w:eastAsia="cs-CZ"/>
              </w:rPr>
              <w:t>2021</w:t>
            </w:r>
          </w:p>
        </w:tc>
        <w:tc>
          <w:tcPr>
            <w:tcW w:w="358" w:type="pct"/>
            <w:tcBorders>
              <w:top w:val="nil"/>
              <w:left w:val="nil"/>
              <w:bottom w:val="single" w:sz="4" w:space="0" w:color="auto"/>
              <w:right w:val="nil"/>
            </w:tcBorders>
            <w:shd w:val="clear" w:color="000000" w:fill="D9E1F2"/>
            <w:noWrap/>
            <w:vAlign w:val="center"/>
            <w:hideMark/>
          </w:tcPr>
          <w:p w14:paraId="0366418B" w14:textId="77777777" w:rsidR="004E56C3" w:rsidRPr="009E4255" w:rsidRDefault="004E56C3" w:rsidP="004E56C3">
            <w:pPr>
              <w:spacing w:after="0" w:line="240" w:lineRule="auto"/>
              <w:jc w:val="right"/>
              <w:rPr>
                <w:rFonts w:ascii="Calibri" w:eastAsia="Times New Roman" w:hAnsi="Calibri" w:cs="Calibri"/>
                <w:b/>
                <w:bCs/>
                <w:color w:val="000000"/>
                <w:sz w:val="14"/>
                <w:szCs w:val="14"/>
                <w:lang w:eastAsia="cs-CZ"/>
              </w:rPr>
            </w:pPr>
            <w:r w:rsidRPr="009E4255">
              <w:rPr>
                <w:rFonts w:ascii="Calibri" w:eastAsia="Times New Roman" w:hAnsi="Calibri" w:cs="Calibri"/>
                <w:b/>
                <w:bCs/>
                <w:color w:val="000000"/>
                <w:sz w:val="14"/>
                <w:szCs w:val="14"/>
                <w:lang w:eastAsia="cs-CZ"/>
              </w:rPr>
              <w:t>2022</w:t>
            </w:r>
          </w:p>
        </w:tc>
        <w:tc>
          <w:tcPr>
            <w:tcW w:w="358" w:type="pct"/>
            <w:tcBorders>
              <w:top w:val="nil"/>
              <w:left w:val="nil"/>
              <w:bottom w:val="single" w:sz="4" w:space="0" w:color="auto"/>
              <w:right w:val="nil"/>
            </w:tcBorders>
            <w:shd w:val="clear" w:color="000000" w:fill="D9E1F2"/>
            <w:noWrap/>
            <w:vAlign w:val="center"/>
            <w:hideMark/>
          </w:tcPr>
          <w:p w14:paraId="04ED1E15" w14:textId="77777777" w:rsidR="004E56C3" w:rsidRPr="009E4255" w:rsidRDefault="004E56C3" w:rsidP="004E56C3">
            <w:pPr>
              <w:spacing w:after="0" w:line="240" w:lineRule="auto"/>
              <w:jc w:val="right"/>
              <w:rPr>
                <w:rFonts w:ascii="Calibri" w:eastAsia="Times New Roman" w:hAnsi="Calibri" w:cs="Calibri"/>
                <w:b/>
                <w:bCs/>
                <w:color w:val="000000"/>
                <w:sz w:val="14"/>
                <w:szCs w:val="14"/>
                <w:lang w:eastAsia="cs-CZ"/>
              </w:rPr>
            </w:pPr>
            <w:r w:rsidRPr="009E4255">
              <w:rPr>
                <w:rFonts w:ascii="Calibri" w:eastAsia="Times New Roman" w:hAnsi="Calibri" w:cs="Calibri"/>
                <w:b/>
                <w:bCs/>
                <w:color w:val="000000"/>
                <w:sz w:val="14"/>
                <w:szCs w:val="14"/>
                <w:lang w:eastAsia="cs-CZ"/>
              </w:rPr>
              <w:t>2023</w:t>
            </w:r>
          </w:p>
        </w:tc>
        <w:tc>
          <w:tcPr>
            <w:tcW w:w="371" w:type="pct"/>
            <w:tcBorders>
              <w:top w:val="nil"/>
              <w:left w:val="nil"/>
              <w:bottom w:val="single" w:sz="4" w:space="0" w:color="auto"/>
              <w:right w:val="nil"/>
            </w:tcBorders>
            <w:shd w:val="clear" w:color="000000" w:fill="D9E1F2"/>
            <w:noWrap/>
            <w:vAlign w:val="center"/>
            <w:hideMark/>
          </w:tcPr>
          <w:p w14:paraId="17A7C208" w14:textId="77777777" w:rsidR="004E56C3" w:rsidRPr="009E4255" w:rsidRDefault="004E56C3" w:rsidP="004E56C3">
            <w:pPr>
              <w:spacing w:after="0" w:line="240" w:lineRule="auto"/>
              <w:jc w:val="right"/>
              <w:rPr>
                <w:rFonts w:ascii="Calibri" w:eastAsia="Times New Roman" w:hAnsi="Calibri" w:cs="Calibri"/>
                <w:b/>
                <w:bCs/>
                <w:color w:val="000000"/>
                <w:sz w:val="14"/>
                <w:szCs w:val="14"/>
                <w:lang w:eastAsia="cs-CZ"/>
              </w:rPr>
            </w:pPr>
            <w:r w:rsidRPr="009E4255">
              <w:rPr>
                <w:rFonts w:ascii="Calibri" w:eastAsia="Times New Roman" w:hAnsi="Calibri" w:cs="Calibri"/>
                <w:b/>
                <w:bCs/>
                <w:color w:val="000000"/>
                <w:sz w:val="14"/>
                <w:szCs w:val="14"/>
                <w:lang w:eastAsia="cs-CZ"/>
              </w:rPr>
              <w:t>2024</w:t>
            </w:r>
          </w:p>
        </w:tc>
        <w:tc>
          <w:tcPr>
            <w:tcW w:w="371" w:type="pct"/>
            <w:tcBorders>
              <w:top w:val="nil"/>
              <w:left w:val="nil"/>
              <w:bottom w:val="single" w:sz="4" w:space="0" w:color="auto"/>
              <w:right w:val="nil"/>
            </w:tcBorders>
            <w:shd w:val="clear" w:color="000000" w:fill="D9E1F2"/>
            <w:noWrap/>
            <w:vAlign w:val="center"/>
            <w:hideMark/>
          </w:tcPr>
          <w:p w14:paraId="19CB5B70" w14:textId="77777777" w:rsidR="004E56C3" w:rsidRPr="009E4255" w:rsidRDefault="004E56C3" w:rsidP="004E56C3">
            <w:pPr>
              <w:spacing w:after="0" w:line="240" w:lineRule="auto"/>
              <w:jc w:val="right"/>
              <w:rPr>
                <w:rFonts w:ascii="Calibri" w:eastAsia="Times New Roman" w:hAnsi="Calibri" w:cs="Calibri"/>
                <w:b/>
                <w:bCs/>
                <w:color w:val="000000"/>
                <w:sz w:val="14"/>
                <w:szCs w:val="14"/>
                <w:lang w:eastAsia="cs-CZ"/>
              </w:rPr>
            </w:pPr>
            <w:r w:rsidRPr="009E4255">
              <w:rPr>
                <w:rFonts w:ascii="Calibri" w:eastAsia="Times New Roman" w:hAnsi="Calibri" w:cs="Calibri"/>
                <w:b/>
                <w:bCs/>
                <w:color w:val="000000"/>
                <w:sz w:val="14"/>
                <w:szCs w:val="14"/>
                <w:lang w:eastAsia="cs-CZ"/>
              </w:rPr>
              <w:t>2025</w:t>
            </w:r>
          </w:p>
        </w:tc>
        <w:tc>
          <w:tcPr>
            <w:tcW w:w="358" w:type="pct"/>
            <w:tcBorders>
              <w:top w:val="nil"/>
              <w:left w:val="nil"/>
              <w:bottom w:val="single" w:sz="4" w:space="0" w:color="auto"/>
              <w:right w:val="nil"/>
            </w:tcBorders>
            <w:shd w:val="clear" w:color="000000" w:fill="D9E1F2"/>
            <w:noWrap/>
            <w:vAlign w:val="center"/>
            <w:hideMark/>
          </w:tcPr>
          <w:p w14:paraId="297FA9D0" w14:textId="77777777" w:rsidR="004E56C3" w:rsidRPr="009E4255" w:rsidRDefault="004E56C3" w:rsidP="004E56C3">
            <w:pPr>
              <w:spacing w:after="0" w:line="240" w:lineRule="auto"/>
              <w:jc w:val="right"/>
              <w:rPr>
                <w:rFonts w:ascii="Calibri" w:eastAsia="Times New Roman" w:hAnsi="Calibri" w:cs="Calibri"/>
                <w:b/>
                <w:bCs/>
                <w:color w:val="000000"/>
                <w:sz w:val="14"/>
                <w:szCs w:val="14"/>
                <w:lang w:eastAsia="cs-CZ"/>
              </w:rPr>
            </w:pPr>
            <w:r w:rsidRPr="009E4255">
              <w:rPr>
                <w:rFonts w:ascii="Calibri" w:eastAsia="Times New Roman" w:hAnsi="Calibri" w:cs="Calibri"/>
                <w:b/>
                <w:bCs/>
                <w:color w:val="000000"/>
                <w:sz w:val="14"/>
                <w:szCs w:val="14"/>
                <w:lang w:eastAsia="cs-CZ"/>
              </w:rPr>
              <w:t>2026</w:t>
            </w:r>
          </w:p>
        </w:tc>
        <w:tc>
          <w:tcPr>
            <w:tcW w:w="426" w:type="pct"/>
            <w:tcBorders>
              <w:top w:val="nil"/>
              <w:left w:val="single" w:sz="4" w:space="0" w:color="auto"/>
              <w:bottom w:val="single" w:sz="4" w:space="0" w:color="auto"/>
              <w:right w:val="nil"/>
            </w:tcBorders>
            <w:shd w:val="clear" w:color="000000" w:fill="D9E1F2"/>
            <w:noWrap/>
            <w:vAlign w:val="center"/>
            <w:hideMark/>
          </w:tcPr>
          <w:p w14:paraId="21A2470A" w14:textId="77777777" w:rsidR="004E56C3" w:rsidRPr="009E4255" w:rsidRDefault="004E56C3" w:rsidP="004E56C3">
            <w:pPr>
              <w:spacing w:after="0" w:line="240" w:lineRule="auto"/>
              <w:jc w:val="center"/>
              <w:rPr>
                <w:rFonts w:ascii="Calibri" w:eastAsia="Times New Roman" w:hAnsi="Calibri" w:cs="Calibri"/>
                <w:b/>
                <w:bCs/>
                <w:color w:val="000000"/>
                <w:sz w:val="14"/>
                <w:szCs w:val="14"/>
                <w:lang w:eastAsia="cs-CZ"/>
              </w:rPr>
            </w:pPr>
            <w:r w:rsidRPr="009E4255">
              <w:rPr>
                <w:rFonts w:ascii="Calibri" w:eastAsia="Times New Roman" w:hAnsi="Calibri" w:cs="Calibri"/>
                <w:b/>
                <w:bCs/>
                <w:color w:val="000000"/>
                <w:sz w:val="14"/>
                <w:szCs w:val="14"/>
                <w:lang w:eastAsia="cs-CZ"/>
              </w:rPr>
              <w:t>celkem</w:t>
            </w:r>
          </w:p>
        </w:tc>
      </w:tr>
      <w:tr w:rsidR="004E56C3" w:rsidRPr="009E4255" w14:paraId="104D7B7D" w14:textId="77777777" w:rsidTr="004E56C3">
        <w:trPr>
          <w:trHeight w:val="300"/>
          <w:tblHeader/>
        </w:trPr>
        <w:tc>
          <w:tcPr>
            <w:tcW w:w="2039" w:type="pct"/>
            <w:tcBorders>
              <w:top w:val="nil"/>
              <w:left w:val="nil"/>
              <w:bottom w:val="nil"/>
              <w:right w:val="single" w:sz="4" w:space="0" w:color="auto"/>
            </w:tcBorders>
            <w:shd w:val="clear" w:color="auto" w:fill="auto"/>
            <w:noWrap/>
            <w:vAlign w:val="center"/>
            <w:hideMark/>
          </w:tcPr>
          <w:p w14:paraId="3AEDE65A" w14:textId="0CB2C2F9" w:rsidR="004E56C3" w:rsidRPr="009E4255" w:rsidRDefault="004E56C3" w:rsidP="004E56C3">
            <w:pPr>
              <w:spacing w:after="0" w:line="240" w:lineRule="auto"/>
              <w:rPr>
                <w:rFonts w:ascii="Calibri" w:eastAsia="Times New Roman" w:hAnsi="Calibri" w:cs="Calibri"/>
                <w:b/>
                <w:bCs/>
                <w:color w:val="000000"/>
                <w:sz w:val="14"/>
                <w:szCs w:val="14"/>
                <w:lang w:eastAsia="cs-CZ"/>
              </w:rPr>
            </w:pPr>
            <w:r w:rsidRPr="009E4255">
              <w:rPr>
                <w:rFonts w:ascii="Calibri" w:eastAsia="Times New Roman" w:hAnsi="Calibri" w:cs="Calibri"/>
                <w:b/>
                <w:bCs/>
                <w:color w:val="000000"/>
                <w:sz w:val="14"/>
                <w:szCs w:val="14"/>
                <w:lang w:eastAsia="cs-CZ"/>
              </w:rPr>
              <w:t>3. PILÍŘ: VZDĚLÁVÁNÍ A</w:t>
            </w:r>
            <w:r w:rsidR="0003053E">
              <w:rPr>
                <w:rFonts w:ascii="Calibri" w:eastAsia="Times New Roman" w:hAnsi="Calibri" w:cs="Calibri"/>
                <w:b/>
                <w:bCs/>
                <w:color w:val="000000"/>
                <w:sz w:val="14"/>
                <w:szCs w:val="14"/>
                <w:lang w:eastAsia="cs-CZ"/>
              </w:rPr>
              <w:t> </w:t>
            </w:r>
            <w:r w:rsidRPr="009E4255">
              <w:rPr>
                <w:rFonts w:ascii="Calibri" w:eastAsia="Times New Roman" w:hAnsi="Calibri" w:cs="Calibri"/>
                <w:b/>
                <w:bCs/>
                <w:color w:val="000000"/>
                <w:sz w:val="14"/>
                <w:szCs w:val="14"/>
                <w:lang w:eastAsia="cs-CZ"/>
              </w:rPr>
              <w:t>TRH PRÁCE</w:t>
            </w:r>
          </w:p>
        </w:tc>
        <w:tc>
          <w:tcPr>
            <w:tcW w:w="358" w:type="pct"/>
            <w:tcBorders>
              <w:top w:val="nil"/>
              <w:left w:val="nil"/>
              <w:bottom w:val="nil"/>
              <w:right w:val="nil"/>
            </w:tcBorders>
            <w:shd w:val="clear" w:color="auto" w:fill="auto"/>
            <w:noWrap/>
            <w:vAlign w:val="center"/>
            <w:hideMark/>
          </w:tcPr>
          <w:p w14:paraId="53AAE7E8" w14:textId="77777777" w:rsidR="004E56C3" w:rsidRPr="009E4255" w:rsidRDefault="004E56C3" w:rsidP="004E56C3">
            <w:pPr>
              <w:spacing w:after="0" w:line="240" w:lineRule="auto"/>
              <w:jc w:val="right"/>
              <w:rPr>
                <w:rFonts w:ascii="Calibri" w:eastAsia="Times New Roman" w:hAnsi="Calibri" w:cs="Calibri"/>
                <w:b/>
                <w:color w:val="000000"/>
                <w:sz w:val="14"/>
                <w:szCs w:val="14"/>
                <w:lang w:eastAsia="cs-CZ"/>
              </w:rPr>
            </w:pPr>
            <w:r w:rsidRPr="009E4255">
              <w:rPr>
                <w:rFonts w:ascii="Calibri" w:eastAsia="Times New Roman" w:hAnsi="Calibri" w:cs="Calibri"/>
                <w:b/>
                <w:color w:val="000000"/>
                <w:sz w:val="14"/>
                <w:szCs w:val="14"/>
                <w:lang w:eastAsia="cs-CZ"/>
              </w:rPr>
              <w:t>1 027,00</w:t>
            </w:r>
          </w:p>
        </w:tc>
        <w:tc>
          <w:tcPr>
            <w:tcW w:w="358" w:type="pct"/>
            <w:tcBorders>
              <w:top w:val="nil"/>
              <w:left w:val="nil"/>
              <w:bottom w:val="nil"/>
              <w:right w:val="nil"/>
            </w:tcBorders>
            <w:shd w:val="clear" w:color="auto" w:fill="auto"/>
            <w:noWrap/>
            <w:vAlign w:val="center"/>
            <w:hideMark/>
          </w:tcPr>
          <w:p w14:paraId="5E8F879F" w14:textId="77777777" w:rsidR="004E56C3" w:rsidRPr="009E4255" w:rsidRDefault="004E56C3" w:rsidP="004E56C3">
            <w:pPr>
              <w:spacing w:after="0" w:line="240" w:lineRule="auto"/>
              <w:jc w:val="right"/>
              <w:rPr>
                <w:rFonts w:ascii="Calibri" w:eastAsia="Times New Roman" w:hAnsi="Calibri" w:cs="Calibri"/>
                <w:b/>
                <w:color w:val="000000"/>
                <w:sz w:val="14"/>
                <w:szCs w:val="14"/>
                <w:lang w:eastAsia="cs-CZ"/>
              </w:rPr>
            </w:pPr>
            <w:r w:rsidRPr="009E4255">
              <w:rPr>
                <w:rFonts w:ascii="Calibri" w:eastAsia="Times New Roman" w:hAnsi="Calibri" w:cs="Calibri"/>
                <w:b/>
                <w:color w:val="000000"/>
                <w:sz w:val="14"/>
                <w:szCs w:val="14"/>
                <w:lang w:eastAsia="cs-CZ"/>
              </w:rPr>
              <w:t>36,00</w:t>
            </w:r>
          </w:p>
        </w:tc>
        <w:tc>
          <w:tcPr>
            <w:tcW w:w="358" w:type="pct"/>
            <w:tcBorders>
              <w:top w:val="nil"/>
              <w:left w:val="nil"/>
              <w:bottom w:val="nil"/>
              <w:right w:val="nil"/>
            </w:tcBorders>
            <w:shd w:val="clear" w:color="auto" w:fill="auto"/>
            <w:noWrap/>
            <w:vAlign w:val="center"/>
            <w:hideMark/>
          </w:tcPr>
          <w:p w14:paraId="4352BE85" w14:textId="77777777" w:rsidR="004E56C3" w:rsidRPr="009E4255" w:rsidRDefault="004E56C3" w:rsidP="004E56C3">
            <w:pPr>
              <w:spacing w:after="0" w:line="240" w:lineRule="auto"/>
              <w:jc w:val="right"/>
              <w:rPr>
                <w:rFonts w:ascii="Calibri" w:eastAsia="Times New Roman" w:hAnsi="Calibri" w:cs="Calibri"/>
                <w:b/>
                <w:color w:val="000000"/>
                <w:sz w:val="14"/>
                <w:szCs w:val="14"/>
                <w:lang w:eastAsia="cs-CZ"/>
              </w:rPr>
            </w:pPr>
            <w:r w:rsidRPr="009E4255">
              <w:rPr>
                <w:rFonts w:ascii="Calibri" w:eastAsia="Times New Roman" w:hAnsi="Calibri" w:cs="Calibri"/>
                <w:b/>
                <w:color w:val="000000"/>
                <w:sz w:val="14"/>
                <w:szCs w:val="14"/>
                <w:lang w:eastAsia="cs-CZ"/>
              </w:rPr>
              <w:t>4 364,00</w:t>
            </w:r>
          </w:p>
        </w:tc>
        <w:tc>
          <w:tcPr>
            <w:tcW w:w="358" w:type="pct"/>
            <w:tcBorders>
              <w:top w:val="nil"/>
              <w:left w:val="nil"/>
              <w:bottom w:val="nil"/>
              <w:right w:val="nil"/>
            </w:tcBorders>
            <w:shd w:val="clear" w:color="auto" w:fill="auto"/>
            <w:noWrap/>
            <w:vAlign w:val="center"/>
            <w:hideMark/>
          </w:tcPr>
          <w:p w14:paraId="5863D366" w14:textId="77777777" w:rsidR="004E56C3" w:rsidRPr="009E4255" w:rsidRDefault="004E56C3" w:rsidP="004E56C3">
            <w:pPr>
              <w:spacing w:after="0" w:line="240" w:lineRule="auto"/>
              <w:jc w:val="right"/>
              <w:rPr>
                <w:rFonts w:ascii="Calibri" w:eastAsia="Times New Roman" w:hAnsi="Calibri" w:cs="Calibri"/>
                <w:b/>
                <w:color w:val="000000"/>
                <w:sz w:val="14"/>
                <w:szCs w:val="14"/>
                <w:lang w:eastAsia="cs-CZ"/>
              </w:rPr>
            </w:pPr>
            <w:r w:rsidRPr="009E4255">
              <w:rPr>
                <w:rFonts w:ascii="Calibri" w:eastAsia="Times New Roman" w:hAnsi="Calibri" w:cs="Calibri"/>
                <w:b/>
                <w:color w:val="000000"/>
                <w:sz w:val="14"/>
                <w:szCs w:val="14"/>
                <w:lang w:eastAsia="cs-CZ"/>
              </w:rPr>
              <w:t>9 167,90</w:t>
            </w:r>
          </w:p>
        </w:tc>
        <w:tc>
          <w:tcPr>
            <w:tcW w:w="371" w:type="pct"/>
            <w:tcBorders>
              <w:top w:val="nil"/>
              <w:left w:val="nil"/>
              <w:bottom w:val="nil"/>
              <w:right w:val="nil"/>
            </w:tcBorders>
            <w:shd w:val="clear" w:color="auto" w:fill="auto"/>
            <w:noWrap/>
            <w:vAlign w:val="center"/>
            <w:hideMark/>
          </w:tcPr>
          <w:p w14:paraId="08B1DD27" w14:textId="77777777" w:rsidR="004E56C3" w:rsidRPr="009E4255" w:rsidRDefault="004E56C3" w:rsidP="004E56C3">
            <w:pPr>
              <w:spacing w:after="0" w:line="240" w:lineRule="auto"/>
              <w:jc w:val="right"/>
              <w:rPr>
                <w:rFonts w:ascii="Calibri" w:eastAsia="Times New Roman" w:hAnsi="Calibri" w:cs="Calibri"/>
                <w:b/>
                <w:color w:val="000000"/>
                <w:sz w:val="14"/>
                <w:szCs w:val="14"/>
                <w:lang w:eastAsia="cs-CZ"/>
              </w:rPr>
            </w:pPr>
            <w:r w:rsidRPr="009E4255">
              <w:rPr>
                <w:rFonts w:ascii="Calibri" w:eastAsia="Times New Roman" w:hAnsi="Calibri" w:cs="Calibri"/>
                <w:b/>
                <w:color w:val="000000"/>
                <w:sz w:val="14"/>
                <w:szCs w:val="14"/>
                <w:lang w:eastAsia="cs-CZ"/>
              </w:rPr>
              <w:t>11 009,50</w:t>
            </w:r>
          </w:p>
        </w:tc>
        <w:tc>
          <w:tcPr>
            <w:tcW w:w="371" w:type="pct"/>
            <w:tcBorders>
              <w:top w:val="nil"/>
              <w:left w:val="nil"/>
              <w:bottom w:val="nil"/>
              <w:right w:val="nil"/>
            </w:tcBorders>
            <w:shd w:val="clear" w:color="auto" w:fill="auto"/>
            <w:noWrap/>
            <w:vAlign w:val="center"/>
            <w:hideMark/>
          </w:tcPr>
          <w:p w14:paraId="2A7DE6A1" w14:textId="77777777" w:rsidR="004E56C3" w:rsidRPr="009E4255" w:rsidRDefault="004E56C3" w:rsidP="004E56C3">
            <w:pPr>
              <w:spacing w:after="0" w:line="240" w:lineRule="auto"/>
              <w:jc w:val="right"/>
              <w:rPr>
                <w:rFonts w:ascii="Calibri" w:eastAsia="Times New Roman" w:hAnsi="Calibri" w:cs="Calibri"/>
                <w:b/>
                <w:color w:val="000000"/>
                <w:sz w:val="14"/>
                <w:szCs w:val="14"/>
                <w:lang w:eastAsia="cs-CZ"/>
              </w:rPr>
            </w:pPr>
            <w:r w:rsidRPr="009E4255">
              <w:rPr>
                <w:rFonts w:ascii="Calibri" w:eastAsia="Times New Roman" w:hAnsi="Calibri" w:cs="Calibri"/>
                <w:b/>
                <w:color w:val="000000"/>
                <w:sz w:val="14"/>
                <w:szCs w:val="14"/>
                <w:lang w:eastAsia="cs-CZ"/>
              </w:rPr>
              <w:t>17 655,80</w:t>
            </w:r>
          </w:p>
        </w:tc>
        <w:tc>
          <w:tcPr>
            <w:tcW w:w="358" w:type="pct"/>
            <w:tcBorders>
              <w:top w:val="nil"/>
              <w:left w:val="nil"/>
              <w:bottom w:val="nil"/>
              <w:right w:val="nil"/>
            </w:tcBorders>
            <w:shd w:val="clear" w:color="auto" w:fill="auto"/>
            <w:noWrap/>
            <w:vAlign w:val="center"/>
            <w:hideMark/>
          </w:tcPr>
          <w:p w14:paraId="3B057093" w14:textId="77777777" w:rsidR="004E56C3" w:rsidRPr="009E4255" w:rsidRDefault="004E56C3" w:rsidP="004E56C3">
            <w:pPr>
              <w:spacing w:after="0" w:line="240" w:lineRule="auto"/>
              <w:jc w:val="right"/>
              <w:rPr>
                <w:rFonts w:ascii="Calibri" w:eastAsia="Times New Roman" w:hAnsi="Calibri" w:cs="Calibri"/>
                <w:b/>
                <w:color w:val="000000"/>
                <w:sz w:val="14"/>
                <w:szCs w:val="14"/>
                <w:lang w:eastAsia="cs-CZ"/>
              </w:rPr>
            </w:pPr>
            <w:r w:rsidRPr="009E4255">
              <w:rPr>
                <w:rFonts w:ascii="Calibri" w:eastAsia="Times New Roman" w:hAnsi="Calibri" w:cs="Calibri"/>
                <w:b/>
                <w:color w:val="000000"/>
                <w:sz w:val="14"/>
                <w:szCs w:val="14"/>
                <w:lang w:eastAsia="cs-CZ"/>
              </w:rPr>
              <w:t>1 968,80</w:t>
            </w:r>
          </w:p>
        </w:tc>
        <w:tc>
          <w:tcPr>
            <w:tcW w:w="426" w:type="pct"/>
            <w:tcBorders>
              <w:top w:val="nil"/>
              <w:left w:val="single" w:sz="4" w:space="0" w:color="auto"/>
              <w:bottom w:val="nil"/>
              <w:right w:val="nil"/>
            </w:tcBorders>
            <w:shd w:val="clear" w:color="auto" w:fill="auto"/>
            <w:noWrap/>
            <w:vAlign w:val="center"/>
            <w:hideMark/>
          </w:tcPr>
          <w:p w14:paraId="5ABC992F" w14:textId="77777777" w:rsidR="004E56C3" w:rsidRPr="009E4255" w:rsidRDefault="004E56C3" w:rsidP="004E56C3">
            <w:pPr>
              <w:spacing w:after="0" w:line="240" w:lineRule="auto"/>
              <w:jc w:val="right"/>
              <w:rPr>
                <w:rFonts w:ascii="Calibri" w:eastAsia="Times New Roman" w:hAnsi="Calibri" w:cs="Calibri"/>
                <w:b/>
                <w:bCs/>
                <w:color w:val="000000"/>
                <w:sz w:val="14"/>
                <w:szCs w:val="14"/>
                <w:lang w:eastAsia="cs-CZ"/>
              </w:rPr>
            </w:pPr>
            <w:r w:rsidRPr="009E4255">
              <w:rPr>
                <w:rFonts w:ascii="Calibri" w:eastAsia="Times New Roman" w:hAnsi="Calibri" w:cs="Calibri"/>
                <w:b/>
                <w:bCs/>
                <w:color w:val="000000"/>
                <w:sz w:val="14"/>
                <w:szCs w:val="14"/>
                <w:lang w:eastAsia="cs-CZ"/>
              </w:rPr>
              <w:t>45 229,00</w:t>
            </w:r>
          </w:p>
        </w:tc>
      </w:tr>
      <w:tr w:rsidR="004E56C3" w:rsidRPr="009E4255" w14:paraId="7749B6F0" w14:textId="77777777" w:rsidTr="004E56C3">
        <w:trPr>
          <w:trHeight w:val="300"/>
          <w:tblHeader/>
        </w:trPr>
        <w:tc>
          <w:tcPr>
            <w:tcW w:w="2039" w:type="pct"/>
            <w:tcBorders>
              <w:top w:val="nil"/>
              <w:left w:val="nil"/>
              <w:bottom w:val="nil"/>
              <w:right w:val="single" w:sz="4" w:space="0" w:color="auto"/>
            </w:tcBorders>
            <w:shd w:val="clear" w:color="auto" w:fill="auto"/>
            <w:noWrap/>
            <w:vAlign w:val="center"/>
            <w:hideMark/>
          </w:tcPr>
          <w:p w14:paraId="078734F8" w14:textId="19480127" w:rsidR="004E56C3" w:rsidRPr="009E4255" w:rsidRDefault="004E56C3" w:rsidP="004E56C3">
            <w:pPr>
              <w:spacing w:after="0" w:line="240" w:lineRule="auto"/>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3.1 Inovace ve vzdělávání v</w:t>
            </w:r>
            <w:r w:rsidR="0003053E">
              <w:rPr>
                <w:rFonts w:ascii="Calibri" w:eastAsia="Times New Roman" w:hAnsi="Calibri" w:cs="Calibri"/>
                <w:color w:val="000000"/>
                <w:sz w:val="14"/>
                <w:szCs w:val="14"/>
                <w:lang w:eastAsia="cs-CZ"/>
              </w:rPr>
              <w:t> </w:t>
            </w:r>
            <w:r w:rsidRPr="009E4255">
              <w:rPr>
                <w:rFonts w:ascii="Calibri" w:eastAsia="Times New Roman" w:hAnsi="Calibri" w:cs="Calibri"/>
                <w:color w:val="000000"/>
                <w:sz w:val="14"/>
                <w:szCs w:val="14"/>
                <w:lang w:eastAsia="cs-CZ"/>
              </w:rPr>
              <w:t>kontextu digitalizace</w:t>
            </w:r>
          </w:p>
        </w:tc>
        <w:tc>
          <w:tcPr>
            <w:tcW w:w="358" w:type="pct"/>
            <w:tcBorders>
              <w:top w:val="nil"/>
              <w:left w:val="nil"/>
              <w:bottom w:val="nil"/>
              <w:right w:val="nil"/>
            </w:tcBorders>
            <w:shd w:val="clear" w:color="auto" w:fill="auto"/>
            <w:noWrap/>
            <w:vAlign w:val="center"/>
            <w:hideMark/>
          </w:tcPr>
          <w:p w14:paraId="6907B74D" w14:textId="77777777" w:rsidR="004E56C3" w:rsidRPr="009E4255" w:rsidRDefault="004E56C3" w:rsidP="004E56C3">
            <w:pPr>
              <w:spacing w:after="0" w:line="240" w:lineRule="auto"/>
              <w:jc w:val="right"/>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1 027,00</w:t>
            </w:r>
          </w:p>
        </w:tc>
        <w:tc>
          <w:tcPr>
            <w:tcW w:w="358" w:type="pct"/>
            <w:tcBorders>
              <w:top w:val="nil"/>
              <w:left w:val="nil"/>
              <w:bottom w:val="nil"/>
              <w:right w:val="nil"/>
            </w:tcBorders>
            <w:shd w:val="clear" w:color="auto" w:fill="auto"/>
            <w:noWrap/>
            <w:vAlign w:val="center"/>
            <w:hideMark/>
          </w:tcPr>
          <w:p w14:paraId="6810016D" w14:textId="77777777" w:rsidR="004E56C3" w:rsidRPr="009E4255" w:rsidRDefault="004E56C3" w:rsidP="004E56C3">
            <w:pPr>
              <w:spacing w:after="0" w:line="240" w:lineRule="auto"/>
              <w:jc w:val="right"/>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36,00</w:t>
            </w:r>
          </w:p>
        </w:tc>
        <w:tc>
          <w:tcPr>
            <w:tcW w:w="358" w:type="pct"/>
            <w:tcBorders>
              <w:top w:val="nil"/>
              <w:left w:val="nil"/>
              <w:bottom w:val="nil"/>
              <w:right w:val="nil"/>
            </w:tcBorders>
            <w:shd w:val="clear" w:color="auto" w:fill="auto"/>
            <w:noWrap/>
            <w:vAlign w:val="center"/>
            <w:hideMark/>
          </w:tcPr>
          <w:p w14:paraId="4913A77C" w14:textId="77777777" w:rsidR="004E56C3" w:rsidRPr="009E4255" w:rsidRDefault="004E56C3" w:rsidP="004E56C3">
            <w:pPr>
              <w:spacing w:after="0" w:line="240" w:lineRule="auto"/>
              <w:jc w:val="right"/>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1 497,00</w:t>
            </w:r>
          </w:p>
        </w:tc>
        <w:tc>
          <w:tcPr>
            <w:tcW w:w="358" w:type="pct"/>
            <w:tcBorders>
              <w:top w:val="nil"/>
              <w:left w:val="nil"/>
              <w:bottom w:val="nil"/>
              <w:right w:val="nil"/>
            </w:tcBorders>
            <w:shd w:val="clear" w:color="auto" w:fill="auto"/>
            <w:noWrap/>
            <w:vAlign w:val="center"/>
            <w:hideMark/>
          </w:tcPr>
          <w:p w14:paraId="120D27AD" w14:textId="77777777" w:rsidR="004E56C3" w:rsidRPr="009E4255" w:rsidRDefault="004E56C3" w:rsidP="004E56C3">
            <w:pPr>
              <w:spacing w:after="0" w:line="240" w:lineRule="auto"/>
              <w:jc w:val="right"/>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1 478,00</w:t>
            </w:r>
          </w:p>
        </w:tc>
        <w:tc>
          <w:tcPr>
            <w:tcW w:w="371" w:type="pct"/>
            <w:tcBorders>
              <w:top w:val="nil"/>
              <w:left w:val="nil"/>
              <w:bottom w:val="nil"/>
              <w:right w:val="nil"/>
            </w:tcBorders>
            <w:shd w:val="clear" w:color="auto" w:fill="auto"/>
            <w:noWrap/>
            <w:vAlign w:val="center"/>
            <w:hideMark/>
          </w:tcPr>
          <w:p w14:paraId="1DB7D358" w14:textId="77777777" w:rsidR="004E56C3" w:rsidRPr="009E4255" w:rsidRDefault="004E56C3" w:rsidP="004E56C3">
            <w:pPr>
              <w:spacing w:after="0" w:line="240" w:lineRule="auto"/>
              <w:jc w:val="right"/>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677,00</w:t>
            </w:r>
          </w:p>
        </w:tc>
        <w:tc>
          <w:tcPr>
            <w:tcW w:w="371" w:type="pct"/>
            <w:tcBorders>
              <w:top w:val="nil"/>
              <w:left w:val="nil"/>
              <w:bottom w:val="nil"/>
              <w:right w:val="nil"/>
            </w:tcBorders>
            <w:shd w:val="clear" w:color="auto" w:fill="auto"/>
            <w:noWrap/>
            <w:vAlign w:val="center"/>
            <w:hideMark/>
          </w:tcPr>
          <w:p w14:paraId="303392FD" w14:textId="77777777" w:rsidR="004E56C3" w:rsidRPr="009E4255" w:rsidRDefault="004E56C3" w:rsidP="004E56C3">
            <w:pPr>
              <w:spacing w:after="0" w:line="240" w:lineRule="auto"/>
              <w:jc w:val="right"/>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142,00</w:t>
            </w:r>
          </w:p>
        </w:tc>
        <w:tc>
          <w:tcPr>
            <w:tcW w:w="358" w:type="pct"/>
            <w:tcBorders>
              <w:top w:val="nil"/>
              <w:left w:val="nil"/>
              <w:bottom w:val="nil"/>
              <w:right w:val="nil"/>
            </w:tcBorders>
            <w:shd w:val="clear" w:color="auto" w:fill="auto"/>
            <w:noWrap/>
            <w:vAlign w:val="center"/>
            <w:hideMark/>
          </w:tcPr>
          <w:p w14:paraId="459ABA58" w14:textId="77777777" w:rsidR="004E56C3" w:rsidRPr="009E4255" w:rsidRDefault="004E56C3" w:rsidP="004E56C3">
            <w:pPr>
              <w:spacing w:after="0" w:line="240" w:lineRule="auto"/>
              <w:jc w:val="right"/>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0,00</w:t>
            </w:r>
          </w:p>
        </w:tc>
        <w:tc>
          <w:tcPr>
            <w:tcW w:w="426" w:type="pct"/>
            <w:tcBorders>
              <w:top w:val="nil"/>
              <w:left w:val="single" w:sz="4" w:space="0" w:color="auto"/>
              <w:bottom w:val="nil"/>
              <w:right w:val="nil"/>
            </w:tcBorders>
            <w:shd w:val="clear" w:color="auto" w:fill="auto"/>
            <w:noWrap/>
            <w:vAlign w:val="center"/>
            <w:hideMark/>
          </w:tcPr>
          <w:p w14:paraId="5BEB91EA" w14:textId="77777777" w:rsidR="004E56C3" w:rsidRPr="009E4255" w:rsidRDefault="004E56C3" w:rsidP="004E56C3">
            <w:pPr>
              <w:spacing w:after="0" w:line="240" w:lineRule="auto"/>
              <w:jc w:val="right"/>
              <w:rPr>
                <w:rFonts w:ascii="Calibri" w:eastAsia="Times New Roman" w:hAnsi="Calibri" w:cs="Calibri"/>
                <w:b/>
                <w:bCs/>
                <w:color w:val="000000"/>
                <w:sz w:val="14"/>
                <w:szCs w:val="14"/>
                <w:lang w:eastAsia="cs-CZ"/>
              </w:rPr>
            </w:pPr>
            <w:r w:rsidRPr="009E4255">
              <w:rPr>
                <w:rFonts w:ascii="Calibri" w:eastAsia="Times New Roman" w:hAnsi="Calibri" w:cs="Calibri"/>
                <w:b/>
                <w:bCs/>
                <w:color w:val="000000"/>
                <w:sz w:val="14"/>
                <w:szCs w:val="14"/>
                <w:lang w:eastAsia="cs-CZ"/>
              </w:rPr>
              <w:t>4 857,00</w:t>
            </w:r>
          </w:p>
        </w:tc>
      </w:tr>
      <w:tr w:rsidR="004E56C3" w:rsidRPr="009E4255" w14:paraId="116A9D10" w14:textId="77777777" w:rsidTr="004E56C3">
        <w:trPr>
          <w:trHeight w:val="300"/>
          <w:tblHeader/>
        </w:trPr>
        <w:tc>
          <w:tcPr>
            <w:tcW w:w="2039" w:type="pct"/>
            <w:tcBorders>
              <w:top w:val="nil"/>
              <w:left w:val="nil"/>
              <w:bottom w:val="nil"/>
              <w:right w:val="single" w:sz="4" w:space="0" w:color="auto"/>
            </w:tcBorders>
            <w:shd w:val="clear" w:color="auto" w:fill="auto"/>
            <w:noWrap/>
            <w:vAlign w:val="center"/>
            <w:hideMark/>
          </w:tcPr>
          <w:p w14:paraId="61FC1BD5" w14:textId="750E797D" w:rsidR="004E56C3" w:rsidRPr="009E4255" w:rsidRDefault="004E56C3" w:rsidP="004E56C3">
            <w:pPr>
              <w:spacing w:after="0" w:line="240" w:lineRule="auto"/>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3.2 Adaptace kapacity a</w:t>
            </w:r>
            <w:r w:rsidR="0003053E">
              <w:rPr>
                <w:rFonts w:ascii="Calibri" w:eastAsia="Times New Roman" w:hAnsi="Calibri" w:cs="Calibri"/>
                <w:color w:val="000000"/>
                <w:sz w:val="14"/>
                <w:szCs w:val="14"/>
                <w:lang w:eastAsia="cs-CZ"/>
              </w:rPr>
              <w:t> </w:t>
            </w:r>
            <w:r w:rsidRPr="009E4255">
              <w:rPr>
                <w:rFonts w:ascii="Calibri" w:eastAsia="Times New Roman" w:hAnsi="Calibri" w:cs="Calibri"/>
                <w:color w:val="000000"/>
                <w:sz w:val="14"/>
                <w:szCs w:val="14"/>
                <w:lang w:eastAsia="cs-CZ"/>
              </w:rPr>
              <w:t>zaměření školních programů</w:t>
            </w:r>
          </w:p>
        </w:tc>
        <w:tc>
          <w:tcPr>
            <w:tcW w:w="358" w:type="pct"/>
            <w:tcBorders>
              <w:top w:val="nil"/>
              <w:left w:val="nil"/>
              <w:bottom w:val="nil"/>
              <w:right w:val="nil"/>
            </w:tcBorders>
            <w:shd w:val="clear" w:color="auto" w:fill="auto"/>
            <w:noWrap/>
            <w:vAlign w:val="center"/>
            <w:hideMark/>
          </w:tcPr>
          <w:p w14:paraId="1FC4A3F5" w14:textId="77777777" w:rsidR="004E56C3" w:rsidRPr="009E4255" w:rsidRDefault="004E56C3" w:rsidP="004E56C3">
            <w:pPr>
              <w:spacing w:after="0" w:line="240" w:lineRule="auto"/>
              <w:jc w:val="right"/>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0,00</w:t>
            </w:r>
          </w:p>
        </w:tc>
        <w:tc>
          <w:tcPr>
            <w:tcW w:w="358" w:type="pct"/>
            <w:tcBorders>
              <w:top w:val="nil"/>
              <w:left w:val="nil"/>
              <w:bottom w:val="nil"/>
              <w:right w:val="nil"/>
            </w:tcBorders>
            <w:shd w:val="clear" w:color="auto" w:fill="auto"/>
            <w:noWrap/>
            <w:vAlign w:val="center"/>
            <w:hideMark/>
          </w:tcPr>
          <w:p w14:paraId="55D29EDB" w14:textId="77777777" w:rsidR="004E56C3" w:rsidRPr="009E4255" w:rsidRDefault="004E56C3" w:rsidP="004E56C3">
            <w:pPr>
              <w:spacing w:after="0" w:line="240" w:lineRule="auto"/>
              <w:jc w:val="right"/>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0,00</w:t>
            </w:r>
          </w:p>
        </w:tc>
        <w:tc>
          <w:tcPr>
            <w:tcW w:w="358" w:type="pct"/>
            <w:tcBorders>
              <w:top w:val="nil"/>
              <w:left w:val="nil"/>
              <w:bottom w:val="nil"/>
              <w:right w:val="nil"/>
            </w:tcBorders>
            <w:shd w:val="clear" w:color="auto" w:fill="auto"/>
            <w:noWrap/>
            <w:vAlign w:val="center"/>
            <w:hideMark/>
          </w:tcPr>
          <w:p w14:paraId="0C2521E3" w14:textId="77777777" w:rsidR="004E56C3" w:rsidRPr="009E4255" w:rsidRDefault="004E56C3" w:rsidP="004E56C3">
            <w:pPr>
              <w:spacing w:after="0" w:line="240" w:lineRule="auto"/>
              <w:jc w:val="right"/>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2 467,00</w:t>
            </w:r>
          </w:p>
        </w:tc>
        <w:tc>
          <w:tcPr>
            <w:tcW w:w="358" w:type="pct"/>
            <w:tcBorders>
              <w:top w:val="nil"/>
              <w:left w:val="nil"/>
              <w:bottom w:val="nil"/>
              <w:right w:val="nil"/>
            </w:tcBorders>
            <w:shd w:val="clear" w:color="auto" w:fill="auto"/>
            <w:noWrap/>
            <w:vAlign w:val="center"/>
            <w:hideMark/>
          </w:tcPr>
          <w:p w14:paraId="0791AB47" w14:textId="77777777" w:rsidR="004E56C3" w:rsidRPr="009E4255" w:rsidRDefault="004E56C3" w:rsidP="004E56C3">
            <w:pPr>
              <w:spacing w:after="0" w:line="240" w:lineRule="auto"/>
              <w:jc w:val="right"/>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4 706,00</w:t>
            </w:r>
          </w:p>
        </w:tc>
        <w:tc>
          <w:tcPr>
            <w:tcW w:w="371" w:type="pct"/>
            <w:tcBorders>
              <w:top w:val="nil"/>
              <w:left w:val="nil"/>
              <w:bottom w:val="nil"/>
              <w:right w:val="nil"/>
            </w:tcBorders>
            <w:shd w:val="clear" w:color="auto" w:fill="auto"/>
            <w:noWrap/>
            <w:vAlign w:val="center"/>
            <w:hideMark/>
          </w:tcPr>
          <w:p w14:paraId="7A6483E7" w14:textId="77777777" w:rsidR="004E56C3" w:rsidRPr="009E4255" w:rsidRDefault="004E56C3" w:rsidP="004E56C3">
            <w:pPr>
              <w:spacing w:after="0" w:line="240" w:lineRule="auto"/>
              <w:jc w:val="right"/>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3 206,00</w:t>
            </w:r>
          </w:p>
        </w:tc>
        <w:tc>
          <w:tcPr>
            <w:tcW w:w="371" w:type="pct"/>
            <w:tcBorders>
              <w:top w:val="nil"/>
              <w:left w:val="nil"/>
              <w:bottom w:val="nil"/>
              <w:right w:val="nil"/>
            </w:tcBorders>
            <w:shd w:val="clear" w:color="auto" w:fill="auto"/>
            <w:noWrap/>
            <w:vAlign w:val="center"/>
            <w:hideMark/>
          </w:tcPr>
          <w:p w14:paraId="7D252F33" w14:textId="77777777" w:rsidR="004E56C3" w:rsidRPr="009E4255" w:rsidRDefault="004E56C3" w:rsidP="004E56C3">
            <w:pPr>
              <w:spacing w:after="0" w:line="240" w:lineRule="auto"/>
              <w:jc w:val="right"/>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3 557,00</w:t>
            </w:r>
          </w:p>
        </w:tc>
        <w:tc>
          <w:tcPr>
            <w:tcW w:w="358" w:type="pct"/>
            <w:tcBorders>
              <w:top w:val="nil"/>
              <w:left w:val="nil"/>
              <w:bottom w:val="nil"/>
              <w:right w:val="nil"/>
            </w:tcBorders>
            <w:shd w:val="clear" w:color="auto" w:fill="auto"/>
            <w:noWrap/>
            <w:vAlign w:val="center"/>
            <w:hideMark/>
          </w:tcPr>
          <w:p w14:paraId="1690A227" w14:textId="77777777" w:rsidR="004E56C3" w:rsidRPr="009E4255" w:rsidRDefault="004E56C3" w:rsidP="004E56C3">
            <w:pPr>
              <w:spacing w:after="0" w:line="240" w:lineRule="auto"/>
              <w:jc w:val="right"/>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1 420,60</w:t>
            </w:r>
          </w:p>
        </w:tc>
        <w:tc>
          <w:tcPr>
            <w:tcW w:w="426" w:type="pct"/>
            <w:tcBorders>
              <w:top w:val="nil"/>
              <w:left w:val="single" w:sz="4" w:space="0" w:color="auto"/>
              <w:bottom w:val="nil"/>
              <w:right w:val="nil"/>
            </w:tcBorders>
            <w:shd w:val="clear" w:color="auto" w:fill="auto"/>
            <w:noWrap/>
            <w:vAlign w:val="center"/>
            <w:hideMark/>
          </w:tcPr>
          <w:p w14:paraId="45A977ED" w14:textId="77777777" w:rsidR="004E56C3" w:rsidRPr="009E4255" w:rsidRDefault="004E56C3" w:rsidP="004E56C3">
            <w:pPr>
              <w:spacing w:after="0" w:line="240" w:lineRule="auto"/>
              <w:jc w:val="right"/>
              <w:rPr>
                <w:rFonts w:ascii="Calibri" w:eastAsia="Times New Roman" w:hAnsi="Calibri" w:cs="Calibri"/>
                <w:b/>
                <w:bCs/>
                <w:color w:val="000000"/>
                <w:sz w:val="14"/>
                <w:szCs w:val="14"/>
                <w:lang w:eastAsia="cs-CZ"/>
              </w:rPr>
            </w:pPr>
            <w:r w:rsidRPr="009E4255">
              <w:rPr>
                <w:rFonts w:ascii="Calibri" w:eastAsia="Times New Roman" w:hAnsi="Calibri" w:cs="Calibri"/>
                <w:b/>
                <w:bCs/>
                <w:color w:val="000000"/>
                <w:sz w:val="14"/>
                <w:szCs w:val="14"/>
                <w:lang w:eastAsia="cs-CZ"/>
              </w:rPr>
              <w:t>15 356,60</w:t>
            </w:r>
          </w:p>
        </w:tc>
      </w:tr>
      <w:tr w:rsidR="004E56C3" w:rsidRPr="009E4255" w14:paraId="0BDC7A6E" w14:textId="77777777" w:rsidTr="004E56C3">
        <w:trPr>
          <w:trHeight w:val="300"/>
          <w:tblHeader/>
        </w:trPr>
        <w:tc>
          <w:tcPr>
            <w:tcW w:w="2039" w:type="pct"/>
            <w:tcBorders>
              <w:top w:val="nil"/>
              <w:left w:val="nil"/>
              <w:bottom w:val="nil"/>
              <w:right w:val="single" w:sz="4" w:space="0" w:color="auto"/>
            </w:tcBorders>
            <w:shd w:val="clear" w:color="auto" w:fill="auto"/>
            <w:noWrap/>
            <w:vAlign w:val="center"/>
            <w:hideMark/>
          </w:tcPr>
          <w:p w14:paraId="421819BF" w14:textId="0608F7DC" w:rsidR="004E56C3" w:rsidRPr="009E4255" w:rsidRDefault="004E56C3" w:rsidP="004E56C3">
            <w:pPr>
              <w:spacing w:after="0" w:line="240" w:lineRule="auto"/>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3.3 Modernizace služeb zaměstnanosti a</w:t>
            </w:r>
            <w:r w:rsidR="0003053E">
              <w:rPr>
                <w:rFonts w:ascii="Calibri" w:eastAsia="Times New Roman" w:hAnsi="Calibri" w:cs="Calibri"/>
                <w:color w:val="000000"/>
                <w:sz w:val="14"/>
                <w:szCs w:val="14"/>
                <w:lang w:eastAsia="cs-CZ"/>
              </w:rPr>
              <w:t> </w:t>
            </w:r>
            <w:r w:rsidRPr="009E4255">
              <w:rPr>
                <w:rFonts w:ascii="Calibri" w:eastAsia="Times New Roman" w:hAnsi="Calibri" w:cs="Calibri"/>
                <w:color w:val="000000"/>
                <w:sz w:val="14"/>
                <w:szCs w:val="14"/>
                <w:lang w:eastAsia="cs-CZ"/>
              </w:rPr>
              <w:t>rozvoj trhu práce</w:t>
            </w:r>
          </w:p>
        </w:tc>
        <w:tc>
          <w:tcPr>
            <w:tcW w:w="358" w:type="pct"/>
            <w:tcBorders>
              <w:top w:val="nil"/>
              <w:left w:val="nil"/>
              <w:bottom w:val="nil"/>
              <w:right w:val="nil"/>
            </w:tcBorders>
            <w:shd w:val="clear" w:color="auto" w:fill="auto"/>
            <w:noWrap/>
            <w:vAlign w:val="center"/>
            <w:hideMark/>
          </w:tcPr>
          <w:p w14:paraId="31A0914D" w14:textId="77777777" w:rsidR="004E56C3" w:rsidRPr="009E4255" w:rsidRDefault="004E56C3" w:rsidP="004E56C3">
            <w:pPr>
              <w:spacing w:after="0" w:line="240" w:lineRule="auto"/>
              <w:jc w:val="right"/>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0,00</w:t>
            </w:r>
          </w:p>
        </w:tc>
        <w:tc>
          <w:tcPr>
            <w:tcW w:w="358" w:type="pct"/>
            <w:tcBorders>
              <w:top w:val="nil"/>
              <w:left w:val="nil"/>
              <w:bottom w:val="nil"/>
              <w:right w:val="nil"/>
            </w:tcBorders>
            <w:shd w:val="clear" w:color="auto" w:fill="auto"/>
            <w:noWrap/>
            <w:vAlign w:val="center"/>
            <w:hideMark/>
          </w:tcPr>
          <w:p w14:paraId="77F2F370" w14:textId="77777777" w:rsidR="004E56C3" w:rsidRPr="009E4255" w:rsidRDefault="004E56C3" w:rsidP="004E56C3">
            <w:pPr>
              <w:spacing w:after="0" w:line="240" w:lineRule="auto"/>
              <w:jc w:val="right"/>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0,00</w:t>
            </w:r>
          </w:p>
        </w:tc>
        <w:tc>
          <w:tcPr>
            <w:tcW w:w="358" w:type="pct"/>
            <w:tcBorders>
              <w:top w:val="nil"/>
              <w:left w:val="nil"/>
              <w:bottom w:val="nil"/>
              <w:right w:val="nil"/>
            </w:tcBorders>
            <w:shd w:val="clear" w:color="auto" w:fill="auto"/>
            <w:noWrap/>
            <w:vAlign w:val="center"/>
            <w:hideMark/>
          </w:tcPr>
          <w:p w14:paraId="3E71FFEE" w14:textId="77777777" w:rsidR="004E56C3" w:rsidRPr="009E4255" w:rsidRDefault="004E56C3" w:rsidP="004E56C3">
            <w:pPr>
              <w:spacing w:after="0" w:line="240" w:lineRule="auto"/>
              <w:jc w:val="right"/>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400,00</w:t>
            </w:r>
          </w:p>
        </w:tc>
        <w:tc>
          <w:tcPr>
            <w:tcW w:w="358" w:type="pct"/>
            <w:tcBorders>
              <w:top w:val="nil"/>
              <w:left w:val="nil"/>
              <w:bottom w:val="nil"/>
              <w:right w:val="nil"/>
            </w:tcBorders>
            <w:shd w:val="clear" w:color="auto" w:fill="auto"/>
            <w:noWrap/>
            <w:vAlign w:val="center"/>
            <w:hideMark/>
          </w:tcPr>
          <w:p w14:paraId="36742B32" w14:textId="77777777" w:rsidR="004E56C3" w:rsidRPr="009E4255" w:rsidRDefault="004E56C3" w:rsidP="004E56C3">
            <w:pPr>
              <w:spacing w:after="0" w:line="240" w:lineRule="auto"/>
              <w:jc w:val="right"/>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2 983,90</w:t>
            </w:r>
          </w:p>
        </w:tc>
        <w:tc>
          <w:tcPr>
            <w:tcW w:w="371" w:type="pct"/>
            <w:tcBorders>
              <w:top w:val="nil"/>
              <w:left w:val="nil"/>
              <w:bottom w:val="nil"/>
              <w:right w:val="nil"/>
            </w:tcBorders>
            <w:shd w:val="clear" w:color="auto" w:fill="auto"/>
            <w:noWrap/>
            <w:vAlign w:val="center"/>
            <w:hideMark/>
          </w:tcPr>
          <w:p w14:paraId="21A9FFEC" w14:textId="77777777" w:rsidR="004E56C3" w:rsidRPr="009E4255" w:rsidRDefault="004E56C3" w:rsidP="004E56C3">
            <w:pPr>
              <w:spacing w:after="0" w:line="240" w:lineRule="auto"/>
              <w:jc w:val="right"/>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7 126,50</w:t>
            </w:r>
          </w:p>
        </w:tc>
        <w:tc>
          <w:tcPr>
            <w:tcW w:w="371" w:type="pct"/>
            <w:tcBorders>
              <w:top w:val="nil"/>
              <w:left w:val="nil"/>
              <w:bottom w:val="nil"/>
              <w:right w:val="nil"/>
            </w:tcBorders>
            <w:shd w:val="clear" w:color="auto" w:fill="auto"/>
            <w:noWrap/>
            <w:vAlign w:val="center"/>
            <w:hideMark/>
          </w:tcPr>
          <w:p w14:paraId="11CBC3A6" w14:textId="77777777" w:rsidR="004E56C3" w:rsidRPr="009E4255" w:rsidRDefault="004E56C3" w:rsidP="004E56C3">
            <w:pPr>
              <w:spacing w:after="0" w:line="240" w:lineRule="auto"/>
              <w:jc w:val="right"/>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13 956,80</w:t>
            </w:r>
          </w:p>
        </w:tc>
        <w:tc>
          <w:tcPr>
            <w:tcW w:w="358" w:type="pct"/>
            <w:tcBorders>
              <w:top w:val="nil"/>
              <w:left w:val="nil"/>
              <w:bottom w:val="nil"/>
              <w:right w:val="nil"/>
            </w:tcBorders>
            <w:shd w:val="clear" w:color="auto" w:fill="auto"/>
            <w:noWrap/>
            <w:vAlign w:val="center"/>
            <w:hideMark/>
          </w:tcPr>
          <w:p w14:paraId="511D72A6" w14:textId="77777777" w:rsidR="004E56C3" w:rsidRPr="009E4255" w:rsidRDefault="004E56C3" w:rsidP="004E56C3">
            <w:pPr>
              <w:spacing w:after="0" w:line="240" w:lineRule="auto"/>
              <w:jc w:val="right"/>
              <w:rPr>
                <w:rFonts w:ascii="Calibri" w:eastAsia="Times New Roman" w:hAnsi="Calibri" w:cs="Calibri"/>
                <w:color w:val="000000"/>
                <w:sz w:val="14"/>
                <w:szCs w:val="14"/>
                <w:lang w:eastAsia="cs-CZ"/>
              </w:rPr>
            </w:pPr>
            <w:r w:rsidRPr="009E4255">
              <w:rPr>
                <w:rFonts w:ascii="Calibri" w:eastAsia="Times New Roman" w:hAnsi="Calibri" w:cs="Calibri"/>
                <w:color w:val="000000"/>
                <w:sz w:val="14"/>
                <w:szCs w:val="14"/>
                <w:lang w:eastAsia="cs-CZ"/>
              </w:rPr>
              <w:t>548,20</w:t>
            </w:r>
          </w:p>
        </w:tc>
        <w:tc>
          <w:tcPr>
            <w:tcW w:w="426" w:type="pct"/>
            <w:tcBorders>
              <w:top w:val="nil"/>
              <w:left w:val="single" w:sz="4" w:space="0" w:color="auto"/>
              <w:bottom w:val="nil"/>
              <w:right w:val="nil"/>
            </w:tcBorders>
            <w:shd w:val="clear" w:color="auto" w:fill="auto"/>
            <w:noWrap/>
            <w:vAlign w:val="center"/>
            <w:hideMark/>
          </w:tcPr>
          <w:p w14:paraId="71C41EBF" w14:textId="77777777" w:rsidR="004E56C3" w:rsidRPr="009E4255" w:rsidRDefault="004E56C3" w:rsidP="004E56C3">
            <w:pPr>
              <w:spacing w:after="0" w:line="240" w:lineRule="auto"/>
              <w:jc w:val="right"/>
              <w:rPr>
                <w:rFonts w:ascii="Calibri" w:eastAsia="Times New Roman" w:hAnsi="Calibri" w:cs="Calibri"/>
                <w:b/>
                <w:bCs/>
                <w:color w:val="000000"/>
                <w:sz w:val="14"/>
                <w:szCs w:val="14"/>
                <w:lang w:eastAsia="cs-CZ"/>
              </w:rPr>
            </w:pPr>
            <w:r w:rsidRPr="009E4255">
              <w:rPr>
                <w:rFonts w:ascii="Calibri" w:eastAsia="Times New Roman" w:hAnsi="Calibri" w:cs="Calibri"/>
                <w:b/>
                <w:bCs/>
                <w:color w:val="000000"/>
                <w:sz w:val="14"/>
                <w:szCs w:val="14"/>
                <w:lang w:eastAsia="cs-CZ"/>
              </w:rPr>
              <w:t>25 015,40</w:t>
            </w:r>
          </w:p>
        </w:tc>
      </w:tr>
    </w:tbl>
    <w:p w14:paraId="7BE1EA20" w14:textId="5A1D219A" w:rsidR="001F5332" w:rsidRDefault="001F5332" w:rsidP="001F5332">
      <w:pPr>
        <w:pStyle w:val="Zdrojpodtabulkounebografem"/>
      </w:pPr>
      <w:r w:rsidRPr="009D0816">
        <w:t xml:space="preserve"> </w:t>
      </w:r>
      <w:r w:rsidRPr="0028134D">
        <w:t>Zdroj: NPO.</w:t>
      </w:r>
    </w:p>
    <w:p w14:paraId="7FAFAABB" w14:textId="77777777" w:rsidR="009E4255" w:rsidRPr="009E4255" w:rsidRDefault="009E4255" w:rsidP="009E4255">
      <w:pPr>
        <w:rPr>
          <w:lang w:eastAsia="cs-CZ"/>
        </w:rPr>
      </w:pPr>
    </w:p>
    <w:p w14:paraId="24DFBFD1" w14:textId="5793B931" w:rsidR="001F5332" w:rsidRPr="001B4878" w:rsidRDefault="001F5332" w:rsidP="001F5332">
      <w:pPr>
        <w:jc w:val="both"/>
      </w:pPr>
      <w:r>
        <w:t>Oblast vzdělávání je další, u</w:t>
      </w:r>
      <w:r w:rsidR="0003053E">
        <w:t> </w:t>
      </w:r>
      <w:r>
        <w:t>níž se dopady projeví spíše v</w:t>
      </w:r>
      <w:r w:rsidR="0003053E">
        <w:t> </w:t>
      </w:r>
      <w:r>
        <w:t>delším horizontu. Dřívější dopady do HDP nastávají zejména v</w:t>
      </w:r>
      <w:r w:rsidR="0003053E">
        <w:t> </w:t>
      </w:r>
      <w:r>
        <w:t>souvislosti s</w:t>
      </w:r>
      <w:r w:rsidR="0003053E">
        <w:t> </w:t>
      </w:r>
      <w:r>
        <w:t>nákupy digitální techniky pro vzdělávání a</w:t>
      </w:r>
      <w:r w:rsidR="0003053E">
        <w:t> </w:t>
      </w:r>
      <w:r>
        <w:t>investicemi do staveb a</w:t>
      </w:r>
      <w:r w:rsidR="0003053E">
        <w:t> </w:t>
      </w:r>
      <w:r>
        <w:t>renovací.</w:t>
      </w:r>
    </w:p>
    <w:p w14:paraId="36CE87DF" w14:textId="4CEA7560" w:rsidR="001F5332" w:rsidRDefault="001F5332" w:rsidP="001F5332">
      <w:pPr>
        <w:pStyle w:val="Titulek"/>
        <w:keepNext/>
        <w:spacing w:after="120"/>
      </w:pPr>
      <w:bookmarkStart w:id="315" w:name="_Toc151444598"/>
      <w:r>
        <w:t xml:space="preserve">Tabulka </w:t>
      </w:r>
      <w:r>
        <w:fldChar w:fldCharType="begin"/>
      </w:r>
      <w:r>
        <w:instrText xml:space="preserve"> SEQ Tabulka \* ARABIC </w:instrText>
      </w:r>
      <w:r>
        <w:fldChar w:fldCharType="separate"/>
      </w:r>
      <w:r w:rsidR="00E25A73">
        <w:t>13</w:t>
      </w:r>
      <w:r>
        <w:fldChar w:fldCharType="end"/>
      </w:r>
      <w:r>
        <w:t>: Makroekonomické dopady 3. pilíře – vzdělávání a</w:t>
      </w:r>
      <w:r w:rsidR="0003053E">
        <w:t> </w:t>
      </w:r>
      <w:r>
        <w:t>trh práce</w:t>
      </w:r>
      <w:bookmarkEnd w:id="315"/>
    </w:p>
    <w:p w14:paraId="2C3F52C6" w14:textId="77777777" w:rsidR="001F5332" w:rsidRDefault="001F5332" w:rsidP="001F5332">
      <w:pPr>
        <w:pStyle w:val="Tabulkaagraf"/>
      </w:pPr>
      <w:r>
        <w:t>% HDP, % zaměstnanosti</w:t>
      </w:r>
    </w:p>
    <w:p w14:paraId="14574AD4" w14:textId="6C3BDABD" w:rsidR="001F5332" w:rsidRDefault="001F5332" w:rsidP="001F5332">
      <w:pPr>
        <w:pStyle w:val="Zdrojpodtabulkounebografem"/>
      </w:pPr>
      <w:r w:rsidRPr="005F6689">
        <w:rPr>
          <w:noProof/>
        </w:rPr>
        <w:drawing>
          <wp:inline distT="0" distB="0" distL="0" distR="0" wp14:anchorId="12499972" wp14:editId="2C906C5A">
            <wp:extent cx="6124575" cy="966470"/>
            <wp:effectExtent l="0" t="0" r="9525" b="5080"/>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24575" cy="966470"/>
                    </a:xfrm>
                    <a:prstGeom prst="rect">
                      <a:avLst/>
                    </a:prstGeom>
                    <a:noFill/>
                    <a:ln>
                      <a:noFill/>
                    </a:ln>
                  </pic:spPr>
                </pic:pic>
              </a:graphicData>
            </a:graphic>
          </wp:inline>
        </w:drawing>
      </w:r>
      <w:r w:rsidRPr="009D0816">
        <w:t xml:space="preserve"> </w:t>
      </w:r>
      <w:r>
        <w:t>Pozn.: Údaje u</w:t>
      </w:r>
      <w:r w:rsidR="0003053E">
        <w:t> </w:t>
      </w:r>
      <w:r>
        <w:t>HDP vyjadřují dodatečně vytvořenou přidanou hodnotu v</w:t>
      </w:r>
      <w:r w:rsidR="0003053E">
        <w:t> </w:t>
      </w:r>
      <w:r>
        <w:t xml:space="preserve">uvedených letech vlivem </w:t>
      </w:r>
      <w:r w:rsidR="00D70836">
        <w:t>NPO</w:t>
      </w:r>
      <w:r>
        <w:t xml:space="preserve"> v</w:t>
      </w:r>
      <w:r w:rsidR="0003053E">
        <w:t> </w:t>
      </w:r>
      <w:r>
        <w:t>poměru k</w:t>
      </w:r>
      <w:r w:rsidR="0003053E">
        <w:t> </w:t>
      </w:r>
      <w:r>
        <w:t>HDP ve výchozím roce 2020, vůči němuž jsou velikosti impulzů do ekonomiky přepočteny. V</w:t>
      </w:r>
      <w:r w:rsidR="0003053E">
        <w:t> </w:t>
      </w:r>
      <w:r>
        <w:t>případě zaměstnanosti jde o</w:t>
      </w:r>
      <w:r w:rsidR="0003053E">
        <w:t> </w:t>
      </w:r>
      <w:r>
        <w:t>dodatečně vytvořenou poptávku na trhu práce v</w:t>
      </w:r>
      <w:r w:rsidR="0003053E">
        <w:t> </w:t>
      </w:r>
      <w:r>
        <w:t>uvedených letech v</w:t>
      </w:r>
      <w:r w:rsidR="0003053E">
        <w:t> </w:t>
      </w:r>
      <w:r>
        <w:t>poměru k</w:t>
      </w:r>
      <w:r w:rsidR="0003053E">
        <w:t> </w:t>
      </w:r>
      <w:r>
        <w:t>objemu zaměstnanosti v</w:t>
      </w:r>
      <w:r w:rsidR="0003053E">
        <w:t> </w:t>
      </w:r>
      <w:r>
        <w:t>témže výchozím roce 2020.</w:t>
      </w:r>
    </w:p>
    <w:p w14:paraId="73DE52C5" w14:textId="77777777" w:rsidR="001F5332" w:rsidRPr="00567E5F" w:rsidRDefault="001F5332" w:rsidP="001F5332">
      <w:pPr>
        <w:pStyle w:val="Zdrojpodtabulkounebografem"/>
      </w:pPr>
      <w:r>
        <w:t>Zdroj: Výpočty MF ČR.</w:t>
      </w:r>
    </w:p>
    <w:p w14:paraId="331A52C4" w14:textId="07DAF79E" w:rsidR="001F5332" w:rsidRDefault="001F5332" w:rsidP="001F5332">
      <w:pPr>
        <w:pStyle w:val="Nadpismal"/>
      </w:pPr>
      <w:r>
        <w:t>4. pilíř: instituce a</w:t>
      </w:r>
      <w:r w:rsidR="0003053E">
        <w:t> </w:t>
      </w:r>
      <w:r>
        <w:t>regulace a</w:t>
      </w:r>
      <w:r w:rsidR="0003053E">
        <w:t> </w:t>
      </w:r>
      <w:r>
        <w:t>podpora podnikání</w:t>
      </w:r>
    </w:p>
    <w:p w14:paraId="13E60525" w14:textId="78C89E04" w:rsidR="001F5332" w:rsidRDefault="001F5332" w:rsidP="001F5332">
      <w:pPr>
        <w:jc w:val="both"/>
      </w:pPr>
      <w:r>
        <w:t>V rámci podpory veřejných investic (4.1) budou vynakládány prostředky na pomoc při přípravě projektů, tedy facilitátorem veřejných investic. Podpora směřující k</w:t>
      </w:r>
      <w:r w:rsidR="0003053E">
        <w:t> </w:t>
      </w:r>
      <w:r>
        <w:t>investicím na podporu podnikání (4.2) představuje uvolnění finančních prostředků podnikatelům, čímž by měla pozitivně působit na produkci prostřednictvím nižších kapitálových nákladů v</w:t>
      </w:r>
      <w:r w:rsidR="0003053E">
        <w:t> </w:t>
      </w:r>
      <w:r>
        <w:t>odvětví.</w:t>
      </w:r>
    </w:p>
    <w:p w14:paraId="7A600B0B" w14:textId="3C43FFC9" w:rsidR="001F5332" w:rsidRDefault="001F5332" w:rsidP="001F5332">
      <w:pPr>
        <w:jc w:val="both"/>
      </w:pPr>
      <w:r>
        <w:t>Zvýšení efektivity výkonu veřejné správy (4.4) je impulzem k</w:t>
      </w:r>
      <w:r w:rsidR="0003053E">
        <w:t> </w:t>
      </w:r>
      <w:r>
        <w:t>vyšší produktivitě veřejné správy. Rozvoj kulturního a</w:t>
      </w:r>
      <w:r w:rsidR="0003053E">
        <w:t> </w:t>
      </w:r>
      <w:r>
        <w:t>kreativního sektoru v</w:t>
      </w:r>
      <w:r w:rsidR="0003053E">
        <w:t> </w:t>
      </w:r>
      <w:r>
        <w:t>komponentě 4.5 představuje jednorázové výdaje bez výrazného dopadu na ekonomickou aktivitu. V</w:t>
      </w:r>
      <w:r w:rsidR="0003053E">
        <w:t> </w:t>
      </w:r>
      <w:r>
        <w:t>rámci této komponenty jsou také investice do výzkumu, které zpočátku znamenají pokles pracovní síly ve výrobních odvětvích a</w:t>
      </w:r>
      <w:r w:rsidR="0003053E">
        <w:t> </w:t>
      </w:r>
      <w:r>
        <w:t>jejich nárůst v</w:t>
      </w:r>
      <w:r w:rsidR="0003053E">
        <w:t> </w:t>
      </w:r>
      <w:r>
        <w:t>odvětví výzkumu a</w:t>
      </w:r>
      <w:r w:rsidR="0003053E">
        <w:t> </w:t>
      </w:r>
      <w:r>
        <w:t>vývoje, což může vést ke krátkodobému poklesu produkce. Avšak postupný růst inovací těchto vysoce kvalifikovaných zaměstnanců nakonec vede k</w:t>
      </w:r>
      <w:r w:rsidR="0003053E">
        <w:t> </w:t>
      </w:r>
      <w:r>
        <w:t>dlouhodobému ekonomickému růstu.</w:t>
      </w:r>
    </w:p>
    <w:p w14:paraId="5194A473" w14:textId="44E27B73" w:rsidR="001F5332" w:rsidRDefault="001F5332" w:rsidP="001F5332">
      <w:pPr>
        <w:pStyle w:val="Titulek"/>
        <w:keepNext/>
        <w:spacing w:after="120"/>
      </w:pPr>
      <w:bookmarkStart w:id="316" w:name="_Toc151444599"/>
      <w:r>
        <w:t xml:space="preserve">Tabulka </w:t>
      </w:r>
      <w:r>
        <w:fldChar w:fldCharType="begin"/>
      </w:r>
      <w:r>
        <w:instrText xml:space="preserve"> SEQ Tabulka \* ARABIC </w:instrText>
      </w:r>
      <w:r>
        <w:fldChar w:fldCharType="separate"/>
      </w:r>
      <w:r w:rsidR="00E25A73">
        <w:t>14</w:t>
      </w:r>
      <w:r>
        <w:fldChar w:fldCharType="end"/>
      </w:r>
      <w:r>
        <w:t>: Stanovené impulzy v</w:t>
      </w:r>
      <w:r w:rsidR="0003053E">
        <w:t> </w:t>
      </w:r>
      <w:r>
        <w:t>rámci 4. pilíře – instituce a</w:t>
      </w:r>
      <w:r w:rsidR="0003053E">
        <w:t> </w:t>
      </w:r>
      <w:r>
        <w:t>regulace a</w:t>
      </w:r>
      <w:r w:rsidR="0003053E">
        <w:t> </w:t>
      </w:r>
      <w:r>
        <w:t>podpora podnikání</w:t>
      </w:r>
      <w:bookmarkEnd w:id="316"/>
    </w:p>
    <w:p w14:paraId="4E75A891" w14:textId="1783F280" w:rsidR="001F5332" w:rsidRDefault="001F5332" w:rsidP="001F5332">
      <w:pPr>
        <w:pStyle w:val="Tabulkaagraf"/>
      </w:pPr>
      <w:r>
        <w:t>mil. Kč</w:t>
      </w:r>
    </w:p>
    <w:tbl>
      <w:tblPr>
        <w:tblW w:w="9498" w:type="dxa"/>
        <w:tblCellMar>
          <w:left w:w="70" w:type="dxa"/>
          <w:right w:w="70" w:type="dxa"/>
        </w:tblCellMar>
        <w:tblLook w:val="04A0" w:firstRow="1" w:lastRow="0" w:firstColumn="1" w:lastColumn="0" w:noHBand="0" w:noVBand="1"/>
      </w:tblPr>
      <w:tblGrid>
        <w:gridCol w:w="3402"/>
        <w:gridCol w:w="709"/>
        <w:gridCol w:w="709"/>
        <w:gridCol w:w="709"/>
        <w:gridCol w:w="708"/>
        <w:gridCol w:w="851"/>
        <w:gridCol w:w="709"/>
        <w:gridCol w:w="587"/>
        <w:gridCol w:w="1114"/>
      </w:tblGrid>
      <w:tr w:rsidR="001D3A52" w:rsidRPr="001D3A52" w14:paraId="00170C8B" w14:textId="77777777" w:rsidTr="001D3A52">
        <w:trPr>
          <w:trHeight w:val="300"/>
        </w:trPr>
        <w:tc>
          <w:tcPr>
            <w:tcW w:w="3402" w:type="dxa"/>
            <w:tcBorders>
              <w:top w:val="nil"/>
              <w:left w:val="nil"/>
              <w:bottom w:val="single" w:sz="4" w:space="0" w:color="auto"/>
              <w:right w:val="single" w:sz="4" w:space="0" w:color="auto"/>
            </w:tcBorders>
            <w:shd w:val="clear" w:color="000000" w:fill="D9E1F2"/>
            <w:noWrap/>
            <w:vAlign w:val="center"/>
            <w:hideMark/>
          </w:tcPr>
          <w:p w14:paraId="5CF55C45" w14:textId="77777777" w:rsidR="001D3A52" w:rsidRPr="001D3A52" w:rsidRDefault="001D3A52" w:rsidP="001D3A52">
            <w:pPr>
              <w:spacing w:after="0" w:line="240" w:lineRule="auto"/>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 </w:t>
            </w:r>
          </w:p>
        </w:tc>
        <w:tc>
          <w:tcPr>
            <w:tcW w:w="709" w:type="dxa"/>
            <w:tcBorders>
              <w:top w:val="nil"/>
              <w:left w:val="nil"/>
              <w:bottom w:val="single" w:sz="4" w:space="0" w:color="auto"/>
              <w:right w:val="nil"/>
            </w:tcBorders>
            <w:shd w:val="clear" w:color="000000" w:fill="D9E1F2"/>
            <w:noWrap/>
            <w:vAlign w:val="center"/>
            <w:hideMark/>
          </w:tcPr>
          <w:p w14:paraId="4BE1B854"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2020</w:t>
            </w:r>
          </w:p>
        </w:tc>
        <w:tc>
          <w:tcPr>
            <w:tcW w:w="709" w:type="dxa"/>
            <w:tcBorders>
              <w:top w:val="nil"/>
              <w:left w:val="nil"/>
              <w:bottom w:val="single" w:sz="4" w:space="0" w:color="auto"/>
              <w:right w:val="nil"/>
            </w:tcBorders>
            <w:shd w:val="clear" w:color="000000" w:fill="D9E1F2"/>
            <w:noWrap/>
            <w:vAlign w:val="center"/>
            <w:hideMark/>
          </w:tcPr>
          <w:p w14:paraId="2D69529F"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2021</w:t>
            </w:r>
          </w:p>
        </w:tc>
        <w:tc>
          <w:tcPr>
            <w:tcW w:w="709" w:type="dxa"/>
            <w:tcBorders>
              <w:top w:val="nil"/>
              <w:left w:val="nil"/>
              <w:bottom w:val="single" w:sz="4" w:space="0" w:color="auto"/>
              <w:right w:val="nil"/>
            </w:tcBorders>
            <w:shd w:val="clear" w:color="000000" w:fill="D9E1F2"/>
            <w:noWrap/>
            <w:vAlign w:val="center"/>
            <w:hideMark/>
          </w:tcPr>
          <w:p w14:paraId="3C936B03"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2022</w:t>
            </w:r>
          </w:p>
        </w:tc>
        <w:tc>
          <w:tcPr>
            <w:tcW w:w="708" w:type="dxa"/>
            <w:tcBorders>
              <w:top w:val="nil"/>
              <w:left w:val="nil"/>
              <w:bottom w:val="single" w:sz="4" w:space="0" w:color="auto"/>
              <w:right w:val="nil"/>
            </w:tcBorders>
            <w:shd w:val="clear" w:color="000000" w:fill="D9E1F2"/>
            <w:noWrap/>
            <w:vAlign w:val="center"/>
            <w:hideMark/>
          </w:tcPr>
          <w:p w14:paraId="7E7D3657"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2023</w:t>
            </w:r>
          </w:p>
        </w:tc>
        <w:tc>
          <w:tcPr>
            <w:tcW w:w="851" w:type="dxa"/>
            <w:tcBorders>
              <w:top w:val="nil"/>
              <w:left w:val="nil"/>
              <w:bottom w:val="single" w:sz="4" w:space="0" w:color="auto"/>
              <w:right w:val="nil"/>
            </w:tcBorders>
            <w:shd w:val="clear" w:color="000000" w:fill="D9E1F2"/>
            <w:noWrap/>
            <w:vAlign w:val="center"/>
            <w:hideMark/>
          </w:tcPr>
          <w:p w14:paraId="249AA929"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2024</w:t>
            </w:r>
          </w:p>
        </w:tc>
        <w:tc>
          <w:tcPr>
            <w:tcW w:w="709" w:type="dxa"/>
            <w:tcBorders>
              <w:top w:val="nil"/>
              <w:left w:val="nil"/>
              <w:bottom w:val="single" w:sz="4" w:space="0" w:color="auto"/>
              <w:right w:val="nil"/>
            </w:tcBorders>
            <w:shd w:val="clear" w:color="000000" w:fill="D9E1F2"/>
            <w:noWrap/>
            <w:vAlign w:val="center"/>
            <w:hideMark/>
          </w:tcPr>
          <w:p w14:paraId="5C583F9E"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2025</w:t>
            </w:r>
          </w:p>
        </w:tc>
        <w:tc>
          <w:tcPr>
            <w:tcW w:w="587" w:type="dxa"/>
            <w:tcBorders>
              <w:top w:val="nil"/>
              <w:left w:val="nil"/>
              <w:bottom w:val="single" w:sz="4" w:space="0" w:color="auto"/>
              <w:right w:val="nil"/>
            </w:tcBorders>
            <w:shd w:val="clear" w:color="000000" w:fill="D9E1F2"/>
            <w:noWrap/>
            <w:vAlign w:val="center"/>
            <w:hideMark/>
          </w:tcPr>
          <w:p w14:paraId="408D734E"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2026</w:t>
            </w:r>
          </w:p>
        </w:tc>
        <w:tc>
          <w:tcPr>
            <w:tcW w:w="1114" w:type="dxa"/>
            <w:tcBorders>
              <w:top w:val="nil"/>
              <w:left w:val="single" w:sz="4" w:space="0" w:color="auto"/>
              <w:bottom w:val="single" w:sz="4" w:space="0" w:color="auto"/>
              <w:right w:val="nil"/>
            </w:tcBorders>
            <w:shd w:val="clear" w:color="000000" w:fill="D9E1F2"/>
            <w:noWrap/>
            <w:vAlign w:val="center"/>
            <w:hideMark/>
          </w:tcPr>
          <w:p w14:paraId="0D8D4830" w14:textId="77777777" w:rsidR="001D3A52" w:rsidRPr="001D3A52" w:rsidRDefault="001D3A52" w:rsidP="001D3A52">
            <w:pPr>
              <w:spacing w:after="0" w:line="240" w:lineRule="auto"/>
              <w:jc w:val="center"/>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celkem</w:t>
            </w:r>
          </w:p>
        </w:tc>
      </w:tr>
      <w:tr w:rsidR="001D3A52" w:rsidRPr="001D3A52" w14:paraId="1B96234A" w14:textId="77777777" w:rsidTr="001D3A52">
        <w:trPr>
          <w:trHeight w:val="300"/>
        </w:trPr>
        <w:tc>
          <w:tcPr>
            <w:tcW w:w="3402" w:type="dxa"/>
            <w:tcBorders>
              <w:top w:val="nil"/>
              <w:left w:val="nil"/>
              <w:bottom w:val="nil"/>
              <w:right w:val="single" w:sz="4" w:space="0" w:color="auto"/>
            </w:tcBorders>
            <w:shd w:val="clear" w:color="auto" w:fill="auto"/>
            <w:noWrap/>
            <w:vAlign w:val="center"/>
            <w:hideMark/>
          </w:tcPr>
          <w:p w14:paraId="0F48DF54" w14:textId="51C3A321" w:rsidR="001D3A52" w:rsidRPr="001D3A52" w:rsidRDefault="001D3A52" w:rsidP="001D3A52">
            <w:pPr>
              <w:spacing w:after="0" w:line="240" w:lineRule="auto"/>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4. PILÍŘ: INSTITUCE A</w:t>
            </w:r>
            <w:r w:rsidR="0003053E">
              <w:rPr>
                <w:rFonts w:ascii="Calibri" w:eastAsia="Times New Roman" w:hAnsi="Calibri" w:cs="Calibri"/>
                <w:b/>
                <w:bCs/>
                <w:color w:val="000000"/>
                <w:sz w:val="16"/>
                <w:szCs w:val="16"/>
                <w:lang w:eastAsia="cs-CZ"/>
              </w:rPr>
              <w:t> </w:t>
            </w:r>
            <w:r w:rsidRPr="001D3A52">
              <w:rPr>
                <w:rFonts w:ascii="Calibri" w:eastAsia="Times New Roman" w:hAnsi="Calibri" w:cs="Calibri"/>
                <w:b/>
                <w:bCs/>
                <w:color w:val="000000"/>
                <w:sz w:val="16"/>
                <w:szCs w:val="16"/>
                <w:lang w:eastAsia="cs-CZ"/>
              </w:rPr>
              <w:t>REGULACE A</w:t>
            </w:r>
            <w:r w:rsidR="0003053E">
              <w:rPr>
                <w:rFonts w:ascii="Calibri" w:eastAsia="Times New Roman" w:hAnsi="Calibri" w:cs="Calibri"/>
                <w:b/>
                <w:bCs/>
                <w:color w:val="000000"/>
                <w:sz w:val="16"/>
                <w:szCs w:val="16"/>
                <w:lang w:eastAsia="cs-CZ"/>
              </w:rPr>
              <w:t> </w:t>
            </w:r>
            <w:r w:rsidRPr="001D3A52">
              <w:rPr>
                <w:rFonts w:ascii="Calibri" w:eastAsia="Times New Roman" w:hAnsi="Calibri" w:cs="Calibri"/>
                <w:b/>
                <w:bCs/>
                <w:color w:val="000000"/>
                <w:sz w:val="16"/>
                <w:szCs w:val="16"/>
                <w:lang w:eastAsia="cs-CZ"/>
              </w:rPr>
              <w:t>PODPORA PODNIKÁNÍ</w:t>
            </w:r>
          </w:p>
        </w:tc>
        <w:tc>
          <w:tcPr>
            <w:tcW w:w="709" w:type="dxa"/>
            <w:tcBorders>
              <w:top w:val="nil"/>
              <w:left w:val="nil"/>
              <w:bottom w:val="nil"/>
              <w:right w:val="nil"/>
            </w:tcBorders>
            <w:shd w:val="clear" w:color="auto" w:fill="auto"/>
            <w:noWrap/>
            <w:vAlign w:val="center"/>
            <w:hideMark/>
          </w:tcPr>
          <w:p w14:paraId="79AC6125"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0,00</w:t>
            </w:r>
          </w:p>
        </w:tc>
        <w:tc>
          <w:tcPr>
            <w:tcW w:w="709" w:type="dxa"/>
            <w:tcBorders>
              <w:top w:val="nil"/>
              <w:left w:val="nil"/>
              <w:bottom w:val="nil"/>
              <w:right w:val="nil"/>
            </w:tcBorders>
            <w:shd w:val="clear" w:color="auto" w:fill="auto"/>
            <w:noWrap/>
            <w:vAlign w:val="center"/>
            <w:hideMark/>
          </w:tcPr>
          <w:p w14:paraId="6517C8CF"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39,00</w:t>
            </w:r>
          </w:p>
        </w:tc>
        <w:tc>
          <w:tcPr>
            <w:tcW w:w="709" w:type="dxa"/>
            <w:tcBorders>
              <w:top w:val="nil"/>
              <w:left w:val="nil"/>
              <w:bottom w:val="nil"/>
              <w:right w:val="nil"/>
            </w:tcBorders>
            <w:shd w:val="clear" w:color="auto" w:fill="auto"/>
            <w:noWrap/>
            <w:vAlign w:val="center"/>
            <w:hideMark/>
          </w:tcPr>
          <w:p w14:paraId="5C7FAB74"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903,80</w:t>
            </w:r>
          </w:p>
        </w:tc>
        <w:tc>
          <w:tcPr>
            <w:tcW w:w="708" w:type="dxa"/>
            <w:tcBorders>
              <w:top w:val="nil"/>
              <w:left w:val="nil"/>
              <w:bottom w:val="nil"/>
              <w:right w:val="nil"/>
            </w:tcBorders>
            <w:shd w:val="clear" w:color="auto" w:fill="auto"/>
            <w:noWrap/>
            <w:vAlign w:val="center"/>
            <w:hideMark/>
          </w:tcPr>
          <w:p w14:paraId="28E15D74"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3 198,02</w:t>
            </w:r>
          </w:p>
        </w:tc>
        <w:tc>
          <w:tcPr>
            <w:tcW w:w="851" w:type="dxa"/>
            <w:tcBorders>
              <w:top w:val="nil"/>
              <w:left w:val="nil"/>
              <w:bottom w:val="nil"/>
              <w:right w:val="nil"/>
            </w:tcBorders>
            <w:shd w:val="clear" w:color="auto" w:fill="auto"/>
            <w:noWrap/>
            <w:vAlign w:val="center"/>
            <w:hideMark/>
          </w:tcPr>
          <w:p w14:paraId="68CAFC96"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4 268,98</w:t>
            </w:r>
          </w:p>
        </w:tc>
        <w:tc>
          <w:tcPr>
            <w:tcW w:w="709" w:type="dxa"/>
            <w:tcBorders>
              <w:top w:val="nil"/>
              <w:left w:val="nil"/>
              <w:bottom w:val="nil"/>
              <w:right w:val="nil"/>
            </w:tcBorders>
            <w:shd w:val="clear" w:color="auto" w:fill="auto"/>
            <w:noWrap/>
            <w:vAlign w:val="center"/>
            <w:hideMark/>
          </w:tcPr>
          <w:p w14:paraId="4E48F157"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1 297,98</w:t>
            </w:r>
          </w:p>
        </w:tc>
        <w:tc>
          <w:tcPr>
            <w:tcW w:w="587" w:type="dxa"/>
            <w:tcBorders>
              <w:top w:val="nil"/>
              <w:left w:val="nil"/>
              <w:bottom w:val="nil"/>
              <w:right w:val="nil"/>
            </w:tcBorders>
            <w:shd w:val="clear" w:color="auto" w:fill="auto"/>
            <w:noWrap/>
            <w:vAlign w:val="center"/>
            <w:hideMark/>
          </w:tcPr>
          <w:p w14:paraId="5F5F7131"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667,28</w:t>
            </w:r>
          </w:p>
        </w:tc>
        <w:tc>
          <w:tcPr>
            <w:tcW w:w="1114" w:type="dxa"/>
            <w:tcBorders>
              <w:top w:val="nil"/>
              <w:left w:val="single" w:sz="4" w:space="0" w:color="auto"/>
              <w:bottom w:val="nil"/>
              <w:right w:val="nil"/>
            </w:tcBorders>
            <w:shd w:val="clear" w:color="auto" w:fill="auto"/>
            <w:noWrap/>
            <w:vAlign w:val="center"/>
            <w:hideMark/>
          </w:tcPr>
          <w:p w14:paraId="6B8655CA"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10 375,06</w:t>
            </w:r>
          </w:p>
        </w:tc>
      </w:tr>
      <w:tr w:rsidR="001D3A52" w:rsidRPr="001D3A52" w14:paraId="3DF20091" w14:textId="77777777" w:rsidTr="001D3A52">
        <w:trPr>
          <w:trHeight w:val="300"/>
        </w:trPr>
        <w:tc>
          <w:tcPr>
            <w:tcW w:w="3402" w:type="dxa"/>
            <w:tcBorders>
              <w:top w:val="nil"/>
              <w:left w:val="nil"/>
              <w:bottom w:val="nil"/>
              <w:right w:val="single" w:sz="4" w:space="0" w:color="auto"/>
            </w:tcBorders>
            <w:shd w:val="clear" w:color="auto" w:fill="auto"/>
            <w:noWrap/>
            <w:vAlign w:val="center"/>
            <w:hideMark/>
          </w:tcPr>
          <w:p w14:paraId="69D49FED" w14:textId="77777777" w:rsidR="001D3A52" w:rsidRPr="001D3A52" w:rsidRDefault="001D3A52" w:rsidP="001D3A52">
            <w:pPr>
              <w:spacing w:after="0" w:line="240" w:lineRule="auto"/>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4.1 Systematická podpora veřejných investic</w:t>
            </w:r>
          </w:p>
        </w:tc>
        <w:tc>
          <w:tcPr>
            <w:tcW w:w="709" w:type="dxa"/>
            <w:tcBorders>
              <w:top w:val="nil"/>
              <w:left w:val="nil"/>
              <w:bottom w:val="nil"/>
              <w:right w:val="nil"/>
            </w:tcBorders>
            <w:shd w:val="clear" w:color="auto" w:fill="auto"/>
            <w:noWrap/>
            <w:vAlign w:val="center"/>
            <w:hideMark/>
          </w:tcPr>
          <w:p w14:paraId="1D084355"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709" w:type="dxa"/>
            <w:tcBorders>
              <w:top w:val="nil"/>
              <w:left w:val="nil"/>
              <w:bottom w:val="nil"/>
              <w:right w:val="nil"/>
            </w:tcBorders>
            <w:shd w:val="clear" w:color="auto" w:fill="auto"/>
            <w:noWrap/>
            <w:vAlign w:val="center"/>
            <w:hideMark/>
          </w:tcPr>
          <w:p w14:paraId="610BCD7F"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709" w:type="dxa"/>
            <w:tcBorders>
              <w:top w:val="nil"/>
              <w:left w:val="nil"/>
              <w:bottom w:val="nil"/>
              <w:right w:val="nil"/>
            </w:tcBorders>
            <w:shd w:val="clear" w:color="auto" w:fill="auto"/>
            <w:noWrap/>
            <w:vAlign w:val="center"/>
            <w:hideMark/>
          </w:tcPr>
          <w:p w14:paraId="1CD77521"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708" w:type="dxa"/>
            <w:tcBorders>
              <w:top w:val="nil"/>
              <w:left w:val="nil"/>
              <w:bottom w:val="nil"/>
              <w:right w:val="nil"/>
            </w:tcBorders>
            <w:shd w:val="clear" w:color="auto" w:fill="auto"/>
            <w:noWrap/>
            <w:vAlign w:val="center"/>
            <w:hideMark/>
          </w:tcPr>
          <w:p w14:paraId="10B52D5C"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642,62</w:t>
            </w:r>
          </w:p>
        </w:tc>
        <w:tc>
          <w:tcPr>
            <w:tcW w:w="851" w:type="dxa"/>
            <w:tcBorders>
              <w:top w:val="nil"/>
              <w:left w:val="nil"/>
              <w:bottom w:val="nil"/>
              <w:right w:val="nil"/>
            </w:tcBorders>
            <w:shd w:val="clear" w:color="auto" w:fill="auto"/>
            <w:noWrap/>
            <w:vAlign w:val="center"/>
            <w:hideMark/>
          </w:tcPr>
          <w:p w14:paraId="1199E902"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1 362,18</w:t>
            </w:r>
          </w:p>
        </w:tc>
        <w:tc>
          <w:tcPr>
            <w:tcW w:w="709" w:type="dxa"/>
            <w:tcBorders>
              <w:top w:val="nil"/>
              <w:left w:val="nil"/>
              <w:bottom w:val="nil"/>
              <w:right w:val="nil"/>
            </w:tcBorders>
            <w:shd w:val="clear" w:color="auto" w:fill="auto"/>
            <w:noWrap/>
            <w:vAlign w:val="center"/>
            <w:hideMark/>
          </w:tcPr>
          <w:p w14:paraId="588CA93F"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954,48</w:t>
            </w:r>
          </w:p>
        </w:tc>
        <w:tc>
          <w:tcPr>
            <w:tcW w:w="587" w:type="dxa"/>
            <w:tcBorders>
              <w:top w:val="nil"/>
              <w:left w:val="nil"/>
              <w:bottom w:val="nil"/>
              <w:right w:val="nil"/>
            </w:tcBorders>
            <w:shd w:val="clear" w:color="auto" w:fill="auto"/>
            <w:noWrap/>
            <w:vAlign w:val="center"/>
            <w:hideMark/>
          </w:tcPr>
          <w:p w14:paraId="2745C695"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667,28</w:t>
            </w:r>
          </w:p>
        </w:tc>
        <w:tc>
          <w:tcPr>
            <w:tcW w:w="1114" w:type="dxa"/>
            <w:tcBorders>
              <w:top w:val="nil"/>
              <w:left w:val="single" w:sz="4" w:space="0" w:color="auto"/>
              <w:bottom w:val="nil"/>
              <w:right w:val="nil"/>
            </w:tcBorders>
            <w:shd w:val="clear" w:color="auto" w:fill="auto"/>
            <w:noWrap/>
            <w:vAlign w:val="center"/>
            <w:hideMark/>
          </w:tcPr>
          <w:p w14:paraId="3ADFFCCC"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3 626,56</w:t>
            </w:r>
          </w:p>
        </w:tc>
      </w:tr>
      <w:tr w:rsidR="001D3A52" w:rsidRPr="001D3A52" w14:paraId="7C96A235" w14:textId="77777777" w:rsidTr="001D3A52">
        <w:trPr>
          <w:trHeight w:val="300"/>
        </w:trPr>
        <w:tc>
          <w:tcPr>
            <w:tcW w:w="3402" w:type="dxa"/>
            <w:tcBorders>
              <w:top w:val="nil"/>
              <w:left w:val="nil"/>
              <w:bottom w:val="nil"/>
              <w:right w:val="single" w:sz="4" w:space="0" w:color="auto"/>
            </w:tcBorders>
            <w:shd w:val="clear" w:color="auto" w:fill="auto"/>
            <w:noWrap/>
            <w:vAlign w:val="center"/>
            <w:hideMark/>
          </w:tcPr>
          <w:p w14:paraId="080C8815" w14:textId="6F5E87BB" w:rsidR="001D3A52" w:rsidRPr="001D3A52" w:rsidRDefault="001D3A52" w:rsidP="001D3A52">
            <w:pPr>
              <w:spacing w:after="0" w:line="240" w:lineRule="auto"/>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4.2 Podpora investic v</w:t>
            </w:r>
            <w:r w:rsidR="0003053E">
              <w:rPr>
                <w:rFonts w:ascii="Calibri" w:eastAsia="Times New Roman" w:hAnsi="Calibri" w:cs="Calibri"/>
                <w:color w:val="000000"/>
                <w:sz w:val="16"/>
                <w:szCs w:val="16"/>
                <w:lang w:eastAsia="cs-CZ"/>
              </w:rPr>
              <w:t> </w:t>
            </w:r>
            <w:r w:rsidRPr="001D3A52">
              <w:rPr>
                <w:rFonts w:ascii="Calibri" w:eastAsia="Times New Roman" w:hAnsi="Calibri" w:cs="Calibri"/>
                <w:color w:val="000000"/>
                <w:sz w:val="16"/>
                <w:szCs w:val="16"/>
                <w:lang w:eastAsia="cs-CZ"/>
              </w:rPr>
              <w:t>průmyslu a</w:t>
            </w:r>
            <w:r w:rsidR="0003053E">
              <w:rPr>
                <w:rFonts w:ascii="Calibri" w:eastAsia="Times New Roman" w:hAnsi="Calibri" w:cs="Calibri"/>
                <w:color w:val="000000"/>
                <w:sz w:val="16"/>
                <w:szCs w:val="16"/>
                <w:lang w:eastAsia="cs-CZ"/>
              </w:rPr>
              <w:t> </w:t>
            </w:r>
            <w:r w:rsidRPr="001D3A52">
              <w:rPr>
                <w:rFonts w:ascii="Calibri" w:eastAsia="Times New Roman" w:hAnsi="Calibri" w:cs="Calibri"/>
                <w:color w:val="000000"/>
                <w:sz w:val="16"/>
                <w:szCs w:val="16"/>
                <w:lang w:eastAsia="cs-CZ"/>
              </w:rPr>
              <w:t>podnikání</w:t>
            </w:r>
          </w:p>
        </w:tc>
        <w:tc>
          <w:tcPr>
            <w:tcW w:w="709" w:type="dxa"/>
            <w:tcBorders>
              <w:top w:val="nil"/>
              <w:left w:val="nil"/>
              <w:bottom w:val="nil"/>
              <w:right w:val="nil"/>
            </w:tcBorders>
            <w:shd w:val="clear" w:color="auto" w:fill="auto"/>
            <w:noWrap/>
            <w:vAlign w:val="center"/>
            <w:hideMark/>
          </w:tcPr>
          <w:p w14:paraId="63CD3317"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709" w:type="dxa"/>
            <w:tcBorders>
              <w:top w:val="nil"/>
              <w:left w:val="nil"/>
              <w:bottom w:val="nil"/>
              <w:right w:val="nil"/>
            </w:tcBorders>
            <w:shd w:val="clear" w:color="auto" w:fill="auto"/>
            <w:noWrap/>
            <w:vAlign w:val="center"/>
            <w:hideMark/>
          </w:tcPr>
          <w:p w14:paraId="522DF2AA"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30,00</w:t>
            </w:r>
          </w:p>
        </w:tc>
        <w:tc>
          <w:tcPr>
            <w:tcW w:w="709" w:type="dxa"/>
            <w:tcBorders>
              <w:top w:val="nil"/>
              <w:left w:val="nil"/>
              <w:bottom w:val="nil"/>
              <w:right w:val="nil"/>
            </w:tcBorders>
            <w:shd w:val="clear" w:color="auto" w:fill="auto"/>
            <w:noWrap/>
            <w:vAlign w:val="center"/>
            <w:hideMark/>
          </w:tcPr>
          <w:p w14:paraId="47C34085"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235,00</w:t>
            </w:r>
          </w:p>
        </w:tc>
        <w:tc>
          <w:tcPr>
            <w:tcW w:w="708" w:type="dxa"/>
            <w:tcBorders>
              <w:top w:val="nil"/>
              <w:left w:val="nil"/>
              <w:bottom w:val="nil"/>
              <w:right w:val="nil"/>
            </w:tcBorders>
            <w:shd w:val="clear" w:color="auto" w:fill="auto"/>
            <w:noWrap/>
            <w:vAlign w:val="center"/>
            <w:hideMark/>
          </w:tcPr>
          <w:p w14:paraId="288F0336"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245,00</w:t>
            </w:r>
          </w:p>
        </w:tc>
        <w:tc>
          <w:tcPr>
            <w:tcW w:w="851" w:type="dxa"/>
            <w:tcBorders>
              <w:top w:val="nil"/>
              <w:left w:val="nil"/>
              <w:bottom w:val="nil"/>
              <w:right w:val="nil"/>
            </w:tcBorders>
            <w:shd w:val="clear" w:color="auto" w:fill="auto"/>
            <w:noWrap/>
            <w:vAlign w:val="center"/>
            <w:hideMark/>
          </w:tcPr>
          <w:p w14:paraId="117B00BE"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245,00</w:t>
            </w:r>
          </w:p>
        </w:tc>
        <w:tc>
          <w:tcPr>
            <w:tcW w:w="709" w:type="dxa"/>
            <w:tcBorders>
              <w:top w:val="nil"/>
              <w:left w:val="nil"/>
              <w:bottom w:val="nil"/>
              <w:right w:val="nil"/>
            </w:tcBorders>
            <w:shd w:val="clear" w:color="auto" w:fill="auto"/>
            <w:noWrap/>
            <w:vAlign w:val="center"/>
            <w:hideMark/>
          </w:tcPr>
          <w:p w14:paraId="36D82F7F"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245,00</w:t>
            </w:r>
          </w:p>
        </w:tc>
        <w:tc>
          <w:tcPr>
            <w:tcW w:w="587" w:type="dxa"/>
            <w:tcBorders>
              <w:top w:val="nil"/>
              <w:left w:val="nil"/>
              <w:bottom w:val="nil"/>
              <w:right w:val="nil"/>
            </w:tcBorders>
            <w:shd w:val="clear" w:color="auto" w:fill="auto"/>
            <w:noWrap/>
            <w:vAlign w:val="center"/>
            <w:hideMark/>
          </w:tcPr>
          <w:p w14:paraId="1EA2F700"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1114" w:type="dxa"/>
            <w:tcBorders>
              <w:top w:val="nil"/>
              <w:left w:val="single" w:sz="4" w:space="0" w:color="auto"/>
              <w:bottom w:val="nil"/>
              <w:right w:val="nil"/>
            </w:tcBorders>
            <w:shd w:val="clear" w:color="auto" w:fill="auto"/>
            <w:noWrap/>
            <w:vAlign w:val="center"/>
            <w:hideMark/>
          </w:tcPr>
          <w:p w14:paraId="6CEA88FF"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1 000,00</w:t>
            </w:r>
          </w:p>
        </w:tc>
      </w:tr>
      <w:tr w:rsidR="001D3A52" w:rsidRPr="001D3A52" w14:paraId="6FA74023" w14:textId="77777777" w:rsidTr="001D3A52">
        <w:trPr>
          <w:trHeight w:val="300"/>
        </w:trPr>
        <w:tc>
          <w:tcPr>
            <w:tcW w:w="3402" w:type="dxa"/>
            <w:tcBorders>
              <w:top w:val="nil"/>
              <w:left w:val="nil"/>
              <w:bottom w:val="nil"/>
              <w:right w:val="single" w:sz="4" w:space="0" w:color="auto"/>
            </w:tcBorders>
            <w:shd w:val="clear" w:color="auto" w:fill="auto"/>
            <w:noWrap/>
            <w:vAlign w:val="center"/>
            <w:hideMark/>
          </w:tcPr>
          <w:p w14:paraId="39D9C9F5" w14:textId="77777777" w:rsidR="001D3A52" w:rsidRPr="001D3A52" w:rsidRDefault="001D3A52" w:rsidP="001D3A52">
            <w:pPr>
              <w:spacing w:after="0" w:line="240" w:lineRule="auto"/>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4.4 Zvýšení efektivity výkonu veřejné správy</w:t>
            </w:r>
          </w:p>
        </w:tc>
        <w:tc>
          <w:tcPr>
            <w:tcW w:w="709" w:type="dxa"/>
            <w:tcBorders>
              <w:top w:val="nil"/>
              <w:left w:val="nil"/>
              <w:bottom w:val="nil"/>
              <w:right w:val="nil"/>
            </w:tcBorders>
            <w:shd w:val="clear" w:color="auto" w:fill="auto"/>
            <w:noWrap/>
            <w:vAlign w:val="center"/>
            <w:hideMark/>
          </w:tcPr>
          <w:p w14:paraId="73259BD6"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709" w:type="dxa"/>
            <w:tcBorders>
              <w:top w:val="nil"/>
              <w:left w:val="nil"/>
              <w:bottom w:val="nil"/>
              <w:right w:val="nil"/>
            </w:tcBorders>
            <w:shd w:val="clear" w:color="auto" w:fill="auto"/>
            <w:noWrap/>
            <w:vAlign w:val="center"/>
            <w:hideMark/>
          </w:tcPr>
          <w:p w14:paraId="04D846CC"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709" w:type="dxa"/>
            <w:tcBorders>
              <w:top w:val="nil"/>
              <w:left w:val="nil"/>
              <w:bottom w:val="nil"/>
              <w:right w:val="nil"/>
            </w:tcBorders>
            <w:shd w:val="clear" w:color="auto" w:fill="auto"/>
            <w:noWrap/>
            <w:vAlign w:val="center"/>
            <w:hideMark/>
          </w:tcPr>
          <w:p w14:paraId="7820C2DE"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708" w:type="dxa"/>
            <w:tcBorders>
              <w:top w:val="nil"/>
              <w:left w:val="nil"/>
              <w:bottom w:val="nil"/>
              <w:right w:val="nil"/>
            </w:tcBorders>
            <w:shd w:val="clear" w:color="auto" w:fill="auto"/>
            <w:noWrap/>
            <w:vAlign w:val="center"/>
            <w:hideMark/>
          </w:tcPr>
          <w:p w14:paraId="1BE0B8C9"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100,00</w:t>
            </w:r>
          </w:p>
        </w:tc>
        <w:tc>
          <w:tcPr>
            <w:tcW w:w="851" w:type="dxa"/>
            <w:tcBorders>
              <w:top w:val="nil"/>
              <w:left w:val="nil"/>
              <w:bottom w:val="nil"/>
              <w:right w:val="nil"/>
            </w:tcBorders>
            <w:shd w:val="clear" w:color="auto" w:fill="auto"/>
            <w:noWrap/>
            <w:vAlign w:val="center"/>
            <w:hideMark/>
          </w:tcPr>
          <w:p w14:paraId="171DAD7F"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100,00</w:t>
            </w:r>
          </w:p>
        </w:tc>
        <w:tc>
          <w:tcPr>
            <w:tcW w:w="709" w:type="dxa"/>
            <w:tcBorders>
              <w:top w:val="nil"/>
              <w:left w:val="nil"/>
              <w:bottom w:val="nil"/>
              <w:right w:val="nil"/>
            </w:tcBorders>
            <w:shd w:val="clear" w:color="auto" w:fill="auto"/>
            <w:noWrap/>
            <w:vAlign w:val="center"/>
            <w:hideMark/>
          </w:tcPr>
          <w:p w14:paraId="689596A2"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98,50</w:t>
            </w:r>
          </w:p>
        </w:tc>
        <w:tc>
          <w:tcPr>
            <w:tcW w:w="587" w:type="dxa"/>
            <w:tcBorders>
              <w:top w:val="nil"/>
              <w:left w:val="nil"/>
              <w:bottom w:val="nil"/>
              <w:right w:val="nil"/>
            </w:tcBorders>
            <w:shd w:val="clear" w:color="auto" w:fill="auto"/>
            <w:noWrap/>
            <w:vAlign w:val="center"/>
            <w:hideMark/>
          </w:tcPr>
          <w:p w14:paraId="4DC0B937"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1114" w:type="dxa"/>
            <w:tcBorders>
              <w:top w:val="nil"/>
              <w:left w:val="single" w:sz="4" w:space="0" w:color="auto"/>
              <w:bottom w:val="nil"/>
              <w:right w:val="nil"/>
            </w:tcBorders>
            <w:shd w:val="clear" w:color="auto" w:fill="auto"/>
            <w:noWrap/>
            <w:vAlign w:val="center"/>
            <w:hideMark/>
          </w:tcPr>
          <w:p w14:paraId="758E5030"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298,50</w:t>
            </w:r>
          </w:p>
        </w:tc>
      </w:tr>
      <w:tr w:rsidR="001D3A52" w:rsidRPr="001D3A52" w14:paraId="0677B812" w14:textId="77777777" w:rsidTr="001D3A52">
        <w:trPr>
          <w:trHeight w:val="300"/>
        </w:trPr>
        <w:tc>
          <w:tcPr>
            <w:tcW w:w="3402" w:type="dxa"/>
            <w:tcBorders>
              <w:top w:val="nil"/>
              <w:left w:val="nil"/>
              <w:bottom w:val="nil"/>
              <w:right w:val="single" w:sz="4" w:space="0" w:color="auto"/>
            </w:tcBorders>
            <w:shd w:val="clear" w:color="auto" w:fill="auto"/>
            <w:noWrap/>
            <w:vAlign w:val="center"/>
            <w:hideMark/>
          </w:tcPr>
          <w:p w14:paraId="7E5484E8" w14:textId="7FBB2BC2" w:rsidR="001D3A52" w:rsidRPr="001D3A52" w:rsidRDefault="001D3A52" w:rsidP="001D3A52">
            <w:pPr>
              <w:spacing w:after="0" w:line="240" w:lineRule="auto"/>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4.5 Rozvoj kulturního a</w:t>
            </w:r>
            <w:r w:rsidR="0003053E">
              <w:rPr>
                <w:rFonts w:ascii="Calibri" w:eastAsia="Times New Roman" w:hAnsi="Calibri" w:cs="Calibri"/>
                <w:color w:val="000000"/>
                <w:sz w:val="16"/>
                <w:szCs w:val="16"/>
                <w:lang w:eastAsia="cs-CZ"/>
              </w:rPr>
              <w:t> </w:t>
            </w:r>
            <w:r w:rsidRPr="001D3A52">
              <w:rPr>
                <w:rFonts w:ascii="Calibri" w:eastAsia="Times New Roman" w:hAnsi="Calibri" w:cs="Calibri"/>
                <w:color w:val="000000"/>
                <w:sz w:val="16"/>
                <w:szCs w:val="16"/>
                <w:lang w:eastAsia="cs-CZ"/>
              </w:rPr>
              <w:t>kreativního sektoru</w:t>
            </w:r>
          </w:p>
        </w:tc>
        <w:tc>
          <w:tcPr>
            <w:tcW w:w="709" w:type="dxa"/>
            <w:tcBorders>
              <w:top w:val="nil"/>
              <w:left w:val="nil"/>
              <w:bottom w:val="nil"/>
              <w:right w:val="nil"/>
            </w:tcBorders>
            <w:shd w:val="clear" w:color="auto" w:fill="auto"/>
            <w:noWrap/>
            <w:vAlign w:val="center"/>
            <w:hideMark/>
          </w:tcPr>
          <w:p w14:paraId="0B7BC4C6"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709" w:type="dxa"/>
            <w:tcBorders>
              <w:top w:val="nil"/>
              <w:left w:val="nil"/>
              <w:bottom w:val="nil"/>
              <w:right w:val="nil"/>
            </w:tcBorders>
            <w:shd w:val="clear" w:color="auto" w:fill="auto"/>
            <w:noWrap/>
            <w:vAlign w:val="center"/>
            <w:hideMark/>
          </w:tcPr>
          <w:p w14:paraId="2638A996"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9,00</w:t>
            </w:r>
          </w:p>
        </w:tc>
        <w:tc>
          <w:tcPr>
            <w:tcW w:w="709" w:type="dxa"/>
            <w:tcBorders>
              <w:top w:val="nil"/>
              <w:left w:val="nil"/>
              <w:bottom w:val="nil"/>
              <w:right w:val="nil"/>
            </w:tcBorders>
            <w:shd w:val="clear" w:color="auto" w:fill="auto"/>
            <w:noWrap/>
            <w:vAlign w:val="center"/>
            <w:hideMark/>
          </w:tcPr>
          <w:p w14:paraId="66CEA82C"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668,80</w:t>
            </w:r>
          </w:p>
        </w:tc>
        <w:tc>
          <w:tcPr>
            <w:tcW w:w="708" w:type="dxa"/>
            <w:tcBorders>
              <w:top w:val="nil"/>
              <w:left w:val="nil"/>
              <w:bottom w:val="nil"/>
              <w:right w:val="nil"/>
            </w:tcBorders>
            <w:shd w:val="clear" w:color="auto" w:fill="auto"/>
            <w:noWrap/>
            <w:vAlign w:val="center"/>
            <w:hideMark/>
          </w:tcPr>
          <w:p w14:paraId="2116812B"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2 210,40</w:t>
            </w:r>
          </w:p>
        </w:tc>
        <w:tc>
          <w:tcPr>
            <w:tcW w:w="851" w:type="dxa"/>
            <w:tcBorders>
              <w:top w:val="nil"/>
              <w:left w:val="nil"/>
              <w:bottom w:val="nil"/>
              <w:right w:val="nil"/>
            </w:tcBorders>
            <w:shd w:val="clear" w:color="auto" w:fill="auto"/>
            <w:noWrap/>
            <w:vAlign w:val="center"/>
            <w:hideMark/>
          </w:tcPr>
          <w:p w14:paraId="776618A6"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2 561,80</w:t>
            </w:r>
          </w:p>
        </w:tc>
        <w:tc>
          <w:tcPr>
            <w:tcW w:w="709" w:type="dxa"/>
            <w:tcBorders>
              <w:top w:val="nil"/>
              <w:left w:val="nil"/>
              <w:bottom w:val="nil"/>
              <w:right w:val="nil"/>
            </w:tcBorders>
            <w:shd w:val="clear" w:color="auto" w:fill="auto"/>
            <w:noWrap/>
            <w:vAlign w:val="center"/>
            <w:hideMark/>
          </w:tcPr>
          <w:p w14:paraId="22CC83D4"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587" w:type="dxa"/>
            <w:tcBorders>
              <w:top w:val="nil"/>
              <w:left w:val="nil"/>
              <w:bottom w:val="nil"/>
              <w:right w:val="nil"/>
            </w:tcBorders>
            <w:shd w:val="clear" w:color="auto" w:fill="auto"/>
            <w:noWrap/>
            <w:vAlign w:val="center"/>
            <w:hideMark/>
          </w:tcPr>
          <w:p w14:paraId="1AEA28AB"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1114" w:type="dxa"/>
            <w:tcBorders>
              <w:top w:val="nil"/>
              <w:left w:val="single" w:sz="4" w:space="0" w:color="auto"/>
              <w:bottom w:val="nil"/>
              <w:right w:val="nil"/>
            </w:tcBorders>
            <w:shd w:val="clear" w:color="auto" w:fill="auto"/>
            <w:noWrap/>
            <w:vAlign w:val="center"/>
            <w:hideMark/>
          </w:tcPr>
          <w:p w14:paraId="2426FAFE"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5 450,00</w:t>
            </w:r>
          </w:p>
        </w:tc>
      </w:tr>
    </w:tbl>
    <w:p w14:paraId="3BFAE0CE" w14:textId="77777777" w:rsidR="001D3A52" w:rsidRPr="00A36904" w:rsidRDefault="001D3A52" w:rsidP="001F5332">
      <w:pPr>
        <w:pStyle w:val="Tabulkaagraf"/>
      </w:pPr>
    </w:p>
    <w:p w14:paraId="12D0A5E2" w14:textId="2BEA4E08" w:rsidR="001F5332" w:rsidRDefault="001F5332" w:rsidP="001F5332">
      <w:pPr>
        <w:pStyle w:val="Zdrojpodtabulkounebografem"/>
      </w:pPr>
      <w:r w:rsidRPr="0028134D">
        <w:t xml:space="preserve"> Zdroj: NPO.</w:t>
      </w:r>
    </w:p>
    <w:p w14:paraId="6C573AF7" w14:textId="77777777" w:rsidR="00C9469B" w:rsidRPr="00C9469B" w:rsidRDefault="00C9469B" w:rsidP="00C9469B">
      <w:pPr>
        <w:rPr>
          <w:lang w:eastAsia="cs-CZ"/>
        </w:rPr>
      </w:pPr>
    </w:p>
    <w:p w14:paraId="69789575" w14:textId="17B91AD1" w:rsidR="001F5332" w:rsidRPr="00F67BF3" w:rsidRDefault="001F5332" w:rsidP="001F5332">
      <w:pPr>
        <w:jc w:val="both"/>
      </w:pPr>
      <w:r>
        <w:lastRenderedPageBreak/>
        <w:t>S ohledem na dodatečnou tvorbu HDP a</w:t>
      </w:r>
      <w:r w:rsidR="0003053E">
        <w:t> </w:t>
      </w:r>
      <w:r>
        <w:t>z velké části dodatečnou zaměstnanost je významná podpora investic v</w:t>
      </w:r>
      <w:r w:rsidR="0003053E">
        <w:t> </w:t>
      </w:r>
      <w:r>
        <w:t>průmyslu a</w:t>
      </w:r>
      <w:r w:rsidR="0003053E">
        <w:t> </w:t>
      </w:r>
      <w:r>
        <w:t>podnikání. S</w:t>
      </w:r>
      <w:r w:rsidR="0003053E">
        <w:t> </w:t>
      </w:r>
      <w:r>
        <w:t>ohledem na zaměstnanost má patrné dopady i</w:t>
      </w:r>
      <w:r w:rsidR="0003053E">
        <w:t> </w:t>
      </w:r>
      <w:r>
        <w:t>rozvoj kulturních programů. Další komponenty se zaměřují spíše na kvalitativní reformy, které tak nemají přímý návazný dopad na makroekonomické ukazatele.</w:t>
      </w:r>
    </w:p>
    <w:p w14:paraId="520A98D9" w14:textId="5AE19336" w:rsidR="001F5332" w:rsidRDefault="001F5332" w:rsidP="001F5332">
      <w:pPr>
        <w:pStyle w:val="Titulek"/>
        <w:keepNext/>
        <w:spacing w:after="120"/>
      </w:pPr>
      <w:bookmarkStart w:id="317" w:name="_Toc151444600"/>
      <w:r>
        <w:t xml:space="preserve">Tabulka </w:t>
      </w:r>
      <w:r>
        <w:fldChar w:fldCharType="begin"/>
      </w:r>
      <w:r>
        <w:instrText xml:space="preserve"> SEQ Tabulka \* ARABIC </w:instrText>
      </w:r>
      <w:r>
        <w:fldChar w:fldCharType="separate"/>
      </w:r>
      <w:r w:rsidR="00E25A73">
        <w:t>15</w:t>
      </w:r>
      <w:r>
        <w:fldChar w:fldCharType="end"/>
      </w:r>
      <w:r>
        <w:t>: Makroekonomické dopady 4. pilíře – instituce a</w:t>
      </w:r>
      <w:r w:rsidR="0003053E">
        <w:t> </w:t>
      </w:r>
      <w:r>
        <w:t>regulace a</w:t>
      </w:r>
      <w:r w:rsidR="0003053E">
        <w:t> </w:t>
      </w:r>
      <w:r>
        <w:t>podpora podnikání</w:t>
      </w:r>
      <w:bookmarkEnd w:id="317"/>
    </w:p>
    <w:p w14:paraId="7B969385" w14:textId="77777777" w:rsidR="001F5332" w:rsidRPr="00A36904" w:rsidRDefault="001F5332" w:rsidP="001F5332">
      <w:pPr>
        <w:pStyle w:val="Tabulkaagraf"/>
      </w:pPr>
      <w:r>
        <w:t>% HDP, % zaměstnanosti</w:t>
      </w:r>
    </w:p>
    <w:p w14:paraId="5AA65B96" w14:textId="6E73B822" w:rsidR="001F5332" w:rsidRDefault="001F5332" w:rsidP="001F5332">
      <w:pPr>
        <w:pStyle w:val="Zdrojpodtabulkounebografem"/>
      </w:pPr>
      <w:r w:rsidRPr="005F6689">
        <w:rPr>
          <w:noProof/>
        </w:rPr>
        <w:drawing>
          <wp:inline distT="0" distB="0" distL="0" distR="0" wp14:anchorId="0DCDA831" wp14:editId="25BA100E">
            <wp:extent cx="6124575" cy="1121410"/>
            <wp:effectExtent l="0" t="0" r="9525" b="2540"/>
            <wp:docPr id="34" name="Obráze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24575" cy="1121410"/>
                    </a:xfrm>
                    <a:prstGeom prst="rect">
                      <a:avLst/>
                    </a:prstGeom>
                    <a:noFill/>
                    <a:ln>
                      <a:noFill/>
                    </a:ln>
                  </pic:spPr>
                </pic:pic>
              </a:graphicData>
            </a:graphic>
          </wp:inline>
        </w:drawing>
      </w:r>
      <w:r w:rsidRPr="009D0816">
        <w:t xml:space="preserve"> </w:t>
      </w:r>
      <w:r>
        <w:t>Pozn.: Údaje u</w:t>
      </w:r>
      <w:r w:rsidR="0003053E">
        <w:t> </w:t>
      </w:r>
      <w:r>
        <w:t>HDP vyjadřují dodatečně vytvořenou přidanou hodnotu v</w:t>
      </w:r>
      <w:r w:rsidR="0003053E">
        <w:t> </w:t>
      </w:r>
      <w:r>
        <w:t>uvedených letech vlivem Národního plánu obnovy v</w:t>
      </w:r>
      <w:r w:rsidR="0003053E">
        <w:t> </w:t>
      </w:r>
      <w:r>
        <w:t>poměru k</w:t>
      </w:r>
      <w:r w:rsidR="0003053E">
        <w:t> </w:t>
      </w:r>
      <w:r>
        <w:t>HDP ve výchozím roce 2020, vůči němuž jsou velikosti impulzů do ekonomiky přepočteny. V</w:t>
      </w:r>
      <w:r w:rsidR="0003053E">
        <w:t> </w:t>
      </w:r>
      <w:r>
        <w:t>případě zaměstnanosti jde o</w:t>
      </w:r>
      <w:r w:rsidR="0003053E">
        <w:t> </w:t>
      </w:r>
      <w:r>
        <w:t>dodatečně vytvořenou poptávku na trhu práce v</w:t>
      </w:r>
      <w:r w:rsidR="0003053E">
        <w:t> </w:t>
      </w:r>
      <w:r>
        <w:t>uvedených letech v</w:t>
      </w:r>
      <w:r w:rsidR="0003053E">
        <w:t> </w:t>
      </w:r>
      <w:r>
        <w:t>poměru k</w:t>
      </w:r>
      <w:r w:rsidR="0003053E">
        <w:t> </w:t>
      </w:r>
      <w:r>
        <w:t>objemu zaměstnanosti v</w:t>
      </w:r>
      <w:r w:rsidR="0003053E">
        <w:t> </w:t>
      </w:r>
      <w:r>
        <w:t>témže výchozím roce 2020.</w:t>
      </w:r>
    </w:p>
    <w:p w14:paraId="3B147683" w14:textId="77777777" w:rsidR="001F5332" w:rsidRPr="00567E5F" w:rsidRDefault="001F5332" w:rsidP="001F5332">
      <w:pPr>
        <w:pStyle w:val="Zdrojpodtabulkounebografem"/>
      </w:pPr>
      <w:r>
        <w:t>Zdroj: Výpočty MF ČR.</w:t>
      </w:r>
    </w:p>
    <w:p w14:paraId="1B136472" w14:textId="0E7CDA68" w:rsidR="001F5332" w:rsidRDefault="001F5332" w:rsidP="001F5332">
      <w:pPr>
        <w:pStyle w:val="Nadpismal"/>
      </w:pPr>
      <w:r>
        <w:t>5. pilíř: výzkum, vývoj a</w:t>
      </w:r>
      <w:r w:rsidR="0003053E">
        <w:t> </w:t>
      </w:r>
      <w:r>
        <w:t>inovace</w:t>
      </w:r>
    </w:p>
    <w:p w14:paraId="52012F9F" w14:textId="7FEED7E6" w:rsidR="001F5332" w:rsidRPr="005760A6" w:rsidRDefault="001F5332" w:rsidP="001F5332">
      <w:pPr>
        <w:jc w:val="both"/>
      </w:pPr>
      <w:r w:rsidRPr="00D916EB">
        <w:t>Podpora výzkumu ve zdravotnictví v</w:t>
      </w:r>
      <w:r w:rsidR="0003053E">
        <w:t> </w:t>
      </w:r>
      <w:r w:rsidRPr="00D916EB">
        <w:t>progresivních vědních oborech, zaváděn</w:t>
      </w:r>
      <w:r>
        <w:t>í poznatků do podnikové praxe a</w:t>
      </w:r>
      <w:r w:rsidR="0003053E">
        <w:t> </w:t>
      </w:r>
      <w:r w:rsidRPr="00D916EB">
        <w:t>navázání vztahů mezi podniky a</w:t>
      </w:r>
      <w:r w:rsidR="0003053E">
        <w:t> </w:t>
      </w:r>
      <w:r w:rsidRPr="00D916EB">
        <w:t>výzkumnými institucemi podpoří realokaci vysoce kvalifikovaných pracovníků do odvětví výzkumu. Tento přesun na trhu práce zpočátku snižuje finální produkci</w:t>
      </w:r>
      <w:r>
        <w:t>,</w:t>
      </w:r>
      <w:r w:rsidRPr="00D916EB">
        <w:t xml:space="preserve"> a</w:t>
      </w:r>
      <w:r w:rsidR="0003053E">
        <w:t> </w:t>
      </w:r>
      <w:r w:rsidRPr="00D916EB">
        <w:t>negativně tak ovlivňuje růst, nicméně časem růst produktivity pozitivně ovlivní ekonomický růst a</w:t>
      </w:r>
      <w:r w:rsidR="0003053E">
        <w:t> </w:t>
      </w:r>
      <w:r w:rsidRPr="00D916EB">
        <w:t>také podpoří fyzické investice. Ačkoliv pozitivní dopad dotací do výzkumu a</w:t>
      </w:r>
      <w:r w:rsidR="0003053E">
        <w:t> </w:t>
      </w:r>
      <w:r w:rsidRPr="00D916EB">
        <w:t>inovací není okamžitý, ekonomický přínos je významný a</w:t>
      </w:r>
      <w:r w:rsidR="0003053E">
        <w:t> </w:t>
      </w:r>
      <w:r w:rsidRPr="00D916EB">
        <w:t>pokračuje ještě dlouho po skončení programu.</w:t>
      </w:r>
    </w:p>
    <w:p w14:paraId="128CC82C" w14:textId="351ED2A9" w:rsidR="001F5332" w:rsidRDefault="001F5332" w:rsidP="001F5332">
      <w:pPr>
        <w:pStyle w:val="Titulek"/>
        <w:keepNext/>
        <w:spacing w:after="120"/>
      </w:pPr>
      <w:bookmarkStart w:id="318" w:name="_Toc151444601"/>
      <w:r>
        <w:t xml:space="preserve">Tabulka </w:t>
      </w:r>
      <w:r>
        <w:fldChar w:fldCharType="begin"/>
      </w:r>
      <w:r>
        <w:instrText xml:space="preserve"> SEQ Tabulka \* ARABIC </w:instrText>
      </w:r>
      <w:r>
        <w:fldChar w:fldCharType="separate"/>
      </w:r>
      <w:r w:rsidR="00E25A73">
        <w:t>16</w:t>
      </w:r>
      <w:r>
        <w:fldChar w:fldCharType="end"/>
      </w:r>
      <w:r>
        <w:t>: Stanovené impulzy v</w:t>
      </w:r>
      <w:r w:rsidR="0003053E">
        <w:t> </w:t>
      </w:r>
      <w:r>
        <w:t>rámci 5. pilíře – výzkum, vývoj a</w:t>
      </w:r>
      <w:r w:rsidR="0003053E">
        <w:t> </w:t>
      </w:r>
      <w:r>
        <w:t>inovace</w:t>
      </w:r>
      <w:bookmarkEnd w:id="318"/>
    </w:p>
    <w:p w14:paraId="3DE7F88E" w14:textId="77777777" w:rsidR="001F5332" w:rsidRPr="00A36904" w:rsidRDefault="001F5332" w:rsidP="001F5332">
      <w:pPr>
        <w:pStyle w:val="Tabulkaagraf"/>
      </w:pPr>
      <w:r>
        <w:t>mld. Kč</w:t>
      </w:r>
    </w:p>
    <w:tbl>
      <w:tblPr>
        <w:tblW w:w="5000" w:type="pct"/>
        <w:tblCellMar>
          <w:left w:w="70" w:type="dxa"/>
          <w:right w:w="70" w:type="dxa"/>
        </w:tblCellMar>
        <w:tblLook w:val="04A0" w:firstRow="1" w:lastRow="0" w:firstColumn="1" w:lastColumn="0" w:noHBand="0" w:noVBand="1"/>
      </w:tblPr>
      <w:tblGrid>
        <w:gridCol w:w="3857"/>
        <w:gridCol w:w="664"/>
        <w:gridCol w:w="664"/>
        <w:gridCol w:w="704"/>
        <w:gridCol w:w="704"/>
        <w:gridCol w:w="704"/>
        <w:gridCol w:w="704"/>
        <w:gridCol w:w="704"/>
        <w:gridCol w:w="793"/>
      </w:tblGrid>
      <w:tr w:rsidR="001D3A52" w:rsidRPr="00B02CD8" w14:paraId="06B517E5" w14:textId="77777777" w:rsidTr="00172038">
        <w:trPr>
          <w:trHeight w:val="300"/>
          <w:tblHeader/>
        </w:trPr>
        <w:tc>
          <w:tcPr>
            <w:tcW w:w="2041" w:type="pct"/>
            <w:tcBorders>
              <w:top w:val="nil"/>
              <w:left w:val="nil"/>
              <w:bottom w:val="single" w:sz="4" w:space="0" w:color="auto"/>
              <w:right w:val="single" w:sz="4" w:space="0" w:color="auto"/>
            </w:tcBorders>
            <w:shd w:val="clear" w:color="000000" w:fill="D9E1F2"/>
            <w:noWrap/>
            <w:vAlign w:val="center"/>
            <w:hideMark/>
          </w:tcPr>
          <w:p w14:paraId="5909EBA4" w14:textId="77777777" w:rsidR="001D3A52" w:rsidRPr="00B02CD8" w:rsidRDefault="001D3A52" w:rsidP="00172038">
            <w:pPr>
              <w:spacing w:after="0" w:line="240" w:lineRule="auto"/>
              <w:rPr>
                <w:rFonts w:ascii="Calibri" w:eastAsia="Times New Roman" w:hAnsi="Calibri" w:cs="Calibri"/>
                <w:b/>
                <w:bCs/>
                <w:color w:val="000000"/>
                <w:sz w:val="16"/>
                <w:szCs w:val="16"/>
                <w:lang w:eastAsia="cs-CZ"/>
              </w:rPr>
            </w:pPr>
            <w:r w:rsidRPr="00B02CD8">
              <w:rPr>
                <w:rFonts w:ascii="Calibri" w:eastAsia="Times New Roman" w:hAnsi="Calibri" w:cs="Calibri"/>
                <w:b/>
                <w:bCs/>
                <w:color w:val="000000"/>
                <w:sz w:val="16"/>
                <w:szCs w:val="16"/>
                <w:lang w:eastAsia="cs-CZ"/>
              </w:rPr>
              <w:t> </w:t>
            </w:r>
          </w:p>
        </w:tc>
        <w:tc>
          <w:tcPr>
            <w:tcW w:w="361" w:type="pct"/>
            <w:tcBorders>
              <w:top w:val="nil"/>
              <w:left w:val="nil"/>
              <w:bottom w:val="single" w:sz="4" w:space="0" w:color="auto"/>
              <w:right w:val="nil"/>
            </w:tcBorders>
            <w:shd w:val="clear" w:color="000000" w:fill="D9E1F2"/>
            <w:noWrap/>
            <w:vAlign w:val="center"/>
            <w:hideMark/>
          </w:tcPr>
          <w:p w14:paraId="6CA1D8EE" w14:textId="77777777" w:rsidR="001D3A52" w:rsidRPr="00B02CD8" w:rsidRDefault="001D3A52" w:rsidP="00172038">
            <w:pPr>
              <w:spacing w:after="0" w:line="240" w:lineRule="auto"/>
              <w:jc w:val="right"/>
              <w:rPr>
                <w:rFonts w:ascii="Calibri" w:eastAsia="Times New Roman" w:hAnsi="Calibri" w:cs="Calibri"/>
                <w:b/>
                <w:bCs/>
                <w:color w:val="000000"/>
                <w:sz w:val="16"/>
                <w:szCs w:val="16"/>
                <w:lang w:eastAsia="cs-CZ"/>
              </w:rPr>
            </w:pPr>
            <w:r w:rsidRPr="00B02CD8">
              <w:rPr>
                <w:rFonts w:ascii="Calibri" w:eastAsia="Times New Roman" w:hAnsi="Calibri" w:cs="Calibri"/>
                <w:b/>
                <w:bCs/>
                <w:color w:val="000000"/>
                <w:sz w:val="16"/>
                <w:szCs w:val="16"/>
                <w:lang w:eastAsia="cs-CZ"/>
              </w:rPr>
              <w:t>2020</w:t>
            </w:r>
          </w:p>
        </w:tc>
        <w:tc>
          <w:tcPr>
            <w:tcW w:w="361" w:type="pct"/>
            <w:tcBorders>
              <w:top w:val="nil"/>
              <w:left w:val="nil"/>
              <w:bottom w:val="single" w:sz="4" w:space="0" w:color="auto"/>
              <w:right w:val="nil"/>
            </w:tcBorders>
            <w:shd w:val="clear" w:color="000000" w:fill="D9E1F2"/>
            <w:noWrap/>
            <w:vAlign w:val="center"/>
            <w:hideMark/>
          </w:tcPr>
          <w:p w14:paraId="180C00F3" w14:textId="77777777" w:rsidR="001D3A52" w:rsidRPr="00B02CD8" w:rsidRDefault="001D3A52" w:rsidP="00172038">
            <w:pPr>
              <w:spacing w:after="0" w:line="240" w:lineRule="auto"/>
              <w:jc w:val="right"/>
              <w:rPr>
                <w:rFonts w:ascii="Calibri" w:eastAsia="Times New Roman" w:hAnsi="Calibri" w:cs="Calibri"/>
                <w:b/>
                <w:bCs/>
                <w:color w:val="000000"/>
                <w:sz w:val="16"/>
                <w:szCs w:val="16"/>
                <w:lang w:eastAsia="cs-CZ"/>
              </w:rPr>
            </w:pPr>
            <w:r w:rsidRPr="00B02CD8">
              <w:rPr>
                <w:rFonts w:ascii="Calibri" w:eastAsia="Times New Roman" w:hAnsi="Calibri" w:cs="Calibri"/>
                <w:b/>
                <w:bCs/>
                <w:color w:val="000000"/>
                <w:sz w:val="16"/>
                <w:szCs w:val="16"/>
                <w:lang w:eastAsia="cs-CZ"/>
              </w:rPr>
              <w:t>2021</w:t>
            </w:r>
          </w:p>
        </w:tc>
        <w:tc>
          <w:tcPr>
            <w:tcW w:w="361" w:type="pct"/>
            <w:tcBorders>
              <w:top w:val="nil"/>
              <w:left w:val="nil"/>
              <w:bottom w:val="single" w:sz="4" w:space="0" w:color="auto"/>
              <w:right w:val="nil"/>
            </w:tcBorders>
            <w:shd w:val="clear" w:color="000000" w:fill="D9E1F2"/>
            <w:noWrap/>
            <w:vAlign w:val="center"/>
            <w:hideMark/>
          </w:tcPr>
          <w:p w14:paraId="1F8D1FB4" w14:textId="77777777" w:rsidR="001D3A52" w:rsidRPr="00B02CD8" w:rsidRDefault="001D3A52" w:rsidP="00172038">
            <w:pPr>
              <w:spacing w:after="0" w:line="240" w:lineRule="auto"/>
              <w:jc w:val="right"/>
              <w:rPr>
                <w:rFonts w:ascii="Calibri" w:eastAsia="Times New Roman" w:hAnsi="Calibri" w:cs="Calibri"/>
                <w:b/>
                <w:bCs/>
                <w:color w:val="000000"/>
                <w:sz w:val="16"/>
                <w:szCs w:val="16"/>
                <w:lang w:eastAsia="cs-CZ"/>
              </w:rPr>
            </w:pPr>
            <w:r w:rsidRPr="00B02CD8">
              <w:rPr>
                <w:rFonts w:ascii="Calibri" w:eastAsia="Times New Roman" w:hAnsi="Calibri" w:cs="Calibri"/>
                <w:b/>
                <w:bCs/>
                <w:color w:val="000000"/>
                <w:sz w:val="16"/>
                <w:szCs w:val="16"/>
                <w:lang w:eastAsia="cs-CZ"/>
              </w:rPr>
              <w:t>2022</w:t>
            </w:r>
          </w:p>
        </w:tc>
        <w:tc>
          <w:tcPr>
            <w:tcW w:w="361" w:type="pct"/>
            <w:tcBorders>
              <w:top w:val="nil"/>
              <w:left w:val="nil"/>
              <w:bottom w:val="single" w:sz="4" w:space="0" w:color="auto"/>
              <w:right w:val="nil"/>
            </w:tcBorders>
            <w:shd w:val="clear" w:color="000000" w:fill="D9E1F2"/>
            <w:noWrap/>
            <w:vAlign w:val="center"/>
            <w:hideMark/>
          </w:tcPr>
          <w:p w14:paraId="0406036D" w14:textId="77777777" w:rsidR="001D3A52" w:rsidRPr="00B02CD8" w:rsidRDefault="001D3A52" w:rsidP="00172038">
            <w:pPr>
              <w:spacing w:after="0" w:line="240" w:lineRule="auto"/>
              <w:jc w:val="right"/>
              <w:rPr>
                <w:rFonts w:ascii="Calibri" w:eastAsia="Times New Roman" w:hAnsi="Calibri" w:cs="Calibri"/>
                <w:b/>
                <w:bCs/>
                <w:color w:val="000000"/>
                <w:sz w:val="16"/>
                <w:szCs w:val="16"/>
                <w:lang w:eastAsia="cs-CZ"/>
              </w:rPr>
            </w:pPr>
            <w:r w:rsidRPr="00B02CD8">
              <w:rPr>
                <w:rFonts w:ascii="Calibri" w:eastAsia="Times New Roman" w:hAnsi="Calibri" w:cs="Calibri"/>
                <w:b/>
                <w:bCs/>
                <w:color w:val="000000"/>
                <w:sz w:val="16"/>
                <w:szCs w:val="16"/>
                <w:lang w:eastAsia="cs-CZ"/>
              </w:rPr>
              <w:t>2023</w:t>
            </w:r>
          </w:p>
        </w:tc>
        <w:tc>
          <w:tcPr>
            <w:tcW w:w="361" w:type="pct"/>
            <w:tcBorders>
              <w:top w:val="nil"/>
              <w:left w:val="nil"/>
              <w:bottom w:val="single" w:sz="4" w:space="0" w:color="auto"/>
              <w:right w:val="nil"/>
            </w:tcBorders>
            <w:shd w:val="clear" w:color="000000" w:fill="D9E1F2"/>
            <w:noWrap/>
            <w:vAlign w:val="center"/>
            <w:hideMark/>
          </w:tcPr>
          <w:p w14:paraId="75BE2790" w14:textId="77777777" w:rsidR="001D3A52" w:rsidRPr="00B02CD8" w:rsidRDefault="001D3A52" w:rsidP="00172038">
            <w:pPr>
              <w:spacing w:after="0" w:line="240" w:lineRule="auto"/>
              <w:jc w:val="right"/>
              <w:rPr>
                <w:rFonts w:ascii="Calibri" w:eastAsia="Times New Roman" w:hAnsi="Calibri" w:cs="Calibri"/>
                <w:b/>
                <w:bCs/>
                <w:color w:val="000000"/>
                <w:sz w:val="16"/>
                <w:szCs w:val="16"/>
                <w:lang w:eastAsia="cs-CZ"/>
              </w:rPr>
            </w:pPr>
            <w:r w:rsidRPr="00B02CD8">
              <w:rPr>
                <w:rFonts w:ascii="Calibri" w:eastAsia="Times New Roman" w:hAnsi="Calibri" w:cs="Calibri"/>
                <w:b/>
                <w:bCs/>
                <w:color w:val="000000"/>
                <w:sz w:val="16"/>
                <w:szCs w:val="16"/>
                <w:lang w:eastAsia="cs-CZ"/>
              </w:rPr>
              <w:t>2024</w:t>
            </w:r>
          </w:p>
        </w:tc>
        <w:tc>
          <w:tcPr>
            <w:tcW w:w="361" w:type="pct"/>
            <w:tcBorders>
              <w:top w:val="nil"/>
              <w:left w:val="nil"/>
              <w:bottom w:val="single" w:sz="4" w:space="0" w:color="auto"/>
              <w:right w:val="nil"/>
            </w:tcBorders>
            <w:shd w:val="clear" w:color="000000" w:fill="D9E1F2"/>
            <w:noWrap/>
            <w:vAlign w:val="center"/>
            <w:hideMark/>
          </w:tcPr>
          <w:p w14:paraId="1B00BDA5" w14:textId="77777777" w:rsidR="001D3A52" w:rsidRPr="00B02CD8" w:rsidRDefault="001D3A52" w:rsidP="00172038">
            <w:pPr>
              <w:spacing w:after="0" w:line="240" w:lineRule="auto"/>
              <w:jc w:val="right"/>
              <w:rPr>
                <w:rFonts w:ascii="Calibri" w:eastAsia="Times New Roman" w:hAnsi="Calibri" w:cs="Calibri"/>
                <w:b/>
                <w:bCs/>
                <w:color w:val="000000"/>
                <w:sz w:val="16"/>
                <w:szCs w:val="16"/>
                <w:lang w:eastAsia="cs-CZ"/>
              </w:rPr>
            </w:pPr>
            <w:r w:rsidRPr="00B02CD8">
              <w:rPr>
                <w:rFonts w:ascii="Calibri" w:eastAsia="Times New Roman" w:hAnsi="Calibri" w:cs="Calibri"/>
                <w:b/>
                <w:bCs/>
                <w:color w:val="000000"/>
                <w:sz w:val="16"/>
                <w:szCs w:val="16"/>
                <w:lang w:eastAsia="cs-CZ"/>
              </w:rPr>
              <w:t>2025</w:t>
            </w:r>
          </w:p>
        </w:tc>
        <w:tc>
          <w:tcPr>
            <w:tcW w:w="361" w:type="pct"/>
            <w:tcBorders>
              <w:top w:val="nil"/>
              <w:left w:val="nil"/>
              <w:bottom w:val="single" w:sz="4" w:space="0" w:color="auto"/>
              <w:right w:val="nil"/>
            </w:tcBorders>
            <w:shd w:val="clear" w:color="000000" w:fill="D9E1F2"/>
            <w:noWrap/>
            <w:vAlign w:val="center"/>
            <w:hideMark/>
          </w:tcPr>
          <w:p w14:paraId="06782003" w14:textId="77777777" w:rsidR="001D3A52" w:rsidRPr="00B02CD8" w:rsidRDefault="001D3A52" w:rsidP="00172038">
            <w:pPr>
              <w:spacing w:after="0" w:line="240" w:lineRule="auto"/>
              <w:jc w:val="right"/>
              <w:rPr>
                <w:rFonts w:ascii="Calibri" w:eastAsia="Times New Roman" w:hAnsi="Calibri" w:cs="Calibri"/>
                <w:b/>
                <w:bCs/>
                <w:color w:val="000000"/>
                <w:sz w:val="16"/>
                <w:szCs w:val="16"/>
                <w:lang w:eastAsia="cs-CZ"/>
              </w:rPr>
            </w:pPr>
            <w:r w:rsidRPr="00B02CD8">
              <w:rPr>
                <w:rFonts w:ascii="Calibri" w:eastAsia="Times New Roman" w:hAnsi="Calibri" w:cs="Calibri"/>
                <w:b/>
                <w:bCs/>
                <w:color w:val="000000"/>
                <w:sz w:val="16"/>
                <w:szCs w:val="16"/>
                <w:lang w:eastAsia="cs-CZ"/>
              </w:rPr>
              <w:t>2026</w:t>
            </w:r>
          </w:p>
        </w:tc>
        <w:tc>
          <w:tcPr>
            <w:tcW w:w="429" w:type="pct"/>
            <w:tcBorders>
              <w:top w:val="nil"/>
              <w:left w:val="single" w:sz="4" w:space="0" w:color="auto"/>
              <w:bottom w:val="single" w:sz="4" w:space="0" w:color="auto"/>
              <w:right w:val="nil"/>
            </w:tcBorders>
            <w:shd w:val="clear" w:color="000000" w:fill="D9E1F2"/>
            <w:noWrap/>
            <w:vAlign w:val="center"/>
            <w:hideMark/>
          </w:tcPr>
          <w:p w14:paraId="4970C7FD" w14:textId="77777777" w:rsidR="001D3A52" w:rsidRPr="00B02CD8" w:rsidRDefault="001D3A52" w:rsidP="00172038">
            <w:pPr>
              <w:spacing w:after="0" w:line="240" w:lineRule="auto"/>
              <w:jc w:val="center"/>
              <w:rPr>
                <w:rFonts w:ascii="Calibri" w:eastAsia="Times New Roman" w:hAnsi="Calibri" w:cs="Calibri"/>
                <w:b/>
                <w:bCs/>
                <w:color w:val="000000"/>
                <w:sz w:val="16"/>
                <w:szCs w:val="16"/>
                <w:lang w:eastAsia="cs-CZ"/>
              </w:rPr>
            </w:pPr>
            <w:r w:rsidRPr="00B02CD8">
              <w:rPr>
                <w:rFonts w:ascii="Calibri" w:eastAsia="Times New Roman" w:hAnsi="Calibri" w:cs="Calibri"/>
                <w:b/>
                <w:bCs/>
                <w:color w:val="000000"/>
                <w:sz w:val="16"/>
                <w:szCs w:val="16"/>
                <w:lang w:eastAsia="cs-CZ"/>
              </w:rPr>
              <w:t>celkem</w:t>
            </w:r>
          </w:p>
        </w:tc>
      </w:tr>
      <w:tr w:rsidR="001D3A52" w:rsidRPr="00B02CD8" w14:paraId="756EAF42" w14:textId="77777777" w:rsidTr="00172038">
        <w:trPr>
          <w:trHeight w:val="300"/>
          <w:tblHeader/>
        </w:trPr>
        <w:tc>
          <w:tcPr>
            <w:tcW w:w="2041" w:type="pct"/>
            <w:tcBorders>
              <w:top w:val="nil"/>
              <w:left w:val="nil"/>
              <w:bottom w:val="nil"/>
              <w:right w:val="single" w:sz="4" w:space="0" w:color="auto"/>
            </w:tcBorders>
            <w:shd w:val="clear" w:color="auto" w:fill="auto"/>
            <w:noWrap/>
            <w:vAlign w:val="center"/>
            <w:hideMark/>
          </w:tcPr>
          <w:p w14:paraId="6C625DA4" w14:textId="47D35F7A" w:rsidR="001D3A52" w:rsidRPr="00B02CD8" w:rsidRDefault="001D3A52" w:rsidP="00172038">
            <w:pPr>
              <w:spacing w:after="0" w:line="240" w:lineRule="auto"/>
              <w:rPr>
                <w:rFonts w:ascii="Calibri" w:eastAsia="Times New Roman" w:hAnsi="Calibri" w:cs="Calibri"/>
                <w:b/>
                <w:bCs/>
                <w:color w:val="000000"/>
                <w:sz w:val="16"/>
                <w:szCs w:val="16"/>
                <w:lang w:eastAsia="cs-CZ"/>
              </w:rPr>
            </w:pPr>
            <w:r w:rsidRPr="00B02CD8">
              <w:rPr>
                <w:rFonts w:ascii="Calibri" w:eastAsia="Times New Roman" w:hAnsi="Calibri" w:cs="Calibri"/>
                <w:b/>
                <w:bCs/>
                <w:color w:val="000000"/>
                <w:sz w:val="16"/>
                <w:szCs w:val="16"/>
                <w:lang w:eastAsia="cs-CZ"/>
              </w:rPr>
              <w:t>5. PILÍŘ: VÝZKUM, VÝVOJ A</w:t>
            </w:r>
            <w:r w:rsidR="0003053E">
              <w:rPr>
                <w:rFonts w:ascii="Calibri" w:eastAsia="Times New Roman" w:hAnsi="Calibri" w:cs="Calibri"/>
                <w:b/>
                <w:bCs/>
                <w:color w:val="000000"/>
                <w:sz w:val="16"/>
                <w:szCs w:val="16"/>
                <w:lang w:eastAsia="cs-CZ"/>
              </w:rPr>
              <w:t> </w:t>
            </w:r>
            <w:r w:rsidRPr="00B02CD8">
              <w:rPr>
                <w:rFonts w:ascii="Calibri" w:eastAsia="Times New Roman" w:hAnsi="Calibri" w:cs="Calibri"/>
                <w:b/>
                <w:bCs/>
                <w:color w:val="000000"/>
                <w:sz w:val="16"/>
                <w:szCs w:val="16"/>
                <w:lang w:eastAsia="cs-CZ"/>
              </w:rPr>
              <w:t>INOVACE</w:t>
            </w:r>
          </w:p>
        </w:tc>
        <w:tc>
          <w:tcPr>
            <w:tcW w:w="361" w:type="pct"/>
            <w:tcBorders>
              <w:top w:val="nil"/>
              <w:left w:val="nil"/>
              <w:bottom w:val="nil"/>
              <w:right w:val="nil"/>
            </w:tcBorders>
            <w:shd w:val="clear" w:color="auto" w:fill="auto"/>
            <w:noWrap/>
            <w:vAlign w:val="center"/>
            <w:hideMark/>
          </w:tcPr>
          <w:p w14:paraId="14AF584A" w14:textId="77777777" w:rsidR="001D3A52" w:rsidRPr="00B02CD8" w:rsidRDefault="001D3A52" w:rsidP="00172038">
            <w:pPr>
              <w:spacing w:after="0" w:line="240" w:lineRule="auto"/>
              <w:jc w:val="right"/>
              <w:rPr>
                <w:rFonts w:ascii="Calibri" w:eastAsia="Times New Roman" w:hAnsi="Calibri" w:cs="Calibri"/>
                <w:b/>
                <w:bCs/>
                <w:color w:val="000000"/>
                <w:sz w:val="16"/>
                <w:szCs w:val="16"/>
                <w:lang w:eastAsia="cs-CZ"/>
              </w:rPr>
            </w:pPr>
            <w:r w:rsidRPr="00B02CD8">
              <w:rPr>
                <w:rFonts w:ascii="Calibri" w:eastAsia="Times New Roman" w:hAnsi="Calibri" w:cs="Calibri"/>
                <w:b/>
                <w:bCs/>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25DABE2A" w14:textId="77777777" w:rsidR="001D3A52" w:rsidRPr="00B02CD8" w:rsidRDefault="001D3A52" w:rsidP="00172038">
            <w:pPr>
              <w:spacing w:after="0" w:line="240" w:lineRule="auto"/>
              <w:jc w:val="right"/>
              <w:rPr>
                <w:rFonts w:ascii="Calibri" w:eastAsia="Times New Roman" w:hAnsi="Calibri" w:cs="Calibri"/>
                <w:b/>
                <w:bCs/>
                <w:color w:val="000000"/>
                <w:sz w:val="16"/>
                <w:szCs w:val="16"/>
                <w:lang w:eastAsia="cs-CZ"/>
              </w:rPr>
            </w:pPr>
            <w:r w:rsidRPr="00B02CD8">
              <w:rPr>
                <w:rFonts w:ascii="Calibri" w:eastAsia="Times New Roman" w:hAnsi="Calibri" w:cs="Calibri"/>
                <w:b/>
                <w:bCs/>
                <w:color w:val="000000"/>
                <w:sz w:val="16"/>
                <w:szCs w:val="16"/>
                <w:lang w:eastAsia="cs-CZ"/>
              </w:rPr>
              <w:t>110,00</w:t>
            </w:r>
          </w:p>
        </w:tc>
        <w:tc>
          <w:tcPr>
            <w:tcW w:w="361" w:type="pct"/>
            <w:tcBorders>
              <w:top w:val="nil"/>
              <w:left w:val="nil"/>
              <w:bottom w:val="nil"/>
              <w:right w:val="nil"/>
            </w:tcBorders>
            <w:shd w:val="clear" w:color="auto" w:fill="auto"/>
            <w:noWrap/>
            <w:vAlign w:val="center"/>
            <w:hideMark/>
          </w:tcPr>
          <w:p w14:paraId="53BE1C56" w14:textId="77777777" w:rsidR="001D3A52" w:rsidRPr="00B02CD8" w:rsidRDefault="001D3A52" w:rsidP="00172038">
            <w:pPr>
              <w:spacing w:after="0" w:line="240" w:lineRule="auto"/>
              <w:jc w:val="right"/>
              <w:rPr>
                <w:rFonts w:ascii="Calibri" w:eastAsia="Times New Roman" w:hAnsi="Calibri" w:cs="Calibri"/>
                <w:b/>
                <w:bCs/>
                <w:color w:val="000000"/>
                <w:sz w:val="16"/>
                <w:szCs w:val="16"/>
                <w:lang w:eastAsia="cs-CZ"/>
              </w:rPr>
            </w:pPr>
            <w:r w:rsidRPr="00B02CD8">
              <w:rPr>
                <w:rFonts w:ascii="Calibri" w:eastAsia="Times New Roman" w:hAnsi="Calibri" w:cs="Calibri"/>
                <w:b/>
                <w:bCs/>
                <w:color w:val="000000"/>
                <w:sz w:val="16"/>
                <w:szCs w:val="16"/>
                <w:lang w:eastAsia="cs-CZ"/>
              </w:rPr>
              <w:t>1 818,00</w:t>
            </w:r>
          </w:p>
        </w:tc>
        <w:tc>
          <w:tcPr>
            <w:tcW w:w="361" w:type="pct"/>
            <w:tcBorders>
              <w:top w:val="nil"/>
              <w:left w:val="nil"/>
              <w:bottom w:val="nil"/>
              <w:right w:val="nil"/>
            </w:tcBorders>
            <w:shd w:val="clear" w:color="auto" w:fill="auto"/>
            <w:noWrap/>
            <w:vAlign w:val="center"/>
            <w:hideMark/>
          </w:tcPr>
          <w:p w14:paraId="3F51E93B" w14:textId="77777777" w:rsidR="001D3A52" w:rsidRPr="00B02CD8" w:rsidRDefault="001D3A52" w:rsidP="00172038">
            <w:pPr>
              <w:spacing w:after="0" w:line="240" w:lineRule="auto"/>
              <w:jc w:val="right"/>
              <w:rPr>
                <w:rFonts w:ascii="Calibri" w:eastAsia="Times New Roman" w:hAnsi="Calibri" w:cs="Calibri"/>
                <w:b/>
                <w:bCs/>
                <w:color w:val="000000"/>
                <w:sz w:val="16"/>
                <w:szCs w:val="16"/>
                <w:lang w:eastAsia="cs-CZ"/>
              </w:rPr>
            </w:pPr>
            <w:r w:rsidRPr="00B02CD8">
              <w:rPr>
                <w:rFonts w:ascii="Calibri" w:eastAsia="Times New Roman" w:hAnsi="Calibri" w:cs="Calibri"/>
                <w:b/>
                <w:bCs/>
                <w:color w:val="000000"/>
                <w:sz w:val="16"/>
                <w:szCs w:val="16"/>
                <w:lang w:eastAsia="cs-CZ"/>
              </w:rPr>
              <w:t>2 148,00</w:t>
            </w:r>
          </w:p>
        </w:tc>
        <w:tc>
          <w:tcPr>
            <w:tcW w:w="361" w:type="pct"/>
            <w:tcBorders>
              <w:top w:val="nil"/>
              <w:left w:val="nil"/>
              <w:bottom w:val="nil"/>
              <w:right w:val="nil"/>
            </w:tcBorders>
            <w:shd w:val="clear" w:color="auto" w:fill="auto"/>
            <w:noWrap/>
            <w:vAlign w:val="center"/>
            <w:hideMark/>
          </w:tcPr>
          <w:p w14:paraId="446D5C0B" w14:textId="77777777" w:rsidR="001D3A52" w:rsidRPr="00B02CD8" w:rsidRDefault="001D3A52" w:rsidP="00172038">
            <w:pPr>
              <w:spacing w:after="0" w:line="240" w:lineRule="auto"/>
              <w:jc w:val="right"/>
              <w:rPr>
                <w:rFonts w:ascii="Calibri" w:eastAsia="Times New Roman" w:hAnsi="Calibri" w:cs="Calibri"/>
                <w:b/>
                <w:bCs/>
                <w:color w:val="000000"/>
                <w:sz w:val="16"/>
                <w:szCs w:val="16"/>
                <w:lang w:eastAsia="cs-CZ"/>
              </w:rPr>
            </w:pPr>
            <w:r w:rsidRPr="00B02CD8">
              <w:rPr>
                <w:rFonts w:ascii="Calibri" w:eastAsia="Times New Roman" w:hAnsi="Calibri" w:cs="Calibri"/>
                <w:b/>
                <w:bCs/>
                <w:color w:val="000000"/>
                <w:sz w:val="16"/>
                <w:szCs w:val="16"/>
                <w:lang w:eastAsia="cs-CZ"/>
              </w:rPr>
              <w:t>2 594,00</w:t>
            </w:r>
          </w:p>
        </w:tc>
        <w:tc>
          <w:tcPr>
            <w:tcW w:w="361" w:type="pct"/>
            <w:tcBorders>
              <w:top w:val="nil"/>
              <w:left w:val="nil"/>
              <w:bottom w:val="nil"/>
              <w:right w:val="nil"/>
            </w:tcBorders>
            <w:shd w:val="clear" w:color="auto" w:fill="auto"/>
            <w:noWrap/>
            <w:vAlign w:val="center"/>
            <w:hideMark/>
          </w:tcPr>
          <w:p w14:paraId="3270E325" w14:textId="77777777" w:rsidR="001D3A52" w:rsidRPr="00B02CD8" w:rsidRDefault="001D3A52" w:rsidP="00172038">
            <w:pPr>
              <w:spacing w:after="0" w:line="240" w:lineRule="auto"/>
              <w:jc w:val="right"/>
              <w:rPr>
                <w:rFonts w:ascii="Calibri" w:eastAsia="Times New Roman" w:hAnsi="Calibri" w:cs="Calibri"/>
                <w:b/>
                <w:bCs/>
                <w:color w:val="000000"/>
                <w:sz w:val="16"/>
                <w:szCs w:val="16"/>
                <w:lang w:eastAsia="cs-CZ"/>
              </w:rPr>
            </w:pPr>
            <w:r w:rsidRPr="00B02CD8">
              <w:rPr>
                <w:rFonts w:ascii="Calibri" w:eastAsia="Times New Roman" w:hAnsi="Calibri" w:cs="Calibri"/>
                <w:b/>
                <w:bCs/>
                <w:color w:val="000000"/>
                <w:sz w:val="16"/>
                <w:szCs w:val="16"/>
                <w:lang w:eastAsia="cs-CZ"/>
              </w:rPr>
              <w:t>2 220,00</w:t>
            </w:r>
          </w:p>
        </w:tc>
        <w:tc>
          <w:tcPr>
            <w:tcW w:w="361" w:type="pct"/>
            <w:tcBorders>
              <w:top w:val="nil"/>
              <w:left w:val="nil"/>
              <w:bottom w:val="nil"/>
              <w:right w:val="nil"/>
            </w:tcBorders>
            <w:shd w:val="clear" w:color="auto" w:fill="auto"/>
            <w:noWrap/>
            <w:vAlign w:val="center"/>
            <w:hideMark/>
          </w:tcPr>
          <w:p w14:paraId="2FC6D16B" w14:textId="77777777" w:rsidR="001D3A52" w:rsidRPr="00B02CD8" w:rsidRDefault="001D3A52" w:rsidP="00172038">
            <w:pPr>
              <w:spacing w:after="0" w:line="240" w:lineRule="auto"/>
              <w:jc w:val="right"/>
              <w:rPr>
                <w:rFonts w:ascii="Calibri" w:eastAsia="Times New Roman" w:hAnsi="Calibri" w:cs="Calibri"/>
                <w:b/>
                <w:bCs/>
                <w:color w:val="000000"/>
                <w:sz w:val="16"/>
                <w:szCs w:val="16"/>
                <w:lang w:eastAsia="cs-CZ"/>
              </w:rPr>
            </w:pPr>
            <w:r w:rsidRPr="00B02CD8">
              <w:rPr>
                <w:rFonts w:ascii="Calibri" w:eastAsia="Times New Roman" w:hAnsi="Calibri" w:cs="Calibri"/>
                <w:b/>
                <w:bCs/>
                <w:color w:val="000000"/>
                <w:sz w:val="16"/>
                <w:szCs w:val="16"/>
                <w:lang w:eastAsia="cs-CZ"/>
              </w:rPr>
              <w:t>1 205,00</w:t>
            </w:r>
          </w:p>
        </w:tc>
        <w:tc>
          <w:tcPr>
            <w:tcW w:w="429" w:type="pct"/>
            <w:tcBorders>
              <w:top w:val="nil"/>
              <w:left w:val="single" w:sz="4" w:space="0" w:color="auto"/>
              <w:bottom w:val="nil"/>
              <w:right w:val="nil"/>
            </w:tcBorders>
            <w:shd w:val="clear" w:color="auto" w:fill="auto"/>
            <w:noWrap/>
            <w:vAlign w:val="center"/>
            <w:hideMark/>
          </w:tcPr>
          <w:p w14:paraId="795CBA94" w14:textId="77777777" w:rsidR="001D3A52" w:rsidRPr="00B02CD8" w:rsidRDefault="001D3A52" w:rsidP="00172038">
            <w:pPr>
              <w:spacing w:after="0" w:line="240" w:lineRule="auto"/>
              <w:jc w:val="right"/>
              <w:rPr>
                <w:rFonts w:ascii="Calibri" w:eastAsia="Times New Roman" w:hAnsi="Calibri" w:cs="Calibri"/>
                <w:b/>
                <w:bCs/>
                <w:color w:val="000000"/>
                <w:sz w:val="16"/>
                <w:szCs w:val="16"/>
                <w:lang w:eastAsia="cs-CZ"/>
              </w:rPr>
            </w:pPr>
            <w:r w:rsidRPr="00B02CD8">
              <w:rPr>
                <w:rFonts w:ascii="Calibri" w:eastAsia="Times New Roman" w:hAnsi="Calibri" w:cs="Calibri"/>
                <w:b/>
                <w:bCs/>
                <w:color w:val="000000"/>
                <w:sz w:val="16"/>
                <w:szCs w:val="16"/>
                <w:lang w:eastAsia="cs-CZ"/>
              </w:rPr>
              <w:t>10 095,00</w:t>
            </w:r>
          </w:p>
        </w:tc>
      </w:tr>
      <w:tr w:rsidR="001D3A52" w:rsidRPr="00B02CD8" w14:paraId="5D2ACCFB" w14:textId="77777777" w:rsidTr="00172038">
        <w:trPr>
          <w:trHeight w:val="300"/>
          <w:tblHeader/>
        </w:trPr>
        <w:tc>
          <w:tcPr>
            <w:tcW w:w="2041" w:type="pct"/>
            <w:tcBorders>
              <w:top w:val="nil"/>
              <w:left w:val="nil"/>
              <w:bottom w:val="nil"/>
              <w:right w:val="single" w:sz="4" w:space="0" w:color="auto"/>
            </w:tcBorders>
            <w:shd w:val="clear" w:color="auto" w:fill="auto"/>
            <w:noWrap/>
            <w:vAlign w:val="center"/>
            <w:hideMark/>
          </w:tcPr>
          <w:p w14:paraId="32465B9B" w14:textId="66B7F0E0" w:rsidR="001D3A52" w:rsidRPr="00B02CD8" w:rsidRDefault="001D3A52" w:rsidP="00172038">
            <w:pPr>
              <w:spacing w:after="0" w:line="240" w:lineRule="auto"/>
              <w:rPr>
                <w:rFonts w:ascii="Calibri" w:eastAsia="Times New Roman" w:hAnsi="Calibri" w:cs="Calibri"/>
                <w:color w:val="000000"/>
                <w:sz w:val="16"/>
                <w:szCs w:val="16"/>
                <w:lang w:eastAsia="cs-CZ"/>
              </w:rPr>
            </w:pPr>
            <w:r w:rsidRPr="00B02CD8">
              <w:rPr>
                <w:rFonts w:ascii="Calibri" w:eastAsia="Times New Roman" w:hAnsi="Calibri" w:cs="Calibri"/>
                <w:color w:val="000000"/>
                <w:sz w:val="16"/>
                <w:szCs w:val="16"/>
                <w:lang w:eastAsia="cs-CZ"/>
              </w:rPr>
              <w:t>5.1 Excelentní výzkum a</w:t>
            </w:r>
            <w:r w:rsidR="0003053E">
              <w:rPr>
                <w:rFonts w:ascii="Calibri" w:eastAsia="Times New Roman" w:hAnsi="Calibri" w:cs="Calibri"/>
                <w:color w:val="000000"/>
                <w:sz w:val="16"/>
                <w:szCs w:val="16"/>
                <w:lang w:eastAsia="cs-CZ"/>
              </w:rPr>
              <w:t> </w:t>
            </w:r>
            <w:r w:rsidRPr="00B02CD8">
              <w:rPr>
                <w:rFonts w:ascii="Calibri" w:eastAsia="Times New Roman" w:hAnsi="Calibri" w:cs="Calibri"/>
                <w:color w:val="000000"/>
                <w:sz w:val="16"/>
                <w:szCs w:val="16"/>
                <w:lang w:eastAsia="cs-CZ"/>
              </w:rPr>
              <w:t>vývoj ve zdravotnictví</w:t>
            </w:r>
          </w:p>
        </w:tc>
        <w:tc>
          <w:tcPr>
            <w:tcW w:w="361" w:type="pct"/>
            <w:tcBorders>
              <w:top w:val="nil"/>
              <w:left w:val="nil"/>
              <w:bottom w:val="nil"/>
              <w:right w:val="nil"/>
            </w:tcBorders>
            <w:shd w:val="clear" w:color="auto" w:fill="auto"/>
            <w:noWrap/>
            <w:vAlign w:val="center"/>
            <w:hideMark/>
          </w:tcPr>
          <w:p w14:paraId="5035210D" w14:textId="77777777" w:rsidR="001D3A52" w:rsidRPr="00B02CD8" w:rsidRDefault="001D3A52" w:rsidP="00172038">
            <w:pPr>
              <w:spacing w:after="0" w:line="240" w:lineRule="auto"/>
              <w:jc w:val="right"/>
              <w:rPr>
                <w:rFonts w:ascii="Calibri" w:eastAsia="Times New Roman" w:hAnsi="Calibri" w:cs="Calibri"/>
                <w:color w:val="000000"/>
                <w:sz w:val="16"/>
                <w:szCs w:val="16"/>
                <w:lang w:eastAsia="cs-CZ"/>
              </w:rPr>
            </w:pPr>
            <w:r w:rsidRPr="00B02CD8">
              <w:rPr>
                <w:rFonts w:ascii="Calibri" w:eastAsia="Times New Roman" w:hAnsi="Calibri" w:cs="Calibr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2141BE1A" w14:textId="77777777" w:rsidR="001D3A52" w:rsidRPr="00B02CD8" w:rsidRDefault="001D3A52" w:rsidP="00172038">
            <w:pPr>
              <w:spacing w:after="0" w:line="240" w:lineRule="auto"/>
              <w:jc w:val="right"/>
              <w:rPr>
                <w:rFonts w:ascii="Calibri" w:eastAsia="Times New Roman" w:hAnsi="Calibri" w:cs="Calibri"/>
                <w:color w:val="000000"/>
                <w:sz w:val="16"/>
                <w:szCs w:val="16"/>
                <w:lang w:eastAsia="cs-CZ"/>
              </w:rPr>
            </w:pPr>
            <w:r w:rsidRPr="00B02CD8">
              <w:rPr>
                <w:rFonts w:ascii="Calibri" w:eastAsia="Times New Roman" w:hAnsi="Calibri" w:cs="Calibr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72269EC5" w14:textId="77777777" w:rsidR="001D3A52" w:rsidRPr="00B02CD8" w:rsidRDefault="001D3A52" w:rsidP="00172038">
            <w:pPr>
              <w:spacing w:after="0" w:line="240" w:lineRule="auto"/>
              <w:jc w:val="right"/>
              <w:rPr>
                <w:rFonts w:ascii="Calibri" w:eastAsia="Times New Roman" w:hAnsi="Calibri" w:cs="Calibri"/>
                <w:color w:val="000000"/>
                <w:sz w:val="16"/>
                <w:szCs w:val="16"/>
                <w:lang w:eastAsia="cs-CZ"/>
              </w:rPr>
            </w:pPr>
            <w:r w:rsidRPr="00B02CD8">
              <w:rPr>
                <w:rFonts w:ascii="Calibri" w:eastAsia="Times New Roman" w:hAnsi="Calibri" w:cs="Calibri"/>
                <w:color w:val="000000"/>
                <w:sz w:val="16"/>
                <w:szCs w:val="16"/>
                <w:lang w:eastAsia="cs-CZ"/>
              </w:rPr>
              <w:t>1 000,00</w:t>
            </w:r>
          </w:p>
        </w:tc>
        <w:tc>
          <w:tcPr>
            <w:tcW w:w="361" w:type="pct"/>
            <w:tcBorders>
              <w:top w:val="nil"/>
              <w:left w:val="nil"/>
              <w:bottom w:val="nil"/>
              <w:right w:val="nil"/>
            </w:tcBorders>
            <w:shd w:val="clear" w:color="auto" w:fill="auto"/>
            <w:noWrap/>
            <w:vAlign w:val="center"/>
            <w:hideMark/>
          </w:tcPr>
          <w:p w14:paraId="4EA5D5AA" w14:textId="77777777" w:rsidR="001D3A52" w:rsidRPr="00B02CD8" w:rsidRDefault="001D3A52" w:rsidP="00172038">
            <w:pPr>
              <w:spacing w:after="0" w:line="240" w:lineRule="auto"/>
              <w:jc w:val="right"/>
              <w:rPr>
                <w:rFonts w:ascii="Calibri" w:eastAsia="Times New Roman" w:hAnsi="Calibri" w:cs="Calibri"/>
                <w:color w:val="000000"/>
                <w:sz w:val="16"/>
                <w:szCs w:val="16"/>
                <w:lang w:eastAsia="cs-CZ"/>
              </w:rPr>
            </w:pPr>
            <w:r w:rsidRPr="00B02CD8">
              <w:rPr>
                <w:rFonts w:ascii="Calibri" w:eastAsia="Times New Roman" w:hAnsi="Calibri" w:cs="Calibri"/>
                <w:color w:val="000000"/>
                <w:sz w:val="16"/>
                <w:szCs w:val="16"/>
                <w:lang w:eastAsia="cs-CZ"/>
              </w:rPr>
              <w:t>1 250,00</w:t>
            </w:r>
          </w:p>
        </w:tc>
        <w:tc>
          <w:tcPr>
            <w:tcW w:w="361" w:type="pct"/>
            <w:tcBorders>
              <w:top w:val="nil"/>
              <w:left w:val="nil"/>
              <w:bottom w:val="nil"/>
              <w:right w:val="nil"/>
            </w:tcBorders>
            <w:shd w:val="clear" w:color="auto" w:fill="auto"/>
            <w:noWrap/>
            <w:vAlign w:val="center"/>
            <w:hideMark/>
          </w:tcPr>
          <w:p w14:paraId="4B02BC64" w14:textId="77777777" w:rsidR="001D3A52" w:rsidRPr="00B02CD8" w:rsidRDefault="001D3A52" w:rsidP="00172038">
            <w:pPr>
              <w:spacing w:after="0" w:line="240" w:lineRule="auto"/>
              <w:jc w:val="right"/>
              <w:rPr>
                <w:rFonts w:ascii="Calibri" w:eastAsia="Times New Roman" w:hAnsi="Calibri" w:cs="Calibri"/>
                <w:color w:val="000000"/>
                <w:sz w:val="16"/>
                <w:szCs w:val="16"/>
                <w:lang w:eastAsia="cs-CZ"/>
              </w:rPr>
            </w:pPr>
            <w:r w:rsidRPr="00B02CD8">
              <w:rPr>
                <w:rFonts w:ascii="Calibri" w:eastAsia="Times New Roman" w:hAnsi="Calibri" w:cs="Calibri"/>
                <w:color w:val="000000"/>
                <w:sz w:val="16"/>
                <w:szCs w:val="16"/>
                <w:lang w:eastAsia="cs-CZ"/>
              </w:rPr>
              <w:t>1 100,00</w:t>
            </w:r>
          </w:p>
        </w:tc>
        <w:tc>
          <w:tcPr>
            <w:tcW w:w="361" w:type="pct"/>
            <w:tcBorders>
              <w:top w:val="nil"/>
              <w:left w:val="nil"/>
              <w:bottom w:val="nil"/>
              <w:right w:val="nil"/>
            </w:tcBorders>
            <w:shd w:val="clear" w:color="auto" w:fill="auto"/>
            <w:noWrap/>
            <w:vAlign w:val="center"/>
            <w:hideMark/>
          </w:tcPr>
          <w:p w14:paraId="430215CE" w14:textId="77777777" w:rsidR="001D3A52" w:rsidRPr="00B02CD8" w:rsidRDefault="001D3A52" w:rsidP="00172038">
            <w:pPr>
              <w:spacing w:after="0" w:line="240" w:lineRule="auto"/>
              <w:jc w:val="right"/>
              <w:rPr>
                <w:rFonts w:ascii="Calibri" w:eastAsia="Times New Roman" w:hAnsi="Calibri" w:cs="Calibri"/>
                <w:color w:val="000000"/>
                <w:sz w:val="16"/>
                <w:szCs w:val="16"/>
                <w:lang w:eastAsia="cs-CZ"/>
              </w:rPr>
            </w:pPr>
            <w:r w:rsidRPr="00B02CD8">
              <w:rPr>
                <w:rFonts w:ascii="Calibri" w:eastAsia="Times New Roman" w:hAnsi="Calibri" w:cs="Calibri"/>
                <w:color w:val="000000"/>
                <w:sz w:val="16"/>
                <w:szCs w:val="16"/>
                <w:lang w:eastAsia="cs-CZ"/>
              </w:rPr>
              <w:t>900,00</w:t>
            </w:r>
          </w:p>
        </w:tc>
        <w:tc>
          <w:tcPr>
            <w:tcW w:w="361" w:type="pct"/>
            <w:tcBorders>
              <w:top w:val="nil"/>
              <w:left w:val="nil"/>
              <w:bottom w:val="nil"/>
              <w:right w:val="nil"/>
            </w:tcBorders>
            <w:shd w:val="clear" w:color="auto" w:fill="auto"/>
            <w:noWrap/>
            <w:vAlign w:val="center"/>
            <w:hideMark/>
          </w:tcPr>
          <w:p w14:paraId="420B52A2" w14:textId="77777777" w:rsidR="001D3A52" w:rsidRPr="00B02CD8" w:rsidRDefault="001D3A52" w:rsidP="00172038">
            <w:pPr>
              <w:spacing w:after="0" w:line="240" w:lineRule="auto"/>
              <w:jc w:val="right"/>
              <w:rPr>
                <w:rFonts w:ascii="Calibri" w:eastAsia="Times New Roman" w:hAnsi="Calibri" w:cs="Calibri"/>
                <w:color w:val="000000"/>
                <w:sz w:val="16"/>
                <w:szCs w:val="16"/>
                <w:lang w:eastAsia="cs-CZ"/>
              </w:rPr>
            </w:pPr>
            <w:r w:rsidRPr="00B02CD8">
              <w:rPr>
                <w:rFonts w:ascii="Calibri" w:eastAsia="Times New Roman" w:hAnsi="Calibri" w:cs="Calibri"/>
                <w:color w:val="000000"/>
                <w:sz w:val="16"/>
                <w:szCs w:val="16"/>
                <w:lang w:eastAsia="cs-CZ"/>
              </w:rPr>
              <w:t>750,00</w:t>
            </w:r>
          </w:p>
        </w:tc>
        <w:tc>
          <w:tcPr>
            <w:tcW w:w="429" w:type="pct"/>
            <w:tcBorders>
              <w:top w:val="nil"/>
              <w:left w:val="single" w:sz="4" w:space="0" w:color="auto"/>
              <w:bottom w:val="nil"/>
              <w:right w:val="nil"/>
            </w:tcBorders>
            <w:shd w:val="clear" w:color="auto" w:fill="auto"/>
            <w:noWrap/>
            <w:vAlign w:val="center"/>
            <w:hideMark/>
          </w:tcPr>
          <w:p w14:paraId="476DDFAD" w14:textId="77777777" w:rsidR="001D3A52" w:rsidRPr="00B02CD8" w:rsidRDefault="001D3A52" w:rsidP="00172038">
            <w:pPr>
              <w:spacing w:after="0" w:line="240" w:lineRule="auto"/>
              <w:jc w:val="right"/>
              <w:rPr>
                <w:rFonts w:ascii="Calibri" w:eastAsia="Times New Roman" w:hAnsi="Calibri" w:cs="Calibri"/>
                <w:b/>
                <w:bCs/>
                <w:color w:val="000000"/>
                <w:sz w:val="16"/>
                <w:szCs w:val="16"/>
                <w:lang w:eastAsia="cs-CZ"/>
              </w:rPr>
            </w:pPr>
            <w:r w:rsidRPr="00B02CD8">
              <w:rPr>
                <w:rFonts w:ascii="Calibri" w:eastAsia="Times New Roman" w:hAnsi="Calibri" w:cs="Calibri"/>
                <w:b/>
                <w:bCs/>
                <w:color w:val="000000"/>
                <w:sz w:val="16"/>
                <w:szCs w:val="16"/>
                <w:lang w:eastAsia="cs-CZ"/>
              </w:rPr>
              <w:t>5 000,00</w:t>
            </w:r>
          </w:p>
        </w:tc>
      </w:tr>
      <w:tr w:rsidR="001D3A52" w:rsidRPr="00B02CD8" w14:paraId="7DF5604A" w14:textId="77777777" w:rsidTr="00172038">
        <w:trPr>
          <w:trHeight w:val="300"/>
          <w:tblHeader/>
        </w:trPr>
        <w:tc>
          <w:tcPr>
            <w:tcW w:w="2041" w:type="pct"/>
            <w:tcBorders>
              <w:top w:val="nil"/>
              <w:left w:val="nil"/>
              <w:bottom w:val="nil"/>
              <w:right w:val="single" w:sz="4" w:space="0" w:color="auto"/>
            </w:tcBorders>
            <w:shd w:val="clear" w:color="auto" w:fill="auto"/>
            <w:noWrap/>
            <w:vAlign w:val="center"/>
            <w:hideMark/>
          </w:tcPr>
          <w:p w14:paraId="4E06B0EB" w14:textId="363426B3" w:rsidR="001D3A52" w:rsidRPr="00B02CD8" w:rsidRDefault="001D3A52" w:rsidP="00172038">
            <w:pPr>
              <w:spacing w:after="0" w:line="240" w:lineRule="auto"/>
              <w:rPr>
                <w:rFonts w:ascii="Calibri" w:eastAsia="Times New Roman" w:hAnsi="Calibri" w:cs="Calibri"/>
                <w:color w:val="000000"/>
                <w:sz w:val="16"/>
                <w:szCs w:val="16"/>
                <w:lang w:eastAsia="cs-CZ"/>
              </w:rPr>
            </w:pPr>
            <w:r w:rsidRPr="00B02CD8">
              <w:rPr>
                <w:rFonts w:ascii="Calibri" w:eastAsia="Times New Roman" w:hAnsi="Calibri" w:cs="Calibri"/>
                <w:color w:val="000000"/>
                <w:sz w:val="16"/>
                <w:szCs w:val="16"/>
                <w:lang w:eastAsia="cs-CZ"/>
              </w:rPr>
              <w:t>5.2 Podpora výzkumu a</w:t>
            </w:r>
            <w:r w:rsidR="0003053E">
              <w:rPr>
                <w:rFonts w:ascii="Calibri" w:eastAsia="Times New Roman" w:hAnsi="Calibri" w:cs="Calibri"/>
                <w:color w:val="000000"/>
                <w:sz w:val="16"/>
                <w:szCs w:val="16"/>
                <w:lang w:eastAsia="cs-CZ"/>
              </w:rPr>
              <w:t> </w:t>
            </w:r>
            <w:r w:rsidRPr="00B02CD8">
              <w:rPr>
                <w:rFonts w:ascii="Calibri" w:eastAsia="Times New Roman" w:hAnsi="Calibri" w:cs="Calibri"/>
                <w:color w:val="000000"/>
                <w:sz w:val="16"/>
                <w:szCs w:val="16"/>
                <w:lang w:eastAsia="cs-CZ"/>
              </w:rPr>
              <w:t>vývoje v</w:t>
            </w:r>
            <w:r w:rsidR="0003053E">
              <w:rPr>
                <w:rFonts w:ascii="Calibri" w:eastAsia="Times New Roman" w:hAnsi="Calibri" w:cs="Calibri"/>
                <w:color w:val="000000"/>
                <w:sz w:val="16"/>
                <w:szCs w:val="16"/>
                <w:lang w:eastAsia="cs-CZ"/>
              </w:rPr>
              <w:t> </w:t>
            </w:r>
            <w:r w:rsidRPr="00B02CD8">
              <w:rPr>
                <w:rFonts w:ascii="Calibri" w:eastAsia="Times New Roman" w:hAnsi="Calibri" w:cs="Calibri"/>
                <w:color w:val="000000"/>
                <w:sz w:val="16"/>
                <w:szCs w:val="16"/>
                <w:lang w:eastAsia="cs-CZ"/>
              </w:rPr>
              <w:t>podnicích</w:t>
            </w:r>
          </w:p>
        </w:tc>
        <w:tc>
          <w:tcPr>
            <w:tcW w:w="361" w:type="pct"/>
            <w:tcBorders>
              <w:top w:val="nil"/>
              <w:left w:val="nil"/>
              <w:bottom w:val="nil"/>
              <w:right w:val="nil"/>
            </w:tcBorders>
            <w:shd w:val="clear" w:color="auto" w:fill="auto"/>
            <w:noWrap/>
            <w:vAlign w:val="center"/>
            <w:hideMark/>
          </w:tcPr>
          <w:p w14:paraId="71BE0B3F" w14:textId="77777777" w:rsidR="001D3A52" w:rsidRPr="00B02CD8" w:rsidRDefault="001D3A52" w:rsidP="00172038">
            <w:pPr>
              <w:spacing w:after="0" w:line="240" w:lineRule="auto"/>
              <w:jc w:val="right"/>
              <w:rPr>
                <w:rFonts w:ascii="Calibri" w:eastAsia="Times New Roman" w:hAnsi="Calibri" w:cs="Calibri"/>
                <w:color w:val="000000"/>
                <w:sz w:val="16"/>
                <w:szCs w:val="16"/>
                <w:lang w:eastAsia="cs-CZ"/>
              </w:rPr>
            </w:pPr>
            <w:r w:rsidRPr="00B02CD8">
              <w:rPr>
                <w:rFonts w:ascii="Calibri" w:eastAsia="Times New Roman" w:hAnsi="Calibri" w:cs="Calibr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22C274F6" w14:textId="77777777" w:rsidR="001D3A52" w:rsidRPr="00B02CD8" w:rsidRDefault="001D3A52" w:rsidP="00172038">
            <w:pPr>
              <w:spacing w:after="0" w:line="240" w:lineRule="auto"/>
              <w:jc w:val="right"/>
              <w:rPr>
                <w:rFonts w:ascii="Calibri" w:eastAsia="Times New Roman" w:hAnsi="Calibri" w:cs="Calibri"/>
                <w:color w:val="000000"/>
                <w:sz w:val="16"/>
                <w:szCs w:val="16"/>
                <w:lang w:eastAsia="cs-CZ"/>
              </w:rPr>
            </w:pPr>
            <w:r w:rsidRPr="00B02CD8">
              <w:rPr>
                <w:rFonts w:ascii="Calibri" w:eastAsia="Times New Roman" w:hAnsi="Calibri" w:cs="Calibri"/>
                <w:color w:val="000000"/>
                <w:sz w:val="16"/>
                <w:szCs w:val="16"/>
                <w:lang w:eastAsia="cs-CZ"/>
              </w:rPr>
              <w:t>110,00</w:t>
            </w:r>
          </w:p>
        </w:tc>
        <w:tc>
          <w:tcPr>
            <w:tcW w:w="361" w:type="pct"/>
            <w:tcBorders>
              <w:top w:val="nil"/>
              <w:left w:val="nil"/>
              <w:bottom w:val="nil"/>
              <w:right w:val="nil"/>
            </w:tcBorders>
            <w:shd w:val="clear" w:color="auto" w:fill="auto"/>
            <w:noWrap/>
            <w:vAlign w:val="center"/>
            <w:hideMark/>
          </w:tcPr>
          <w:p w14:paraId="190DCBA0" w14:textId="77777777" w:rsidR="001D3A52" w:rsidRPr="00B02CD8" w:rsidRDefault="001D3A52" w:rsidP="00172038">
            <w:pPr>
              <w:spacing w:after="0" w:line="240" w:lineRule="auto"/>
              <w:jc w:val="right"/>
              <w:rPr>
                <w:rFonts w:ascii="Calibri" w:eastAsia="Times New Roman" w:hAnsi="Calibri" w:cs="Calibri"/>
                <w:color w:val="000000"/>
                <w:sz w:val="16"/>
                <w:szCs w:val="16"/>
                <w:lang w:eastAsia="cs-CZ"/>
              </w:rPr>
            </w:pPr>
            <w:r w:rsidRPr="00B02CD8">
              <w:rPr>
                <w:rFonts w:ascii="Calibri" w:eastAsia="Times New Roman" w:hAnsi="Calibri" w:cs="Calibri"/>
                <w:color w:val="000000"/>
                <w:sz w:val="16"/>
                <w:szCs w:val="16"/>
                <w:lang w:eastAsia="cs-CZ"/>
              </w:rPr>
              <w:t>818,00</w:t>
            </w:r>
          </w:p>
        </w:tc>
        <w:tc>
          <w:tcPr>
            <w:tcW w:w="361" w:type="pct"/>
            <w:tcBorders>
              <w:top w:val="nil"/>
              <w:left w:val="nil"/>
              <w:bottom w:val="nil"/>
              <w:right w:val="nil"/>
            </w:tcBorders>
            <w:shd w:val="clear" w:color="auto" w:fill="auto"/>
            <w:noWrap/>
            <w:vAlign w:val="center"/>
            <w:hideMark/>
          </w:tcPr>
          <w:p w14:paraId="41496CD3" w14:textId="77777777" w:rsidR="001D3A52" w:rsidRPr="00B02CD8" w:rsidRDefault="001D3A52" w:rsidP="00172038">
            <w:pPr>
              <w:spacing w:after="0" w:line="240" w:lineRule="auto"/>
              <w:jc w:val="right"/>
              <w:rPr>
                <w:rFonts w:ascii="Calibri" w:eastAsia="Times New Roman" w:hAnsi="Calibri" w:cs="Calibri"/>
                <w:color w:val="000000"/>
                <w:sz w:val="16"/>
                <w:szCs w:val="16"/>
                <w:lang w:eastAsia="cs-CZ"/>
              </w:rPr>
            </w:pPr>
            <w:r w:rsidRPr="00B02CD8">
              <w:rPr>
                <w:rFonts w:ascii="Calibri" w:eastAsia="Times New Roman" w:hAnsi="Calibri" w:cs="Calibri"/>
                <w:color w:val="000000"/>
                <w:sz w:val="16"/>
                <w:szCs w:val="16"/>
                <w:lang w:eastAsia="cs-CZ"/>
              </w:rPr>
              <w:t>898,00</w:t>
            </w:r>
          </w:p>
        </w:tc>
        <w:tc>
          <w:tcPr>
            <w:tcW w:w="361" w:type="pct"/>
            <w:tcBorders>
              <w:top w:val="nil"/>
              <w:left w:val="nil"/>
              <w:bottom w:val="nil"/>
              <w:right w:val="nil"/>
            </w:tcBorders>
            <w:shd w:val="clear" w:color="auto" w:fill="auto"/>
            <w:noWrap/>
            <w:vAlign w:val="center"/>
            <w:hideMark/>
          </w:tcPr>
          <w:p w14:paraId="38E0C13B" w14:textId="77777777" w:rsidR="001D3A52" w:rsidRPr="00B02CD8" w:rsidRDefault="001D3A52" w:rsidP="00172038">
            <w:pPr>
              <w:spacing w:after="0" w:line="240" w:lineRule="auto"/>
              <w:jc w:val="right"/>
              <w:rPr>
                <w:rFonts w:ascii="Calibri" w:eastAsia="Times New Roman" w:hAnsi="Calibri" w:cs="Calibri"/>
                <w:color w:val="000000"/>
                <w:sz w:val="16"/>
                <w:szCs w:val="16"/>
                <w:lang w:eastAsia="cs-CZ"/>
              </w:rPr>
            </w:pPr>
            <w:r w:rsidRPr="00B02CD8">
              <w:rPr>
                <w:rFonts w:ascii="Calibri" w:eastAsia="Times New Roman" w:hAnsi="Calibri" w:cs="Calibri"/>
                <w:color w:val="000000"/>
                <w:sz w:val="16"/>
                <w:szCs w:val="16"/>
                <w:lang w:eastAsia="cs-CZ"/>
              </w:rPr>
              <w:t>1 494,00</w:t>
            </w:r>
          </w:p>
        </w:tc>
        <w:tc>
          <w:tcPr>
            <w:tcW w:w="361" w:type="pct"/>
            <w:tcBorders>
              <w:top w:val="nil"/>
              <w:left w:val="nil"/>
              <w:bottom w:val="nil"/>
              <w:right w:val="nil"/>
            </w:tcBorders>
            <w:shd w:val="clear" w:color="auto" w:fill="auto"/>
            <w:noWrap/>
            <w:vAlign w:val="center"/>
            <w:hideMark/>
          </w:tcPr>
          <w:p w14:paraId="2161C176" w14:textId="77777777" w:rsidR="001D3A52" w:rsidRPr="00B02CD8" w:rsidRDefault="001D3A52" w:rsidP="00172038">
            <w:pPr>
              <w:spacing w:after="0" w:line="240" w:lineRule="auto"/>
              <w:jc w:val="right"/>
              <w:rPr>
                <w:rFonts w:ascii="Calibri" w:eastAsia="Times New Roman" w:hAnsi="Calibri" w:cs="Calibri"/>
                <w:color w:val="000000"/>
                <w:sz w:val="16"/>
                <w:szCs w:val="16"/>
                <w:lang w:eastAsia="cs-CZ"/>
              </w:rPr>
            </w:pPr>
            <w:r w:rsidRPr="00B02CD8">
              <w:rPr>
                <w:rFonts w:ascii="Calibri" w:eastAsia="Times New Roman" w:hAnsi="Calibri" w:cs="Calibri"/>
                <w:color w:val="000000"/>
                <w:sz w:val="16"/>
                <w:szCs w:val="16"/>
                <w:lang w:eastAsia="cs-CZ"/>
              </w:rPr>
              <w:t>1 320,00</w:t>
            </w:r>
          </w:p>
        </w:tc>
        <w:tc>
          <w:tcPr>
            <w:tcW w:w="361" w:type="pct"/>
            <w:tcBorders>
              <w:top w:val="nil"/>
              <w:left w:val="nil"/>
              <w:bottom w:val="nil"/>
              <w:right w:val="nil"/>
            </w:tcBorders>
            <w:shd w:val="clear" w:color="auto" w:fill="auto"/>
            <w:noWrap/>
            <w:vAlign w:val="center"/>
            <w:hideMark/>
          </w:tcPr>
          <w:p w14:paraId="3E479B37" w14:textId="77777777" w:rsidR="001D3A52" w:rsidRPr="00B02CD8" w:rsidRDefault="001D3A52" w:rsidP="00172038">
            <w:pPr>
              <w:spacing w:after="0" w:line="240" w:lineRule="auto"/>
              <w:jc w:val="right"/>
              <w:rPr>
                <w:rFonts w:ascii="Calibri" w:eastAsia="Times New Roman" w:hAnsi="Calibri" w:cs="Calibri"/>
                <w:color w:val="000000"/>
                <w:sz w:val="16"/>
                <w:szCs w:val="16"/>
                <w:lang w:eastAsia="cs-CZ"/>
              </w:rPr>
            </w:pPr>
            <w:r w:rsidRPr="00B02CD8">
              <w:rPr>
                <w:rFonts w:ascii="Calibri" w:eastAsia="Times New Roman" w:hAnsi="Calibri" w:cs="Calibri"/>
                <w:color w:val="000000"/>
                <w:sz w:val="16"/>
                <w:szCs w:val="16"/>
                <w:lang w:eastAsia="cs-CZ"/>
              </w:rPr>
              <w:t>455,00</w:t>
            </w:r>
          </w:p>
        </w:tc>
        <w:tc>
          <w:tcPr>
            <w:tcW w:w="429" w:type="pct"/>
            <w:tcBorders>
              <w:top w:val="nil"/>
              <w:left w:val="single" w:sz="4" w:space="0" w:color="auto"/>
              <w:bottom w:val="nil"/>
              <w:right w:val="nil"/>
            </w:tcBorders>
            <w:shd w:val="clear" w:color="auto" w:fill="auto"/>
            <w:noWrap/>
            <w:vAlign w:val="center"/>
            <w:hideMark/>
          </w:tcPr>
          <w:p w14:paraId="5C1A7488" w14:textId="77777777" w:rsidR="001D3A52" w:rsidRPr="00B02CD8" w:rsidRDefault="001D3A52" w:rsidP="00172038">
            <w:pPr>
              <w:spacing w:after="0" w:line="240" w:lineRule="auto"/>
              <w:jc w:val="right"/>
              <w:rPr>
                <w:rFonts w:ascii="Calibri" w:eastAsia="Times New Roman" w:hAnsi="Calibri" w:cs="Calibri"/>
                <w:b/>
                <w:bCs/>
                <w:color w:val="000000"/>
                <w:sz w:val="16"/>
                <w:szCs w:val="16"/>
                <w:lang w:eastAsia="cs-CZ"/>
              </w:rPr>
            </w:pPr>
            <w:r w:rsidRPr="00B02CD8">
              <w:rPr>
                <w:rFonts w:ascii="Calibri" w:eastAsia="Times New Roman" w:hAnsi="Calibri" w:cs="Calibri"/>
                <w:b/>
                <w:bCs/>
                <w:color w:val="000000"/>
                <w:sz w:val="16"/>
                <w:szCs w:val="16"/>
                <w:lang w:eastAsia="cs-CZ"/>
              </w:rPr>
              <w:t>5 095,00</w:t>
            </w:r>
          </w:p>
        </w:tc>
      </w:tr>
    </w:tbl>
    <w:p w14:paraId="07373EC0" w14:textId="3F2A0DD6" w:rsidR="001F5332" w:rsidRDefault="001F5332" w:rsidP="001F5332">
      <w:pPr>
        <w:pStyle w:val="Zdrojpodtabulkounebografem"/>
      </w:pPr>
      <w:r w:rsidRPr="0028134D">
        <w:t>Zdroj: NPO.</w:t>
      </w:r>
    </w:p>
    <w:p w14:paraId="6764ABD9" w14:textId="77777777" w:rsidR="00B02CD8" w:rsidRPr="00B02CD8" w:rsidRDefault="00B02CD8" w:rsidP="00B02CD8">
      <w:pPr>
        <w:rPr>
          <w:lang w:eastAsia="cs-CZ"/>
        </w:rPr>
      </w:pPr>
    </w:p>
    <w:p w14:paraId="6D6EF316" w14:textId="43FCEEB0" w:rsidR="001F5332" w:rsidRPr="00C45DA1" w:rsidRDefault="001F5332" w:rsidP="001F5332">
      <w:pPr>
        <w:jc w:val="both"/>
      </w:pPr>
      <w:r>
        <w:t>Investice do výzkumu a</w:t>
      </w:r>
      <w:r w:rsidR="0003053E">
        <w:t> </w:t>
      </w:r>
      <w:r>
        <w:t>vývoje představují především dlouhodobý impulz, kdy s</w:t>
      </w:r>
      <w:r w:rsidR="0003053E">
        <w:t> </w:t>
      </w:r>
      <w:r>
        <w:t>ohledem na ekonomický výkon má převažující význam podpora inovací ve firmách. Ty se v</w:t>
      </w:r>
      <w:r w:rsidR="0003053E">
        <w:t> </w:t>
      </w:r>
      <w:r>
        <w:t>budoucnu projeví větším zapojením nových technologií a</w:t>
      </w:r>
      <w:r w:rsidR="0003053E">
        <w:t> </w:t>
      </w:r>
      <w:r>
        <w:t>efektivnějším provozem.</w:t>
      </w:r>
    </w:p>
    <w:p w14:paraId="54707AB1" w14:textId="7CAB5A40" w:rsidR="001F5332" w:rsidRDefault="001F5332" w:rsidP="001F5332">
      <w:pPr>
        <w:pStyle w:val="Titulek"/>
        <w:keepNext/>
        <w:spacing w:after="120"/>
      </w:pPr>
      <w:bookmarkStart w:id="319" w:name="_Toc151444602"/>
      <w:r>
        <w:t xml:space="preserve">Tabulka </w:t>
      </w:r>
      <w:r>
        <w:fldChar w:fldCharType="begin"/>
      </w:r>
      <w:r>
        <w:instrText xml:space="preserve"> SEQ Tabulka \* ARABIC </w:instrText>
      </w:r>
      <w:r>
        <w:fldChar w:fldCharType="separate"/>
      </w:r>
      <w:r w:rsidR="00E25A73">
        <w:t>17</w:t>
      </w:r>
      <w:r>
        <w:fldChar w:fldCharType="end"/>
      </w:r>
      <w:r>
        <w:t>: Makroekonomické dopady 5. pilíře – výzkum, vývoj a</w:t>
      </w:r>
      <w:r w:rsidR="0003053E">
        <w:t> </w:t>
      </w:r>
      <w:r>
        <w:t>inovace</w:t>
      </w:r>
      <w:bookmarkEnd w:id="319"/>
    </w:p>
    <w:p w14:paraId="7A1FC11F" w14:textId="77777777" w:rsidR="001F5332" w:rsidRPr="00A36904" w:rsidRDefault="001F5332" w:rsidP="001F5332">
      <w:pPr>
        <w:pStyle w:val="Tabulkaagraf"/>
      </w:pPr>
      <w:r>
        <w:t>% HDP, % zaměstnanosti</w:t>
      </w:r>
    </w:p>
    <w:p w14:paraId="2F40C6E3" w14:textId="157B796A" w:rsidR="001F5332" w:rsidRDefault="001F5332" w:rsidP="001F5332">
      <w:pPr>
        <w:pStyle w:val="Zdrojpodtabulkounebografem"/>
      </w:pPr>
      <w:r w:rsidRPr="005F6689">
        <w:rPr>
          <w:noProof/>
        </w:rPr>
        <w:drawing>
          <wp:inline distT="0" distB="0" distL="0" distR="0" wp14:anchorId="1B929B6C" wp14:editId="62612F89">
            <wp:extent cx="6124575" cy="802005"/>
            <wp:effectExtent l="0" t="0" r="9525" b="0"/>
            <wp:docPr id="36" name="Obráze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124575" cy="802005"/>
                    </a:xfrm>
                    <a:prstGeom prst="rect">
                      <a:avLst/>
                    </a:prstGeom>
                    <a:noFill/>
                    <a:ln>
                      <a:noFill/>
                    </a:ln>
                  </pic:spPr>
                </pic:pic>
              </a:graphicData>
            </a:graphic>
          </wp:inline>
        </w:drawing>
      </w:r>
      <w:r w:rsidRPr="009D0816">
        <w:t xml:space="preserve"> </w:t>
      </w:r>
      <w:r>
        <w:t>Pozn.: Údaje u</w:t>
      </w:r>
      <w:r w:rsidR="0003053E">
        <w:t> </w:t>
      </w:r>
      <w:r>
        <w:t>HDP vyjadřují dodatečně vytvořenou přidanou hodnotu v</w:t>
      </w:r>
      <w:r w:rsidR="0003053E">
        <w:t> </w:t>
      </w:r>
      <w:r>
        <w:t xml:space="preserve">uvedených letech vlivem </w:t>
      </w:r>
      <w:r w:rsidR="00D70836">
        <w:t>NPO</w:t>
      </w:r>
      <w:r>
        <w:t xml:space="preserve"> v</w:t>
      </w:r>
      <w:r w:rsidR="0003053E">
        <w:t> </w:t>
      </w:r>
      <w:r>
        <w:t>poměru k</w:t>
      </w:r>
      <w:r w:rsidR="0003053E">
        <w:t> </w:t>
      </w:r>
      <w:r>
        <w:t>HDP ve výchozím roce 2020, vůči němuž jsou velikosti impulzů do ekonomiky přepočteny. V</w:t>
      </w:r>
      <w:r w:rsidR="0003053E">
        <w:t> </w:t>
      </w:r>
      <w:r>
        <w:t>případě zaměstnanosti jde o</w:t>
      </w:r>
      <w:r w:rsidR="0003053E">
        <w:t> </w:t>
      </w:r>
      <w:r>
        <w:t>dodatečně vytvořenou poptávku na trhu práce v</w:t>
      </w:r>
      <w:r w:rsidR="0003053E">
        <w:t> </w:t>
      </w:r>
      <w:r>
        <w:t>uvedených letech v</w:t>
      </w:r>
      <w:r w:rsidR="0003053E">
        <w:t> </w:t>
      </w:r>
      <w:r>
        <w:t>poměru k</w:t>
      </w:r>
      <w:r w:rsidR="0003053E">
        <w:t> </w:t>
      </w:r>
      <w:r>
        <w:t>objemu zaměstnanosti v</w:t>
      </w:r>
      <w:r w:rsidR="0003053E">
        <w:t> </w:t>
      </w:r>
      <w:r>
        <w:t>témže výchozím roce 2020.</w:t>
      </w:r>
    </w:p>
    <w:p w14:paraId="631AB96C" w14:textId="77777777" w:rsidR="001F5332" w:rsidRPr="009078BE" w:rsidRDefault="001F5332" w:rsidP="001F5332">
      <w:pPr>
        <w:pStyle w:val="Zdrojpodtabulkounebografem"/>
        <w:keepNext/>
      </w:pPr>
      <w:r>
        <w:lastRenderedPageBreak/>
        <w:t>Zdroj: Výpočty MF ČR.</w:t>
      </w:r>
    </w:p>
    <w:p w14:paraId="13483E9A" w14:textId="005E52B2" w:rsidR="001F5332" w:rsidRDefault="001F5332" w:rsidP="001F5332">
      <w:pPr>
        <w:pStyle w:val="Nadpismal"/>
      </w:pPr>
      <w:r>
        <w:t>6. pilíř: zdraví a</w:t>
      </w:r>
      <w:r w:rsidR="0003053E">
        <w:t> </w:t>
      </w:r>
      <w:r>
        <w:t>odolnost obyvatel</w:t>
      </w:r>
    </w:p>
    <w:p w14:paraId="55964FAB" w14:textId="0B75A324" w:rsidR="001F5332" w:rsidRPr="00C90CB9" w:rsidRDefault="001F5332" w:rsidP="001F5332">
      <w:pPr>
        <w:jc w:val="both"/>
      </w:pPr>
      <w:r>
        <w:t>V rámci podpory zdraví a</w:t>
      </w:r>
      <w:r w:rsidR="0003053E">
        <w:t> </w:t>
      </w:r>
      <w:r>
        <w:t>odolnosti obyvatel směřují prostředky do budování a</w:t>
      </w:r>
      <w:r w:rsidR="0003053E">
        <w:t> </w:t>
      </w:r>
      <w:r>
        <w:t>modernizace specializovaných zdravotnických center. Z</w:t>
      </w:r>
      <w:r w:rsidR="0003053E">
        <w:t> </w:t>
      </w:r>
      <w:r>
        <w:t>pohledu ekonomických dopadů se jedná o</w:t>
      </w:r>
      <w:r w:rsidR="0003053E">
        <w:t> </w:t>
      </w:r>
      <w:r>
        <w:t>dodatečné investiční výdaje sektoru vládních institucí.</w:t>
      </w:r>
    </w:p>
    <w:p w14:paraId="027B3608" w14:textId="57B0E78C" w:rsidR="001F5332" w:rsidRDefault="001F5332" w:rsidP="001F5332">
      <w:pPr>
        <w:pStyle w:val="Titulek"/>
        <w:keepNext/>
        <w:spacing w:after="120"/>
      </w:pPr>
      <w:bookmarkStart w:id="320" w:name="_Toc151444603"/>
      <w:r>
        <w:t xml:space="preserve">Tabulka </w:t>
      </w:r>
      <w:r>
        <w:fldChar w:fldCharType="begin"/>
      </w:r>
      <w:r>
        <w:instrText xml:space="preserve"> SEQ Tabulka \* ARABIC </w:instrText>
      </w:r>
      <w:r>
        <w:fldChar w:fldCharType="separate"/>
      </w:r>
      <w:r w:rsidR="00E25A73">
        <w:t>18</w:t>
      </w:r>
      <w:r>
        <w:fldChar w:fldCharType="end"/>
      </w:r>
      <w:r>
        <w:t>: Stanovené impulzy v</w:t>
      </w:r>
      <w:r w:rsidR="0003053E">
        <w:t> </w:t>
      </w:r>
      <w:r>
        <w:t>rámci 6. pilíře – zdraví a</w:t>
      </w:r>
      <w:r w:rsidR="0003053E">
        <w:t> </w:t>
      </w:r>
      <w:r>
        <w:t>odolnost obyvatel</w:t>
      </w:r>
      <w:bookmarkEnd w:id="320"/>
    </w:p>
    <w:p w14:paraId="4BD47B64" w14:textId="77777777" w:rsidR="001F5332" w:rsidRPr="00A36904" w:rsidRDefault="001F5332" w:rsidP="001F5332">
      <w:pPr>
        <w:pStyle w:val="Tabulkaagraf"/>
      </w:pPr>
      <w:r>
        <w:t>mil. Kč</w:t>
      </w:r>
    </w:p>
    <w:p w14:paraId="318E84CC" w14:textId="574CF00F" w:rsidR="001F5332" w:rsidRDefault="001F5332" w:rsidP="001F5332">
      <w:pPr>
        <w:pStyle w:val="Zdrojpodtabulkounebografem"/>
      </w:pPr>
      <w:r w:rsidRPr="005F6689">
        <w:rPr>
          <w:noProof/>
        </w:rPr>
        <w:drawing>
          <wp:inline distT="0" distB="0" distL="0" distR="0" wp14:anchorId="4569888A" wp14:editId="7CA7F3F1">
            <wp:extent cx="6188710" cy="706810"/>
            <wp:effectExtent l="0" t="0" r="2540" b="0"/>
            <wp:docPr id="37" name="Obráze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188710" cy="706810"/>
                    </a:xfrm>
                    <a:prstGeom prst="rect">
                      <a:avLst/>
                    </a:prstGeom>
                    <a:noFill/>
                    <a:ln>
                      <a:noFill/>
                    </a:ln>
                  </pic:spPr>
                </pic:pic>
              </a:graphicData>
            </a:graphic>
          </wp:inline>
        </w:drawing>
      </w:r>
      <w:r w:rsidRPr="009D0816">
        <w:t xml:space="preserve"> </w:t>
      </w:r>
      <w:r w:rsidRPr="0028134D">
        <w:t>Zdroj: NPO.</w:t>
      </w:r>
    </w:p>
    <w:p w14:paraId="43894BF1" w14:textId="4BFD894F" w:rsidR="001F5332" w:rsidRDefault="001F5332" w:rsidP="001F5332">
      <w:pPr>
        <w:pStyle w:val="Titulek"/>
        <w:keepNext/>
        <w:spacing w:after="120"/>
      </w:pPr>
      <w:bookmarkStart w:id="321" w:name="_Toc151444604"/>
      <w:r>
        <w:t xml:space="preserve">Tabulka </w:t>
      </w:r>
      <w:r>
        <w:fldChar w:fldCharType="begin"/>
      </w:r>
      <w:r>
        <w:instrText xml:space="preserve"> SEQ Tabulka \* ARABIC </w:instrText>
      </w:r>
      <w:r>
        <w:fldChar w:fldCharType="separate"/>
      </w:r>
      <w:r w:rsidR="00E25A73">
        <w:t>19</w:t>
      </w:r>
      <w:r>
        <w:fldChar w:fldCharType="end"/>
      </w:r>
      <w:r>
        <w:t>: Makroekonomické dopady 6. pilíře – zdraví a</w:t>
      </w:r>
      <w:r w:rsidR="0003053E">
        <w:t> </w:t>
      </w:r>
      <w:r>
        <w:t>odolnost obyvatel</w:t>
      </w:r>
      <w:bookmarkEnd w:id="321"/>
    </w:p>
    <w:p w14:paraId="0533417C" w14:textId="77777777" w:rsidR="001F5332" w:rsidRPr="00A36904" w:rsidRDefault="001F5332" w:rsidP="001F5332">
      <w:pPr>
        <w:pStyle w:val="Tabulkaagraf"/>
      </w:pPr>
      <w:r>
        <w:t>% HDP, % zaměstnanosti</w:t>
      </w:r>
    </w:p>
    <w:p w14:paraId="1A63D8DD" w14:textId="04CCC56D" w:rsidR="001F5332" w:rsidRDefault="001F5332" w:rsidP="001F5332">
      <w:pPr>
        <w:pStyle w:val="Zdrojpodtabulkounebografem"/>
      </w:pPr>
      <w:r w:rsidRPr="005F6689">
        <w:rPr>
          <w:noProof/>
        </w:rPr>
        <w:drawing>
          <wp:inline distT="0" distB="0" distL="0" distR="0" wp14:anchorId="52464E46" wp14:editId="6E35B8A8">
            <wp:extent cx="6124575" cy="802005"/>
            <wp:effectExtent l="0" t="0" r="9525" b="0"/>
            <wp:docPr id="41" name="Obráze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124575" cy="802005"/>
                    </a:xfrm>
                    <a:prstGeom prst="rect">
                      <a:avLst/>
                    </a:prstGeom>
                    <a:noFill/>
                    <a:ln>
                      <a:noFill/>
                    </a:ln>
                  </pic:spPr>
                </pic:pic>
              </a:graphicData>
            </a:graphic>
          </wp:inline>
        </w:drawing>
      </w:r>
      <w:r w:rsidRPr="009D0816">
        <w:t xml:space="preserve"> </w:t>
      </w:r>
      <w:r>
        <w:t>Pozn.: Údaje u</w:t>
      </w:r>
      <w:r w:rsidR="0003053E">
        <w:t> </w:t>
      </w:r>
      <w:r>
        <w:t>HDP vyjadřují dodatečně vytvořenou přidanou hodnotu v</w:t>
      </w:r>
      <w:r w:rsidR="0003053E">
        <w:t> </w:t>
      </w:r>
      <w:r>
        <w:t xml:space="preserve">uvedených letech vlivem </w:t>
      </w:r>
      <w:r w:rsidR="00D70836">
        <w:t>NPO</w:t>
      </w:r>
      <w:r>
        <w:t xml:space="preserve"> v</w:t>
      </w:r>
      <w:r w:rsidR="0003053E">
        <w:t> </w:t>
      </w:r>
      <w:r>
        <w:t>poměru k</w:t>
      </w:r>
      <w:r w:rsidR="0003053E">
        <w:t> </w:t>
      </w:r>
      <w:r>
        <w:t>HDP ve výchozím roce 2020, vůči němuž jsou velikosti impulzů do ekonomiky přepočteny. V</w:t>
      </w:r>
      <w:r w:rsidR="0003053E">
        <w:t> </w:t>
      </w:r>
      <w:r>
        <w:t>případě zaměstnanosti jde o</w:t>
      </w:r>
      <w:r w:rsidR="0003053E">
        <w:t> </w:t>
      </w:r>
      <w:r>
        <w:t>dodatečně vytvořenou poptávku na trhu práce v</w:t>
      </w:r>
      <w:r w:rsidR="0003053E">
        <w:t> </w:t>
      </w:r>
      <w:r>
        <w:t>uvedených letech v</w:t>
      </w:r>
      <w:r w:rsidR="0003053E">
        <w:t> </w:t>
      </w:r>
      <w:r>
        <w:t>poměru k</w:t>
      </w:r>
      <w:r w:rsidR="0003053E">
        <w:t> </w:t>
      </w:r>
      <w:r>
        <w:t>objemu zaměstnanosti v</w:t>
      </w:r>
      <w:r w:rsidR="0003053E">
        <w:t> </w:t>
      </w:r>
      <w:r>
        <w:t>témže výchozím roce 2020.</w:t>
      </w:r>
    </w:p>
    <w:p w14:paraId="03834D36" w14:textId="77777777" w:rsidR="001F5332" w:rsidRDefault="001F5332" w:rsidP="001F5332">
      <w:pPr>
        <w:pStyle w:val="Zdrojpodtabulkounebografem"/>
      </w:pPr>
      <w:r>
        <w:t>Zdroj: Výpočty MF ČR.</w:t>
      </w:r>
    </w:p>
    <w:p w14:paraId="5F35C990" w14:textId="72B400F9" w:rsidR="001F5332" w:rsidRDefault="001F5332" w:rsidP="001F5332">
      <w:pPr>
        <w:pStyle w:val="Nadpismal"/>
      </w:pPr>
      <w:r>
        <w:t>7. pilíř: REPowerEU</w:t>
      </w:r>
    </w:p>
    <w:p w14:paraId="2D8274F4" w14:textId="02F70C1E" w:rsidR="001F5332" w:rsidRDefault="001F5332" w:rsidP="001F5332">
      <w:pPr>
        <w:jc w:val="both"/>
      </w:pPr>
      <w:r>
        <w:rPr>
          <w:lang w:eastAsia="cs-CZ"/>
        </w:rPr>
        <w:t>Pilíř REPowerEU se zaměřuje především na renovaci budov ve smyslu jejich nižší energetické spotřeby, na elektrifikaci železnic a</w:t>
      </w:r>
      <w:r w:rsidR="0003053E">
        <w:rPr>
          <w:lang w:eastAsia="cs-CZ"/>
        </w:rPr>
        <w:t> </w:t>
      </w:r>
      <w:r>
        <w:rPr>
          <w:lang w:eastAsia="cs-CZ"/>
        </w:rPr>
        <w:t>posílení, rekonstrukci a</w:t>
      </w:r>
      <w:r w:rsidR="0003053E">
        <w:rPr>
          <w:lang w:eastAsia="cs-CZ"/>
        </w:rPr>
        <w:t> </w:t>
      </w:r>
      <w:r>
        <w:rPr>
          <w:lang w:eastAsia="cs-CZ"/>
        </w:rPr>
        <w:t xml:space="preserve">modernizaci distribučních soustav. </w:t>
      </w:r>
      <w:r>
        <w:t>Primárně se tak jedná o</w:t>
      </w:r>
      <w:r w:rsidR="0003053E">
        <w:t> </w:t>
      </w:r>
      <w:r>
        <w:t>dodatečné zelené investice v</w:t>
      </w:r>
      <w:r w:rsidR="0003053E">
        <w:t> </w:t>
      </w:r>
      <w:r>
        <w:t>duchu environmentálního rozšíření modelu, které přináší pozitivní efekty již při spuštění investičních projektů prostřednictvím ekonomického stimulu firmám ve stavebnictví.</w:t>
      </w:r>
    </w:p>
    <w:p w14:paraId="00CD6DBD" w14:textId="2844B9F1" w:rsidR="001F5332" w:rsidRDefault="001F5332" w:rsidP="001F5332">
      <w:pPr>
        <w:pStyle w:val="Titulek"/>
        <w:keepNext/>
        <w:spacing w:after="120"/>
      </w:pPr>
      <w:bookmarkStart w:id="322" w:name="_Toc151444605"/>
      <w:r>
        <w:t xml:space="preserve">Tabulka </w:t>
      </w:r>
      <w:r>
        <w:fldChar w:fldCharType="begin"/>
      </w:r>
      <w:r>
        <w:instrText xml:space="preserve"> SEQ Tabulka \* ARABIC </w:instrText>
      </w:r>
      <w:r>
        <w:fldChar w:fldCharType="separate"/>
      </w:r>
      <w:r w:rsidR="00E25A73">
        <w:t>20</w:t>
      </w:r>
      <w:r>
        <w:fldChar w:fldCharType="end"/>
      </w:r>
      <w:r>
        <w:t>: Stanovené impulzy v</w:t>
      </w:r>
      <w:r w:rsidR="0003053E">
        <w:t> </w:t>
      </w:r>
      <w:r>
        <w:t>rámci 7. pilíře – REPowerEU</w:t>
      </w:r>
      <w:bookmarkEnd w:id="322"/>
    </w:p>
    <w:p w14:paraId="63F7AEDE" w14:textId="551E7139" w:rsidR="001F5332" w:rsidRDefault="001F5332" w:rsidP="001F5332">
      <w:pPr>
        <w:pStyle w:val="Tabulkaagraf"/>
      </w:pPr>
      <w:r>
        <w:t>mil. Kč</w:t>
      </w:r>
    </w:p>
    <w:tbl>
      <w:tblPr>
        <w:tblW w:w="5000" w:type="pct"/>
        <w:tblCellMar>
          <w:left w:w="70" w:type="dxa"/>
          <w:right w:w="70" w:type="dxa"/>
        </w:tblCellMar>
        <w:tblLook w:val="04A0" w:firstRow="1" w:lastRow="0" w:firstColumn="1" w:lastColumn="0" w:noHBand="0" w:noVBand="1"/>
      </w:tblPr>
      <w:tblGrid>
        <w:gridCol w:w="3870"/>
        <w:gridCol w:w="677"/>
        <w:gridCol w:w="677"/>
        <w:gridCol w:w="677"/>
        <w:gridCol w:w="678"/>
        <w:gridCol w:w="704"/>
        <w:gridCol w:w="704"/>
        <w:gridCol w:w="704"/>
        <w:gridCol w:w="807"/>
      </w:tblGrid>
      <w:tr w:rsidR="001D3A52" w:rsidRPr="00303386" w14:paraId="7436B5BB" w14:textId="77777777" w:rsidTr="00172038">
        <w:trPr>
          <w:trHeight w:val="300"/>
          <w:tblHeader/>
        </w:trPr>
        <w:tc>
          <w:tcPr>
            <w:tcW w:w="2041" w:type="pct"/>
            <w:tcBorders>
              <w:top w:val="nil"/>
              <w:left w:val="nil"/>
              <w:bottom w:val="single" w:sz="4" w:space="0" w:color="auto"/>
              <w:right w:val="single" w:sz="4" w:space="0" w:color="auto"/>
            </w:tcBorders>
            <w:shd w:val="clear" w:color="000000" w:fill="D9E1F2"/>
            <w:noWrap/>
            <w:vAlign w:val="center"/>
            <w:hideMark/>
          </w:tcPr>
          <w:p w14:paraId="403A69AE" w14:textId="77777777" w:rsidR="001D3A52" w:rsidRPr="00303386" w:rsidRDefault="001D3A52" w:rsidP="00172038">
            <w:pPr>
              <w:spacing w:after="0" w:line="240" w:lineRule="auto"/>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 </w:t>
            </w:r>
          </w:p>
        </w:tc>
        <w:tc>
          <w:tcPr>
            <w:tcW w:w="361" w:type="pct"/>
            <w:tcBorders>
              <w:top w:val="nil"/>
              <w:left w:val="nil"/>
              <w:bottom w:val="single" w:sz="4" w:space="0" w:color="auto"/>
              <w:right w:val="nil"/>
            </w:tcBorders>
            <w:shd w:val="clear" w:color="000000" w:fill="D9E1F2"/>
            <w:noWrap/>
            <w:vAlign w:val="center"/>
            <w:hideMark/>
          </w:tcPr>
          <w:p w14:paraId="1BF51B58"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2020</w:t>
            </w:r>
          </w:p>
        </w:tc>
        <w:tc>
          <w:tcPr>
            <w:tcW w:w="361" w:type="pct"/>
            <w:tcBorders>
              <w:top w:val="nil"/>
              <w:left w:val="nil"/>
              <w:bottom w:val="single" w:sz="4" w:space="0" w:color="auto"/>
              <w:right w:val="nil"/>
            </w:tcBorders>
            <w:shd w:val="clear" w:color="000000" w:fill="D9E1F2"/>
            <w:noWrap/>
            <w:vAlign w:val="center"/>
            <w:hideMark/>
          </w:tcPr>
          <w:p w14:paraId="2526BE5C"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2021</w:t>
            </w:r>
          </w:p>
        </w:tc>
        <w:tc>
          <w:tcPr>
            <w:tcW w:w="361" w:type="pct"/>
            <w:tcBorders>
              <w:top w:val="nil"/>
              <w:left w:val="nil"/>
              <w:bottom w:val="single" w:sz="4" w:space="0" w:color="auto"/>
              <w:right w:val="nil"/>
            </w:tcBorders>
            <w:shd w:val="clear" w:color="000000" w:fill="D9E1F2"/>
            <w:noWrap/>
            <w:vAlign w:val="center"/>
            <w:hideMark/>
          </w:tcPr>
          <w:p w14:paraId="5A619C86"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2022</w:t>
            </w:r>
          </w:p>
        </w:tc>
        <w:tc>
          <w:tcPr>
            <w:tcW w:w="361" w:type="pct"/>
            <w:tcBorders>
              <w:top w:val="nil"/>
              <w:left w:val="nil"/>
              <w:bottom w:val="single" w:sz="4" w:space="0" w:color="auto"/>
              <w:right w:val="nil"/>
            </w:tcBorders>
            <w:shd w:val="clear" w:color="000000" w:fill="D9E1F2"/>
            <w:noWrap/>
            <w:vAlign w:val="center"/>
            <w:hideMark/>
          </w:tcPr>
          <w:p w14:paraId="6DBE96FF"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2023</w:t>
            </w:r>
          </w:p>
        </w:tc>
        <w:tc>
          <w:tcPr>
            <w:tcW w:w="361" w:type="pct"/>
            <w:tcBorders>
              <w:top w:val="nil"/>
              <w:left w:val="nil"/>
              <w:bottom w:val="single" w:sz="4" w:space="0" w:color="auto"/>
              <w:right w:val="nil"/>
            </w:tcBorders>
            <w:shd w:val="clear" w:color="000000" w:fill="D9E1F2"/>
            <w:noWrap/>
            <w:vAlign w:val="center"/>
            <w:hideMark/>
          </w:tcPr>
          <w:p w14:paraId="43B39811"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2024</w:t>
            </w:r>
          </w:p>
        </w:tc>
        <w:tc>
          <w:tcPr>
            <w:tcW w:w="361" w:type="pct"/>
            <w:tcBorders>
              <w:top w:val="nil"/>
              <w:left w:val="nil"/>
              <w:bottom w:val="single" w:sz="4" w:space="0" w:color="auto"/>
              <w:right w:val="nil"/>
            </w:tcBorders>
            <w:shd w:val="clear" w:color="000000" w:fill="D9E1F2"/>
            <w:noWrap/>
            <w:vAlign w:val="center"/>
            <w:hideMark/>
          </w:tcPr>
          <w:p w14:paraId="5BDD9F83"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2025</w:t>
            </w:r>
          </w:p>
        </w:tc>
        <w:tc>
          <w:tcPr>
            <w:tcW w:w="361" w:type="pct"/>
            <w:tcBorders>
              <w:top w:val="nil"/>
              <w:left w:val="nil"/>
              <w:bottom w:val="single" w:sz="4" w:space="0" w:color="auto"/>
              <w:right w:val="nil"/>
            </w:tcBorders>
            <w:shd w:val="clear" w:color="000000" w:fill="D9E1F2"/>
            <w:noWrap/>
            <w:vAlign w:val="center"/>
            <w:hideMark/>
          </w:tcPr>
          <w:p w14:paraId="603D4E89"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2026</w:t>
            </w:r>
          </w:p>
        </w:tc>
        <w:tc>
          <w:tcPr>
            <w:tcW w:w="429" w:type="pct"/>
            <w:tcBorders>
              <w:top w:val="nil"/>
              <w:left w:val="single" w:sz="4" w:space="0" w:color="auto"/>
              <w:bottom w:val="single" w:sz="4" w:space="0" w:color="auto"/>
              <w:right w:val="nil"/>
            </w:tcBorders>
            <w:shd w:val="clear" w:color="000000" w:fill="D9E1F2"/>
            <w:noWrap/>
            <w:vAlign w:val="center"/>
            <w:hideMark/>
          </w:tcPr>
          <w:p w14:paraId="2AFAD7D4" w14:textId="77777777" w:rsidR="001D3A52" w:rsidRPr="00303386" w:rsidRDefault="001D3A52" w:rsidP="00172038">
            <w:pPr>
              <w:spacing w:after="0" w:line="240" w:lineRule="auto"/>
              <w:jc w:val="center"/>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celkem</w:t>
            </w:r>
          </w:p>
        </w:tc>
      </w:tr>
      <w:tr w:rsidR="001D3A52" w:rsidRPr="00303386" w14:paraId="57F299C9" w14:textId="77777777" w:rsidTr="00172038">
        <w:trPr>
          <w:trHeight w:val="300"/>
          <w:tblHeader/>
        </w:trPr>
        <w:tc>
          <w:tcPr>
            <w:tcW w:w="2041" w:type="pct"/>
            <w:tcBorders>
              <w:top w:val="nil"/>
              <w:left w:val="nil"/>
              <w:bottom w:val="nil"/>
              <w:right w:val="single" w:sz="4" w:space="0" w:color="auto"/>
            </w:tcBorders>
            <w:shd w:val="clear" w:color="auto" w:fill="auto"/>
            <w:noWrap/>
            <w:vAlign w:val="center"/>
            <w:hideMark/>
          </w:tcPr>
          <w:p w14:paraId="71E6BF57" w14:textId="77777777" w:rsidR="001D3A52" w:rsidRPr="00303386" w:rsidRDefault="001D3A52" w:rsidP="00172038">
            <w:pPr>
              <w:spacing w:after="0" w:line="240" w:lineRule="auto"/>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7. PILÍŘ: REPOWER EU</w:t>
            </w:r>
          </w:p>
        </w:tc>
        <w:tc>
          <w:tcPr>
            <w:tcW w:w="361" w:type="pct"/>
            <w:tcBorders>
              <w:top w:val="nil"/>
              <w:left w:val="nil"/>
              <w:bottom w:val="nil"/>
              <w:right w:val="nil"/>
            </w:tcBorders>
            <w:shd w:val="clear" w:color="auto" w:fill="auto"/>
            <w:noWrap/>
            <w:vAlign w:val="center"/>
            <w:hideMark/>
          </w:tcPr>
          <w:p w14:paraId="3C4768E9"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1A9099AC"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38642BF5"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75F732FD"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928,00</w:t>
            </w:r>
          </w:p>
        </w:tc>
        <w:tc>
          <w:tcPr>
            <w:tcW w:w="361" w:type="pct"/>
            <w:tcBorders>
              <w:top w:val="nil"/>
              <w:left w:val="nil"/>
              <w:bottom w:val="nil"/>
              <w:right w:val="nil"/>
            </w:tcBorders>
            <w:shd w:val="clear" w:color="auto" w:fill="auto"/>
            <w:noWrap/>
            <w:vAlign w:val="center"/>
            <w:hideMark/>
          </w:tcPr>
          <w:p w14:paraId="276BFDB6"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6 189,60</w:t>
            </w:r>
          </w:p>
        </w:tc>
        <w:tc>
          <w:tcPr>
            <w:tcW w:w="361" w:type="pct"/>
            <w:tcBorders>
              <w:top w:val="nil"/>
              <w:left w:val="nil"/>
              <w:bottom w:val="nil"/>
              <w:right w:val="nil"/>
            </w:tcBorders>
            <w:shd w:val="clear" w:color="auto" w:fill="auto"/>
            <w:noWrap/>
            <w:vAlign w:val="center"/>
            <w:hideMark/>
          </w:tcPr>
          <w:p w14:paraId="74F0F4DF"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5 469,80</w:t>
            </w:r>
          </w:p>
        </w:tc>
        <w:tc>
          <w:tcPr>
            <w:tcW w:w="361" w:type="pct"/>
            <w:tcBorders>
              <w:top w:val="nil"/>
              <w:left w:val="nil"/>
              <w:bottom w:val="nil"/>
              <w:right w:val="nil"/>
            </w:tcBorders>
            <w:shd w:val="clear" w:color="auto" w:fill="auto"/>
            <w:noWrap/>
            <w:vAlign w:val="center"/>
            <w:hideMark/>
          </w:tcPr>
          <w:p w14:paraId="5AEF1355"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4 873,90</w:t>
            </w:r>
          </w:p>
        </w:tc>
        <w:tc>
          <w:tcPr>
            <w:tcW w:w="429" w:type="pct"/>
            <w:tcBorders>
              <w:top w:val="nil"/>
              <w:left w:val="single" w:sz="4" w:space="0" w:color="auto"/>
              <w:bottom w:val="nil"/>
              <w:right w:val="nil"/>
            </w:tcBorders>
            <w:shd w:val="clear" w:color="auto" w:fill="auto"/>
            <w:noWrap/>
            <w:vAlign w:val="center"/>
            <w:hideMark/>
          </w:tcPr>
          <w:p w14:paraId="20C59BB1"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17 461,30</w:t>
            </w:r>
          </w:p>
        </w:tc>
      </w:tr>
      <w:tr w:rsidR="001D3A52" w:rsidRPr="00303386" w14:paraId="60A235DA" w14:textId="77777777" w:rsidTr="00172038">
        <w:trPr>
          <w:trHeight w:val="300"/>
          <w:tblHeader/>
        </w:trPr>
        <w:tc>
          <w:tcPr>
            <w:tcW w:w="2041" w:type="pct"/>
            <w:tcBorders>
              <w:top w:val="nil"/>
              <w:left w:val="nil"/>
              <w:bottom w:val="nil"/>
              <w:right w:val="single" w:sz="4" w:space="0" w:color="auto"/>
            </w:tcBorders>
            <w:shd w:val="clear" w:color="auto" w:fill="auto"/>
            <w:noWrap/>
            <w:vAlign w:val="center"/>
            <w:hideMark/>
          </w:tcPr>
          <w:p w14:paraId="11028E9C" w14:textId="77777777" w:rsidR="001D3A52" w:rsidRPr="00303386" w:rsidRDefault="001D3A52" w:rsidP="00172038">
            <w:pPr>
              <w:spacing w:after="0" w:line="240" w:lineRule="auto"/>
              <w:rPr>
                <w:rFonts w:eastAsia="Times New Roman" w:cstheme="minorHAnsi"/>
                <w:color w:val="000000"/>
                <w:sz w:val="16"/>
                <w:szCs w:val="16"/>
                <w:lang w:eastAsia="cs-CZ"/>
              </w:rPr>
            </w:pPr>
            <w:r w:rsidRPr="00303386">
              <w:rPr>
                <w:rFonts w:eastAsia="Times New Roman" w:cstheme="minorHAnsi"/>
                <w:color w:val="000000"/>
                <w:sz w:val="16"/>
                <w:szCs w:val="16"/>
                <w:lang w:eastAsia="cs-CZ"/>
              </w:rPr>
              <w:t>7.1 Posílení distribučních sítí</w:t>
            </w:r>
          </w:p>
        </w:tc>
        <w:tc>
          <w:tcPr>
            <w:tcW w:w="361" w:type="pct"/>
            <w:tcBorders>
              <w:top w:val="nil"/>
              <w:left w:val="nil"/>
              <w:bottom w:val="nil"/>
              <w:right w:val="nil"/>
            </w:tcBorders>
            <w:shd w:val="clear" w:color="auto" w:fill="auto"/>
            <w:noWrap/>
            <w:vAlign w:val="center"/>
            <w:hideMark/>
          </w:tcPr>
          <w:p w14:paraId="2A25C14D"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05757D85"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075D02EE"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16460D00"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186D76BE"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4 000,00</w:t>
            </w:r>
          </w:p>
        </w:tc>
        <w:tc>
          <w:tcPr>
            <w:tcW w:w="361" w:type="pct"/>
            <w:tcBorders>
              <w:top w:val="nil"/>
              <w:left w:val="nil"/>
              <w:bottom w:val="nil"/>
              <w:right w:val="nil"/>
            </w:tcBorders>
            <w:shd w:val="clear" w:color="auto" w:fill="auto"/>
            <w:noWrap/>
            <w:vAlign w:val="center"/>
            <w:hideMark/>
          </w:tcPr>
          <w:p w14:paraId="3A712446"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2 577,20</w:t>
            </w:r>
          </w:p>
        </w:tc>
        <w:tc>
          <w:tcPr>
            <w:tcW w:w="361" w:type="pct"/>
            <w:tcBorders>
              <w:top w:val="nil"/>
              <w:left w:val="nil"/>
              <w:bottom w:val="nil"/>
              <w:right w:val="nil"/>
            </w:tcBorders>
            <w:shd w:val="clear" w:color="auto" w:fill="auto"/>
            <w:noWrap/>
            <w:vAlign w:val="center"/>
            <w:hideMark/>
          </w:tcPr>
          <w:p w14:paraId="218975B0"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2 695,00</w:t>
            </w:r>
          </w:p>
        </w:tc>
        <w:tc>
          <w:tcPr>
            <w:tcW w:w="429" w:type="pct"/>
            <w:tcBorders>
              <w:top w:val="nil"/>
              <w:left w:val="single" w:sz="4" w:space="0" w:color="auto"/>
              <w:bottom w:val="nil"/>
              <w:right w:val="nil"/>
            </w:tcBorders>
            <w:shd w:val="clear" w:color="auto" w:fill="auto"/>
            <w:noWrap/>
            <w:vAlign w:val="center"/>
            <w:hideMark/>
          </w:tcPr>
          <w:p w14:paraId="317495C3"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9 272,20</w:t>
            </w:r>
          </w:p>
        </w:tc>
      </w:tr>
      <w:tr w:rsidR="001D3A52" w:rsidRPr="00303386" w14:paraId="7EF25CC9" w14:textId="77777777" w:rsidTr="00172038">
        <w:trPr>
          <w:trHeight w:val="300"/>
          <w:tblHeader/>
        </w:trPr>
        <w:tc>
          <w:tcPr>
            <w:tcW w:w="2041" w:type="pct"/>
            <w:tcBorders>
              <w:top w:val="nil"/>
              <w:left w:val="nil"/>
              <w:bottom w:val="nil"/>
              <w:right w:val="single" w:sz="4" w:space="0" w:color="auto"/>
            </w:tcBorders>
            <w:shd w:val="clear" w:color="auto" w:fill="auto"/>
            <w:noWrap/>
            <w:vAlign w:val="center"/>
            <w:hideMark/>
          </w:tcPr>
          <w:p w14:paraId="49F8C822" w14:textId="77777777" w:rsidR="001D3A52" w:rsidRPr="00303386" w:rsidRDefault="001D3A52" w:rsidP="00172038">
            <w:pPr>
              <w:spacing w:after="0" w:line="240" w:lineRule="auto"/>
              <w:rPr>
                <w:rFonts w:eastAsia="Times New Roman" w:cstheme="minorHAnsi"/>
                <w:color w:val="000000"/>
                <w:sz w:val="16"/>
                <w:szCs w:val="16"/>
                <w:lang w:eastAsia="cs-CZ"/>
              </w:rPr>
            </w:pPr>
            <w:r w:rsidRPr="00303386">
              <w:rPr>
                <w:rFonts w:eastAsia="Times New Roman" w:cstheme="minorHAnsi"/>
                <w:color w:val="000000"/>
                <w:sz w:val="16"/>
                <w:szCs w:val="16"/>
                <w:lang w:eastAsia="cs-CZ"/>
              </w:rPr>
              <w:t>7.2 Podpora digitalizace energetiky</w:t>
            </w:r>
          </w:p>
        </w:tc>
        <w:tc>
          <w:tcPr>
            <w:tcW w:w="361" w:type="pct"/>
            <w:tcBorders>
              <w:top w:val="nil"/>
              <w:left w:val="nil"/>
              <w:bottom w:val="nil"/>
              <w:right w:val="nil"/>
            </w:tcBorders>
            <w:shd w:val="clear" w:color="auto" w:fill="auto"/>
            <w:noWrap/>
            <w:vAlign w:val="center"/>
            <w:hideMark/>
          </w:tcPr>
          <w:p w14:paraId="68229551"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11C743E2"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2483E775"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73532960"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586738B7"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120,00</w:t>
            </w:r>
          </w:p>
        </w:tc>
        <w:tc>
          <w:tcPr>
            <w:tcW w:w="361" w:type="pct"/>
            <w:tcBorders>
              <w:top w:val="nil"/>
              <w:left w:val="nil"/>
              <w:bottom w:val="nil"/>
              <w:right w:val="nil"/>
            </w:tcBorders>
            <w:shd w:val="clear" w:color="auto" w:fill="auto"/>
            <w:noWrap/>
            <w:vAlign w:val="center"/>
            <w:hideMark/>
          </w:tcPr>
          <w:p w14:paraId="0AF7B39A"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680,00</w:t>
            </w:r>
          </w:p>
        </w:tc>
        <w:tc>
          <w:tcPr>
            <w:tcW w:w="361" w:type="pct"/>
            <w:tcBorders>
              <w:top w:val="nil"/>
              <w:left w:val="nil"/>
              <w:bottom w:val="nil"/>
              <w:right w:val="nil"/>
            </w:tcBorders>
            <w:shd w:val="clear" w:color="auto" w:fill="auto"/>
            <w:noWrap/>
            <w:vAlign w:val="center"/>
            <w:hideMark/>
          </w:tcPr>
          <w:p w14:paraId="5BB1DCBB"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429" w:type="pct"/>
            <w:tcBorders>
              <w:top w:val="nil"/>
              <w:left w:val="single" w:sz="4" w:space="0" w:color="auto"/>
              <w:bottom w:val="nil"/>
              <w:right w:val="nil"/>
            </w:tcBorders>
            <w:shd w:val="clear" w:color="auto" w:fill="auto"/>
            <w:noWrap/>
            <w:vAlign w:val="center"/>
            <w:hideMark/>
          </w:tcPr>
          <w:p w14:paraId="516DDE34"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800,00</w:t>
            </w:r>
          </w:p>
        </w:tc>
      </w:tr>
      <w:tr w:rsidR="001D3A52" w:rsidRPr="00303386" w14:paraId="76AF22D0" w14:textId="77777777" w:rsidTr="00172038">
        <w:trPr>
          <w:trHeight w:val="300"/>
          <w:tblHeader/>
        </w:trPr>
        <w:tc>
          <w:tcPr>
            <w:tcW w:w="2041" w:type="pct"/>
            <w:tcBorders>
              <w:top w:val="nil"/>
              <w:left w:val="nil"/>
              <w:bottom w:val="nil"/>
              <w:right w:val="single" w:sz="4" w:space="0" w:color="auto"/>
            </w:tcBorders>
            <w:shd w:val="clear" w:color="auto" w:fill="auto"/>
            <w:noWrap/>
            <w:vAlign w:val="center"/>
            <w:hideMark/>
          </w:tcPr>
          <w:p w14:paraId="32DE7A70" w14:textId="77777777" w:rsidR="001D3A52" w:rsidRPr="00303386" w:rsidRDefault="001D3A52" w:rsidP="00172038">
            <w:pPr>
              <w:spacing w:after="0" w:line="240" w:lineRule="auto"/>
              <w:rPr>
                <w:rFonts w:eastAsia="Times New Roman" w:cstheme="minorHAnsi"/>
                <w:color w:val="000000"/>
                <w:sz w:val="16"/>
                <w:szCs w:val="16"/>
                <w:lang w:eastAsia="cs-CZ"/>
              </w:rPr>
            </w:pPr>
            <w:r w:rsidRPr="00303386">
              <w:rPr>
                <w:rFonts w:eastAsia="Times New Roman" w:cstheme="minorHAnsi"/>
                <w:color w:val="000000"/>
                <w:sz w:val="16"/>
                <w:szCs w:val="16"/>
                <w:lang w:eastAsia="cs-CZ"/>
              </w:rPr>
              <w:t>7.3 Komplexní reforma poradenství</w:t>
            </w:r>
          </w:p>
        </w:tc>
        <w:tc>
          <w:tcPr>
            <w:tcW w:w="361" w:type="pct"/>
            <w:tcBorders>
              <w:top w:val="nil"/>
              <w:left w:val="nil"/>
              <w:bottom w:val="nil"/>
              <w:right w:val="nil"/>
            </w:tcBorders>
            <w:shd w:val="clear" w:color="auto" w:fill="auto"/>
            <w:noWrap/>
            <w:vAlign w:val="center"/>
            <w:hideMark/>
          </w:tcPr>
          <w:p w14:paraId="1C0BF86D"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124629FE"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28C5B830"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4437C4C8"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500,00</w:t>
            </w:r>
          </w:p>
        </w:tc>
        <w:tc>
          <w:tcPr>
            <w:tcW w:w="361" w:type="pct"/>
            <w:tcBorders>
              <w:top w:val="nil"/>
              <w:left w:val="nil"/>
              <w:bottom w:val="nil"/>
              <w:right w:val="nil"/>
            </w:tcBorders>
            <w:shd w:val="clear" w:color="auto" w:fill="auto"/>
            <w:noWrap/>
            <w:vAlign w:val="center"/>
            <w:hideMark/>
          </w:tcPr>
          <w:p w14:paraId="2A85011A"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1 500,00</w:t>
            </w:r>
          </w:p>
        </w:tc>
        <w:tc>
          <w:tcPr>
            <w:tcW w:w="361" w:type="pct"/>
            <w:tcBorders>
              <w:top w:val="nil"/>
              <w:left w:val="nil"/>
              <w:bottom w:val="nil"/>
              <w:right w:val="nil"/>
            </w:tcBorders>
            <w:shd w:val="clear" w:color="auto" w:fill="auto"/>
            <w:noWrap/>
            <w:vAlign w:val="center"/>
            <w:hideMark/>
          </w:tcPr>
          <w:p w14:paraId="4B88111F"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1 500,00</w:t>
            </w:r>
          </w:p>
        </w:tc>
        <w:tc>
          <w:tcPr>
            <w:tcW w:w="361" w:type="pct"/>
            <w:tcBorders>
              <w:top w:val="nil"/>
              <w:left w:val="nil"/>
              <w:bottom w:val="nil"/>
              <w:right w:val="nil"/>
            </w:tcBorders>
            <w:shd w:val="clear" w:color="auto" w:fill="auto"/>
            <w:noWrap/>
            <w:vAlign w:val="center"/>
            <w:hideMark/>
          </w:tcPr>
          <w:p w14:paraId="3E05A176"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500,00</w:t>
            </w:r>
          </w:p>
        </w:tc>
        <w:tc>
          <w:tcPr>
            <w:tcW w:w="429" w:type="pct"/>
            <w:tcBorders>
              <w:top w:val="nil"/>
              <w:left w:val="single" w:sz="4" w:space="0" w:color="auto"/>
              <w:bottom w:val="nil"/>
              <w:right w:val="nil"/>
            </w:tcBorders>
            <w:shd w:val="clear" w:color="auto" w:fill="auto"/>
            <w:noWrap/>
            <w:vAlign w:val="center"/>
            <w:hideMark/>
          </w:tcPr>
          <w:p w14:paraId="7910057A"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4 000,00</w:t>
            </w:r>
          </w:p>
        </w:tc>
      </w:tr>
      <w:tr w:rsidR="001D3A52" w:rsidRPr="00303386" w14:paraId="46E6778F" w14:textId="77777777" w:rsidTr="00172038">
        <w:trPr>
          <w:trHeight w:val="300"/>
          <w:tblHeader/>
        </w:trPr>
        <w:tc>
          <w:tcPr>
            <w:tcW w:w="2041" w:type="pct"/>
            <w:tcBorders>
              <w:top w:val="nil"/>
              <w:left w:val="nil"/>
              <w:bottom w:val="nil"/>
              <w:right w:val="single" w:sz="4" w:space="0" w:color="auto"/>
            </w:tcBorders>
            <w:shd w:val="clear" w:color="auto" w:fill="auto"/>
            <w:noWrap/>
            <w:vAlign w:val="center"/>
            <w:hideMark/>
          </w:tcPr>
          <w:p w14:paraId="37D76B64" w14:textId="77777777" w:rsidR="001D3A52" w:rsidRPr="00303386" w:rsidRDefault="001D3A52" w:rsidP="00172038">
            <w:pPr>
              <w:spacing w:after="0" w:line="240" w:lineRule="auto"/>
              <w:rPr>
                <w:rFonts w:eastAsia="Times New Roman" w:cstheme="minorHAnsi"/>
                <w:color w:val="000000"/>
                <w:sz w:val="16"/>
                <w:szCs w:val="16"/>
                <w:lang w:eastAsia="cs-CZ"/>
              </w:rPr>
            </w:pPr>
            <w:r w:rsidRPr="00303386">
              <w:rPr>
                <w:rFonts w:eastAsia="Times New Roman" w:cstheme="minorHAnsi"/>
                <w:color w:val="000000"/>
                <w:sz w:val="16"/>
                <w:szCs w:val="16"/>
                <w:lang w:eastAsia="cs-CZ"/>
              </w:rPr>
              <w:t>7.4 Adaptace školních programů</w:t>
            </w:r>
          </w:p>
        </w:tc>
        <w:tc>
          <w:tcPr>
            <w:tcW w:w="361" w:type="pct"/>
            <w:tcBorders>
              <w:top w:val="nil"/>
              <w:left w:val="nil"/>
              <w:bottom w:val="nil"/>
              <w:right w:val="nil"/>
            </w:tcBorders>
            <w:shd w:val="clear" w:color="auto" w:fill="auto"/>
            <w:noWrap/>
            <w:vAlign w:val="center"/>
            <w:hideMark/>
          </w:tcPr>
          <w:p w14:paraId="5E3FAF79"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4C3B8E1F"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23C81AF2"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4EBE8E07"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400,00</w:t>
            </w:r>
          </w:p>
        </w:tc>
        <w:tc>
          <w:tcPr>
            <w:tcW w:w="361" w:type="pct"/>
            <w:tcBorders>
              <w:top w:val="nil"/>
              <w:left w:val="nil"/>
              <w:bottom w:val="nil"/>
              <w:right w:val="nil"/>
            </w:tcBorders>
            <w:shd w:val="clear" w:color="auto" w:fill="auto"/>
            <w:noWrap/>
            <w:vAlign w:val="center"/>
            <w:hideMark/>
          </w:tcPr>
          <w:p w14:paraId="7F5B93C2"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250,00</w:t>
            </w:r>
          </w:p>
        </w:tc>
        <w:tc>
          <w:tcPr>
            <w:tcW w:w="361" w:type="pct"/>
            <w:tcBorders>
              <w:top w:val="nil"/>
              <w:left w:val="nil"/>
              <w:bottom w:val="nil"/>
              <w:right w:val="nil"/>
            </w:tcBorders>
            <w:shd w:val="clear" w:color="auto" w:fill="auto"/>
            <w:noWrap/>
            <w:vAlign w:val="center"/>
            <w:hideMark/>
          </w:tcPr>
          <w:p w14:paraId="774064EC"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350,00</w:t>
            </w:r>
          </w:p>
        </w:tc>
        <w:tc>
          <w:tcPr>
            <w:tcW w:w="361" w:type="pct"/>
            <w:tcBorders>
              <w:top w:val="nil"/>
              <w:left w:val="nil"/>
              <w:bottom w:val="nil"/>
              <w:right w:val="nil"/>
            </w:tcBorders>
            <w:shd w:val="clear" w:color="auto" w:fill="auto"/>
            <w:noWrap/>
            <w:vAlign w:val="center"/>
            <w:hideMark/>
          </w:tcPr>
          <w:p w14:paraId="7C6C9DDA"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429" w:type="pct"/>
            <w:tcBorders>
              <w:top w:val="nil"/>
              <w:left w:val="single" w:sz="4" w:space="0" w:color="auto"/>
              <w:bottom w:val="nil"/>
              <w:right w:val="nil"/>
            </w:tcBorders>
            <w:shd w:val="clear" w:color="auto" w:fill="auto"/>
            <w:noWrap/>
            <w:vAlign w:val="center"/>
            <w:hideMark/>
          </w:tcPr>
          <w:p w14:paraId="6DF0B897"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1 000,00</w:t>
            </w:r>
          </w:p>
        </w:tc>
      </w:tr>
      <w:tr w:rsidR="001D3A52" w:rsidRPr="00303386" w14:paraId="63D50757" w14:textId="77777777" w:rsidTr="00172038">
        <w:trPr>
          <w:trHeight w:val="300"/>
          <w:tblHeader/>
        </w:trPr>
        <w:tc>
          <w:tcPr>
            <w:tcW w:w="2041" w:type="pct"/>
            <w:tcBorders>
              <w:top w:val="nil"/>
              <w:left w:val="nil"/>
              <w:bottom w:val="nil"/>
              <w:right w:val="single" w:sz="4" w:space="0" w:color="auto"/>
            </w:tcBorders>
            <w:shd w:val="clear" w:color="auto" w:fill="auto"/>
            <w:noWrap/>
            <w:vAlign w:val="center"/>
            <w:hideMark/>
          </w:tcPr>
          <w:p w14:paraId="128588C9" w14:textId="77777777" w:rsidR="001D3A52" w:rsidRPr="00303386" w:rsidRDefault="001D3A52" w:rsidP="00172038">
            <w:pPr>
              <w:spacing w:after="0" w:line="240" w:lineRule="auto"/>
              <w:rPr>
                <w:rFonts w:eastAsia="Times New Roman" w:cstheme="minorHAnsi"/>
                <w:color w:val="000000"/>
                <w:sz w:val="16"/>
                <w:szCs w:val="16"/>
                <w:lang w:eastAsia="cs-CZ"/>
              </w:rPr>
            </w:pPr>
            <w:r w:rsidRPr="00303386">
              <w:rPr>
                <w:rFonts w:eastAsia="Times New Roman" w:cstheme="minorHAnsi"/>
                <w:color w:val="000000"/>
                <w:sz w:val="16"/>
                <w:szCs w:val="16"/>
                <w:lang w:eastAsia="cs-CZ"/>
              </w:rPr>
              <w:t>7.5 Dekarbonizace dopravy</w:t>
            </w:r>
          </w:p>
        </w:tc>
        <w:tc>
          <w:tcPr>
            <w:tcW w:w="361" w:type="pct"/>
            <w:tcBorders>
              <w:top w:val="nil"/>
              <w:left w:val="nil"/>
              <w:bottom w:val="nil"/>
              <w:right w:val="nil"/>
            </w:tcBorders>
            <w:shd w:val="clear" w:color="auto" w:fill="auto"/>
            <w:noWrap/>
            <w:vAlign w:val="center"/>
            <w:hideMark/>
          </w:tcPr>
          <w:p w14:paraId="27DD46B6"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6EEE76BA"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4D4DA9C4"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3776A922"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5E434A87"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253,30</w:t>
            </w:r>
          </w:p>
        </w:tc>
        <w:tc>
          <w:tcPr>
            <w:tcW w:w="361" w:type="pct"/>
            <w:tcBorders>
              <w:top w:val="nil"/>
              <w:left w:val="nil"/>
              <w:bottom w:val="nil"/>
              <w:right w:val="nil"/>
            </w:tcBorders>
            <w:shd w:val="clear" w:color="auto" w:fill="auto"/>
            <w:noWrap/>
            <w:vAlign w:val="center"/>
            <w:hideMark/>
          </w:tcPr>
          <w:p w14:paraId="568EFA54"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253,30</w:t>
            </w:r>
          </w:p>
        </w:tc>
        <w:tc>
          <w:tcPr>
            <w:tcW w:w="361" w:type="pct"/>
            <w:tcBorders>
              <w:top w:val="nil"/>
              <w:left w:val="nil"/>
              <w:bottom w:val="nil"/>
              <w:right w:val="nil"/>
            </w:tcBorders>
            <w:shd w:val="clear" w:color="auto" w:fill="auto"/>
            <w:noWrap/>
            <w:vAlign w:val="center"/>
            <w:hideMark/>
          </w:tcPr>
          <w:p w14:paraId="462647D3"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253,40</w:t>
            </w:r>
          </w:p>
        </w:tc>
        <w:tc>
          <w:tcPr>
            <w:tcW w:w="429" w:type="pct"/>
            <w:tcBorders>
              <w:top w:val="nil"/>
              <w:left w:val="single" w:sz="4" w:space="0" w:color="auto"/>
              <w:bottom w:val="nil"/>
              <w:right w:val="nil"/>
            </w:tcBorders>
            <w:shd w:val="clear" w:color="auto" w:fill="auto"/>
            <w:noWrap/>
            <w:vAlign w:val="center"/>
            <w:hideMark/>
          </w:tcPr>
          <w:p w14:paraId="459E454A"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760,00</w:t>
            </w:r>
          </w:p>
        </w:tc>
      </w:tr>
      <w:tr w:rsidR="001D3A52" w:rsidRPr="00303386" w14:paraId="4086AE2D" w14:textId="77777777" w:rsidTr="00172038">
        <w:trPr>
          <w:trHeight w:val="300"/>
          <w:tblHeader/>
        </w:trPr>
        <w:tc>
          <w:tcPr>
            <w:tcW w:w="2041" w:type="pct"/>
            <w:tcBorders>
              <w:top w:val="nil"/>
              <w:left w:val="nil"/>
              <w:bottom w:val="nil"/>
              <w:right w:val="single" w:sz="4" w:space="0" w:color="auto"/>
            </w:tcBorders>
            <w:shd w:val="clear" w:color="auto" w:fill="auto"/>
            <w:noWrap/>
            <w:vAlign w:val="center"/>
            <w:hideMark/>
          </w:tcPr>
          <w:p w14:paraId="7E877E2D" w14:textId="77777777" w:rsidR="001D3A52" w:rsidRPr="00303386" w:rsidRDefault="001D3A52" w:rsidP="00172038">
            <w:pPr>
              <w:spacing w:after="0" w:line="240" w:lineRule="auto"/>
              <w:rPr>
                <w:rFonts w:eastAsia="Times New Roman" w:cstheme="minorHAnsi"/>
                <w:color w:val="000000"/>
                <w:sz w:val="16"/>
                <w:szCs w:val="16"/>
                <w:lang w:eastAsia="cs-CZ"/>
              </w:rPr>
            </w:pPr>
            <w:r w:rsidRPr="00303386">
              <w:rPr>
                <w:rFonts w:eastAsia="Times New Roman" w:cstheme="minorHAnsi"/>
                <w:color w:val="000000"/>
                <w:sz w:val="16"/>
                <w:szCs w:val="16"/>
                <w:lang w:eastAsia="cs-CZ"/>
              </w:rPr>
              <w:t>7.6 Elektrifikace železnic</w:t>
            </w:r>
          </w:p>
        </w:tc>
        <w:tc>
          <w:tcPr>
            <w:tcW w:w="361" w:type="pct"/>
            <w:tcBorders>
              <w:top w:val="nil"/>
              <w:left w:val="nil"/>
              <w:bottom w:val="nil"/>
              <w:right w:val="nil"/>
            </w:tcBorders>
            <w:shd w:val="clear" w:color="auto" w:fill="auto"/>
            <w:noWrap/>
            <w:vAlign w:val="center"/>
            <w:hideMark/>
          </w:tcPr>
          <w:p w14:paraId="2F0081EE"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41854B6C"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31AB3E69"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11860343"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5D37CEE5"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410911D1"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13FD449D"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1 318,00</w:t>
            </w:r>
          </w:p>
        </w:tc>
        <w:tc>
          <w:tcPr>
            <w:tcW w:w="429" w:type="pct"/>
            <w:tcBorders>
              <w:top w:val="nil"/>
              <w:left w:val="single" w:sz="4" w:space="0" w:color="auto"/>
              <w:bottom w:val="nil"/>
              <w:right w:val="nil"/>
            </w:tcBorders>
            <w:shd w:val="clear" w:color="auto" w:fill="auto"/>
            <w:noWrap/>
            <w:vAlign w:val="center"/>
            <w:hideMark/>
          </w:tcPr>
          <w:p w14:paraId="763DEBA9"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1 318,00</w:t>
            </w:r>
          </w:p>
        </w:tc>
      </w:tr>
      <w:tr w:rsidR="001D3A52" w:rsidRPr="00303386" w14:paraId="170D1A9A" w14:textId="77777777" w:rsidTr="00172038">
        <w:trPr>
          <w:trHeight w:val="300"/>
          <w:tblHeader/>
        </w:trPr>
        <w:tc>
          <w:tcPr>
            <w:tcW w:w="2041" w:type="pct"/>
            <w:tcBorders>
              <w:top w:val="nil"/>
              <w:left w:val="nil"/>
              <w:bottom w:val="nil"/>
              <w:right w:val="single" w:sz="4" w:space="0" w:color="auto"/>
            </w:tcBorders>
            <w:shd w:val="clear" w:color="auto" w:fill="auto"/>
            <w:noWrap/>
            <w:vAlign w:val="center"/>
            <w:hideMark/>
          </w:tcPr>
          <w:p w14:paraId="09D4D0E3" w14:textId="77777777" w:rsidR="001D3A52" w:rsidRPr="00303386" w:rsidRDefault="001D3A52" w:rsidP="00172038">
            <w:pPr>
              <w:spacing w:after="0" w:line="240" w:lineRule="auto"/>
              <w:rPr>
                <w:rFonts w:eastAsia="Times New Roman" w:cstheme="minorHAnsi"/>
                <w:color w:val="000000"/>
                <w:sz w:val="16"/>
                <w:szCs w:val="16"/>
                <w:lang w:eastAsia="cs-CZ"/>
              </w:rPr>
            </w:pPr>
            <w:r w:rsidRPr="00303386">
              <w:rPr>
                <w:rFonts w:eastAsia="Times New Roman" w:cstheme="minorHAnsi"/>
                <w:color w:val="000000"/>
                <w:sz w:val="16"/>
                <w:szCs w:val="16"/>
                <w:lang w:eastAsia="cs-CZ"/>
              </w:rPr>
              <w:t>7.7 Zjednodušení rozhodovacích procesů</w:t>
            </w:r>
          </w:p>
        </w:tc>
        <w:tc>
          <w:tcPr>
            <w:tcW w:w="361" w:type="pct"/>
            <w:tcBorders>
              <w:top w:val="nil"/>
              <w:left w:val="nil"/>
              <w:bottom w:val="nil"/>
              <w:right w:val="nil"/>
            </w:tcBorders>
            <w:shd w:val="clear" w:color="auto" w:fill="auto"/>
            <w:noWrap/>
            <w:vAlign w:val="center"/>
            <w:hideMark/>
          </w:tcPr>
          <w:p w14:paraId="445E5474"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71DAC49F"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70B609D6"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0,00</w:t>
            </w:r>
          </w:p>
        </w:tc>
        <w:tc>
          <w:tcPr>
            <w:tcW w:w="361" w:type="pct"/>
            <w:tcBorders>
              <w:top w:val="nil"/>
              <w:left w:val="nil"/>
              <w:bottom w:val="nil"/>
              <w:right w:val="nil"/>
            </w:tcBorders>
            <w:shd w:val="clear" w:color="auto" w:fill="auto"/>
            <w:noWrap/>
            <w:vAlign w:val="center"/>
            <w:hideMark/>
          </w:tcPr>
          <w:p w14:paraId="12A43D2C"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28,00</w:t>
            </w:r>
          </w:p>
        </w:tc>
        <w:tc>
          <w:tcPr>
            <w:tcW w:w="361" w:type="pct"/>
            <w:tcBorders>
              <w:top w:val="nil"/>
              <w:left w:val="nil"/>
              <w:bottom w:val="nil"/>
              <w:right w:val="nil"/>
            </w:tcBorders>
            <w:shd w:val="clear" w:color="auto" w:fill="auto"/>
            <w:noWrap/>
            <w:vAlign w:val="center"/>
            <w:hideMark/>
          </w:tcPr>
          <w:p w14:paraId="41CB8026"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66,30</w:t>
            </w:r>
          </w:p>
        </w:tc>
        <w:tc>
          <w:tcPr>
            <w:tcW w:w="361" w:type="pct"/>
            <w:tcBorders>
              <w:top w:val="nil"/>
              <w:left w:val="nil"/>
              <w:bottom w:val="nil"/>
              <w:right w:val="nil"/>
            </w:tcBorders>
            <w:shd w:val="clear" w:color="auto" w:fill="auto"/>
            <w:noWrap/>
            <w:vAlign w:val="center"/>
            <w:hideMark/>
          </w:tcPr>
          <w:p w14:paraId="3700105D"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109,30</w:t>
            </w:r>
          </w:p>
        </w:tc>
        <w:tc>
          <w:tcPr>
            <w:tcW w:w="361" w:type="pct"/>
            <w:tcBorders>
              <w:top w:val="nil"/>
              <w:left w:val="nil"/>
              <w:bottom w:val="nil"/>
              <w:right w:val="nil"/>
            </w:tcBorders>
            <w:shd w:val="clear" w:color="auto" w:fill="auto"/>
            <w:noWrap/>
            <w:vAlign w:val="center"/>
            <w:hideMark/>
          </w:tcPr>
          <w:p w14:paraId="1880A278" w14:textId="77777777" w:rsidR="001D3A52" w:rsidRPr="00303386" w:rsidRDefault="001D3A52" w:rsidP="00172038">
            <w:pPr>
              <w:spacing w:after="0" w:line="240" w:lineRule="auto"/>
              <w:jc w:val="right"/>
              <w:rPr>
                <w:rFonts w:eastAsia="Times New Roman" w:cstheme="minorHAnsi"/>
                <w:color w:val="000000"/>
                <w:sz w:val="16"/>
                <w:szCs w:val="16"/>
                <w:lang w:eastAsia="cs-CZ"/>
              </w:rPr>
            </w:pPr>
            <w:r w:rsidRPr="00303386">
              <w:rPr>
                <w:rFonts w:eastAsia="Times New Roman" w:cstheme="minorHAnsi"/>
                <w:color w:val="000000"/>
                <w:sz w:val="16"/>
                <w:szCs w:val="16"/>
                <w:lang w:eastAsia="cs-CZ"/>
              </w:rPr>
              <w:t>107,50</w:t>
            </w:r>
          </w:p>
        </w:tc>
        <w:tc>
          <w:tcPr>
            <w:tcW w:w="429" w:type="pct"/>
            <w:tcBorders>
              <w:top w:val="nil"/>
              <w:left w:val="single" w:sz="4" w:space="0" w:color="auto"/>
              <w:bottom w:val="nil"/>
              <w:right w:val="nil"/>
            </w:tcBorders>
            <w:shd w:val="clear" w:color="auto" w:fill="auto"/>
            <w:noWrap/>
            <w:vAlign w:val="center"/>
            <w:hideMark/>
          </w:tcPr>
          <w:p w14:paraId="19E5918A" w14:textId="77777777" w:rsidR="001D3A52" w:rsidRPr="00303386" w:rsidRDefault="001D3A52" w:rsidP="00172038">
            <w:pPr>
              <w:spacing w:after="0" w:line="240" w:lineRule="auto"/>
              <w:jc w:val="right"/>
              <w:rPr>
                <w:rFonts w:eastAsia="Times New Roman" w:cstheme="minorHAnsi"/>
                <w:b/>
                <w:bCs/>
                <w:color w:val="000000"/>
                <w:sz w:val="16"/>
                <w:szCs w:val="16"/>
                <w:lang w:eastAsia="cs-CZ"/>
              </w:rPr>
            </w:pPr>
            <w:r w:rsidRPr="00303386">
              <w:rPr>
                <w:rFonts w:eastAsia="Times New Roman" w:cstheme="minorHAnsi"/>
                <w:b/>
                <w:bCs/>
                <w:color w:val="000000"/>
                <w:sz w:val="16"/>
                <w:szCs w:val="16"/>
                <w:lang w:eastAsia="cs-CZ"/>
              </w:rPr>
              <w:t>311,10</w:t>
            </w:r>
          </w:p>
        </w:tc>
      </w:tr>
    </w:tbl>
    <w:p w14:paraId="2FFC783B" w14:textId="554F379D" w:rsidR="001F5332" w:rsidRDefault="001F5332" w:rsidP="00252410">
      <w:pPr>
        <w:pStyle w:val="Zdrojpodtabulkounebografem"/>
        <w:spacing w:after="0"/>
      </w:pPr>
      <w:r w:rsidRPr="00C313D7">
        <w:t xml:space="preserve"> </w:t>
      </w:r>
      <w:r w:rsidRPr="0028134D">
        <w:t>Zdroj: NPO.</w:t>
      </w:r>
    </w:p>
    <w:p w14:paraId="625E0AC7" w14:textId="4CD054CD" w:rsidR="00CA4665" w:rsidRDefault="00CA4665" w:rsidP="00252410">
      <w:pPr>
        <w:spacing w:after="0"/>
        <w:rPr>
          <w:i/>
          <w:iCs/>
          <w:sz w:val="16"/>
          <w:szCs w:val="16"/>
          <w:lang w:eastAsia="cs-CZ"/>
        </w:rPr>
      </w:pPr>
    </w:p>
    <w:p w14:paraId="30F0779F" w14:textId="77777777" w:rsidR="00252410" w:rsidRPr="00252410" w:rsidRDefault="00252410" w:rsidP="00252410">
      <w:pPr>
        <w:spacing w:after="0"/>
        <w:rPr>
          <w:i/>
          <w:iCs/>
          <w:sz w:val="16"/>
          <w:szCs w:val="16"/>
          <w:lang w:eastAsia="cs-CZ"/>
        </w:rPr>
      </w:pPr>
    </w:p>
    <w:p w14:paraId="039D3EDD" w14:textId="1DE52C5F" w:rsidR="001F5332" w:rsidRDefault="001F5332" w:rsidP="001F5332">
      <w:pPr>
        <w:jc w:val="both"/>
      </w:pPr>
      <w:r>
        <w:t>Vzhledem k</w:t>
      </w:r>
      <w:r w:rsidR="0003053E">
        <w:t> </w:t>
      </w:r>
      <w:r>
        <w:t>tomu, že investice na projekty se v</w:t>
      </w:r>
      <w:r w:rsidR="0003053E">
        <w:t> </w:t>
      </w:r>
      <w:r>
        <w:t>rámci tohoto pilíře rozbíhají od roku 2023, resp. 2024, dopady jsou patrné teprve ve střednědobém horizontu. Zatímco v</w:t>
      </w:r>
      <w:r w:rsidR="0003053E">
        <w:t> </w:t>
      </w:r>
      <w:r>
        <w:t>případě HDP jsou dopady trvalejšího charakteru vlivem investic do technologií a</w:t>
      </w:r>
      <w:r w:rsidR="0003053E">
        <w:t> </w:t>
      </w:r>
      <w:r>
        <w:t>rozvoje infrastruktury, pozitivní dopad do zaměstnanosti má spíše omezené trvání, neboť nejvíce dodatečné zaměstnanosti je využito především na stavební činnosti.</w:t>
      </w:r>
    </w:p>
    <w:p w14:paraId="42814614" w14:textId="63F1AB8D" w:rsidR="001F5332" w:rsidRDefault="001F5332" w:rsidP="001F5332">
      <w:pPr>
        <w:pStyle w:val="Titulek"/>
        <w:keepNext/>
        <w:spacing w:after="120"/>
      </w:pPr>
      <w:bookmarkStart w:id="323" w:name="_Toc151444606"/>
      <w:r>
        <w:lastRenderedPageBreak/>
        <w:t xml:space="preserve">Tabulka </w:t>
      </w:r>
      <w:r>
        <w:fldChar w:fldCharType="begin"/>
      </w:r>
      <w:r>
        <w:instrText xml:space="preserve"> SEQ Tabulka \* ARABIC </w:instrText>
      </w:r>
      <w:r>
        <w:fldChar w:fldCharType="separate"/>
      </w:r>
      <w:r w:rsidR="00E25A73">
        <w:t>21</w:t>
      </w:r>
      <w:r>
        <w:fldChar w:fldCharType="end"/>
      </w:r>
      <w:r>
        <w:t>: Makroekonomické dopady 7. pilíře – REPowerEU</w:t>
      </w:r>
      <w:bookmarkEnd w:id="323"/>
    </w:p>
    <w:p w14:paraId="746A4408" w14:textId="32DCA4BB" w:rsidR="001F5332" w:rsidRDefault="001F5332" w:rsidP="001F5332">
      <w:pPr>
        <w:pStyle w:val="Tabulkaagraf"/>
      </w:pPr>
      <w:r>
        <w:t>% HDP, % zaměstnanosti</w:t>
      </w:r>
    </w:p>
    <w:tbl>
      <w:tblPr>
        <w:tblW w:w="9209" w:type="dxa"/>
        <w:tblCellMar>
          <w:left w:w="70" w:type="dxa"/>
          <w:right w:w="70" w:type="dxa"/>
        </w:tblCellMar>
        <w:tblLook w:val="04A0" w:firstRow="1" w:lastRow="0" w:firstColumn="1" w:lastColumn="0" w:noHBand="0" w:noVBand="1"/>
      </w:tblPr>
      <w:tblGrid>
        <w:gridCol w:w="3964"/>
        <w:gridCol w:w="851"/>
        <w:gridCol w:w="776"/>
        <w:gridCol w:w="857"/>
        <w:gridCol w:w="918"/>
        <w:gridCol w:w="851"/>
        <w:gridCol w:w="992"/>
      </w:tblGrid>
      <w:tr w:rsidR="001D3A52" w:rsidRPr="001D3A52" w14:paraId="53688BE9" w14:textId="77777777" w:rsidTr="00E25A73">
        <w:trPr>
          <w:trHeight w:val="300"/>
        </w:trPr>
        <w:tc>
          <w:tcPr>
            <w:tcW w:w="3964" w:type="dxa"/>
            <w:vMerge w:val="restart"/>
            <w:tcBorders>
              <w:top w:val="single" w:sz="4" w:space="0" w:color="auto"/>
              <w:left w:val="single" w:sz="4" w:space="0" w:color="auto"/>
              <w:bottom w:val="single" w:sz="4" w:space="0" w:color="000000"/>
              <w:right w:val="single" w:sz="4" w:space="0" w:color="auto"/>
            </w:tcBorders>
            <w:shd w:val="clear" w:color="000000" w:fill="D9E1F2"/>
            <w:noWrap/>
            <w:vAlign w:val="center"/>
            <w:hideMark/>
          </w:tcPr>
          <w:p w14:paraId="2FF51C5F" w14:textId="77777777" w:rsidR="001D3A52" w:rsidRPr="001D3A52" w:rsidRDefault="001D3A52" w:rsidP="001D3A52">
            <w:pPr>
              <w:spacing w:after="0" w:line="240" w:lineRule="auto"/>
              <w:jc w:val="center"/>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 </w:t>
            </w:r>
          </w:p>
        </w:tc>
        <w:tc>
          <w:tcPr>
            <w:tcW w:w="2484" w:type="dxa"/>
            <w:gridSpan w:val="3"/>
            <w:tcBorders>
              <w:top w:val="single" w:sz="4" w:space="0" w:color="auto"/>
              <w:left w:val="nil"/>
              <w:bottom w:val="nil"/>
              <w:right w:val="single" w:sz="4" w:space="0" w:color="000000"/>
            </w:tcBorders>
            <w:shd w:val="clear" w:color="000000" w:fill="D9E1F2"/>
            <w:noWrap/>
            <w:vAlign w:val="center"/>
            <w:hideMark/>
          </w:tcPr>
          <w:p w14:paraId="694E3F5A" w14:textId="77777777" w:rsidR="001D3A52" w:rsidRPr="001D3A52" w:rsidRDefault="001D3A52" w:rsidP="001D3A52">
            <w:pPr>
              <w:spacing w:after="0" w:line="240" w:lineRule="auto"/>
              <w:jc w:val="center"/>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HDP</w:t>
            </w:r>
          </w:p>
        </w:tc>
        <w:tc>
          <w:tcPr>
            <w:tcW w:w="2761" w:type="dxa"/>
            <w:gridSpan w:val="3"/>
            <w:tcBorders>
              <w:top w:val="single" w:sz="4" w:space="0" w:color="auto"/>
              <w:left w:val="nil"/>
              <w:bottom w:val="nil"/>
              <w:right w:val="single" w:sz="4" w:space="0" w:color="000000"/>
            </w:tcBorders>
            <w:shd w:val="clear" w:color="000000" w:fill="D9E1F2"/>
            <w:noWrap/>
            <w:vAlign w:val="center"/>
            <w:hideMark/>
          </w:tcPr>
          <w:p w14:paraId="79E14D89" w14:textId="77777777" w:rsidR="001D3A52" w:rsidRPr="001D3A52" w:rsidRDefault="001D3A52" w:rsidP="001D3A52">
            <w:pPr>
              <w:spacing w:after="0" w:line="240" w:lineRule="auto"/>
              <w:jc w:val="center"/>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Zaměstnanost</w:t>
            </w:r>
          </w:p>
        </w:tc>
      </w:tr>
      <w:tr w:rsidR="00E25A73" w:rsidRPr="001D3A52" w14:paraId="4744A81F" w14:textId="77777777" w:rsidTr="00E25A73">
        <w:trPr>
          <w:trHeight w:val="300"/>
        </w:trPr>
        <w:tc>
          <w:tcPr>
            <w:tcW w:w="3964" w:type="dxa"/>
            <w:vMerge/>
            <w:tcBorders>
              <w:top w:val="single" w:sz="4" w:space="0" w:color="auto"/>
              <w:left w:val="single" w:sz="4" w:space="0" w:color="auto"/>
              <w:bottom w:val="single" w:sz="4" w:space="0" w:color="000000"/>
              <w:right w:val="single" w:sz="4" w:space="0" w:color="auto"/>
            </w:tcBorders>
            <w:vAlign w:val="center"/>
            <w:hideMark/>
          </w:tcPr>
          <w:p w14:paraId="6CCC4F52" w14:textId="77777777" w:rsidR="001D3A52" w:rsidRPr="001D3A52" w:rsidRDefault="001D3A52" w:rsidP="001D3A52">
            <w:pPr>
              <w:spacing w:after="0" w:line="240" w:lineRule="auto"/>
              <w:rPr>
                <w:rFonts w:ascii="Calibri" w:eastAsia="Times New Roman" w:hAnsi="Calibri" w:cs="Calibri"/>
                <w:color w:val="000000"/>
                <w:sz w:val="16"/>
                <w:szCs w:val="16"/>
                <w:lang w:eastAsia="cs-CZ"/>
              </w:rPr>
            </w:pPr>
          </w:p>
        </w:tc>
        <w:tc>
          <w:tcPr>
            <w:tcW w:w="851" w:type="dxa"/>
            <w:tcBorders>
              <w:top w:val="nil"/>
              <w:left w:val="nil"/>
              <w:bottom w:val="single" w:sz="4" w:space="0" w:color="auto"/>
              <w:right w:val="nil"/>
            </w:tcBorders>
            <w:shd w:val="clear" w:color="000000" w:fill="D9E1F2"/>
            <w:noWrap/>
            <w:vAlign w:val="center"/>
            <w:hideMark/>
          </w:tcPr>
          <w:p w14:paraId="750BE948" w14:textId="77777777" w:rsidR="001D3A52" w:rsidRPr="001D3A52" w:rsidRDefault="001D3A52" w:rsidP="001D3A52">
            <w:pPr>
              <w:spacing w:after="0" w:line="240" w:lineRule="auto"/>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2021(t+2)</w:t>
            </w:r>
          </w:p>
        </w:tc>
        <w:tc>
          <w:tcPr>
            <w:tcW w:w="776" w:type="dxa"/>
            <w:tcBorders>
              <w:top w:val="nil"/>
              <w:left w:val="nil"/>
              <w:bottom w:val="single" w:sz="4" w:space="0" w:color="auto"/>
              <w:right w:val="nil"/>
            </w:tcBorders>
            <w:shd w:val="clear" w:color="000000" w:fill="D9E1F2"/>
            <w:noWrap/>
            <w:vAlign w:val="center"/>
            <w:hideMark/>
          </w:tcPr>
          <w:p w14:paraId="65016FF5" w14:textId="77777777" w:rsidR="001D3A52" w:rsidRPr="001D3A52" w:rsidRDefault="001D3A52" w:rsidP="001D3A52">
            <w:pPr>
              <w:spacing w:after="0" w:line="240" w:lineRule="auto"/>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2024(t+5)</w:t>
            </w:r>
          </w:p>
        </w:tc>
        <w:tc>
          <w:tcPr>
            <w:tcW w:w="857" w:type="dxa"/>
            <w:tcBorders>
              <w:top w:val="nil"/>
              <w:left w:val="nil"/>
              <w:bottom w:val="single" w:sz="4" w:space="0" w:color="auto"/>
              <w:right w:val="single" w:sz="4" w:space="0" w:color="auto"/>
            </w:tcBorders>
            <w:shd w:val="clear" w:color="000000" w:fill="D9E1F2"/>
            <w:noWrap/>
            <w:vAlign w:val="center"/>
            <w:hideMark/>
          </w:tcPr>
          <w:p w14:paraId="0330ED23" w14:textId="77777777" w:rsidR="001D3A52" w:rsidRPr="001D3A52" w:rsidRDefault="001D3A52" w:rsidP="001D3A52">
            <w:pPr>
              <w:spacing w:after="0" w:line="240" w:lineRule="auto"/>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2039(t+20)</w:t>
            </w:r>
          </w:p>
        </w:tc>
        <w:tc>
          <w:tcPr>
            <w:tcW w:w="918" w:type="dxa"/>
            <w:tcBorders>
              <w:top w:val="nil"/>
              <w:left w:val="nil"/>
              <w:bottom w:val="single" w:sz="4" w:space="0" w:color="auto"/>
              <w:right w:val="nil"/>
            </w:tcBorders>
            <w:shd w:val="clear" w:color="000000" w:fill="D9E1F2"/>
            <w:noWrap/>
            <w:vAlign w:val="center"/>
            <w:hideMark/>
          </w:tcPr>
          <w:p w14:paraId="0706171C" w14:textId="77777777" w:rsidR="001D3A52" w:rsidRPr="001D3A52" w:rsidRDefault="001D3A52" w:rsidP="001D3A52">
            <w:pPr>
              <w:spacing w:after="0" w:line="240" w:lineRule="auto"/>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2021(t+2)</w:t>
            </w:r>
          </w:p>
        </w:tc>
        <w:tc>
          <w:tcPr>
            <w:tcW w:w="851" w:type="dxa"/>
            <w:tcBorders>
              <w:top w:val="nil"/>
              <w:left w:val="nil"/>
              <w:bottom w:val="single" w:sz="4" w:space="0" w:color="auto"/>
              <w:right w:val="nil"/>
            </w:tcBorders>
            <w:shd w:val="clear" w:color="000000" w:fill="D9E1F2"/>
            <w:noWrap/>
            <w:vAlign w:val="center"/>
            <w:hideMark/>
          </w:tcPr>
          <w:p w14:paraId="0FB133EA" w14:textId="77777777" w:rsidR="001D3A52" w:rsidRPr="001D3A52" w:rsidRDefault="001D3A52" w:rsidP="001D3A52">
            <w:pPr>
              <w:spacing w:after="0" w:line="240" w:lineRule="auto"/>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2024(t+5)</w:t>
            </w:r>
          </w:p>
        </w:tc>
        <w:tc>
          <w:tcPr>
            <w:tcW w:w="992" w:type="dxa"/>
            <w:tcBorders>
              <w:top w:val="nil"/>
              <w:left w:val="nil"/>
              <w:bottom w:val="single" w:sz="4" w:space="0" w:color="auto"/>
              <w:right w:val="single" w:sz="4" w:space="0" w:color="auto"/>
            </w:tcBorders>
            <w:shd w:val="clear" w:color="000000" w:fill="D9E1F2"/>
            <w:noWrap/>
            <w:vAlign w:val="center"/>
            <w:hideMark/>
          </w:tcPr>
          <w:p w14:paraId="1C215EF5" w14:textId="77777777" w:rsidR="001D3A52" w:rsidRPr="001D3A52" w:rsidRDefault="001D3A52" w:rsidP="001D3A52">
            <w:pPr>
              <w:spacing w:after="0" w:line="240" w:lineRule="auto"/>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2039(t+20)</w:t>
            </w:r>
          </w:p>
        </w:tc>
      </w:tr>
      <w:tr w:rsidR="00E25A73" w:rsidRPr="001D3A52" w14:paraId="095FDF54" w14:textId="77777777" w:rsidTr="00E25A73">
        <w:trPr>
          <w:trHeight w:val="300"/>
        </w:trPr>
        <w:tc>
          <w:tcPr>
            <w:tcW w:w="3964" w:type="dxa"/>
            <w:tcBorders>
              <w:top w:val="nil"/>
              <w:left w:val="single" w:sz="4" w:space="0" w:color="auto"/>
              <w:bottom w:val="nil"/>
              <w:right w:val="single" w:sz="4" w:space="0" w:color="auto"/>
            </w:tcBorders>
            <w:shd w:val="clear" w:color="auto" w:fill="auto"/>
            <w:noWrap/>
            <w:vAlign w:val="center"/>
            <w:hideMark/>
          </w:tcPr>
          <w:p w14:paraId="2FF2778E" w14:textId="77777777" w:rsidR="001D3A52" w:rsidRPr="001D3A52" w:rsidRDefault="001D3A52" w:rsidP="001D3A52">
            <w:pPr>
              <w:spacing w:after="0" w:line="240" w:lineRule="auto"/>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7. PILÍŘ: REPOWER EU</w:t>
            </w:r>
          </w:p>
        </w:tc>
        <w:tc>
          <w:tcPr>
            <w:tcW w:w="851" w:type="dxa"/>
            <w:tcBorders>
              <w:top w:val="nil"/>
              <w:left w:val="nil"/>
              <w:bottom w:val="nil"/>
              <w:right w:val="nil"/>
            </w:tcBorders>
            <w:shd w:val="clear" w:color="auto" w:fill="auto"/>
            <w:noWrap/>
            <w:vAlign w:val="center"/>
            <w:hideMark/>
          </w:tcPr>
          <w:p w14:paraId="03E14CEB"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0,01</w:t>
            </w:r>
          </w:p>
        </w:tc>
        <w:tc>
          <w:tcPr>
            <w:tcW w:w="776" w:type="dxa"/>
            <w:tcBorders>
              <w:top w:val="nil"/>
              <w:left w:val="nil"/>
              <w:bottom w:val="nil"/>
              <w:right w:val="nil"/>
            </w:tcBorders>
            <w:shd w:val="clear" w:color="auto" w:fill="auto"/>
            <w:noWrap/>
            <w:vAlign w:val="center"/>
            <w:hideMark/>
          </w:tcPr>
          <w:p w14:paraId="75508E09"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0,06</w:t>
            </w:r>
          </w:p>
        </w:tc>
        <w:tc>
          <w:tcPr>
            <w:tcW w:w="857" w:type="dxa"/>
            <w:tcBorders>
              <w:top w:val="nil"/>
              <w:left w:val="nil"/>
              <w:bottom w:val="nil"/>
              <w:right w:val="single" w:sz="4" w:space="0" w:color="auto"/>
            </w:tcBorders>
            <w:shd w:val="clear" w:color="auto" w:fill="auto"/>
            <w:noWrap/>
            <w:vAlign w:val="center"/>
            <w:hideMark/>
          </w:tcPr>
          <w:p w14:paraId="2E65F817"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0,02</w:t>
            </w:r>
          </w:p>
        </w:tc>
        <w:tc>
          <w:tcPr>
            <w:tcW w:w="918" w:type="dxa"/>
            <w:tcBorders>
              <w:top w:val="nil"/>
              <w:left w:val="nil"/>
              <w:bottom w:val="nil"/>
              <w:right w:val="nil"/>
            </w:tcBorders>
            <w:shd w:val="clear" w:color="auto" w:fill="auto"/>
            <w:noWrap/>
            <w:vAlign w:val="center"/>
            <w:hideMark/>
          </w:tcPr>
          <w:p w14:paraId="18EB57E9"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0,00</w:t>
            </w:r>
          </w:p>
        </w:tc>
        <w:tc>
          <w:tcPr>
            <w:tcW w:w="851" w:type="dxa"/>
            <w:tcBorders>
              <w:top w:val="nil"/>
              <w:left w:val="nil"/>
              <w:bottom w:val="nil"/>
              <w:right w:val="nil"/>
            </w:tcBorders>
            <w:shd w:val="clear" w:color="auto" w:fill="auto"/>
            <w:noWrap/>
            <w:vAlign w:val="center"/>
            <w:hideMark/>
          </w:tcPr>
          <w:p w14:paraId="1798390C"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0,02</w:t>
            </w:r>
          </w:p>
        </w:tc>
        <w:tc>
          <w:tcPr>
            <w:tcW w:w="992" w:type="dxa"/>
            <w:tcBorders>
              <w:top w:val="nil"/>
              <w:left w:val="nil"/>
              <w:bottom w:val="nil"/>
              <w:right w:val="single" w:sz="4" w:space="0" w:color="auto"/>
            </w:tcBorders>
            <w:shd w:val="clear" w:color="auto" w:fill="auto"/>
            <w:noWrap/>
            <w:vAlign w:val="center"/>
            <w:hideMark/>
          </w:tcPr>
          <w:p w14:paraId="45D14C10" w14:textId="77777777" w:rsidR="001D3A52" w:rsidRPr="001D3A52" w:rsidRDefault="001D3A52" w:rsidP="001D3A52">
            <w:pPr>
              <w:spacing w:after="0" w:line="240" w:lineRule="auto"/>
              <w:jc w:val="right"/>
              <w:rPr>
                <w:rFonts w:ascii="Calibri" w:eastAsia="Times New Roman" w:hAnsi="Calibri" w:cs="Calibri"/>
                <w:b/>
                <w:bCs/>
                <w:color w:val="000000"/>
                <w:sz w:val="16"/>
                <w:szCs w:val="16"/>
                <w:lang w:eastAsia="cs-CZ"/>
              </w:rPr>
            </w:pPr>
            <w:r w:rsidRPr="001D3A52">
              <w:rPr>
                <w:rFonts w:ascii="Calibri" w:eastAsia="Times New Roman" w:hAnsi="Calibri" w:cs="Calibri"/>
                <w:b/>
                <w:bCs/>
                <w:color w:val="000000"/>
                <w:sz w:val="16"/>
                <w:szCs w:val="16"/>
                <w:lang w:eastAsia="cs-CZ"/>
              </w:rPr>
              <w:t>0,01</w:t>
            </w:r>
          </w:p>
        </w:tc>
      </w:tr>
      <w:tr w:rsidR="00E25A73" w:rsidRPr="001D3A52" w14:paraId="74858C49" w14:textId="77777777" w:rsidTr="00E25A73">
        <w:trPr>
          <w:trHeight w:val="300"/>
        </w:trPr>
        <w:tc>
          <w:tcPr>
            <w:tcW w:w="3964" w:type="dxa"/>
            <w:tcBorders>
              <w:top w:val="nil"/>
              <w:left w:val="single" w:sz="4" w:space="0" w:color="auto"/>
              <w:bottom w:val="nil"/>
              <w:right w:val="single" w:sz="4" w:space="0" w:color="auto"/>
            </w:tcBorders>
            <w:shd w:val="clear" w:color="auto" w:fill="auto"/>
            <w:noWrap/>
            <w:vAlign w:val="center"/>
            <w:hideMark/>
          </w:tcPr>
          <w:p w14:paraId="3E074101" w14:textId="77777777" w:rsidR="001D3A52" w:rsidRPr="001D3A52" w:rsidRDefault="001D3A52" w:rsidP="001D3A52">
            <w:pPr>
              <w:spacing w:after="0" w:line="240" w:lineRule="auto"/>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7.1 Posílení distribučních sítí</w:t>
            </w:r>
          </w:p>
        </w:tc>
        <w:tc>
          <w:tcPr>
            <w:tcW w:w="851" w:type="dxa"/>
            <w:tcBorders>
              <w:top w:val="nil"/>
              <w:left w:val="nil"/>
              <w:bottom w:val="nil"/>
              <w:right w:val="nil"/>
            </w:tcBorders>
            <w:shd w:val="clear" w:color="auto" w:fill="auto"/>
            <w:noWrap/>
            <w:vAlign w:val="center"/>
            <w:hideMark/>
          </w:tcPr>
          <w:p w14:paraId="375592A3"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0,01</w:t>
            </w:r>
          </w:p>
        </w:tc>
        <w:tc>
          <w:tcPr>
            <w:tcW w:w="776" w:type="dxa"/>
            <w:tcBorders>
              <w:top w:val="nil"/>
              <w:left w:val="nil"/>
              <w:bottom w:val="nil"/>
              <w:right w:val="nil"/>
            </w:tcBorders>
            <w:shd w:val="clear" w:color="auto" w:fill="auto"/>
            <w:noWrap/>
            <w:vAlign w:val="center"/>
            <w:hideMark/>
          </w:tcPr>
          <w:p w14:paraId="68E757CC"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0,05</w:t>
            </w:r>
          </w:p>
        </w:tc>
        <w:tc>
          <w:tcPr>
            <w:tcW w:w="857" w:type="dxa"/>
            <w:tcBorders>
              <w:top w:val="nil"/>
              <w:left w:val="nil"/>
              <w:bottom w:val="nil"/>
              <w:right w:val="single" w:sz="4" w:space="0" w:color="auto"/>
            </w:tcBorders>
            <w:shd w:val="clear" w:color="auto" w:fill="auto"/>
            <w:noWrap/>
            <w:vAlign w:val="center"/>
            <w:hideMark/>
          </w:tcPr>
          <w:p w14:paraId="0E200C1F"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0,01</w:t>
            </w:r>
          </w:p>
        </w:tc>
        <w:tc>
          <w:tcPr>
            <w:tcW w:w="918" w:type="dxa"/>
            <w:tcBorders>
              <w:top w:val="nil"/>
              <w:left w:val="nil"/>
              <w:bottom w:val="nil"/>
              <w:right w:val="nil"/>
            </w:tcBorders>
            <w:shd w:val="clear" w:color="auto" w:fill="auto"/>
            <w:noWrap/>
            <w:vAlign w:val="center"/>
            <w:hideMark/>
          </w:tcPr>
          <w:p w14:paraId="7E7DC106"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851" w:type="dxa"/>
            <w:tcBorders>
              <w:top w:val="nil"/>
              <w:left w:val="nil"/>
              <w:bottom w:val="nil"/>
              <w:right w:val="nil"/>
            </w:tcBorders>
            <w:shd w:val="clear" w:color="auto" w:fill="auto"/>
            <w:noWrap/>
            <w:vAlign w:val="center"/>
            <w:hideMark/>
          </w:tcPr>
          <w:p w14:paraId="3962F320"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0,01</w:t>
            </w:r>
          </w:p>
        </w:tc>
        <w:tc>
          <w:tcPr>
            <w:tcW w:w="992" w:type="dxa"/>
            <w:tcBorders>
              <w:top w:val="nil"/>
              <w:left w:val="nil"/>
              <w:bottom w:val="nil"/>
              <w:right w:val="single" w:sz="4" w:space="0" w:color="auto"/>
            </w:tcBorders>
            <w:shd w:val="clear" w:color="auto" w:fill="auto"/>
            <w:noWrap/>
            <w:vAlign w:val="center"/>
            <w:hideMark/>
          </w:tcPr>
          <w:p w14:paraId="2415D47D"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r>
      <w:tr w:rsidR="00E25A73" w:rsidRPr="001D3A52" w14:paraId="7AEB9ACD" w14:textId="77777777" w:rsidTr="00E25A73">
        <w:trPr>
          <w:trHeight w:val="300"/>
        </w:trPr>
        <w:tc>
          <w:tcPr>
            <w:tcW w:w="3964" w:type="dxa"/>
            <w:tcBorders>
              <w:top w:val="nil"/>
              <w:left w:val="single" w:sz="4" w:space="0" w:color="auto"/>
              <w:bottom w:val="nil"/>
              <w:right w:val="single" w:sz="4" w:space="0" w:color="auto"/>
            </w:tcBorders>
            <w:shd w:val="clear" w:color="auto" w:fill="auto"/>
            <w:noWrap/>
            <w:vAlign w:val="center"/>
            <w:hideMark/>
          </w:tcPr>
          <w:p w14:paraId="4263B44C" w14:textId="77777777" w:rsidR="001D3A52" w:rsidRPr="001D3A52" w:rsidRDefault="001D3A52" w:rsidP="001D3A52">
            <w:pPr>
              <w:spacing w:after="0" w:line="240" w:lineRule="auto"/>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7.2 Podpora digitalizace energetiky</w:t>
            </w:r>
          </w:p>
        </w:tc>
        <w:tc>
          <w:tcPr>
            <w:tcW w:w="851" w:type="dxa"/>
            <w:tcBorders>
              <w:top w:val="nil"/>
              <w:left w:val="nil"/>
              <w:bottom w:val="nil"/>
              <w:right w:val="nil"/>
            </w:tcBorders>
            <w:shd w:val="clear" w:color="auto" w:fill="auto"/>
            <w:noWrap/>
            <w:vAlign w:val="center"/>
            <w:hideMark/>
          </w:tcPr>
          <w:p w14:paraId="0608911E"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776" w:type="dxa"/>
            <w:tcBorders>
              <w:top w:val="nil"/>
              <w:left w:val="nil"/>
              <w:bottom w:val="nil"/>
              <w:right w:val="nil"/>
            </w:tcBorders>
            <w:shd w:val="clear" w:color="auto" w:fill="auto"/>
            <w:noWrap/>
            <w:vAlign w:val="center"/>
            <w:hideMark/>
          </w:tcPr>
          <w:p w14:paraId="11B3E6A5"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857" w:type="dxa"/>
            <w:tcBorders>
              <w:top w:val="nil"/>
              <w:left w:val="nil"/>
              <w:bottom w:val="nil"/>
              <w:right w:val="single" w:sz="4" w:space="0" w:color="auto"/>
            </w:tcBorders>
            <w:shd w:val="clear" w:color="auto" w:fill="auto"/>
            <w:noWrap/>
            <w:vAlign w:val="center"/>
            <w:hideMark/>
          </w:tcPr>
          <w:p w14:paraId="3DA40B01"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0,01</w:t>
            </w:r>
          </w:p>
        </w:tc>
        <w:tc>
          <w:tcPr>
            <w:tcW w:w="918" w:type="dxa"/>
            <w:tcBorders>
              <w:top w:val="nil"/>
              <w:left w:val="nil"/>
              <w:bottom w:val="nil"/>
              <w:right w:val="nil"/>
            </w:tcBorders>
            <w:shd w:val="clear" w:color="auto" w:fill="auto"/>
            <w:noWrap/>
            <w:vAlign w:val="center"/>
            <w:hideMark/>
          </w:tcPr>
          <w:p w14:paraId="5946EEA4"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851" w:type="dxa"/>
            <w:tcBorders>
              <w:top w:val="nil"/>
              <w:left w:val="nil"/>
              <w:bottom w:val="nil"/>
              <w:right w:val="nil"/>
            </w:tcBorders>
            <w:shd w:val="clear" w:color="auto" w:fill="auto"/>
            <w:noWrap/>
            <w:vAlign w:val="center"/>
            <w:hideMark/>
          </w:tcPr>
          <w:p w14:paraId="113DFC26"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992" w:type="dxa"/>
            <w:tcBorders>
              <w:top w:val="nil"/>
              <w:left w:val="nil"/>
              <w:bottom w:val="nil"/>
              <w:right w:val="single" w:sz="4" w:space="0" w:color="auto"/>
            </w:tcBorders>
            <w:shd w:val="clear" w:color="auto" w:fill="auto"/>
            <w:noWrap/>
            <w:vAlign w:val="center"/>
            <w:hideMark/>
          </w:tcPr>
          <w:p w14:paraId="11FEE6DE"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r>
      <w:tr w:rsidR="00E25A73" w:rsidRPr="001D3A52" w14:paraId="30C93F01" w14:textId="77777777" w:rsidTr="00E25A73">
        <w:trPr>
          <w:trHeight w:val="300"/>
        </w:trPr>
        <w:tc>
          <w:tcPr>
            <w:tcW w:w="3964" w:type="dxa"/>
            <w:tcBorders>
              <w:top w:val="nil"/>
              <w:left w:val="single" w:sz="4" w:space="0" w:color="auto"/>
              <w:bottom w:val="nil"/>
              <w:right w:val="single" w:sz="4" w:space="0" w:color="auto"/>
            </w:tcBorders>
            <w:shd w:val="clear" w:color="auto" w:fill="auto"/>
            <w:noWrap/>
            <w:vAlign w:val="center"/>
            <w:hideMark/>
          </w:tcPr>
          <w:p w14:paraId="3B9EA79A" w14:textId="77777777" w:rsidR="001D3A52" w:rsidRPr="001D3A52" w:rsidRDefault="001D3A52" w:rsidP="001D3A52">
            <w:pPr>
              <w:spacing w:after="0" w:line="240" w:lineRule="auto"/>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7.3 Komplexní reforma poradenství</w:t>
            </w:r>
          </w:p>
        </w:tc>
        <w:tc>
          <w:tcPr>
            <w:tcW w:w="851" w:type="dxa"/>
            <w:tcBorders>
              <w:top w:val="nil"/>
              <w:left w:val="nil"/>
              <w:bottom w:val="nil"/>
              <w:right w:val="nil"/>
            </w:tcBorders>
            <w:shd w:val="clear" w:color="auto" w:fill="auto"/>
            <w:noWrap/>
            <w:vAlign w:val="center"/>
            <w:hideMark/>
          </w:tcPr>
          <w:p w14:paraId="5090A5F9"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776" w:type="dxa"/>
            <w:tcBorders>
              <w:top w:val="nil"/>
              <w:left w:val="nil"/>
              <w:bottom w:val="nil"/>
              <w:right w:val="nil"/>
            </w:tcBorders>
            <w:shd w:val="clear" w:color="auto" w:fill="auto"/>
            <w:noWrap/>
            <w:vAlign w:val="center"/>
            <w:hideMark/>
          </w:tcPr>
          <w:p w14:paraId="583C11EE"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0,01</w:t>
            </w:r>
          </w:p>
        </w:tc>
        <w:tc>
          <w:tcPr>
            <w:tcW w:w="857" w:type="dxa"/>
            <w:tcBorders>
              <w:top w:val="nil"/>
              <w:left w:val="nil"/>
              <w:bottom w:val="nil"/>
              <w:right w:val="single" w:sz="4" w:space="0" w:color="auto"/>
            </w:tcBorders>
            <w:shd w:val="clear" w:color="auto" w:fill="auto"/>
            <w:noWrap/>
            <w:vAlign w:val="center"/>
            <w:hideMark/>
          </w:tcPr>
          <w:p w14:paraId="1388B473"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918" w:type="dxa"/>
            <w:tcBorders>
              <w:top w:val="nil"/>
              <w:left w:val="nil"/>
              <w:bottom w:val="nil"/>
              <w:right w:val="nil"/>
            </w:tcBorders>
            <w:shd w:val="clear" w:color="auto" w:fill="auto"/>
            <w:noWrap/>
            <w:vAlign w:val="center"/>
            <w:hideMark/>
          </w:tcPr>
          <w:p w14:paraId="7E7F6336"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851" w:type="dxa"/>
            <w:tcBorders>
              <w:top w:val="nil"/>
              <w:left w:val="nil"/>
              <w:bottom w:val="nil"/>
              <w:right w:val="nil"/>
            </w:tcBorders>
            <w:shd w:val="clear" w:color="auto" w:fill="auto"/>
            <w:noWrap/>
            <w:vAlign w:val="center"/>
            <w:hideMark/>
          </w:tcPr>
          <w:p w14:paraId="780DFABC"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992" w:type="dxa"/>
            <w:tcBorders>
              <w:top w:val="nil"/>
              <w:left w:val="nil"/>
              <w:bottom w:val="nil"/>
              <w:right w:val="single" w:sz="4" w:space="0" w:color="auto"/>
            </w:tcBorders>
            <w:shd w:val="clear" w:color="auto" w:fill="auto"/>
            <w:noWrap/>
            <w:vAlign w:val="center"/>
            <w:hideMark/>
          </w:tcPr>
          <w:p w14:paraId="4B5902B2"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r>
      <w:tr w:rsidR="00E25A73" w:rsidRPr="001D3A52" w14:paraId="12EC89CD" w14:textId="77777777" w:rsidTr="00E25A73">
        <w:trPr>
          <w:trHeight w:val="300"/>
        </w:trPr>
        <w:tc>
          <w:tcPr>
            <w:tcW w:w="3964" w:type="dxa"/>
            <w:tcBorders>
              <w:top w:val="nil"/>
              <w:left w:val="single" w:sz="4" w:space="0" w:color="auto"/>
              <w:bottom w:val="nil"/>
              <w:right w:val="single" w:sz="4" w:space="0" w:color="auto"/>
            </w:tcBorders>
            <w:shd w:val="clear" w:color="auto" w:fill="auto"/>
            <w:noWrap/>
            <w:vAlign w:val="center"/>
            <w:hideMark/>
          </w:tcPr>
          <w:p w14:paraId="3382E91F" w14:textId="77777777" w:rsidR="001D3A52" w:rsidRPr="001D3A52" w:rsidRDefault="001D3A52" w:rsidP="001D3A52">
            <w:pPr>
              <w:spacing w:after="0" w:line="240" w:lineRule="auto"/>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7.4 Adaptace školních programů</w:t>
            </w:r>
          </w:p>
        </w:tc>
        <w:tc>
          <w:tcPr>
            <w:tcW w:w="851" w:type="dxa"/>
            <w:tcBorders>
              <w:top w:val="nil"/>
              <w:left w:val="nil"/>
              <w:bottom w:val="nil"/>
              <w:right w:val="nil"/>
            </w:tcBorders>
            <w:shd w:val="clear" w:color="auto" w:fill="auto"/>
            <w:noWrap/>
            <w:vAlign w:val="center"/>
            <w:hideMark/>
          </w:tcPr>
          <w:p w14:paraId="40362959"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776" w:type="dxa"/>
            <w:tcBorders>
              <w:top w:val="nil"/>
              <w:left w:val="nil"/>
              <w:bottom w:val="nil"/>
              <w:right w:val="nil"/>
            </w:tcBorders>
            <w:shd w:val="clear" w:color="auto" w:fill="auto"/>
            <w:noWrap/>
            <w:vAlign w:val="center"/>
            <w:hideMark/>
          </w:tcPr>
          <w:p w14:paraId="78DD0210"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857" w:type="dxa"/>
            <w:tcBorders>
              <w:top w:val="nil"/>
              <w:left w:val="nil"/>
              <w:bottom w:val="nil"/>
              <w:right w:val="single" w:sz="4" w:space="0" w:color="auto"/>
            </w:tcBorders>
            <w:shd w:val="clear" w:color="auto" w:fill="auto"/>
            <w:noWrap/>
            <w:vAlign w:val="center"/>
            <w:hideMark/>
          </w:tcPr>
          <w:p w14:paraId="51A50BA2"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918" w:type="dxa"/>
            <w:tcBorders>
              <w:top w:val="nil"/>
              <w:left w:val="nil"/>
              <w:bottom w:val="nil"/>
              <w:right w:val="nil"/>
            </w:tcBorders>
            <w:shd w:val="clear" w:color="auto" w:fill="auto"/>
            <w:noWrap/>
            <w:vAlign w:val="center"/>
            <w:hideMark/>
          </w:tcPr>
          <w:p w14:paraId="43BC2E60"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851" w:type="dxa"/>
            <w:tcBorders>
              <w:top w:val="nil"/>
              <w:left w:val="nil"/>
              <w:bottom w:val="nil"/>
              <w:right w:val="nil"/>
            </w:tcBorders>
            <w:shd w:val="clear" w:color="auto" w:fill="auto"/>
            <w:noWrap/>
            <w:vAlign w:val="center"/>
            <w:hideMark/>
          </w:tcPr>
          <w:p w14:paraId="254C01A0"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992" w:type="dxa"/>
            <w:tcBorders>
              <w:top w:val="nil"/>
              <w:left w:val="nil"/>
              <w:bottom w:val="nil"/>
              <w:right w:val="single" w:sz="4" w:space="0" w:color="auto"/>
            </w:tcBorders>
            <w:shd w:val="clear" w:color="auto" w:fill="auto"/>
            <w:noWrap/>
            <w:vAlign w:val="center"/>
            <w:hideMark/>
          </w:tcPr>
          <w:p w14:paraId="6FE72E6A"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r>
      <w:tr w:rsidR="00E25A73" w:rsidRPr="001D3A52" w14:paraId="26BFBD32" w14:textId="77777777" w:rsidTr="00E25A73">
        <w:trPr>
          <w:trHeight w:val="300"/>
        </w:trPr>
        <w:tc>
          <w:tcPr>
            <w:tcW w:w="3964" w:type="dxa"/>
            <w:tcBorders>
              <w:top w:val="nil"/>
              <w:left w:val="single" w:sz="4" w:space="0" w:color="auto"/>
              <w:bottom w:val="nil"/>
              <w:right w:val="single" w:sz="4" w:space="0" w:color="auto"/>
            </w:tcBorders>
            <w:shd w:val="clear" w:color="auto" w:fill="auto"/>
            <w:noWrap/>
            <w:vAlign w:val="center"/>
            <w:hideMark/>
          </w:tcPr>
          <w:p w14:paraId="176F4987" w14:textId="77777777" w:rsidR="001D3A52" w:rsidRPr="001D3A52" w:rsidRDefault="001D3A52" w:rsidP="001D3A52">
            <w:pPr>
              <w:spacing w:after="0" w:line="240" w:lineRule="auto"/>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7.5 Dekarbonizace dopravy</w:t>
            </w:r>
          </w:p>
        </w:tc>
        <w:tc>
          <w:tcPr>
            <w:tcW w:w="851" w:type="dxa"/>
            <w:tcBorders>
              <w:top w:val="nil"/>
              <w:left w:val="nil"/>
              <w:bottom w:val="nil"/>
              <w:right w:val="nil"/>
            </w:tcBorders>
            <w:shd w:val="clear" w:color="auto" w:fill="auto"/>
            <w:noWrap/>
            <w:vAlign w:val="center"/>
            <w:hideMark/>
          </w:tcPr>
          <w:p w14:paraId="23648188"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776" w:type="dxa"/>
            <w:tcBorders>
              <w:top w:val="nil"/>
              <w:left w:val="nil"/>
              <w:bottom w:val="nil"/>
              <w:right w:val="nil"/>
            </w:tcBorders>
            <w:shd w:val="clear" w:color="auto" w:fill="auto"/>
            <w:noWrap/>
            <w:vAlign w:val="center"/>
            <w:hideMark/>
          </w:tcPr>
          <w:p w14:paraId="61CA0ECD"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857" w:type="dxa"/>
            <w:tcBorders>
              <w:top w:val="nil"/>
              <w:left w:val="nil"/>
              <w:bottom w:val="nil"/>
              <w:right w:val="single" w:sz="4" w:space="0" w:color="auto"/>
            </w:tcBorders>
            <w:shd w:val="clear" w:color="auto" w:fill="auto"/>
            <w:noWrap/>
            <w:vAlign w:val="center"/>
            <w:hideMark/>
          </w:tcPr>
          <w:p w14:paraId="1FA6CADB"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918" w:type="dxa"/>
            <w:tcBorders>
              <w:top w:val="nil"/>
              <w:left w:val="nil"/>
              <w:bottom w:val="nil"/>
              <w:right w:val="nil"/>
            </w:tcBorders>
            <w:shd w:val="clear" w:color="auto" w:fill="auto"/>
            <w:noWrap/>
            <w:vAlign w:val="center"/>
            <w:hideMark/>
          </w:tcPr>
          <w:p w14:paraId="5CC0FB1D"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851" w:type="dxa"/>
            <w:tcBorders>
              <w:top w:val="nil"/>
              <w:left w:val="nil"/>
              <w:bottom w:val="nil"/>
              <w:right w:val="nil"/>
            </w:tcBorders>
            <w:shd w:val="clear" w:color="auto" w:fill="auto"/>
            <w:noWrap/>
            <w:vAlign w:val="center"/>
            <w:hideMark/>
          </w:tcPr>
          <w:p w14:paraId="726E7347"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992" w:type="dxa"/>
            <w:tcBorders>
              <w:top w:val="nil"/>
              <w:left w:val="nil"/>
              <w:bottom w:val="nil"/>
              <w:right w:val="single" w:sz="4" w:space="0" w:color="auto"/>
            </w:tcBorders>
            <w:shd w:val="clear" w:color="auto" w:fill="auto"/>
            <w:noWrap/>
            <w:vAlign w:val="center"/>
            <w:hideMark/>
          </w:tcPr>
          <w:p w14:paraId="124972A4"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r>
      <w:tr w:rsidR="00E25A73" w:rsidRPr="001D3A52" w14:paraId="41E60837" w14:textId="77777777" w:rsidTr="00E25A73">
        <w:trPr>
          <w:trHeight w:val="300"/>
        </w:trPr>
        <w:tc>
          <w:tcPr>
            <w:tcW w:w="3964" w:type="dxa"/>
            <w:tcBorders>
              <w:top w:val="nil"/>
              <w:left w:val="single" w:sz="4" w:space="0" w:color="auto"/>
              <w:bottom w:val="nil"/>
              <w:right w:val="single" w:sz="4" w:space="0" w:color="auto"/>
            </w:tcBorders>
            <w:shd w:val="clear" w:color="auto" w:fill="auto"/>
            <w:noWrap/>
            <w:vAlign w:val="center"/>
            <w:hideMark/>
          </w:tcPr>
          <w:p w14:paraId="24C9E2CF" w14:textId="77777777" w:rsidR="001D3A52" w:rsidRPr="001D3A52" w:rsidRDefault="001D3A52" w:rsidP="001D3A52">
            <w:pPr>
              <w:spacing w:after="0" w:line="240" w:lineRule="auto"/>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7.6 Elektrifikace železnic</w:t>
            </w:r>
          </w:p>
        </w:tc>
        <w:tc>
          <w:tcPr>
            <w:tcW w:w="851" w:type="dxa"/>
            <w:tcBorders>
              <w:top w:val="nil"/>
              <w:left w:val="nil"/>
              <w:bottom w:val="nil"/>
              <w:right w:val="nil"/>
            </w:tcBorders>
            <w:shd w:val="clear" w:color="auto" w:fill="auto"/>
            <w:noWrap/>
            <w:vAlign w:val="center"/>
            <w:hideMark/>
          </w:tcPr>
          <w:p w14:paraId="700EE927"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776" w:type="dxa"/>
            <w:tcBorders>
              <w:top w:val="nil"/>
              <w:left w:val="nil"/>
              <w:bottom w:val="nil"/>
              <w:right w:val="nil"/>
            </w:tcBorders>
            <w:shd w:val="clear" w:color="auto" w:fill="auto"/>
            <w:noWrap/>
            <w:vAlign w:val="center"/>
            <w:hideMark/>
          </w:tcPr>
          <w:p w14:paraId="071361BA"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857" w:type="dxa"/>
            <w:tcBorders>
              <w:top w:val="nil"/>
              <w:left w:val="nil"/>
              <w:bottom w:val="nil"/>
              <w:right w:val="single" w:sz="4" w:space="0" w:color="auto"/>
            </w:tcBorders>
            <w:shd w:val="clear" w:color="auto" w:fill="auto"/>
            <w:noWrap/>
            <w:vAlign w:val="center"/>
            <w:hideMark/>
          </w:tcPr>
          <w:p w14:paraId="0D98C70F"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918" w:type="dxa"/>
            <w:tcBorders>
              <w:top w:val="nil"/>
              <w:left w:val="nil"/>
              <w:bottom w:val="nil"/>
              <w:right w:val="nil"/>
            </w:tcBorders>
            <w:shd w:val="clear" w:color="auto" w:fill="auto"/>
            <w:noWrap/>
            <w:vAlign w:val="center"/>
            <w:hideMark/>
          </w:tcPr>
          <w:p w14:paraId="39193D8D"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851" w:type="dxa"/>
            <w:tcBorders>
              <w:top w:val="nil"/>
              <w:left w:val="nil"/>
              <w:bottom w:val="nil"/>
              <w:right w:val="nil"/>
            </w:tcBorders>
            <w:shd w:val="clear" w:color="auto" w:fill="auto"/>
            <w:noWrap/>
            <w:vAlign w:val="center"/>
            <w:hideMark/>
          </w:tcPr>
          <w:p w14:paraId="185B1F6B"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992" w:type="dxa"/>
            <w:tcBorders>
              <w:top w:val="nil"/>
              <w:left w:val="nil"/>
              <w:bottom w:val="nil"/>
              <w:right w:val="single" w:sz="4" w:space="0" w:color="auto"/>
            </w:tcBorders>
            <w:shd w:val="clear" w:color="auto" w:fill="auto"/>
            <w:noWrap/>
            <w:vAlign w:val="center"/>
            <w:hideMark/>
          </w:tcPr>
          <w:p w14:paraId="7AD11380"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r>
      <w:tr w:rsidR="00E25A73" w:rsidRPr="001D3A52" w14:paraId="036063F2" w14:textId="77777777" w:rsidTr="00E25A73">
        <w:trPr>
          <w:trHeight w:val="300"/>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0D6036B" w14:textId="77777777" w:rsidR="001D3A52" w:rsidRPr="001D3A52" w:rsidRDefault="001D3A52" w:rsidP="001D3A52">
            <w:pPr>
              <w:spacing w:after="0" w:line="240" w:lineRule="auto"/>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7.7 Zjednodušení rozhodovacích procesů</w:t>
            </w:r>
          </w:p>
        </w:tc>
        <w:tc>
          <w:tcPr>
            <w:tcW w:w="851" w:type="dxa"/>
            <w:tcBorders>
              <w:top w:val="nil"/>
              <w:left w:val="nil"/>
              <w:bottom w:val="single" w:sz="4" w:space="0" w:color="auto"/>
              <w:right w:val="nil"/>
            </w:tcBorders>
            <w:shd w:val="clear" w:color="auto" w:fill="auto"/>
            <w:noWrap/>
            <w:vAlign w:val="center"/>
            <w:hideMark/>
          </w:tcPr>
          <w:p w14:paraId="1D4DE6C1"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776" w:type="dxa"/>
            <w:tcBorders>
              <w:top w:val="nil"/>
              <w:left w:val="nil"/>
              <w:bottom w:val="single" w:sz="4" w:space="0" w:color="auto"/>
              <w:right w:val="nil"/>
            </w:tcBorders>
            <w:shd w:val="clear" w:color="auto" w:fill="auto"/>
            <w:noWrap/>
            <w:vAlign w:val="center"/>
            <w:hideMark/>
          </w:tcPr>
          <w:p w14:paraId="509A4D82"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857" w:type="dxa"/>
            <w:tcBorders>
              <w:top w:val="nil"/>
              <w:left w:val="nil"/>
              <w:bottom w:val="single" w:sz="4" w:space="0" w:color="auto"/>
              <w:right w:val="single" w:sz="4" w:space="0" w:color="auto"/>
            </w:tcBorders>
            <w:shd w:val="clear" w:color="auto" w:fill="auto"/>
            <w:noWrap/>
            <w:vAlign w:val="center"/>
            <w:hideMark/>
          </w:tcPr>
          <w:p w14:paraId="4A9C546F"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918" w:type="dxa"/>
            <w:tcBorders>
              <w:top w:val="nil"/>
              <w:left w:val="nil"/>
              <w:bottom w:val="single" w:sz="4" w:space="0" w:color="auto"/>
              <w:right w:val="nil"/>
            </w:tcBorders>
            <w:shd w:val="clear" w:color="auto" w:fill="auto"/>
            <w:noWrap/>
            <w:vAlign w:val="center"/>
            <w:hideMark/>
          </w:tcPr>
          <w:p w14:paraId="6A6008DA"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851" w:type="dxa"/>
            <w:tcBorders>
              <w:top w:val="nil"/>
              <w:left w:val="nil"/>
              <w:bottom w:val="single" w:sz="4" w:space="0" w:color="auto"/>
              <w:right w:val="nil"/>
            </w:tcBorders>
            <w:shd w:val="clear" w:color="auto" w:fill="auto"/>
            <w:noWrap/>
            <w:vAlign w:val="center"/>
            <w:hideMark/>
          </w:tcPr>
          <w:p w14:paraId="01408DEF"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c>
          <w:tcPr>
            <w:tcW w:w="992" w:type="dxa"/>
            <w:tcBorders>
              <w:top w:val="nil"/>
              <w:left w:val="nil"/>
              <w:bottom w:val="single" w:sz="4" w:space="0" w:color="auto"/>
              <w:right w:val="single" w:sz="4" w:space="0" w:color="auto"/>
            </w:tcBorders>
            <w:shd w:val="clear" w:color="auto" w:fill="auto"/>
            <w:noWrap/>
            <w:vAlign w:val="center"/>
            <w:hideMark/>
          </w:tcPr>
          <w:p w14:paraId="2491AB2B" w14:textId="77777777" w:rsidR="001D3A52" w:rsidRPr="001D3A52" w:rsidRDefault="001D3A52" w:rsidP="001D3A52">
            <w:pPr>
              <w:spacing w:after="0" w:line="240" w:lineRule="auto"/>
              <w:jc w:val="right"/>
              <w:rPr>
                <w:rFonts w:ascii="Calibri" w:eastAsia="Times New Roman" w:hAnsi="Calibri" w:cs="Calibri"/>
                <w:color w:val="000000"/>
                <w:sz w:val="16"/>
                <w:szCs w:val="16"/>
                <w:lang w:eastAsia="cs-CZ"/>
              </w:rPr>
            </w:pPr>
            <w:r w:rsidRPr="001D3A52">
              <w:rPr>
                <w:rFonts w:ascii="Calibri" w:eastAsia="Times New Roman" w:hAnsi="Calibri" w:cs="Calibri"/>
                <w:color w:val="000000"/>
                <w:sz w:val="16"/>
                <w:szCs w:val="16"/>
                <w:lang w:eastAsia="cs-CZ"/>
              </w:rPr>
              <w:t>0,00</w:t>
            </w:r>
          </w:p>
        </w:tc>
      </w:tr>
    </w:tbl>
    <w:p w14:paraId="2BC0CDC9" w14:textId="75594AAE" w:rsidR="001F5332" w:rsidRDefault="001F5332" w:rsidP="00252410">
      <w:pPr>
        <w:pStyle w:val="Zdrojpodtabulkounebografem"/>
        <w:spacing w:after="0"/>
      </w:pPr>
      <w:r w:rsidRPr="009D0816">
        <w:t xml:space="preserve"> </w:t>
      </w:r>
      <w:r>
        <w:t>Pozn.: Údaje u</w:t>
      </w:r>
      <w:r w:rsidR="0003053E">
        <w:t> </w:t>
      </w:r>
      <w:r>
        <w:t>HDP vyjadřují dodatečně vytvořenou přidanou hodnotu v</w:t>
      </w:r>
      <w:r w:rsidR="0003053E">
        <w:t> </w:t>
      </w:r>
      <w:r>
        <w:t xml:space="preserve">uvedených letech vlivem </w:t>
      </w:r>
      <w:proofErr w:type="gramStart"/>
      <w:r w:rsidR="00D70836">
        <w:t xml:space="preserve">NPO </w:t>
      </w:r>
      <w:r>
        <w:t xml:space="preserve"> v</w:t>
      </w:r>
      <w:proofErr w:type="gramEnd"/>
      <w:r w:rsidR="0003053E">
        <w:t> </w:t>
      </w:r>
      <w:r>
        <w:t>poměru k</w:t>
      </w:r>
      <w:r w:rsidR="0003053E">
        <w:t> </w:t>
      </w:r>
      <w:r>
        <w:t>HDP ve výchozím roce 2020, vůči němuž jsou velikosti impulzů do ekonomiky přepočteny. V</w:t>
      </w:r>
      <w:r w:rsidR="0003053E">
        <w:t> </w:t>
      </w:r>
      <w:r>
        <w:t>případě zaměstnanosti jde o</w:t>
      </w:r>
      <w:r w:rsidR="0003053E">
        <w:t> </w:t>
      </w:r>
      <w:r>
        <w:t>dodatečně vytvořenou poptávku na trhu práce v</w:t>
      </w:r>
      <w:r w:rsidR="0003053E">
        <w:t> </w:t>
      </w:r>
      <w:r>
        <w:t>uvedených letech v</w:t>
      </w:r>
      <w:r w:rsidR="0003053E">
        <w:t> </w:t>
      </w:r>
      <w:r>
        <w:t>poměru k</w:t>
      </w:r>
      <w:r w:rsidR="0003053E">
        <w:t> </w:t>
      </w:r>
      <w:r>
        <w:t>objemu zaměstnanosti v</w:t>
      </w:r>
      <w:r w:rsidR="0003053E">
        <w:t> </w:t>
      </w:r>
      <w:r>
        <w:t>témže výchozím roce 2020.</w:t>
      </w:r>
    </w:p>
    <w:p w14:paraId="4A3D361D" w14:textId="3C276A90" w:rsidR="001F5332" w:rsidRDefault="001F5332" w:rsidP="00252410">
      <w:pPr>
        <w:pStyle w:val="Zdrojpodtabulkounebografem"/>
      </w:pPr>
      <w:r>
        <w:t>Zdroj: Výpočty MF ČR.</w:t>
      </w:r>
    </w:p>
    <w:sectPr w:rsidR="001F5332" w:rsidSect="00AA1F52">
      <w:footerReference w:type="default" r:id="rId42"/>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F1B0DA" w14:textId="77777777" w:rsidR="007E22DC" w:rsidRDefault="007E22DC" w:rsidP="00B4450A">
      <w:pPr>
        <w:spacing w:after="0" w:line="240" w:lineRule="auto"/>
      </w:pPr>
      <w:r>
        <w:separator/>
      </w:r>
    </w:p>
  </w:endnote>
  <w:endnote w:type="continuationSeparator" w:id="0">
    <w:p w14:paraId="772465A9" w14:textId="77777777" w:rsidR="007E22DC" w:rsidRDefault="007E22DC" w:rsidP="00B44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Body)">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9351450"/>
      <w:docPartObj>
        <w:docPartGallery w:val="Page Numbers (Bottom of Page)"/>
        <w:docPartUnique/>
      </w:docPartObj>
    </w:sdtPr>
    <w:sdtEndPr/>
    <w:sdtContent>
      <w:p w14:paraId="0BE5EF3E" w14:textId="22FB592B" w:rsidR="004E56C3" w:rsidRDefault="004E56C3">
        <w:pPr>
          <w:pStyle w:val="Zpat"/>
          <w:jc w:val="center"/>
        </w:pPr>
        <w:r>
          <w:fldChar w:fldCharType="begin"/>
        </w:r>
        <w:r>
          <w:instrText>PAGE   \* MERGEFORMAT</w:instrText>
        </w:r>
        <w:r>
          <w:fldChar w:fldCharType="separate"/>
        </w:r>
        <w:r>
          <w:t>2</w:t>
        </w:r>
        <w:r>
          <w:fldChar w:fldCharType="end"/>
        </w:r>
      </w:p>
    </w:sdtContent>
  </w:sdt>
  <w:p w14:paraId="4490C220" w14:textId="77777777" w:rsidR="004E56C3" w:rsidRDefault="004E56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945992" w14:textId="77777777" w:rsidR="007E22DC" w:rsidRDefault="007E22DC" w:rsidP="00B4450A">
      <w:pPr>
        <w:spacing w:after="0" w:line="240" w:lineRule="auto"/>
      </w:pPr>
      <w:r>
        <w:separator/>
      </w:r>
    </w:p>
  </w:footnote>
  <w:footnote w:type="continuationSeparator" w:id="0">
    <w:p w14:paraId="0B27BB02" w14:textId="77777777" w:rsidR="007E22DC" w:rsidRDefault="007E22DC" w:rsidP="00B4450A">
      <w:pPr>
        <w:spacing w:after="0" w:line="240" w:lineRule="auto"/>
      </w:pPr>
      <w:r>
        <w:continuationSeparator/>
      </w:r>
    </w:p>
  </w:footnote>
  <w:footnote w:id="1">
    <w:p w14:paraId="76ADFCF7" w14:textId="77777777" w:rsidR="004E56C3" w:rsidRDefault="004E56C3">
      <w:pPr>
        <w:pStyle w:val="Textpoznpodarou"/>
      </w:pPr>
      <w:r>
        <w:rPr>
          <w:rStyle w:val="Znakapoznpodarou"/>
        </w:rPr>
        <w:footnoteRef/>
      </w:r>
      <w:r>
        <w:t xml:space="preserve"> Podrobněji viz níže kapitoly II.</w:t>
      </w:r>
      <w:r w:rsidRPr="00C12F5B">
        <w:t>1.1</w:t>
      </w:r>
      <w:r>
        <w:t xml:space="preserve"> </w:t>
      </w:r>
      <w:r w:rsidRPr="00C12F5B">
        <w:t>Obecný cíl kapitoly REPowerEU</w:t>
      </w:r>
      <w:r>
        <w:t xml:space="preserve"> a IV.4 </w:t>
      </w:r>
      <w:r w:rsidRPr="00C12F5B">
        <w:t>Srovnání s výchozím stavem investic</w:t>
      </w:r>
      <w:r>
        <w:t>.</w:t>
      </w:r>
    </w:p>
  </w:footnote>
  <w:footnote w:id="2">
    <w:p w14:paraId="0BCE85F9" w14:textId="036C23A2" w:rsidR="004E56C3" w:rsidRDefault="004E56C3" w:rsidP="00B4450A">
      <w:pPr>
        <w:pStyle w:val="Textpoznpodarou"/>
      </w:pPr>
      <w:r>
        <w:rPr>
          <w:rStyle w:val="Znakapoznpodarou"/>
        </w:rPr>
        <w:footnoteRef/>
      </w:r>
      <w:r>
        <w:t xml:space="preserve"> </w:t>
      </w:r>
      <w:r w:rsidRPr="006F63CD">
        <w:t>Odhadované celkové náklady plánu pro oživení a odolnost Česka činí 179 142 931 000 Kč, což se na základě referenčního kurzu Evropské centrální banky pro měny CZK a EUR ze dne 1. června 2021, kdy ČR oficiálně předložila N</w:t>
      </w:r>
      <w:r>
        <w:t>PO</w:t>
      </w:r>
      <w:r w:rsidRPr="006F63CD">
        <w:t xml:space="preserve"> Evropské komisi, rovná částce </w:t>
      </w:r>
      <w:r w:rsidRPr="6C0C6B18">
        <w:rPr>
          <w:lang w:val="en-GB"/>
        </w:rPr>
        <w:t>7 035 697 549 EUR.</w:t>
      </w:r>
      <w:r>
        <w:rPr>
          <w:lang w:val="en-GB"/>
        </w:rPr>
        <w:t xml:space="preserve"> </w:t>
      </w:r>
      <w:r>
        <w:t xml:space="preserve"> </w:t>
      </w:r>
    </w:p>
  </w:footnote>
  <w:footnote w:id="3">
    <w:p w14:paraId="56C3B701" w14:textId="77777777" w:rsidR="004E56C3" w:rsidRDefault="004E56C3" w:rsidP="002D62AD">
      <w:pPr>
        <w:pStyle w:val="Textpoznpodarou"/>
      </w:pPr>
      <w:r>
        <w:rPr>
          <w:rStyle w:val="Znakapoznpodarou"/>
        </w:rPr>
        <w:footnoteRef/>
      </w:r>
      <w:r>
        <w:t xml:space="preserve"> bude upřesněno dle dostupného bydlení, energetického poradenství, komunitní energetika, reforma vzdělávání </w:t>
      </w:r>
    </w:p>
  </w:footnote>
  <w:footnote w:id="4">
    <w:p w14:paraId="0086E087" w14:textId="55FD7BB2" w:rsidR="004E56C3" w:rsidRDefault="004E56C3">
      <w:pPr>
        <w:pStyle w:val="Textpoznpodarou"/>
      </w:pPr>
      <w:r>
        <w:rPr>
          <w:rStyle w:val="Znakapoznpodarou"/>
        </w:rPr>
        <w:footnoteRef/>
      </w:r>
      <w:r>
        <w:t xml:space="preserve"> Ministerstvo životního prostředí je spoluvlastníkem komponenty u investice 1 – Protipovodňová ochrana, kde jsou obsaženy projekty Ministerstva zemědělství a Ministerstva životního prostředí</w:t>
      </w:r>
    </w:p>
  </w:footnote>
  <w:footnote w:id="5">
    <w:p w14:paraId="7F6C8EC8" w14:textId="77777777" w:rsidR="004E56C3" w:rsidRPr="000542F1" w:rsidRDefault="004E56C3" w:rsidP="001F5332">
      <w:pPr>
        <w:pStyle w:val="Textpoznpodarou"/>
        <w:rPr>
          <w:sz w:val="16"/>
          <w:szCs w:val="16"/>
        </w:rPr>
      </w:pPr>
      <w:r w:rsidRPr="000542F1">
        <w:rPr>
          <w:rStyle w:val="Znakapoznpodarou"/>
          <w:sz w:val="16"/>
          <w:szCs w:val="16"/>
        </w:rPr>
        <w:footnoteRef/>
      </w:r>
      <w:r w:rsidRPr="000542F1">
        <w:rPr>
          <w:rStyle w:val="Znakapoznpodarou"/>
          <w:sz w:val="16"/>
          <w:szCs w:val="16"/>
        </w:rPr>
        <w:t xml:space="preserve"> </w:t>
      </w:r>
      <w:r w:rsidRPr="000542F1">
        <w:rPr>
          <w:sz w:val="16"/>
          <w:szCs w:val="16"/>
        </w:rPr>
        <w:t>Jedná se o ukazatel zaměstnanosti z Národních účtů.</w:t>
      </w:r>
    </w:p>
  </w:footnote>
  <w:footnote w:id="6">
    <w:p w14:paraId="1F313359" w14:textId="77777777" w:rsidR="004E56C3" w:rsidRPr="001F5723" w:rsidRDefault="004E56C3" w:rsidP="001F5332">
      <w:pPr>
        <w:pStyle w:val="Textpoznpodarou"/>
        <w:rPr>
          <w:sz w:val="16"/>
          <w:szCs w:val="16"/>
        </w:rPr>
      </w:pPr>
      <w:r w:rsidRPr="001F5723">
        <w:rPr>
          <w:rStyle w:val="Znakapoznpodarou"/>
          <w:sz w:val="16"/>
          <w:szCs w:val="16"/>
        </w:rPr>
        <w:footnoteRef/>
      </w:r>
      <w:r w:rsidRPr="001F5723">
        <w:rPr>
          <w:sz w:val="16"/>
          <w:szCs w:val="16"/>
        </w:rPr>
        <w:t xml:space="preserve"> Výsledky simulací dopadů plánu obnovy jsou ve všech dalších grafech a tabulkách vyjádřeny v procentech </w:t>
      </w:r>
      <w:r>
        <w:rPr>
          <w:sz w:val="16"/>
          <w:szCs w:val="16"/>
        </w:rPr>
        <w:t>reálného</w:t>
      </w:r>
      <w:r w:rsidRPr="001F5723">
        <w:rPr>
          <w:sz w:val="16"/>
          <w:szCs w:val="16"/>
        </w:rPr>
        <w:t xml:space="preserve"> HDP daného roku, resp. v</w:t>
      </w:r>
      <w:r>
        <w:rPr>
          <w:sz w:val="16"/>
          <w:szCs w:val="16"/>
        </w:rPr>
        <w:t> </w:t>
      </w:r>
      <w:r w:rsidRPr="001F5723">
        <w:rPr>
          <w:sz w:val="16"/>
          <w:szCs w:val="16"/>
        </w:rPr>
        <w:t>procentech zaměstnanosti ze základního scénáře.</w:t>
      </w:r>
    </w:p>
  </w:footnote>
  <w:footnote w:id="7">
    <w:p w14:paraId="3D8BA749" w14:textId="77777777" w:rsidR="004E56C3" w:rsidRPr="001F5723" w:rsidRDefault="004E56C3" w:rsidP="001F5332">
      <w:pPr>
        <w:pStyle w:val="Textpoznpodarou"/>
        <w:rPr>
          <w:sz w:val="16"/>
          <w:szCs w:val="16"/>
        </w:rPr>
      </w:pPr>
      <w:r w:rsidRPr="001F5723">
        <w:rPr>
          <w:rStyle w:val="Znakapoznpodarou"/>
          <w:sz w:val="16"/>
          <w:szCs w:val="16"/>
        </w:rPr>
        <w:footnoteRef/>
      </w:r>
      <w:r w:rsidRPr="001F5723">
        <w:rPr>
          <w:sz w:val="16"/>
          <w:szCs w:val="16"/>
        </w:rPr>
        <w:t xml:space="preserve"> Relativně brzy se projeví efekty investic např. u projektů na renovaci budov </w:t>
      </w:r>
      <w:r>
        <w:rPr>
          <w:sz w:val="16"/>
          <w:szCs w:val="16"/>
        </w:rPr>
        <w:t>(</w:t>
      </w:r>
      <w:r w:rsidRPr="001F5723">
        <w:rPr>
          <w:sz w:val="16"/>
          <w:szCs w:val="16"/>
        </w:rPr>
        <w:t>nová zelená úsporám</w:t>
      </w:r>
      <w:r>
        <w:rPr>
          <w:sz w:val="16"/>
          <w:szCs w:val="16"/>
        </w:rPr>
        <w:t>) a</w:t>
      </w:r>
      <w:r w:rsidRPr="001F5723">
        <w:rPr>
          <w:sz w:val="16"/>
          <w:szCs w:val="16"/>
        </w:rPr>
        <w:t xml:space="preserve"> dále podpora firem</w:t>
      </w:r>
      <w:r>
        <w:rPr>
          <w:sz w:val="16"/>
          <w:szCs w:val="16"/>
        </w:rPr>
        <w:t xml:space="preserve"> v této oblasti</w:t>
      </w:r>
      <w:r w:rsidRPr="001F5723">
        <w:rPr>
          <w:sz w:val="16"/>
          <w:szCs w:val="16"/>
        </w:rPr>
        <w:t>.</w:t>
      </w:r>
    </w:p>
  </w:footnote>
  <w:footnote w:id="8">
    <w:p w14:paraId="319D8013" w14:textId="77777777" w:rsidR="004E56C3" w:rsidRDefault="004E56C3" w:rsidP="001F5332">
      <w:pPr>
        <w:pStyle w:val="Textpoznpodarou"/>
      </w:pPr>
      <w:r w:rsidRPr="001F5723">
        <w:rPr>
          <w:rStyle w:val="Znakapoznpodarou"/>
          <w:sz w:val="16"/>
          <w:szCs w:val="16"/>
        </w:rPr>
        <w:footnoteRef/>
      </w:r>
      <w:r w:rsidRPr="001F5723">
        <w:rPr>
          <w:sz w:val="16"/>
          <w:szCs w:val="16"/>
        </w:rPr>
        <w:t xml:space="preserve"> </w:t>
      </w:r>
      <w:r>
        <w:rPr>
          <w:sz w:val="16"/>
          <w:szCs w:val="16"/>
        </w:rPr>
        <w:t>Mírný</w:t>
      </w:r>
      <w:r w:rsidRPr="00BA1A86">
        <w:rPr>
          <w:sz w:val="16"/>
          <w:szCs w:val="16"/>
        </w:rPr>
        <w:t> </w:t>
      </w:r>
      <w:r>
        <w:rPr>
          <w:sz w:val="16"/>
          <w:szCs w:val="16"/>
        </w:rPr>
        <w:t>pokles zaměstnanosti v krátkém</w:t>
      </w:r>
      <w:r w:rsidRPr="00BA1A86">
        <w:rPr>
          <w:sz w:val="16"/>
          <w:szCs w:val="16"/>
        </w:rPr>
        <w:t xml:space="preserve"> </w:t>
      </w:r>
      <w:r>
        <w:rPr>
          <w:sz w:val="16"/>
          <w:szCs w:val="16"/>
        </w:rPr>
        <w:t xml:space="preserve">horizontu je možné přičítat zvýšené potřebě zvyšování vzdělání resp. rekvalifikace již ekonomicky aktivních osob, které tak dočasně snižují zaměstnanost. Tento relativně zanedbatelný efekt vyplývá z technické konstrukce modelu QUEST. </w:t>
      </w:r>
    </w:p>
  </w:footnote>
</w:footnotes>
</file>

<file path=word/intelligence2.xml><?xml version="1.0" encoding="utf-8"?>
<int2:intelligence xmlns:int2="http://schemas.microsoft.com/office/intelligence/2020/intelligence" xmlns:oel="http://schemas.microsoft.com/office/2019/extlst">
  <int2:observations>
    <int2:textHash int2:hashCode="lrFlbkxW0jJf/3" int2:id="Gy52Q6le">
      <int2:state int2:value="Rejected" int2:type="AugLoop_Text_Critique"/>
    </int2:textHash>
    <int2:textHash int2:hashCode="Gx/4mAGJjb6Y3G" int2:id="3E8vtXMG">
      <int2:state int2:value="Rejected" int2:type="AugLoop_Text_Critique"/>
    </int2:textHash>
    <int2:textHash int2:hashCode="OhP1PzBhzRnLS3" int2:id="HS5mX5kV">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55275"/>
    <w:multiLevelType w:val="hybridMultilevel"/>
    <w:tmpl w:val="EEA27F24"/>
    <w:lvl w:ilvl="0" w:tplc="FFFFFFFF">
      <w:start w:val="1"/>
      <w:numFmt w:val="bullet"/>
      <w:lvlText w:val="-"/>
      <w:lvlJc w:val="left"/>
      <w:pPr>
        <w:ind w:left="966" w:hanging="850"/>
      </w:pPr>
      <w:rPr>
        <w:rFonts w:ascii="Symbol" w:hAnsi="Symbol" w:hint="default"/>
        <w:w w:val="100"/>
        <w:sz w:val="24"/>
        <w:szCs w:val="24"/>
        <w:lang w:val="cs-CZ" w:eastAsia="en-US" w:bidi="ar-SA"/>
      </w:rPr>
    </w:lvl>
    <w:lvl w:ilvl="1" w:tplc="ECCAA4F4">
      <w:numFmt w:val="bullet"/>
      <w:lvlText w:val="•"/>
      <w:lvlJc w:val="left"/>
      <w:pPr>
        <w:ind w:left="1794" w:hanging="850"/>
      </w:pPr>
      <w:rPr>
        <w:rFonts w:hint="default"/>
        <w:lang w:val="cs-CZ" w:eastAsia="en-US" w:bidi="ar-SA"/>
      </w:rPr>
    </w:lvl>
    <w:lvl w:ilvl="2" w:tplc="A95E16C4">
      <w:numFmt w:val="bullet"/>
      <w:lvlText w:val="•"/>
      <w:lvlJc w:val="left"/>
      <w:pPr>
        <w:ind w:left="2629" w:hanging="850"/>
      </w:pPr>
      <w:rPr>
        <w:rFonts w:hint="default"/>
        <w:lang w:val="cs-CZ" w:eastAsia="en-US" w:bidi="ar-SA"/>
      </w:rPr>
    </w:lvl>
    <w:lvl w:ilvl="3" w:tplc="D94A74DC">
      <w:numFmt w:val="bullet"/>
      <w:lvlText w:val="•"/>
      <w:lvlJc w:val="left"/>
      <w:pPr>
        <w:ind w:left="3463" w:hanging="850"/>
      </w:pPr>
      <w:rPr>
        <w:rFonts w:hint="default"/>
        <w:lang w:val="cs-CZ" w:eastAsia="en-US" w:bidi="ar-SA"/>
      </w:rPr>
    </w:lvl>
    <w:lvl w:ilvl="4" w:tplc="A13AA534">
      <w:numFmt w:val="bullet"/>
      <w:lvlText w:val="•"/>
      <w:lvlJc w:val="left"/>
      <w:pPr>
        <w:ind w:left="4298" w:hanging="850"/>
      </w:pPr>
      <w:rPr>
        <w:rFonts w:hint="default"/>
        <w:lang w:val="cs-CZ" w:eastAsia="en-US" w:bidi="ar-SA"/>
      </w:rPr>
    </w:lvl>
    <w:lvl w:ilvl="5" w:tplc="65C8287E">
      <w:numFmt w:val="bullet"/>
      <w:lvlText w:val="•"/>
      <w:lvlJc w:val="left"/>
      <w:pPr>
        <w:ind w:left="5133" w:hanging="850"/>
      </w:pPr>
      <w:rPr>
        <w:rFonts w:hint="default"/>
        <w:lang w:val="cs-CZ" w:eastAsia="en-US" w:bidi="ar-SA"/>
      </w:rPr>
    </w:lvl>
    <w:lvl w:ilvl="6" w:tplc="B30EA5F6">
      <w:numFmt w:val="bullet"/>
      <w:lvlText w:val="•"/>
      <w:lvlJc w:val="left"/>
      <w:pPr>
        <w:ind w:left="5967" w:hanging="850"/>
      </w:pPr>
      <w:rPr>
        <w:rFonts w:hint="default"/>
        <w:lang w:val="cs-CZ" w:eastAsia="en-US" w:bidi="ar-SA"/>
      </w:rPr>
    </w:lvl>
    <w:lvl w:ilvl="7" w:tplc="7786AD04">
      <w:numFmt w:val="bullet"/>
      <w:lvlText w:val="•"/>
      <w:lvlJc w:val="left"/>
      <w:pPr>
        <w:ind w:left="6802" w:hanging="850"/>
      </w:pPr>
      <w:rPr>
        <w:rFonts w:hint="default"/>
        <w:lang w:val="cs-CZ" w:eastAsia="en-US" w:bidi="ar-SA"/>
      </w:rPr>
    </w:lvl>
    <w:lvl w:ilvl="8" w:tplc="E1DEBE00">
      <w:numFmt w:val="bullet"/>
      <w:lvlText w:val="•"/>
      <w:lvlJc w:val="left"/>
      <w:pPr>
        <w:ind w:left="7637" w:hanging="850"/>
      </w:pPr>
      <w:rPr>
        <w:rFonts w:hint="default"/>
        <w:lang w:val="cs-CZ" w:eastAsia="en-US" w:bidi="ar-SA"/>
      </w:rPr>
    </w:lvl>
  </w:abstractNum>
  <w:abstractNum w:abstractNumId="1" w15:restartNumberingAfterBreak="0">
    <w:nsid w:val="033C3AB4"/>
    <w:multiLevelType w:val="multilevel"/>
    <w:tmpl w:val="BB08B5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EC3543"/>
    <w:multiLevelType w:val="multilevel"/>
    <w:tmpl w:val="FD740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70C11AC"/>
    <w:multiLevelType w:val="multilevel"/>
    <w:tmpl w:val="44F87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E56814"/>
    <w:multiLevelType w:val="hybridMultilevel"/>
    <w:tmpl w:val="965E307E"/>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41F2184"/>
    <w:multiLevelType w:val="multilevel"/>
    <w:tmpl w:val="6D62C7A6"/>
    <w:lvl w:ilvl="0">
      <w:start w:val="1"/>
      <w:numFmt w:val="none"/>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1AA55AC0"/>
    <w:multiLevelType w:val="multilevel"/>
    <w:tmpl w:val="7CBA86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BF54A98"/>
    <w:multiLevelType w:val="hybridMultilevel"/>
    <w:tmpl w:val="90D82B60"/>
    <w:lvl w:ilvl="0" w:tplc="B7AE2B9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A36490"/>
    <w:multiLevelType w:val="hybridMultilevel"/>
    <w:tmpl w:val="B7D27336"/>
    <w:lvl w:ilvl="0" w:tplc="FFFFFFFF">
      <w:start w:val="1"/>
      <w:numFmt w:val="bullet"/>
      <w:pStyle w:val="Odrka"/>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289A5EA2"/>
    <w:multiLevelType w:val="multilevel"/>
    <w:tmpl w:val="E8BAE50A"/>
    <w:numStyleLink w:val="VariantaA-odrky"/>
  </w:abstractNum>
  <w:abstractNum w:abstractNumId="10" w15:restartNumberingAfterBreak="0">
    <w:nsid w:val="2C9504D4"/>
    <w:multiLevelType w:val="multilevel"/>
    <w:tmpl w:val="EB8870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614D9A"/>
    <w:multiLevelType w:val="hybridMultilevel"/>
    <w:tmpl w:val="AB0C6794"/>
    <w:lvl w:ilvl="0" w:tplc="169A7D10">
      <w:start w:val="1"/>
      <w:numFmt w:val="bullet"/>
      <w:lvlText w:val="-"/>
      <w:lvlJc w:val="left"/>
      <w:pPr>
        <w:ind w:left="720" w:hanging="360"/>
      </w:pPr>
      <w:rPr>
        <w:rFonts w:ascii="Calibri" w:hAnsi="Calibri" w:hint="default"/>
      </w:rPr>
    </w:lvl>
    <w:lvl w:ilvl="1" w:tplc="74A08D6C">
      <w:start w:val="1"/>
      <w:numFmt w:val="bullet"/>
      <w:lvlText w:val="o"/>
      <w:lvlJc w:val="left"/>
      <w:pPr>
        <w:ind w:left="1440" w:hanging="360"/>
      </w:pPr>
      <w:rPr>
        <w:rFonts w:ascii="Courier New" w:hAnsi="Courier New" w:hint="default"/>
      </w:rPr>
    </w:lvl>
    <w:lvl w:ilvl="2" w:tplc="F9F01878">
      <w:start w:val="1"/>
      <w:numFmt w:val="bullet"/>
      <w:lvlText w:val=""/>
      <w:lvlJc w:val="left"/>
      <w:pPr>
        <w:ind w:left="2160" w:hanging="360"/>
      </w:pPr>
      <w:rPr>
        <w:rFonts w:ascii="Wingdings" w:hAnsi="Wingdings" w:hint="default"/>
      </w:rPr>
    </w:lvl>
    <w:lvl w:ilvl="3" w:tplc="FF7E407C">
      <w:start w:val="1"/>
      <w:numFmt w:val="bullet"/>
      <w:lvlText w:val=""/>
      <w:lvlJc w:val="left"/>
      <w:pPr>
        <w:ind w:left="2880" w:hanging="360"/>
      </w:pPr>
      <w:rPr>
        <w:rFonts w:ascii="Symbol" w:hAnsi="Symbol" w:hint="default"/>
      </w:rPr>
    </w:lvl>
    <w:lvl w:ilvl="4" w:tplc="247C27B8">
      <w:start w:val="1"/>
      <w:numFmt w:val="bullet"/>
      <w:lvlText w:val="o"/>
      <w:lvlJc w:val="left"/>
      <w:pPr>
        <w:ind w:left="3600" w:hanging="360"/>
      </w:pPr>
      <w:rPr>
        <w:rFonts w:ascii="Courier New" w:hAnsi="Courier New" w:hint="default"/>
      </w:rPr>
    </w:lvl>
    <w:lvl w:ilvl="5" w:tplc="20409174">
      <w:start w:val="1"/>
      <w:numFmt w:val="bullet"/>
      <w:lvlText w:val=""/>
      <w:lvlJc w:val="left"/>
      <w:pPr>
        <w:ind w:left="4320" w:hanging="360"/>
      </w:pPr>
      <w:rPr>
        <w:rFonts w:ascii="Wingdings" w:hAnsi="Wingdings" w:hint="default"/>
      </w:rPr>
    </w:lvl>
    <w:lvl w:ilvl="6" w:tplc="B308F1EE">
      <w:start w:val="1"/>
      <w:numFmt w:val="bullet"/>
      <w:lvlText w:val=""/>
      <w:lvlJc w:val="left"/>
      <w:pPr>
        <w:ind w:left="5040" w:hanging="360"/>
      </w:pPr>
      <w:rPr>
        <w:rFonts w:ascii="Symbol" w:hAnsi="Symbol" w:hint="default"/>
      </w:rPr>
    </w:lvl>
    <w:lvl w:ilvl="7" w:tplc="F5F430A6">
      <w:start w:val="1"/>
      <w:numFmt w:val="bullet"/>
      <w:lvlText w:val="o"/>
      <w:lvlJc w:val="left"/>
      <w:pPr>
        <w:ind w:left="5760" w:hanging="360"/>
      </w:pPr>
      <w:rPr>
        <w:rFonts w:ascii="Courier New" w:hAnsi="Courier New" w:hint="default"/>
      </w:rPr>
    </w:lvl>
    <w:lvl w:ilvl="8" w:tplc="D90431AE">
      <w:start w:val="1"/>
      <w:numFmt w:val="bullet"/>
      <w:lvlText w:val=""/>
      <w:lvlJc w:val="left"/>
      <w:pPr>
        <w:ind w:left="6480" w:hanging="360"/>
      </w:pPr>
      <w:rPr>
        <w:rFonts w:ascii="Wingdings" w:hAnsi="Wingdings" w:hint="default"/>
      </w:rPr>
    </w:lvl>
  </w:abstractNum>
  <w:abstractNum w:abstractNumId="12" w15:restartNumberingAfterBreak="0">
    <w:nsid w:val="43DC246F"/>
    <w:multiLevelType w:val="hybridMultilevel"/>
    <w:tmpl w:val="81702ADA"/>
    <w:lvl w:ilvl="0" w:tplc="04050001">
      <w:start w:val="1"/>
      <w:numFmt w:val="bullet"/>
      <w:lvlText w:val=""/>
      <w:lvlJc w:val="left"/>
      <w:pPr>
        <w:ind w:left="715" w:hanging="360"/>
      </w:pPr>
      <w:rPr>
        <w:rFonts w:ascii="Symbol" w:hAnsi="Symbol" w:hint="default"/>
      </w:rPr>
    </w:lvl>
    <w:lvl w:ilvl="1" w:tplc="04050003" w:tentative="1">
      <w:start w:val="1"/>
      <w:numFmt w:val="bullet"/>
      <w:lvlText w:val="o"/>
      <w:lvlJc w:val="left"/>
      <w:pPr>
        <w:ind w:left="1435" w:hanging="360"/>
      </w:pPr>
      <w:rPr>
        <w:rFonts w:ascii="Courier New" w:hAnsi="Courier New" w:cs="Courier New" w:hint="default"/>
      </w:rPr>
    </w:lvl>
    <w:lvl w:ilvl="2" w:tplc="04050005" w:tentative="1">
      <w:start w:val="1"/>
      <w:numFmt w:val="bullet"/>
      <w:lvlText w:val=""/>
      <w:lvlJc w:val="left"/>
      <w:pPr>
        <w:ind w:left="2155" w:hanging="360"/>
      </w:pPr>
      <w:rPr>
        <w:rFonts w:ascii="Wingdings" w:hAnsi="Wingdings" w:hint="default"/>
      </w:rPr>
    </w:lvl>
    <w:lvl w:ilvl="3" w:tplc="04050001" w:tentative="1">
      <w:start w:val="1"/>
      <w:numFmt w:val="bullet"/>
      <w:lvlText w:val=""/>
      <w:lvlJc w:val="left"/>
      <w:pPr>
        <w:ind w:left="2875" w:hanging="360"/>
      </w:pPr>
      <w:rPr>
        <w:rFonts w:ascii="Symbol" w:hAnsi="Symbol" w:hint="default"/>
      </w:rPr>
    </w:lvl>
    <w:lvl w:ilvl="4" w:tplc="04050003" w:tentative="1">
      <w:start w:val="1"/>
      <w:numFmt w:val="bullet"/>
      <w:lvlText w:val="o"/>
      <w:lvlJc w:val="left"/>
      <w:pPr>
        <w:ind w:left="3595" w:hanging="360"/>
      </w:pPr>
      <w:rPr>
        <w:rFonts w:ascii="Courier New" w:hAnsi="Courier New" w:cs="Courier New" w:hint="default"/>
      </w:rPr>
    </w:lvl>
    <w:lvl w:ilvl="5" w:tplc="04050005" w:tentative="1">
      <w:start w:val="1"/>
      <w:numFmt w:val="bullet"/>
      <w:lvlText w:val=""/>
      <w:lvlJc w:val="left"/>
      <w:pPr>
        <w:ind w:left="4315" w:hanging="360"/>
      </w:pPr>
      <w:rPr>
        <w:rFonts w:ascii="Wingdings" w:hAnsi="Wingdings" w:hint="default"/>
      </w:rPr>
    </w:lvl>
    <w:lvl w:ilvl="6" w:tplc="04050001" w:tentative="1">
      <w:start w:val="1"/>
      <w:numFmt w:val="bullet"/>
      <w:lvlText w:val=""/>
      <w:lvlJc w:val="left"/>
      <w:pPr>
        <w:ind w:left="5035" w:hanging="360"/>
      </w:pPr>
      <w:rPr>
        <w:rFonts w:ascii="Symbol" w:hAnsi="Symbol" w:hint="default"/>
      </w:rPr>
    </w:lvl>
    <w:lvl w:ilvl="7" w:tplc="04050003" w:tentative="1">
      <w:start w:val="1"/>
      <w:numFmt w:val="bullet"/>
      <w:lvlText w:val="o"/>
      <w:lvlJc w:val="left"/>
      <w:pPr>
        <w:ind w:left="5755" w:hanging="360"/>
      </w:pPr>
      <w:rPr>
        <w:rFonts w:ascii="Courier New" w:hAnsi="Courier New" w:cs="Courier New" w:hint="default"/>
      </w:rPr>
    </w:lvl>
    <w:lvl w:ilvl="8" w:tplc="04050005" w:tentative="1">
      <w:start w:val="1"/>
      <w:numFmt w:val="bullet"/>
      <w:lvlText w:val=""/>
      <w:lvlJc w:val="left"/>
      <w:pPr>
        <w:ind w:left="6475" w:hanging="360"/>
      </w:pPr>
      <w:rPr>
        <w:rFonts w:ascii="Wingdings" w:hAnsi="Wingdings" w:hint="default"/>
      </w:rPr>
    </w:lvl>
  </w:abstractNum>
  <w:abstractNum w:abstractNumId="13"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14" w15:restartNumberingAfterBreak="0">
    <w:nsid w:val="5A0D7547"/>
    <w:multiLevelType w:val="hybridMultilevel"/>
    <w:tmpl w:val="55065446"/>
    <w:lvl w:ilvl="0" w:tplc="67A6A3BC">
      <w:start w:val="1"/>
      <w:numFmt w:val="decimal"/>
      <w:pStyle w:val="Styl1"/>
      <w:lvlText w:val="%1.1.1"/>
      <w:lvlJc w:val="left"/>
      <w:pPr>
        <w:ind w:left="0" w:firstLine="360"/>
      </w:pPr>
      <w:rPr>
        <w:rFonts w:ascii="Calibri" w:hAnsi="Calibri" w:hint="default"/>
        <w:b/>
        <w:i w:val="0"/>
        <w:caps w:val="0"/>
        <w:strike w:val="0"/>
        <w:dstrike w:val="0"/>
        <w:vanish w:val="0"/>
        <w:kern w:val="0"/>
        <w:position w:val="0"/>
        <w:sz w:val="20"/>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8926A3"/>
    <w:multiLevelType w:val="hybridMultilevel"/>
    <w:tmpl w:val="39E459B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646126D8"/>
    <w:multiLevelType w:val="multilevel"/>
    <w:tmpl w:val="AAD4FC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9C57FA6"/>
    <w:multiLevelType w:val="multilevel"/>
    <w:tmpl w:val="406C031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B6F495E"/>
    <w:multiLevelType w:val="multilevel"/>
    <w:tmpl w:val="99D27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E8C526E"/>
    <w:multiLevelType w:val="multilevel"/>
    <w:tmpl w:val="F7B8018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F4038F6"/>
    <w:multiLevelType w:val="hybridMultilevel"/>
    <w:tmpl w:val="D9AAE8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60565B7"/>
    <w:multiLevelType w:val="multilevel"/>
    <w:tmpl w:val="406C031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6833D5"/>
    <w:multiLevelType w:val="multilevel"/>
    <w:tmpl w:val="406C031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A9029B"/>
    <w:multiLevelType w:val="hybridMultilevel"/>
    <w:tmpl w:val="D85E4DD6"/>
    <w:lvl w:ilvl="0" w:tplc="73585B02">
      <w:start w:val="1"/>
      <w:numFmt w:val="decimal"/>
      <w:lvlText w:val="%1."/>
      <w:lvlJc w:val="left"/>
      <w:pPr>
        <w:ind w:left="720" w:hanging="360"/>
      </w:pPr>
    </w:lvl>
    <w:lvl w:ilvl="1" w:tplc="F162F7DC">
      <w:start w:val="1"/>
      <w:numFmt w:val="lowerLetter"/>
      <w:lvlText w:val="%2."/>
      <w:lvlJc w:val="left"/>
      <w:pPr>
        <w:ind w:left="1440" w:hanging="360"/>
      </w:pPr>
    </w:lvl>
    <w:lvl w:ilvl="2" w:tplc="468493FC">
      <w:start w:val="1"/>
      <w:numFmt w:val="lowerRoman"/>
      <w:lvlText w:val="%3."/>
      <w:lvlJc w:val="right"/>
      <w:pPr>
        <w:ind w:left="2160" w:hanging="180"/>
      </w:pPr>
    </w:lvl>
    <w:lvl w:ilvl="3" w:tplc="9890659A">
      <w:start w:val="1"/>
      <w:numFmt w:val="decimal"/>
      <w:lvlText w:val="%4."/>
      <w:lvlJc w:val="left"/>
      <w:pPr>
        <w:ind w:left="2880" w:hanging="360"/>
      </w:pPr>
    </w:lvl>
    <w:lvl w:ilvl="4" w:tplc="25DCD1E6">
      <w:start w:val="1"/>
      <w:numFmt w:val="lowerLetter"/>
      <w:lvlText w:val="%5."/>
      <w:lvlJc w:val="left"/>
      <w:pPr>
        <w:ind w:left="3600" w:hanging="360"/>
      </w:pPr>
    </w:lvl>
    <w:lvl w:ilvl="5" w:tplc="DEDAF27A">
      <w:start w:val="1"/>
      <w:numFmt w:val="lowerRoman"/>
      <w:lvlText w:val="%6."/>
      <w:lvlJc w:val="right"/>
      <w:pPr>
        <w:ind w:left="4320" w:hanging="180"/>
      </w:pPr>
    </w:lvl>
    <w:lvl w:ilvl="6" w:tplc="E434537C">
      <w:start w:val="1"/>
      <w:numFmt w:val="decimal"/>
      <w:lvlText w:val="%7."/>
      <w:lvlJc w:val="left"/>
      <w:pPr>
        <w:ind w:left="5040" w:hanging="360"/>
      </w:pPr>
    </w:lvl>
    <w:lvl w:ilvl="7" w:tplc="0CD6B114">
      <w:start w:val="1"/>
      <w:numFmt w:val="lowerLetter"/>
      <w:lvlText w:val="%8."/>
      <w:lvlJc w:val="left"/>
      <w:pPr>
        <w:ind w:left="5760" w:hanging="360"/>
      </w:pPr>
    </w:lvl>
    <w:lvl w:ilvl="8" w:tplc="FA6CCD02">
      <w:start w:val="1"/>
      <w:numFmt w:val="lowerRoman"/>
      <w:lvlText w:val="%9."/>
      <w:lvlJc w:val="right"/>
      <w:pPr>
        <w:ind w:left="6480" w:hanging="180"/>
      </w:pPr>
    </w:lvl>
  </w:abstractNum>
  <w:num w:numId="1">
    <w:abstractNumId w:val="23"/>
  </w:num>
  <w:num w:numId="2">
    <w:abstractNumId w:val="5"/>
  </w:num>
  <w:num w:numId="3">
    <w:abstractNumId w:val="14"/>
  </w:num>
  <w:num w:numId="4">
    <w:abstractNumId w:val="5"/>
    <w:lvlOverride w:ilvl="0">
      <w:lvl w:ilvl="0">
        <w:start w:val="1"/>
        <w:numFmt w:val="none"/>
        <w:pStyle w:val="Nadpis1"/>
        <w:lvlText w:val="%1"/>
        <w:lvlJc w:val="left"/>
        <w:pPr>
          <w:ind w:left="432" w:hanging="432"/>
        </w:pPr>
        <w:rPr>
          <w:rFonts w:hint="default"/>
        </w:rPr>
      </w:lvl>
    </w:lvlOverride>
    <w:lvlOverride w:ilvl="1">
      <w:lvl w:ilvl="1">
        <w:start w:val="1"/>
        <w:numFmt w:val="decimal"/>
        <w:pStyle w:val="Nadpis2"/>
        <w:lvlText w:val="%1%2"/>
        <w:lvlJc w:val="left"/>
        <w:pPr>
          <w:ind w:left="576" w:hanging="576"/>
        </w:pPr>
        <w:rPr>
          <w:rFonts w:hint="default"/>
        </w:rPr>
      </w:lvl>
    </w:lvlOverride>
    <w:lvlOverride w:ilvl="2">
      <w:lvl w:ilvl="2">
        <w:start w:val="1"/>
        <w:numFmt w:val="decimal"/>
        <w:pStyle w:val="Nadpis3"/>
        <w:lvlText w:val="%1%2.%3"/>
        <w:lvlJc w:val="left"/>
        <w:pPr>
          <w:ind w:left="720" w:hanging="720"/>
        </w:pPr>
        <w:rPr>
          <w:rFonts w:hint="default"/>
        </w:rPr>
      </w:lvl>
    </w:lvlOverride>
    <w:lvlOverride w:ilvl="3">
      <w:lvl w:ilvl="3">
        <w:start w:val="1"/>
        <w:numFmt w:val="decimal"/>
        <w:pStyle w:val="Nadpis4"/>
        <w:lvlText w:val="%1%2.%3.%4"/>
        <w:lvlJc w:val="left"/>
        <w:pPr>
          <w:ind w:left="0" w:firstLine="0"/>
        </w:pPr>
        <w:rPr>
          <w:rFonts w:hint="default"/>
        </w:rPr>
      </w:lvl>
    </w:lvlOverride>
    <w:lvlOverride w:ilvl="4">
      <w:lvl w:ilvl="4">
        <w:start w:val="1"/>
        <w:numFmt w:val="decimal"/>
        <w:pStyle w:val="Nadpis5"/>
        <w:lvlText w:val="%1%2.%3.%4.%5"/>
        <w:lvlJc w:val="left"/>
        <w:pPr>
          <w:ind w:left="1008" w:hanging="1008"/>
        </w:pPr>
        <w:rPr>
          <w:rFonts w:hint="default"/>
        </w:rPr>
      </w:lvl>
    </w:lvlOverride>
    <w:lvlOverride w:ilvl="5">
      <w:lvl w:ilvl="5">
        <w:start w:val="1"/>
        <w:numFmt w:val="decimal"/>
        <w:pStyle w:val="Nadpis6"/>
        <w:lvlText w:val="%1.%2.%3.%4.%5.%6"/>
        <w:lvlJc w:val="left"/>
        <w:pPr>
          <w:ind w:left="1152" w:hanging="1152"/>
        </w:pPr>
        <w:rPr>
          <w:rFonts w:hint="default"/>
        </w:rPr>
      </w:lvl>
    </w:lvlOverride>
    <w:lvlOverride w:ilvl="6">
      <w:lvl w:ilvl="6">
        <w:start w:val="1"/>
        <w:numFmt w:val="decimal"/>
        <w:pStyle w:val="Nadpis7"/>
        <w:lvlText w:val="%1.%2.%3.%4.%5.%6.%7"/>
        <w:lvlJc w:val="left"/>
        <w:pPr>
          <w:ind w:left="1296" w:hanging="1296"/>
        </w:pPr>
        <w:rPr>
          <w:rFonts w:hint="default"/>
        </w:rPr>
      </w:lvl>
    </w:lvlOverride>
    <w:lvlOverride w:ilvl="7">
      <w:lvl w:ilvl="7">
        <w:start w:val="1"/>
        <w:numFmt w:val="decimal"/>
        <w:pStyle w:val="Nadpis8"/>
        <w:lvlText w:val="%1.%2.%3.%4.%5.%6.%7.%8"/>
        <w:lvlJc w:val="left"/>
        <w:pPr>
          <w:ind w:left="1440" w:hanging="1440"/>
        </w:pPr>
        <w:rPr>
          <w:rFonts w:hint="default"/>
        </w:rPr>
      </w:lvl>
    </w:lvlOverride>
    <w:lvlOverride w:ilvl="8">
      <w:lvl w:ilvl="8">
        <w:start w:val="1"/>
        <w:numFmt w:val="decimal"/>
        <w:pStyle w:val="Nadpis9"/>
        <w:lvlText w:val="%1.%2.%3.%4.%5.%6.%7.%8.%9"/>
        <w:lvlJc w:val="left"/>
        <w:pPr>
          <w:ind w:left="1584" w:hanging="1584"/>
        </w:pPr>
        <w:rPr>
          <w:rFonts w:hint="default"/>
        </w:rPr>
      </w:lvl>
    </w:lvlOverride>
  </w:num>
  <w:num w:numId="5">
    <w:abstractNumId w:val="7"/>
  </w:num>
  <w:num w:numId="6">
    <w:abstractNumId w:val="8"/>
  </w:num>
  <w:num w:numId="7">
    <w:abstractNumId w:val="7"/>
  </w:num>
  <w:num w:numId="8">
    <w:abstractNumId w:val="12"/>
  </w:num>
  <w:num w:numId="9">
    <w:abstractNumId w:val="20"/>
  </w:num>
  <w:num w:numId="10">
    <w:abstractNumId w:val="17"/>
  </w:num>
  <w:num w:numId="11">
    <w:abstractNumId w:val="22"/>
  </w:num>
  <w:num w:numId="12">
    <w:abstractNumId w:val="21"/>
  </w:num>
  <w:num w:numId="13">
    <w:abstractNumId w:val="0"/>
  </w:num>
  <w:num w:numId="14">
    <w:abstractNumId w:val="13"/>
  </w:num>
  <w:num w:numId="15">
    <w:abstractNumId w:val="9"/>
  </w:num>
  <w:num w:numId="16">
    <w:abstractNumId w:val="15"/>
  </w:num>
  <w:num w:numId="17">
    <w:abstractNumId w:val="18"/>
  </w:num>
  <w:num w:numId="18">
    <w:abstractNumId w:val="10"/>
  </w:num>
  <w:num w:numId="19">
    <w:abstractNumId w:val="3"/>
  </w:num>
  <w:num w:numId="20">
    <w:abstractNumId w:val="19"/>
  </w:num>
  <w:num w:numId="21">
    <w:abstractNumId w:val="1"/>
  </w:num>
  <w:num w:numId="22">
    <w:abstractNumId w:val="6"/>
  </w:num>
  <w:num w:numId="23">
    <w:abstractNumId w:val="16"/>
  </w:num>
  <w:num w:numId="24">
    <w:abstractNumId w:val="2"/>
  </w:num>
  <w:num w:numId="25">
    <w:abstractNumId w:val="11"/>
  </w:num>
  <w:num w:numId="26">
    <w:abstractNumId w:val="5"/>
    <w:lvlOverride w:ilvl="0">
      <w:lvl w:ilvl="0">
        <w:start w:val="1"/>
        <w:numFmt w:val="none"/>
        <w:pStyle w:val="Nadpis1"/>
        <w:lvlText w:val="%1"/>
        <w:lvlJc w:val="left"/>
        <w:pPr>
          <w:ind w:left="432" w:hanging="432"/>
        </w:pPr>
        <w:rPr>
          <w:rFonts w:hint="default"/>
        </w:rPr>
      </w:lvl>
    </w:lvlOverride>
    <w:lvlOverride w:ilvl="1">
      <w:lvl w:ilvl="1">
        <w:start w:val="1"/>
        <w:numFmt w:val="decimal"/>
        <w:pStyle w:val="Nadpis2"/>
        <w:lvlText w:val="%1%2"/>
        <w:lvlJc w:val="left"/>
        <w:pPr>
          <w:ind w:left="576" w:hanging="576"/>
        </w:pPr>
        <w:rPr>
          <w:rFonts w:hint="default"/>
        </w:rPr>
      </w:lvl>
    </w:lvlOverride>
    <w:lvlOverride w:ilvl="2">
      <w:lvl w:ilvl="2">
        <w:numFmt w:val="decimal"/>
        <w:pStyle w:val="Nadpis3"/>
        <w:lvlText w:val="%1%2.%3"/>
        <w:lvlJc w:val="left"/>
        <w:pPr>
          <w:ind w:left="720" w:hanging="720"/>
        </w:pPr>
        <w:rPr>
          <w:rFonts w:hint="default"/>
        </w:rPr>
      </w:lvl>
    </w:lvlOverride>
    <w:lvlOverride w:ilvl="3">
      <w:lvl w:ilvl="3">
        <w:start w:val="1"/>
        <w:numFmt w:val="decimal"/>
        <w:pStyle w:val="Nadpis4"/>
        <w:lvlText w:val="%1%2.%3.%4"/>
        <w:lvlJc w:val="left"/>
        <w:pPr>
          <w:ind w:left="864" w:hanging="864"/>
        </w:pPr>
        <w:rPr>
          <w:rFonts w:hint="default"/>
        </w:rPr>
      </w:lvl>
    </w:lvlOverride>
    <w:lvlOverride w:ilvl="4">
      <w:lvl w:ilvl="4">
        <w:start w:val="1"/>
        <w:numFmt w:val="decimal"/>
        <w:pStyle w:val="Nadpis5"/>
        <w:lvlText w:val="%1%2.%3.%4.%5"/>
        <w:lvlJc w:val="left"/>
        <w:pPr>
          <w:ind w:left="1008" w:hanging="1008"/>
        </w:pPr>
        <w:rPr>
          <w:rFonts w:hint="default"/>
        </w:rPr>
      </w:lvl>
    </w:lvlOverride>
    <w:lvlOverride w:ilvl="5">
      <w:lvl w:ilvl="5">
        <w:start w:val="1"/>
        <w:numFmt w:val="decimal"/>
        <w:pStyle w:val="Nadpis6"/>
        <w:lvlText w:val="%1.%2.%3.%4.%5.%6"/>
        <w:lvlJc w:val="left"/>
        <w:pPr>
          <w:ind w:left="1152" w:hanging="1152"/>
        </w:pPr>
        <w:rPr>
          <w:rFonts w:hint="default"/>
        </w:rPr>
      </w:lvl>
    </w:lvlOverride>
    <w:lvlOverride w:ilvl="6">
      <w:lvl w:ilvl="6">
        <w:start w:val="1"/>
        <w:numFmt w:val="decimal"/>
        <w:pStyle w:val="Nadpis7"/>
        <w:lvlText w:val="%1.%2.%3.%4.%5.%6.%7"/>
        <w:lvlJc w:val="left"/>
        <w:pPr>
          <w:ind w:left="1296" w:hanging="1296"/>
        </w:pPr>
        <w:rPr>
          <w:rFonts w:hint="default"/>
        </w:rPr>
      </w:lvl>
    </w:lvlOverride>
    <w:lvlOverride w:ilvl="7">
      <w:lvl w:ilvl="7">
        <w:start w:val="1"/>
        <w:numFmt w:val="decimal"/>
        <w:pStyle w:val="Nadpis8"/>
        <w:lvlText w:val="%1.%2.%3.%4.%5.%6.%7.%8"/>
        <w:lvlJc w:val="left"/>
        <w:pPr>
          <w:ind w:left="1440" w:hanging="1440"/>
        </w:pPr>
        <w:rPr>
          <w:rFonts w:hint="default"/>
        </w:rPr>
      </w:lvl>
    </w:lvlOverride>
    <w:lvlOverride w:ilvl="8">
      <w:lvl w:ilvl="8">
        <w:start w:val="1"/>
        <w:numFmt w:val="decimal"/>
        <w:pStyle w:val="Nadpis9"/>
        <w:lvlText w:val="%1.%2.%3.%4.%5.%6.%7.%8.%9"/>
        <w:lvlJc w:val="left"/>
        <w:pPr>
          <w:ind w:left="1584" w:hanging="1584"/>
        </w:pPr>
        <w:rPr>
          <w:rFonts w:hint="default"/>
        </w:rPr>
      </w:lvl>
    </w:lvlOverride>
  </w:num>
  <w:num w:numId="27">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06C"/>
    <w:rsid w:val="0000087E"/>
    <w:rsid w:val="00003161"/>
    <w:rsid w:val="00016E15"/>
    <w:rsid w:val="00022D78"/>
    <w:rsid w:val="000255D9"/>
    <w:rsid w:val="0003053E"/>
    <w:rsid w:val="00031F15"/>
    <w:rsid w:val="0003312E"/>
    <w:rsid w:val="000338B5"/>
    <w:rsid w:val="00035AD5"/>
    <w:rsid w:val="0004248E"/>
    <w:rsid w:val="0004547B"/>
    <w:rsid w:val="000531BF"/>
    <w:rsid w:val="00062913"/>
    <w:rsid w:val="00070A5D"/>
    <w:rsid w:val="00081557"/>
    <w:rsid w:val="00086203"/>
    <w:rsid w:val="00091FBB"/>
    <w:rsid w:val="000921D1"/>
    <w:rsid w:val="000C7BC5"/>
    <w:rsid w:val="000D1741"/>
    <w:rsid w:val="000D32FC"/>
    <w:rsid w:val="000D34A9"/>
    <w:rsid w:val="000E1C94"/>
    <w:rsid w:val="000E2439"/>
    <w:rsid w:val="000E6A54"/>
    <w:rsid w:val="000F38FB"/>
    <w:rsid w:val="000F3F65"/>
    <w:rsid w:val="001000FA"/>
    <w:rsid w:val="0010278A"/>
    <w:rsid w:val="00104C44"/>
    <w:rsid w:val="0010503D"/>
    <w:rsid w:val="001074D3"/>
    <w:rsid w:val="0011396F"/>
    <w:rsid w:val="00113FE4"/>
    <w:rsid w:val="00116942"/>
    <w:rsid w:val="00125A5C"/>
    <w:rsid w:val="001308F1"/>
    <w:rsid w:val="00133AA1"/>
    <w:rsid w:val="00134A18"/>
    <w:rsid w:val="00137459"/>
    <w:rsid w:val="00141638"/>
    <w:rsid w:val="00144627"/>
    <w:rsid w:val="00146C37"/>
    <w:rsid w:val="00147057"/>
    <w:rsid w:val="00171ACA"/>
    <w:rsid w:val="00175113"/>
    <w:rsid w:val="001906FF"/>
    <w:rsid w:val="001A1A0C"/>
    <w:rsid w:val="001B2C49"/>
    <w:rsid w:val="001C4136"/>
    <w:rsid w:val="001C72DD"/>
    <w:rsid w:val="001D3A52"/>
    <w:rsid w:val="001E0204"/>
    <w:rsid w:val="001F0914"/>
    <w:rsid w:val="001F5332"/>
    <w:rsid w:val="00214154"/>
    <w:rsid w:val="00214C24"/>
    <w:rsid w:val="00216C9A"/>
    <w:rsid w:val="00226A49"/>
    <w:rsid w:val="00227D22"/>
    <w:rsid w:val="002405B8"/>
    <w:rsid w:val="0024304A"/>
    <w:rsid w:val="00243330"/>
    <w:rsid w:val="00252410"/>
    <w:rsid w:val="00252C27"/>
    <w:rsid w:val="002560B3"/>
    <w:rsid w:val="00264477"/>
    <w:rsid w:val="0027512E"/>
    <w:rsid w:val="002757B1"/>
    <w:rsid w:val="0028277F"/>
    <w:rsid w:val="0028288A"/>
    <w:rsid w:val="002841E3"/>
    <w:rsid w:val="0028726E"/>
    <w:rsid w:val="0029588A"/>
    <w:rsid w:val="002A01B1"/>
    <w:rsid w:val="002B4334"/>
    <w:rsid w:val="002B71F4"/>
    <w:rsid w:val="002C6DC0"/>
    <w:rsid w:val="002D0B64"/>
    <w:rsid w:val="002D2571"/>
    <w:rsid w:val="002D2AF1"/>
    <w:rsid w:val="002D2EDF"/>
    <w:rsid w:val="002D62AD"/>
    <w:rsid w:val="002F1580"/>
    <w:rsid w:val="002F2B7E"/>
    <w:rsid w:val="002F2BF8"/>
    <w:rsid w:val="002F45FB"/>
    <w:rsid w:val="00303386"/>
    <w:rsid w:val="00304C64"/>
    <w:rsid w:val="003054C3"/>
    <w:rsid w:val="00306962"/>
    <w:rsid w:val="003156E3"/>
    <w:rsid w:val="00316A1B"/>
    <w:rsid w:val="00325CA8"/>
    <w:rsid w:val="00345B92"/>
    <w:rsid w:val="00355913"/>
    <w:rsid w:val="0035667D"/>
    <w:rsid w:val="003626C6"/>
    <w:rsid w:val="00364B00"/>
    <w:rsid w:val="00365879"/>
    <w:rsid w:val="003662D7"/>
    <w:rsid w:val="00370370"/>
    <w:rsid w:val="00374B1E"/>
    <w:rsid w:val="00375357"/>
    <w:rsid w:val="00375C77"/>
    <w:rsid w:val="00376FA1"/>
    <w:rsid w:val="00382D02"/>
    <w:rsid w:val="00391155"/>
    <w:rsid w:val="00393D5E"/>
    <w:rsid w:val="003B6276"/>
    <w:rsid w:val="003C2E30"/>
    <w:rsid w:val="003C4F8B"/>
    <w:rsid w:val="003C6007"/>
    <w:rsid w:val="003D7FDD"/>
    <w:rsid w:val="003E6618"/>
    <w:rsid w:val="003E70EC"/>
    <w:rsid w:val="003F6502"/>
    <w:rsid w:val="003F799D"/>
    <w:rsid w:val="00401311"/>
    <w:rsid w:val="00403D63"/>
    <w:rsid w:val="004148A8"/>
    <w:rsid w:val="004157FE"/>
    <w:rsid w:val="00427A21"/>
    <w:rsid w:val="00427A46"/>
    <w:rsid w:val="0043240A"/>
    <w:rsid w:val="0044085D"/>
    <w:rsid w:val="00440EDD"/>
    <w:rsid w:val="00445B5F"/>
    <w:rsid w:val="0046523C"/>
    <w:rsid w:val="004822C2"/>
    <w:rsid w:val="00482F53"/>
    <w:rsid w:val="00496C4A"/>
    <w:rsid w:val="00496D39"/>
    <w:rsid w:val="00497548"/>
    <w:rsid w:val="004A78E2"/>
    <w:rsid w:val="004C0F66"/>
    <w:rsid w:val="004D40D3"/>
    <w:rsid w:val="004E277F"/>
    <w:rsid w:val="004E3CCC"/>
    <w:rsid w:val="004E56C3"/>
    <w:rsid w:val="004E5BD8"/>
    <w:rsid w:val="004F4E67"/>
    <w:rsid w:val="004F79B6"/>
    <w:rsid w:val="00502DA2"/>
    <w:rsid w:val="00505D65"/>
    <w:rsid w:val="005069E8"/>
    <w:rsid w:val="00517CE1"/>
    <w:rsid w:val="00555004"/>
    <w:rsid w:val="00562988"/>
    <w:rsid w:val="005672BC"/>
    <w:rsid w:val="005716A8"/>
    <w:rsid w:val="00571CEE"/>
    <w:rsid w:val="00572DBA"/>
    <w:rsid w:val="005736E5"/>
    <w:rsid w:val="00573C59"/>
    <w:rsid w:val="0057780B"/>
    <w:rsid w:val="00580B9B"/>
    <w:rsid w:val="00584881"/>
    <w:rsid w:val="005A2D95"/>
    <w:rsid w:val="005A75DE"/>
    <w:rsid w:val="005B065A"/>
    <w:rsid w:val="005B1498"/>
    <w:rsid w:val="005B4FF9"/>
    <w:rsid w:val="005B5D90"/>
    <w:rsid w:val="005C03D9"/>
    <w:rsid w:val="005C0FCE"/>
    <w:rsid w:val="005C21E5"/>
    <w:rsid w:val="005C5628"/>
    <w:rsid w:val="005D183C"/>
    <w:rsid w:val="005D5E6D"/>
    <w:rsid w:val="005D6F44"/>
    <w:rsid w:val="005D741B"/>
    <w:rsid w:val="005E1C8B"/>
    <w:rsid w:val="005E4776"/>
    <w:rsid w:val="005E60F3"/>
    <w:rsid w:val="005E6EBF"/>
    <w:rsid w:val="005E7600"/>
    <w:rsid w:val="005F3AC2"/>
    <w:rsid w:val="00603D14"/>
    <w:rsid w:val="00605C8B"/>
    <w:rsid w:val="0061258C"/>
    <w:rsid w:val="00623E07"/>
    <w:rsid w:val="006333B6"/>
    <w:rsid w:val="00633CB1"/>
    <w:rsid w:val="00636DD2"/>
    <w:rsid w:val="00637F54"/>
    <w:rsid w:val="00641747"/>
    <w:rsid w:val="00645663"/>
    <w:rsid w:val="00650F72"/>
    <w:rsid w:val="0065455F"/>
    <w:rsid w:val="006551F6"/>
    <w:rsid w:val="00656C84"/>
    <w:rsid w:val="00662A4F"/>
    <w:rsid w:val="00671319"/>
    <w:rsid w:val="00672977"/>
    <w:rsid w:val="00674CB7"/>
    <w:rsid w:val="00685653"/>
    <w:rsid w:val="00696A65"/>
    <w:rsid w:val="006A699C"/>
    <w:rsid w:val="006A6CF5"/>
    <w:rsid w:val="006A7F30"/>
    <w:rsid w:val="006B5A17"/>
    <w:rsid w:val="006C0B7A"/>
    <w:rsid w:val="006C2AEE"/>
    <w:rsid w:val="006D03D6"/>
    <w:rsid w:val="006D1181"/>
    <w:rsid w:val="006E03EA"/>
    <w:rsid w:val="006E22A3"/>
    <w:rsid w:val="006E49A6"/>
    <w:rsid w:val="006F51D3"/>
    <w:rsid w:val="007032A8"/>
    <w:rsid w:val="007034FE"/>
    <w:rsid w:val="00703D56"/>
    <w:rsid w:val="00716DD1"/>
    <w:rsid w:val="0072595B"/>
    <w:rsid w:val="00731358"/>
    <w:rsid w:val="0073781D"/>
    <w:rsid w:val="007414CB"/>
    <w:rsid w:val="00757E95"/>
    <w:rsid w:val="007628B7"/>
    <w:rsid w:val="00766576"/>
    <w:rsid w:val="00767FD8"/>
    <w:rsid w:val="0077311F"/>
    <w:rsid w:val="0077317D"/>
    <w:rsid w:val="0077614C"/>
    <w:rsid w:val="00776563"/>
    <w:rsid w:val="00777CFE"/>
    <w:rsid w:val="00781303"/>
    <w:rsid w:val="00781D1F"/>
    <w:rsid w:val="0078453F"/>
    <w:rsid w:val="00787645"/>
    <w:rsid w:val="00790580"/>
    <w:rsid w:val="0079139D"/>
    <w:rsid w:val="007917F5"/>
    <w:rsid w:val="00791AB7"/>
    <w:rsid w:val="00797136"/>
    <w:rsid w:val="007A066C"/>
    <w:rsid w:val="007A09D0"/>
    <w:rsid w:val="007A2350"/>
    <w:rsid w:val="007A2F3C"/>
    <w:rsid w:val="007A7366"/>
    <w:rsid w:val="007B0933"/>
    <w:rsid w:val="007B4066"/>
    <w:rsid w:val="007B7005"/>
    <w:rsid w:val="007C1DC2"/>
    <w:rsid w:val="007C2502"/>
    <w:rsid w:val="007C32F8"/>
    <w:rsid w:val="007C5B5D"/>
    <w:rsid w:val="007C6E36"/>
    <w:rsid w:val="007C6E87"/>
    <w:rsid w:val="007D0034"/>
    <w:rsid w:val="007D4524"/>
    <w:rsid w:val="007D692E"/>
    <w:rsid w:val="007E22DC"/>
    <w:rsid w:val="00804BFA"/>
    <w:rsid w:val="008149A3"/>
    <w:rsid w:val="008208C9"/>
    <w:rsid w:val="008244A1"/>
    <w:rsid w:val="00833EE4"/>
    <w:rsid w:val="008341D3"/>
    <w:rsid w:val="00835FEB"/>
    <w:rsid w:val="0084011D"/>
    <w:rsid w:val="00842B73"/>
    <w:rsid w:val="0084461B"/>
    <w:rsid w:val="00846C5F"/>
    <w:rsid w:val="00852D9F"/>
    <w:rsid w:val="00864DE8"/>
    <w:rsid w:val="00864F95"/>
    <w:rsid w:val="0086764B"/>
    <w:rsid w:val="00882BB4"/>
    <w:rsid w:val="0089650B"/>
    <w:rsid w:val="008A0A7E"/>
    <w:rsid w:val="008A11C2"/>
    <w:rsid w:val="008A5B35"/>
    <w:rsid w:val="008B738C"/>
    <w:rsid w:val="008B7719"/>
    <w:rsid w:val="008C855C"/>
    <w:rsid w:val="008D31DD"/>
    <w:rsid w:val="008D4C34"/>
    <w:rsid w:val="008D5CD7"/>
    <w:rsid w:val="008E5E21"/>
    <w:rsid w:val="008E6A96"/>
    <w:rsid w:val="008F3336"/>
    <w:rsid w:val="008F41FE"/>
    <w:rsid w:val="00904D5E"/>
    <w:rsid w:val="009109F4"/>
    <w:rsid w:val="00923118"/>
    <w:rsid w:val="00937BC2"/>
    <w:rsid w:val="00943715"/>
    <w:rsid w:val="00947D5F"/>
    <w:rsid w:val="009569B9"/>
    <w:rsid w:val="0096620E"/>
    <w:rsid w:val="00967235"/>
    <w:rsid w:val="00967509"/>
    <w:rsid w:val="0097087D"/>
    <w:rsid w:val="00971D5A"/>
    <w:rsid w:val="009738BC"/>
    <w:rsid w:val="00973B78"/>
    <w:rsid w:val="00973FEB"/>
    <w:rsid w:val="009745DD"/>
    <w:rsid w:val="00980BB8"/>
    <w:rsid w:val="00984A89"/>
    <w:rsid w:val="00986BED"/>
    <w:rsid w:val="00987FDB"/>
    <w:rsid w:val="00995F82"/>
    <w:rsid w:val="00997F96"/>
    <w:rsid w:val="009A23AA"/>
    <w:rsid w:val="009A2FAB"/>
    <w:rsid w:val="009A53DC"/>
    <w:rsid w:val="009A6B0C"/>
    <w:rsid w:val="009A6E83"/>
    <w:rsid w:val="009A7EE5"/>
    <w:rsid w:val="009B0E80"/>
    <w:rsid w:val="009B169A"/>
    <w:rsid w:val="009B45C8"/>
    <w:rsid w:val="009B6D82"/>
    <w:rsid w:val="009C1135"/>
    <w:rsid w:val="009C609E"/>
    <w:rsid w:val="009D644F"/>
    <w:rsid w:val="009D6B57"/>
    <w:rsid w:val="009E4255"/>
    <w:rsid w:val="009E6608"/>
    <w:rsid w:val="009E6ABB"/>
    <w:rsid w:val="009F0488"/>
    <w:rsid w:val="009F1DDD"/>
    <w:rsid w:val="009F55A4"/>
    <w:rsid w:val="00A043B2"/>
    <w:rsid w:val="00A05D35"/>
    <w:rsid w:val="00A14491"/>
    <w:rsid w:val="00A266EE"/>
    <w:rsid w:val="00A33FF6"/>
    <w:rsid w:val="00A34B62"/>
    <w:rsid w:val="00A35C11"/>
    <w:rsid w:val="00A4615F"/>
    <w:rsid w:val="00A53D32"/>
    <w:rsid w:val="00A61115"/>
    <w:rsid w:val="00A64DAB"/>
    <w:rsid w:val="00A73F9E"/>
    <w:rsid w:val="00A75179"/>
    <w:rsid w:val="00A774F7"/>
    <w:rsid w:val="00A85EE0"/>
    <w:rsid w:val="00A86F24"/>
    <w:rsid w:val="00A87E90"/>
    <w:rsid w:val="00A90C9D"/>
    <w:rsid w:val="00AA1B70"/>
    <w:rsid w:val="00AA1F52"/>
    <w:rsid w:val="00AA6946"/>
    <w:rsid w:val="00AB15B8"/>
    <w:rsid w:val="00AB33BD"/>
    <w:rsid w:val="00AB4978"/>
    <w:rsid w:val="00AB4D03"/>
    <w:rsid w:val="00AB530C"/>
    <w:rsid w:val="00AC47CA"/>
    <w:rsid w:val="00AC4DB6"/>
    <w:rsid w:val="00AD307A"/>
    <w:rsid w:val="00AD439A"/>
    <w:rsid w:val="00AD5CD3"/>
    <w:rsid w:val="00AE169D"/>
    <w:rsid w:val="00AE3A8A"/>
    <w:rsid w:val="00AE73C4"/>
    <w:rsid w:val="00AF2E07"/>
    <w:rsid w:val="00AF50B4"/>
    <w:rsid w:val="00B02CD8"/>
    <w:rsid w:val="00B05436"/>
    <w:rsid w:val="00B21F4B"/>
    <w:rsid w:val="00B26F4F"/>
    <w:rsid w:val="00B2706C"/>
    <w:rsid w:val="00B30A00"/>
    <w:rsid w:val="00B33262"/>
    <w:rsid w:val="00B3365A"/>
    <w:rsid w:val="00B33AAB"/>
    <w:rsid w:val="00B35924"/>
    <w:rsid w:val="00B4450A"/>
    <w:rsid w:val="00B46D14"/>
    <w:rsid w:val="00B546CB"/>
    <w:rsid w:val="00B64A65"/>
    <w:rsid w:val="00B72122"/>
    <w:rsid w:val="00B82CDF"/>
    <w:rsid w:val="00B834B4"/>
    <w:rsid w:val="00B83F5C"/>
    <w:rsid w:val="00B952B1"/>
    <w:rsid w:val="00B977DF"/>
    <w:rsid w:val="00BA143B"/>
    <w:rsid w:val="00BA35F4"/>
    <w:rsid w:val="00BB370F"/>
    <w:rsid w:val="00BC1353"/>
    <w:rsid w:val="00BC7465"/>
    <w:rsid w:val="00BD0869"/>
    <w:rsid w:val="00BD0E6A"/>
    <w:rsid w:val="00BD1C26"/>
    <w:rsid w:val="00BD2F8C"/>
    <w:rsid w:val="00BE113A"/>
    <w:rsid w:val="00BE3501"/>
    <w:rsid w:val="00BE43F2"/>
    <w:rsid w:val="00BE75EB"/>
    <w:rsid w:val="00BF0DAB"/>
    <w:rsid w:val="00BF796A"/>
    <w:rsid w:val="00C00FD4"/>
    <w:rsid w:val="00C11D42"/>
    <w:rsid w:val="00C12F5B"/>
    <w:rsid w:val="00C16327"/>
    <w:rsid w:val="00C2094F"/>
    <w:rsid w:val="00C22EAE"/>
    <w:rsid w:val="00C36992"/>
    <w:rsid w:val="00C37D39"/>
    <w:rsid w:val="00C4185B"/>
    <w:rsid w:val="00C43FB1"/>
    <w:rsid w:val="00C45E8B"/>
    <w:rsid w:val="00C51C63"/>
    <w:rsid w:val="00C566E9"/>
    <w:rsid w:val="00C703E9"/>
    <w:rsid w:val="00C70EE4"/>
    <w:rsid w:val="00C716C1"/>
    <w:rsid w:val="00C92A9B"/>
    <w:rsid w:val="00C9469B"/>
    <w:rsid w:val="00CA16A6"/>
    <w:rsid w:val="00CA1C30"/>
    <w:rsid w:val="00CA4141"/>
    <w:rsid w:val="00CA42A7"/>
    <w:rsid w:val="00CA4665"/>
    <w:rsid w:val="00CB1EB7"/>
    <w:rsid w:val="00CC1C52"/>
    <w:rsid w:val="00CC5C4F"/>
    <w:rsid w:val="00CD6144"/>
    <w:rsid w:val="00CD6765"/>
    <w:rsid w:val="00CD6DD0"/>
    <w:rsid w:val="00CE14E6"/>
    <w:rsid w:val="00CE2975"/>
    <w:rsid w:val="00CE7EC7"/>
    <w:rsid w:val="00CF1756"/>
    <w:rsid w:val="00CF25B5"/>
    <w:rsid w:val="00CF369B"/>
    <w:rsid w:val="00D02758"/>
    <w:rsid w:val="00D16463"/>
    <w:rsid w:val="00D21637"/>
    <w:rsid w:val="00D21C69"/>
    <w:rsid w:val="00D254EB"/>
    <w:rsid w:val="00D25DFD"/>
    <w:rsid w:val="00D30C3E"/>
    <w:rsid w:val="00D31C4B"/>
    <w:rsid w:val="00D3233A"/>
    <w:rsid w:val="00D34503"/>
    <w:rsid w:val="00D371D0"/>
    <w:rsid w:val="00D43538"/>
    <w:rsid w:val="00D43654"/>
    <w:rsid w:val="00D44365"/>
    <w:rsid w:val="00D54F71"/>
    <w:rsid w:val="00D561DB"/>
    <w:rsid w:val="00D60CFF"/>
    <w:rsid w:val="00D70836"/>
    <w:rsid w:val="00D7253B"/>
    <w:rsid w:val="00D72988"/>
    <w:rsid w:val="00D729CC"/>
    <w:rsid w:val="00D77A93"/>
    <w:rsid w:val="00D800D8"/>
    <w:rsid w:val="00D80D4B"/>
    <w:rsid w:val="00D819C2"/>
    <w:rsid w:val="00D87523"/>
    <w:rsid w:val="00D91729"/>
    <w:rsid w:val="00D93089"/>
    <w:rsid w:val="00D94FF9"/>
    <w:rsid w:val="00D97EE3"/>
    <w:rsid w:val="00DA2CDF"/>
    <w:rsid w:val="00DA415A"/>
    <w:rsid w:val="00DB09E2"/>
    <w:rsid w:val="00DC02B7"/>
    <w:rsid w:val="00DC195B"/>
    <w:rsid w:val="00DC255C"/>
    <w:rsid w:val="00DC5253"/>
    <w:rsid w:val="00DD04C8"/>
    <w:rsid w:val="00DD2F7F"/>
    <w:rsid w:val="00DE0260"/>
    <w:rsid w:val="00DE0B75"/>
    <w:rsid w:val="00DF0B36"/>
    <w:rsid w:val="00DF6908"/>
    <w:rsid w:val="00DF75CC"/>
    <w:rsid w:val="00E0353C"/>
    <w:rsid w:val="00E05D5A"/>
    <w:rsid w:val="00E068D1"/>
    <w:rsid w:val="00E109C1"/>
    <w:rsid w:val="00E12443"/>
    <w:rsid w:val="00E23190"/>
    <w:rsid w:val="00E25A73"/>
    <w:rsid w:val="00E33862"/>
    <w:rsid w:val="00E3689A"/>
    <w:rsid w:val="00E37281"/>
    <w:rsid w:val="00E45B0E"/>
    <w:rsid w:val="00E508BC"/>
    <w:rsid w:val="00E545A6"/>
    <w:rsid w:val="00E6086E"/>
    <w:rsid w:val="00E770E3"/>
    <w:rsid w:val="00E813F5"/>
    <w:rsid w:val="00E83CFE"/>
    <w:rsid w:val="00E97A72"/>
    <w:rsid w:val="00EA26C9"/>
    <w:rsid w:val="00EA3135"/>
    <w:rsid w:val="00EA4162"/>
    <w:rsid w:val="00EB0D03"/>
    <w:rsid w:val="00EB5C32"/>
    <w:rsid w:val="00EB7A0A"/>
    <w:rsid w:val="00EC0333"/>
    <w:rsid w:val="00EC3DBA"/>
    <w:rsid w:val="00EC5C67"/>
    <w:rsid w:val="00EC756D"/>
    <w:rsid w:val="00ED126D"/>
    <w:rsid w:val="00ED6673"/>
    <w:rsid w:val="00EE43AA"/>
    <w:rsid w:val="00EF51CA"/>
    <w:rsid w:val="00F05B89"/>
    <w:rsid w:val="00F26DE0"/>
    <w:rsid w:val="00F3365E"/>
    <w:rsid w:val="00F33BF7"/>
    <w:rsid w:val="00F3570C"/>
    <w:rsid w:val="00F41669"/>
    <w:rsid w:val="00F43142"/>
    <w:rsid w:val="00F479CE"/>
    <w:rsid w:val="00F51F40"/>
    <w:rsid w:val="00F52909"/>
    <w:rsid w:val="00F6175C"/>
    <w:rsid w:val="00F64A39"/>
    <w:rsid w:val="00F716D6"/>
    <w:rsid w:val="00F756CD"/>
    <w:rsid w:val="00F811DE"/>
    <w:rsid w:val="00F826FC"/>
    <w:rsid w:val="00F84D29"/>
    <w:rsid w:val="00F90E02"/>
    <w:rsid w:val="00FA0F34"/>
    <w:rsid w:val="00FA10F0"/>
    <w:rsid w:val="00FA403F"/>
    <w:rsid w:val="00FB0EFA"/>
    <w:rsid w:val="00FB5BE2"/>
    <w:rsid w:val="00FB61A8"/>
    <w:rsid w:val="00FB6EF0"/>
    <w:rsid w:val="00FC467B"/>
    <w:rsid w:val="00FC6881"/>
    <w:rsid w:val="00FD1556"/>
    <w:rsid w:val="00FD18E6"/>
    <w:rsid w:val="00FD4D5A"/>
    <w:rsid w:val="00FD57E9"/>
    <w:rsid w:val="00FE191D"/>
    <w:rsid w:val="00FE32E0"/>
    <w:rsid w:val="00FF0E7D"/>
    <w:rsid w:val="00FF502E"/>
    <w:rsid w:val="01117945"/>
    <w:rsid w:val="014031A1"/>
    <w:rsid w:val="014CA06A"/>
    <w:rsid w:val="014CEFBB"/>
    <w:rsid w:val="018A4ABC"/>
    <w:rsid w:val="01931342"/>
    <w:rsid w:val="01A46CE0"/>
    <w:rsid w:val="01C1BACF"/>
    <w:rsid w:val="01CE5BFA"/>
    <w:rsid w:val="02123A5F"/>
    <w:rsid w:val="0228D82A"/>
    <w:rsid w:val="02419416"/>
    <w:rsid w:val="0244F1AC"/>
    <w:rsid w:val="0256D8FE"/>
    <w:rsid w:val="025BC33C"/>
    <w:rsid w:val="025C153D"/>
    <w:rsid w:val="0281D0ED"/>
    <w:rsid w:val="02C9536B"/>
    <w:rsid w:val="030F3FCC"/>
    <w:rsid w:val="031FEC89"/>
    <w:rsid w:val="03536C63"/>
    <w:rsid w:val="036F3C68"/>
    <w:rsid w:val="03ABD8AF"/>
    <w:rsid w:val="03B122B9"/>
    <w:rsid w:val="03B400A2"/>
    <w:rsid w:val="0407A0EC"/>
    <w:rsid w:val="040D597A"/>
    <w:rsid w:val="044C5E80"/>
    <w:rsid w:val="044E4B5C"/>
    <w:rsid w:val="0454B7AB"/>
    <w:rsid w:val="046A41A7"/>
    <w:rsid w:val="04769885"/>
    <w:rsid w:val="04812EBE"/>
    <w:rsid w:val="048438A3"/>
    <w:rsid w:val="048474C6"/>
    <w:rsid w:val="04AA6CF4"/>
    <w:rsid w:val="04F2EE0F"/>
    <w:rsid w:val="04F99089"/>
    <w:rsid w:val="050AA637"/>
    <w:rsid w:val="0511F8D9"/>
    <w:rsid w:val="053597A2"/>
    <w:rsid w:val="053674C9"/>
    <w:rsid w:val="05919BEF"/>
    <w:rsid w:val="0596A47D"/>
    <w:rsid w:val="05AB2BC1"/>
    <w:rsid w:val="05B6CF25"/>
    <w:rsid w:val="05DAC5C2"/>
    <w:rsid w:val="062619F4"/>
    <w:rsid w:val="0638DE05"/>
    <w:rsid w:val="0654AC43"/>
    <w:rsid w:val="0675D332"/>
    <w:rsid w:val="0699EE39"/>
    <w:rsid w:val="06AA326D"/>
    <w:rsid w:val="06D88EFA"/>
    <w:rsid w:val="06DFF227"/>
    <w:rsid w:val="06F283AB"/>
    <w:rsid w:val="06F9FC34"/>
    <w:rsid w:val="06FBE6F8"/>
    <w:rsid w:val="06FC88AA"/>
    <w:rsid w:val="07185BE2"/>
    <w:rsid w:val="071CC3FF"/>
    <w:rsid w:val="071D79FA"/>
    <w:rsid w:val="07299CB9"/>
    <w:rsid w:val="07720056"/>
    <w:rsid w:val="077E189F"/>
    <w:rsid w:val="079F373E"/>
    <w:rsid w:val="07A3DF6F"/>
    <w:rsid w:val="07A61292"/>
    <w:rsid w:val="07B47132"/>
    <w:rsid w:val="07C42D0C"/>
    <w:rsid w:val="07F06DE2"/>
    <w:rsid w:val="080A5763"/>
    <w:rsid w:val="081D5F9E"/>
    <w:rsid w:val="082D690C"/>
    <w:rsid w:val="084C6098"/>
    <w:rsid w:val="08861597"/>
    <w:rsid w:val="08A09A57"/>
    <w:rsid w:val="08B1BBD1"/>
    <w:rsid w:val="08D398D6"/>
    <w:rsid w:val="08EE6FE7"/>
    <w:rsid w:val="08F65D55"/>
    <w:rsid w:val="08F88DF8"/>
    <w:rsid w:val="0916AA11"/>
    <w:rsid w:val="09191F02"/>
    <w:rsid w:val="092A6345"/>
    <w:rsid w:val="094CD045"/>
    <w:rsid w:val="0951DC4E"/>
    <w:rsid w:val="097E4033"/>
    <w:rsid w:val="09849DA3"/>
    <w:rsid w:val="09884F3F"/>
    <w:rsid w:val="09AB29C5"/>
    <w:rsid w:val="09B92FFF"/>
    <w:rsid w:val="09BFC18A"/>
    <w:rsid w:val="09E2E12C"/>
    <w:rsid w:val="09EB029C"/>
    <w:rsid w:val="0A3CB4FA"/>
    <w:rsid w:val="0A48E401"/>
    <w:rsid w:val="0A4944A2"/>
    <w:rsid w:val="0A880C25"/>
    <w:rsid w:val="0AAE1893"/>
    <w:rsid w:val="0AC04A54"/>
    <w:rsid w:val="0AD19D72"/>
    <w:rsid w:val="0AED5EC4"/>
    <w:rsid w:val="0AF27A3D"/>
    <w:rsid w:val="0AFA31E3"/>
    <w:rsid w:val="0B03F9A2"/>
    <w:rsid w:val="0B113021"/>
    <w:rsid w:val="0B4EDAEA"/>
    <w:rsid w:val="0B5B47D3"/>
    <w:rsid w:val="0B5EF009"/>
    <w:rsid w:val="0B934C72"/>
    <w:rsid w:val="0B998251"/>
    <w:rsid w:val="0BC45D1A"/>
    <w:rsid w:val="0BEEA9FC"/>
    <w:rsid w:val="0BEECED6"/>
    <w:rsid w:val="0C020DB2"/>
    <w:rsid w:val="0C2815E1"/>
    <w:rsid w:val="0C2F7ADD"/>
    <w:rsid w:val="0C3B97D1"/>
    <w:rsid w:val="0C414DA9"/>
    <w:rsid w:val="0C6EA951"/>
    <w:rsid w:val="0C7B8E8F"/>
    <w:rsid w:val="0C81FB9F"/>
    <w:rsid w:val="0C9CB898"/>
    <w:rsid w:val="0CAEDBAD"/>
    <w:rsid w:val="0CBA32C7"/>
    <w:rsid w:val="0CBED98E"/>
    <w:rsid w:val="0CBF590A"/>
    <w:rsid w:val="0CD58DE7"/>
    <w:rsid w:val="0CF6BA76"/>
    <w:rsid w:val="0D048B68"/>
    <w:rsid w:val="0D0821EF"/>
    <w:rsid w:val="0D2BD34D"/>
    <w:rsid w:val="0D2F1CD3"/>
    <w:rsid w:val="0D40A134"/>
    <w:rsid w:val="0D4FA888"/>
    <w:rsid w:val="0D5E714F"/>
    <w:rsid w:val="0D6EEF57"/>
    <w:rsid w:val="0D77C00C"/>
    <w:rsid w:val="0D9213DE"/>
    <w:rsid w:val="0DA0CBB5"/>
    <w:rsid w:val="0DB8FD35"/>
    <w:rsid w:val="0DE1486F"/>
    <w:rsid w:val="0DF19C70"/>
    <w:rsid w:val="0E124FFE"/>
    <w:rsid w:val="0E9A8041"/>
    <w:rsid w:val="0EC577E6"/>
    <w:rsid w:val="0ED0E652"/>
    <w:rsid w:val="0EDE7A37"/>
    <w:rsid w:val="0EF1DD18"/>
    <w:rsid w:val="0EF8F801"/>
    <w:rsid w:val="0F0E15B8"/>
    <w:rsid w:val="0F36ABB1"/>
    <w:rsid w:val="0F3E9E48"/>
    <w:rsid w:val="0F4276E9"/>
    <w:rsid w:val="0F4310A6"/>
    <w:rsid w:val="0F5B6BE3"/>
    <w:rsid w:val="0F5F245C"/>
    <w:rsid w:val="0FA2BAB4"/>
    <w:rsid w:val="0FA30A80"/>
    <w:rsid w:val="0FCD6D80"/>
    <w:rsid w:val="0FD4595A"/>
    <w:rsid w:val="0FEBE002"/>
    <w:rsid w:val="102F975B"/>
    <w:rsid w:val="1032907E"/>
    <w:rsid w:val="10497790"/>
    <w:rsid w:val="104A7213"/>
    <w:rsid w:val="10A6C6EE"/>
    <w:rsid w:val="10BB1F24"/>
    <w:rsid w:val="10CD3037"/>
    <w:rsid w:val="10F4C4AC"/>
    <w:rsid w:val="11100B1F"/>
    <w:rsid w:val="113F802D"/>
    <w:rsid w:val="1153F014"/>
    <w:rsid w:val="116E8EE0"/>
    <w:rsid w:val="11C13A3D"/>
    <w:rsid w:val="11CE41B3"/>
    <w:rsid w:val="11DF609C"/>
    <w:rsid w:val="11E64274"/>
    <w:rsid w:val="11EF176C"/>
    <w:rsid w:val="121531FF"/>
    <w:rsid w:val="1239C671"/>
    <w:rsid w:val="1239D163"/>
    <w:rsid w:val="125C8F8E"/>
    <w:rsid w:val="12799EFD"/>
    <w:rsid w:val="12869D3A"/>
    <w:rsid w:val="1289B425"/>
    <w:rsid w:val="12992433"/>
    <w:rsid w:val="12BBA3C4"/>
    <w:rsid w:val="12C2AED8"/>
    <w:rsid w:val="12DDDF2C"/>
    <w:rsid w:val="12DF954E"/>
    <w:rsid w:val="12E24CFB"/>
    <w:rsid w:val="13105CAA"/>
    <w:rsid w:val="133E2475"/>
    <w:rsid w:val="13578872"/>
    <w:rsid w:val="13646A7D"/>
    <w:rsid w:val="13681A53"/>
    <w:rsid w:val="13773D49"/>
    <w:rsid w:val="1386D15B"/>
    <w:rsid w:val="138AF20C"/>
    <w:rsid w:val="13BC928F"/>
    <w:rsid w:val="13BDC048"/>
    <w:rsid w:val="142B4118"/>
    <w:rsid w:val="144990B1"/>
    <w:rsid w:val="146BA01D"/>
    <w:rsid w:val="1476F41F"/>
    <w:rsid w:val="14D9AD8B"/>
    <w:rsid w:val="14E112B9"/>
    <w:rsid w:val="14FEB15D"/>
    <w:rsid w:val="1530D2C1"/>
    <w:rsid w:val="153E6E0C"/>
    <w:rsid w:val="1553257A"/>
    <w:rsid w:val="155F8651"/>
    <w:rsid w:val="15658C90"/>
    <w:rsid w:val="1580C390"/>
    <w:rsid w:val="158620C1"/>
    <w:rsid w:val="158CE72E"/>
    <w:rsid w:val="159B7500"/>
    <w:rsid w:val="15A9DA65"/>
    <w:rsid w:val="15F52B14"/>
    <w:rsid w:val="161EE76D"/>
    <w:rsid w:val="1640C5B2"/>
    <w:rsid w:val="1649F84E"/>
    <w:rsid w:val="16A142AC"/>
    <w:rsid w:val="16D8AF09"/>
    <w:rsid w:val="16E93A9A"/>
    <w:rsid w:val="16F85AB9"/>
    <w:rsid w:val="1712DC53"/>
    <w:rsid w:val="17194EA0"/>
    <w:rsid w:val="171BA0ED"/>
    <w:rsid w:val="1729E46E"/>
    <w:rsid w:val="172A918B"/>
    <w:rsid w:val="1740A546"/>
    <w:rsid w:val="17485A1D"/>
    <w:rsid w:val="176231E0"/>
    <w:rsid w:val="17812A0A"/>
    <w:rsid w:val="178BD9C4"/>
    <w:rsid w:val="17B581BD"/>
    <w:rsid w:val="17B6A3B7"/>
    <w:rsid w:val="17BC2642"/>
    <w:rsid w:val="17CC1F77"/>
    <w:rsid w:val="17D35E33"/>
    <w:rsid w:val="17DC2BE7"/>
    <w:rsid w:val="17DE9F5F"/>
    <w:rsid w:val="17E0EA68"/>
    <w:rsid w:val="17E7E645"/>
    <w:rsid w:val="17FA0F83"/>
    <w:rsid w:val="1810B67C"/>
    <w:rsid w:val="182AF1DF"/>
    <w:rsid w:val="18331D85"/>
    <w:rsid w:val="183D68E1"/>
    <w:rsid w:val="1844CFC8"/>
    <w:rsid w:val="186BACBC"/>
    <w:rsid w:val="186CA103"/>
    <w:rsid w:val="188B597C"/>
    <w:rsid w:val="1895F0E0"/>
    <w:rsid w:val="18B07FF1"/>
    <w:rsid w:val="18B68733"/>
    <w:rsid w:val="18D12ED6"/>
    <w:rsid w:val="18DD61D0"/>
    <w:rsid w:val="18E96811"/>
    <w:rsid w:val="18F742C2"/>
    <w:rsid w:val="18FB5F13"/>
    <w:rsid w:val="18FEF704"/>
    <w:rsid w:val="190B28EB"/>
    <w:rsid w:val="1921CDE0"/>
    <w:rsid w:val="19223E38"/>
    <w:rsid w:val="19226E73"/>
    <w:rsid w:val="193BD619"/>
    <w:rsid w:val="194F5742"/>
    <w:rsid w:val="198A1ACE"/>
    <w:rsid w:val="198C89DB"/>
    <w:rsid w:val="1998B4B4"/>
    <w:rsid w:val="19A5D430"/>
    <w:rsid w:val="19B1261B"/>
    <w:rsid w:val="19CBBFBA"/>
    <w:rsid w:val="19E229B5"/>
    <w:rsid w:val="1A609142"/>
    <w:rsid w:val="1A8E8460"/>
    <w:rsid w:val="1ABF076E"/>
    <w:rsid w:val="1AC0F509"/>
    <w:rsid w:val="1AD79957"/>
    <w:rsid w:val="1AF1F19C"/>
    <w:rsid w:val="1AF6E7D7"/>
    <w:rsid w:val="1B13CCA9"/>
    <w:rsid w:val="1B35AA59"/>
    <w:rsid w:val="1B787731"/>
    <w:rsid w:val="1BA550DC"/>
    <w:rsid w:val="1BCD2FA8"/>
    <w:rsid w:val="1BD82AAA"/>
    <w:rsid w:val="1BE23C10"/>
    <w:rsid w:val="1BEA4977"/>
    <w:rsid w:val="1C0ACEF4"/>
    <w:rsid w:val="1CB0F359"/>
    <w:rsid w:val="1CBE3F83"/>
    <w:rsid w:val="1CC31869"/>
    <w:rsid w:val="1CC3ADC5"/>
    <w:rsid w:val="1CDD74F2"/>
    <w:rsid w:val="1CE26646"/>
    <w:rsid w:val="1CE5683C"/>
    <w:rsid w:val="1CF2CEFC"/>
    <w:rsid w:val="1CF2F0F5"/>
    <w:rsid w:val="1D112AF4"/>
    <w:rsid w:val="1D1D85F6"/>
    <w:rsid w:val="1D28F51B"/>
    <w:rsid w:val="1D3299F3"/>
    <w:rsid w:val="1D6B9AFD"/>
    <w:rsid w:val="1D77F60E"/>
    <w:rsid w:val="1D8DF831"/>
    <w:rsid w:val="1D8FBDFD"/>
    <w:rsid w:val="1DA2B5AA"/>
    <w:rsid w:val="1DA5B4A8"/>
    <w:rsid w:val="1DB22170"/>
    <w:rsid w:val="1DBBD98F"/>
    <w:rsid w:val="1DC11CE4"/>
    <w:rsid w:val="1DC5C89C"/>
    <w:rsid w:val="1DEFB730"/>
    <w:rsid w:val="1DF7AFD7"/>
    <w:rsid w:val="1DFF4C5A"/>
    <w:rsid w:val="1E2B9790"/>
    <w:rsid w:val="1E39CB1F"/>
    <w:rsid w:val="1E6FEC02"/>
    <w:rsid w:val="1E794553"/>
    <w:rsid w:val="1EADE3B2"/>
    <w:rsid w:val="1EB34C25"/>
    <w:rsid w:val="1EB541F4"/>
    <w:rsid w:val="1EBDDCE5"/>
    <w:rsid w:val="1ED2702F"/>
    <w:rsid w:val="1EFF6968"/>
    <w:rsid w:val="1F233A9C"/>
    <w:rsid w:val="1F3730D9"/>
    <w:rsid w:val="1F54F514"/>
    <w:rsid w:val="1F75E99C"/>
    <w:rsid w:val="1F7BC2BB"/>
    <w:rsid w:val="1F91CE0E"/>
    <w:rsid w:val="1FB4DC22"/>
    <w:rsid w:val="1FE486B6"/>
    <w:rsid w:val="1FF26AAA"/>
    <w:rsid w:val="2016FB65"/>
    <w:rsid w:val="2025D21F"/>
    <w:rsid w:val="202D74FE"/>
    <w:rsid w:val="204E031A"/>
    <w:rsid w:val="206F0BF5"/>
    <w:rsid w:val="207DFFB1"/>
    <w:rsid w:val="20BFEF5A"/>
    <w:rsid w:val="20C75EBF"/>
    <w:rsid w:val="2102D1CA"/>
    <w:rsid w:val="212E93C4"/>
    <w:rsid w:val="2135AE09"/>
    <w:rsid w:val="21690A8E"/>
    <w:rsid w:val="217BE7CC"/>
    <w:rsid w:val="218703EC"/>
    <w:rsid w:val="2188E468"/>
    <w:rsid w:val="218E024E"/>
    <w:rsid w:val="219FCF25"/>
    <w:rsid w:val="21A963E9"/>
    <w:rsid w:val="21ACBBB0"/>
    <w:rsid w:val="21B06442"/>
    <w:rsid w:val="21C92AD7"/>
    <w:rsid w:val="21E33DE1"/>
    <w:rsid w:val="21E83F22"/>
    <w:rsid w:val="222D6B5C"/>
    <w:rsid w:val="22303B8D"/>
    <w:rsid w:val="2240A0A9"/>
    <w:rsid w:val="224321DE"/>
    <w:rsid w:val="22496E6B"/>
    <w:rsid w:val="224C0B76"/>
    <w:rsid w:val="22593105"/>
    <w:rsid w:val="225FDC65"/>
    <w:rsid w:val="229E9C08"/>
    <w:rsid w:val="22A9ABD5"/>
    <w:rsid w:val="22ABA8C8"/>
    <w:rsid w:val="22B182BA"/>
    <w:rsid w:val="22B3637D"/>
    <w:rsid w:val="22C82751"/>
    <w:rsid w:val="22CF134E"/>
    <w:rsid w:val="22D77DEE"/>
    <w:rsid w:val="22DEAD7E"/>
    <w:rsid w:val="22E26D8D"/>
    <w:rsid w:val="22E68233"/>
    <w:rsid w:val="22ED875E"/>
    <w:rsid w:val="230515C9"/>
    <w:rsid w:val="23230EA1"/>
    <w:rsid w:val="2330E811"/>
    <w:rsid w:val="2332F209"/>
    <w:rsid w:val="234223EF"/>
    <w:rsid w:val="234C7E0C"/>
    <w:rsid w:val="2393ED0B"/>
    <w:rsid w:val="239C3602"/>
    <w:rsid w:val="23AAF06B"/>
    <w:rsid w:val="23B4DDEB"/>
    <w:rsid w:val="23B5F36B"/>
    <w:rsid w:val="23EB8E51"/>
    <w:rsid w:val="24036ED9"/>
    <w:rsid w:val="244F33DE"/>
    <w:rsid w:val="24529055"/>
    <w:rsid w:val="245A021E"/>
    <w:rsid w:val="246D6F77"/>
    <w:rsid w:val="2470C489"/>
    <w:rsid w:val="247C32AB"/>
    <w:rsid w:val="2481259B"/>
    <w:rsid w:val="2491F2CB"/>
    <w:rsid w:val="249CB6E0"/>
    <w:rsid w:val="24CF4B5F"/>
    <w:rsid w:val="24D47CED"/>
    <w:rsid w:val="24DAF92A"/>
    <w:rsid w:val="24EB4552"/>
    <w:rsid w:val="24F213C2"/>
    <w:rsid w:val="24F94342"/>
    <w:rsid w:val="25380663"/>
    <w:rsid w:val="254CE04B"/>
    <w:rsid w:val="256223C4"/>
    <w:rsid w:val="25682573"/>
    <w:rsid w:val="256ACAC1"/>
    <w:rsid w:val="25A037C6"/>
    <w:rsid w:val="25BDC239"/>
    <w:rsid w:val="25DC3E9E"/>
    <w:rsid w:val="25E8ACB0"/>
    <w:rsid w:val="25F0FBCF"/>
    <w:rsid w:val="25F13973"/>
    <w:rsid w:val="25F954CF"/>
    <w:rsid w:val="25FC0057"/>
    <w:rsid w:val="268715B3"/>
    <w:rsid w:val="269D3C0A"/>
    <w:rsid w:val="26B7ACC9"/>
    <w:rsid w:val="26C7ECE4"/>
    <w:rsid w:val="26D72966"/>
    <w:rsid w:val="271BB21A"/>
    <w:rsid w:val="27439AE6"/>
    <w:rsid w:val="27643FEE"/>
    <w:rsid w:val="277E56DC"/>
    <w:rsid w:val="278DCCBA"/>
    <w:rsid w:val="279E136F"/>
    <w:rsid w:val="27A6E219"/>
    <w:rsid w:val="27E04519"/>
    <w:rsid w:val="27E1397E"/>
    <w:rsid w:val="27EA265C"/>
    <w:rsid w:val="27EC48FF"/>
    <w:rsid w:val="27F00368"/>
    <w:rsid w:val="27FAA763"/>
    <w:rsid w:val="27FE76B7"/>
    <w:rsid w:val="2806C6D2"/>
    <w:rsid w:val="2809BF3D"/>
    <w:rsid w:val="2813D507"/>
    <w:rsid w:val="284ED586"/>
    <w:rsid w:val="285B84A1"/>
    <w:rsid w:val="286D3F79"/>
    <w:rsid w:val="28748362"/>
    <w:rsid w:val="289B956E"/>
    <w:rsid w:val="28AFE6AD"/>
    <w:rsid w:val="28C1BDDA"/>
    <w:rsid w:val="28D50A12"/>
    <w:rsid w:val="28D564FB"/>
    <w:rsid w:val="28E2CC23"/>
    <w:rsid w:val="28E7A747"/>
    <w:rsid w:val="28F6212C"/>
    <w:rsid w:val="294A1211"/>
    <w:rsid w:val="296CDC00"/>
    <w:rsid w:val="2974CA9B"/>
    <w:rsid w:val="29881960"/>
    <w:rsid w:val="29950E93"/>
    <w:rsid w:val="29960D98"/>
    <w:rsid w:val="29F48BF8"/>
    <w:rsid w:val="29F75502"/>
    <w:rsid w:val="2A1A758B"/>
    <w:rsid w:val="2A4FC0D2"/>
    <w:rsid w:val="2A6EC295"/>
    <w:rsid w:val="2A906E93"/>
    <w:rsid w:val="2AA5394E"/>
    <w:rsid w:val="2AB5690D"/>
    <w:rsid w:val="2AC07758"/>
    <w:rsid w:val="2AF0A713"/>
    <w:rsid w:val="2B10B351"/>
    <w:rsid w:val="2B431E23"/>
    <w:rsid w:val="2BBA88CF"/>
    <w:rsid w:val="2BCC66E3"/>
    <w:rsid w:val="2BF66B98"/>
    <w:rsid w:val="2BFA5568"/>
    <w:rsid w:val="2C0524AF"/>
    <w:rsid w:val="2C123FDE"/>
    <w:rsid w:val="2C234982"/>
    <w:rsid w:val="2C43BF92"/>
    <w:rsid w:val="2C760528"/>
    <w:rsid w:val="2C954E8E"/>
    <w:rsid w:val="2CAD6A1D"/>
    <w:rsid w:val="2CBA3ECC"/>
    <w:rsid w:val="2CDA37F5"/>
    <w:rsid w:val="2CE42832"/>
    <w:rsid w:val="2CEE902B"/>
    <w:rsid w:val="2CF858ED"/>
    <w:rsid w:val="2CFAA2A7"/>
    <w:rsid w:val="2D0AF416"/>
    <w:rsid w:val="2D0FAD23"/>
    <w:rsid w:val="2D1F08DC"/>
    <w:rsid w:val="2D22E08D"/>
    <w:rsid w:val="2D29EFEB"/>
    <w:rsid w:val="2D428B44"/>
    <w:rsid w:val="2D5FEC2D"/>
    <w:rsid w:val="2D7898EB"/>
    <w:rsid w:val="2D7DF512"/>
    <w:rsid w:val="2D8290A4"/>
    <w:rsid w:val="2DB117B7"/>
    <w:rsid w:val="2E10A042"/>
    <w:rsid w:val="2E1F0185"/>
    <w:rsid w:val="2E254156"/>
    <w:rsid w:val="2E2C4F9F"/>
    <w:rsid w:val="2E3D9632"/>
    <w:rsid w:val="2E432877"/>
    <w:rsid w:val="2E451077"/>
    <w:rsid w:val="2E4ECCFE"/>
    <w:rsid w:val="2E5CBF4C"/>
    <w:rsid w:val="2E5FFD66"/>
    <w:rsid w:val="2E66AD79"/>
    <w:rsid w:val="2E83E431"/>
    <w:rsid w:val="2EAB7D84"/>
    <w:rsid w:val="2EAF9B65"/>
    <w:rsid w:val="2EE2CC27"/>
    <w:rsid w:val="2F00AF5F"/>
    <w:rsid w:val="2F0360DE"/>
    <w:rsid w:val="2F17F412"/>
    <w:rsid w:val="2F209DAF"/>
    <w:rsid w:val="2F21D374"/>
    <w:rsid w:val="2F4186DB"/>
    <w:rsid w:val="2F524B49"/>
    <w:rsid w:val="2F73054D"/>
    <w:rsid w:val="2F7C1F38"/>
    <w:rsid w:val="2F811B17"/>
    <w:rsid w:val="2F8C8A56"/>
    <w:rsid w:val="2FCE1492"/>
    <w:rsid w:val="2FEC26BF"/>
    <w:rsid w:val="2FEC90EB"/>
    <w:rsid w:val="2FF2642F"/>
    <w:rsid w:val="2FF9D36D"/>
    <w:rsid w:val="3011D8B7"/>
    <w:rsid w:val="301C97EC"/>
    <w:rsid w:val="30322059"/>
    <w:rsid w:val="305BE7E7"/>
    <w:rsid w:val="309D3FE4"/>
    <w:rsid w:val="30A299A5"/>
    <w:rsid w:val="30AE39BC"/>
    <w:rsid w:val="30EB9AE2"/>
    <w:rsid w:val="30F714E9"/>
    <w:rsid w:val="31332352"/>
    <w:rsid w:val="316292E5"/>
    <w:rsid w:val="319907FC"/>
    <w:rsid w:val="31A4BE96"/>
    <w:rsid w:val="31AB373E"/>
    <w:rsid w:val="31BF01E7"/>
    <w:rsid w:val="3205C526"/>
    <w:rsid w:val="3226349E"/>
    <w:rsid w:val="322D8B18"/>
    <w:rsid w:val="32318BEF"/>
    <w:rsid w:val="323505B2"/>
    <w:rsid w:val="32868DEE"/>
    <w:rsid w:val="32871966"/>
    <w:rsid w:val="32907601"/>
    <w:rsid w:val="32B54C3D"/>
    <w:rsid w:val="32D1C068"/>
    <w:rsid w:val="32D974B0"/>
    <w:rsid w:val="32EC0A1D"/>
    <w:rsid w:val="32F047C3"/>
    <w:rsid w:val="32F13FBF"/>
    <w:rsid w:val="3308F093"/>
    <w:rsid w:val="331BBC42"/>
    <w:rsid w:val="33222A5E"/>
    <w:rsid w:val="3336984D"/>
    <w:rsid w:val="3348AF52"/>
    <w:rsid w:val="334A495B"/>
    <w:rsid w:val="337D5436"/>
    <w:rsid w:val="33A368EF"/>
    <w:rsid w:val="33BDEC38"/>
    <w:rsid w:val="34035D22"/>
    <w:rsid w:val="3406E05B"/>
    <w:rsid w:val="342E540F"/>
    <w:rsid w:val="34534727"/>
    <w:rsid w:val="3453A5FB"/>
    <w:rsid w:val="346A4D1A"/>
    <w:rsid w:val="346D57BA"/>
    <w:rsid w:val="34740747"/>
    <w:rsid w:val="347D3F38"/>
    <w:rsid w:val="349E10BB"/>
    <w:rsid w:val="34C8622E"/>
    <w:rsid w:val="34EA9C73"/>
    <w:rsid w:val="34F50193"/>
    <w:rsid w:val="3505B48C"/>
    <w:rsid w:val="350D3231"/>
    <w:rsid w:val="35187188"/>
    <w:rsid w:val="35192497"/>
    <w:rsid w:val="351FC796"/>
    <w:rsid w:val="353C40EA"/>
    <w:rsid w:val="353CBBFF"/>
    <w:rsid w:val="35823B3C"/>
    <w:rsid w:val="358B9774"/>
    <w:rsid w:val="35B7D62C"/>
    <w:rsid w:val="35C1D8AA"/>
    <w:rsid w:val="35DFF6BE"/>
    <w:rsid w:val="35E0791B"/>
    <w:rsid w:val="35ED7729"/>
    <w:rsid w:val="35F64CA0"/>
    <w:rsid w:val="360D321E"/>
    <w:rsid w:val="3610EB0D"/>
    <w:rsid w:val="361CCFC9"/>
    <w:rsid w:val="363A226F"/>
    <w:rsid w:val="363A7495"/>
    <w:rsid w:val="3641EEC1"/>
    <w:rsid w:val="3667FCEE"/>
    <w:rsid w:val="36691540"/>
    <w:rsid w:val="366DD9B7"/>
    <w:rsid w:val="36B4F4F8"/>
    <w:rsid w:val="36E141BE"/>
    <w:rsid w:val="36EBA0A8"/>
    <w:rsid w:val="36F2B0CB"/>
    <w:rsid w:val="371DCE61"/>
    <w:rsid w:val="376B5233"/>
    <w:rsid w:val="376DE364"/>
    <w:rsid w:val="3774ABC6"/>
    <w:rsid w:val="3776232F"/>
    <w:rsid w:val="3778EA9D"/>
    <w:rsid w:val="377DB716"/>
    <w:rsid w:val="378B5EB0"/>
    <w:rsid w:val="37CA3A99"/>
    <w:rsid w:val="37D1055E"/>
    <w:rsid w:val="37EA3A3B"/>
    <w:rsid w:val="37FC6A5E"/>
    <w:rsid w:val="38103AF9"/>
    <w:rsid w:val="38256A06"/>
    <w:rsid w:val="383E3FFB"/>
    <w:rsid w:val="384C9EBF"/>
    <w:rsid w:val="38567DAB"/>
    <w:rsid w:val="38A2C64E"/>
    <w:rsid w:val="38AA2312"/>
    <w:rsid w:val="38B232B8"/>
    <w:rsid w:val="38B99EC2"/>
    <w:rsid w:val="3905B92F"/>
    <w:rsid w:val="390A079D"/>
    <w:rsid w:val="39210F28"/>
    <w:rsid w:val="3946AC50"/>
    <w:rsid w:val="3961930E"/>
    <w:rsid w:val="3972F0AB"/>
    <w:rsid w:val="397E0EFC"/>
    <w:rsid w:val="3992B89A"/>
    <w:rsid w:val="3995EE68"/>
    <w:rsid w:val="39A6580D"/>
    <w:rsid w:val="39B02F2F"/>
    <w:rsid w:val="39C3139E"/>
    <w:rsid w:val="39C89989"/>
    <w:rsid w:val="39DA69A2"/>
    <w:rsid w:val="39EE302B"/>
    <w:rsid w:val="39F24E0C"/>
    <w:rsid w:val="3A06ED07"/>
    <w:rsid w:val="3A1EEDA5"/>
    <w:rsid w:val="3A1FE3B5"/>
    <w:rsid w:val="3A5A05D1"/>
    <w:rsid w:val="3A61952A"/>
    <w:rsid w:val="3A6A59B5"/>
    <w:rsid w:val="3A72B554"/>
    <w:rsid w:val="3A878EBB"/>
    <w:rsid w:val="3ABC27FE"/>
    <w:rsid w:val="3AE3D59C"/>
    <w:rsid w:val="3AE61706"/>
    <w:rsid w:val="3AE66702"/>
    <w:rsid w:val="3AF3D858"/>
    <w:rsid w:val="3B1B69D8"/>
    <w:rsid w:val="3B6B7244"/>
    <w:rsid w:val="3B6D80EA"/>
    <w:rsid w:val="3B7CB220"/>
    <w:rsid w:val="3B88661B"/>
    <w:rsid w:val="3BAAA49E"/>
    <w:rsid w:val="3BB70037"/>
    <w:rsid w:val="3BCFDB6B"/>
    <w:rsid w:val="3C4231D4"/>
    <w:rsid w:val="3C6945D8"/>
    <w:rsid w:val="3CBA105F"/>
    <w:rsid w:val="3CE7117C"/>
    <w:rsid w:val="3D10C671"/>
    <w:rsid w:val="3D11B11E"/>
    <w:rsid w:val="3D2B2450"/>
    <w:rsid w:val="3D429C92"/>
    <w:rsid w:val="3D5047A6"/>
    <w:rsid w:val="3D55749B"/>
    <w:rsid w:val="3D6F4C98"/>
    <w:rsid w:val="3D7101AA"/>
    <w:rsid w:val="3D75E493"/>
    <w:rsid w:val="3D7A0E33"/>
    <w:rsid w:val="3D8624DD"/>
    <w:rsid w:val="3DACBEBE"/>
    <w:rsid w:val="3DD9C4F1"/>
    <w:rsid w:val="3DDD308B"/>
    <w:rsid w:val="3DE11629"/>
    <w:rsid w:val="3E0D70EE"/>
    <w:rsid w:val="3E16AEE8"/>
    <w:rsid w:val="3E1BE0A6"/>
    <w:rsid w:val="3E5BA862"/>
    <w:rsid w:val="3E84E648"/>
    <w:rsid w:val="3E996DC2"/>
    <w:rsid w:val="3E9C39E0"/>
    <w:rsid w:val="3ED4E975"/>
    <w:rsid w:val="3ED83D06"/>
    <w:rsid w:val="3EE4ECC4"/>
    <w:rsid w:val="3F0C21FE"/>
    <w:rsid w:val="3F1E0DBA"/>
    <w:rsid w:val="3F345786"/>
    <w:rsid w:val="3F36E5A1"/>
    <w:rsid w:val="3F4C48E3"/>
    <w:rsid w:val="3F68D33E"/>
    <w:rsid w:val="3FAE026F"/>
    <w:rsid w:val="3FAFC6FC"/>
    <w:rsid w:val="3FB33569"/>
    <w:rsid w:val="3FD46739"/>
    <w:rsid w:val="3FD756C2"/>
    <w:rsid w:val="3FE945EF"/>
    <w:rsid w:val="400D5B23"/>
    <w:rsid w:val="4012ECC5"/>
    <w:rsid w:val="40198342"/>
    <w:rsid w:val="401BD0B3"/>
    <w:rsid w:val="40334BA9"/>
    <w:rsid w:val="40486733"/>
    <w:rsid w:val="4049CAE3"/>
    <w:rsid w:val="40618F90"/>
    <w:rsid w:val="406607FE"/>
    <w:rsid w:val="406BC9C5"/>
    <w:rsid w:val="4089B8CE"/>
    <w:rsid w:val="408A6241"/>
    <w:rsid w:val="408AAF65"/>
    <w:rsid w:val="40B77814"/>
    <w:rsid w:val="40B9C85A"/>
    <w:rsid w:val="40C683E8"/>
    <w:rsid w:val="40D027E7"/>
    <w:rsid w:val="40DF537D"/>
    <w:rsid w:val="40FFAA44"/>
    <w:rsid w:val="41030600"/>
    <w:rsid w:val="41328847"/>
    <w:rsid w:val="41374796"/>
    <w:rsid w:val="414F00BA"/>
    <w:rsid w:val="415F1662"/>
    <w:rsid w:val="416AF1D0"/>
    <w:rsid w:val="416DBE5C"/>
    <w:rsid w:val="417DF9E7"/>
    <w:rsid w:val="41BA262B"/>
    <w:rsid w:val="41DDA073"/>
    <w:rsid w:val="41DF244F"/>
    <w:rsid w:val="42275ACE"/>
    <w:rsid w:val="422A9480"/>
    <w:rsid w:val="424D5F43"/>
    <w:rsid w:val="42681C53"/>
    <w:rsid w:val="426BF848"/>
    <w:rsid w:val="4284D8B5"/>
    <w:rsid w:val="429FEDD5"/>
    <w:rsid w:val="42A425B9"/>
    <w:rsid w:val="42C1552A"/>
    <w:rsid w:val="42DFC69F"/>
    <w:rsid w:val="42F2E4B8"/>
    <w:rsid w:val="42FD6699"/>
    <w:rsid w:val="43237EAE"/>
    <w:rsid w:val="432AB145"/>
    <w:rsid w:val="43547E7D"/>
    <w:rsid w:val="43691E1F"/>
    <w:rsid w:val="4391FCBC"/>
    <w:rsid w:val="445A6BDF"/>
    <w:rsid w:val="44651F61"/>
    <w:rsid w:val="447E9E27"/>
    <w:rsid w:val="448E942F"/>
    <w:rsid w:val="449517C1"/>
    <w:rsid w:val="44BFABDF"/>
    <w:rsid w:val="44DD5BBA"/>
    <w:rsid w:val="44F04EDE"/>
    <w:rsid w:val="44F0E653"/>
    <w:rsid w:val="44FE92E7"/>
    <w:rsid w:val="4503EB4B"/>
    <w:rsid w:val="4509FFCF"/>
    <w:rsid w:val="451313CB"/>
    <w:rsid w:val="451E51F0"/>
    <w:rsid w:val="4541F8D9"/>
    <w:rsid w:val="45482C11"/>
    <w:rsid w:val="455CFCB1"/>
    <w:rsid w:val="45A9A8C4"/>
    <w:rsid w:val="45AE19D0"/>
    <w:rsid w:val="45B18760"/>
    <w:rsid w:val="45CC9449"/>
    <w:rsid w:val="45E3DB3F"/>
    <w:rsid w:val="45EB297F"/>
    <w:rsid w:val="45FBE26B"/>
    <w:rsid w:val="4624895C"/>
    <w:rsid w:val="463AA936"/>
    <w:rsid w:val="46450213"/>
    <w:rsid w:val="4697EE06"/>
    <w:rsid w:val="46ACB485"/>
    <w:rsid w:val="46C0687A"/>
    <w:rsid w:val="46C30FAE"/>
    <w:rsid w:val="46D0AF42"/>
    <w:rsid w:val="46E30CAF"/>
    <w:rsid w:val="46E46F8E"/>
    <w:rsid w:val="470AA41D"/>
    <w:rsid w:val="47143C23"/>
    <w:rsid w:val="472E113A"/>
    <w:rsid w:val="472E344E"/>
    <w:rsid w:val="473B857B"/>
    <w:rsid w:val="473E7625"/>
    <w:rsid w:val="4743312D"/>
    <w:rsid w:val="474C1DF6"/>
    <w:rsid w:val="474ED919"/>
    <w:rsid w:val="4765B92C"/>
    <w:rsid w:val="477D27B6"/>
    <w:rsid w:val="478943BF"/>
    <w:rsid w:val="4792434D"/>
    <w:rsid w:val="479DF9F7"/>
    <w:rsid w:val="47A0767D"/>
    <w:rsid w:val="47B0A468"/>
    <w:rsid w:val="47C57EB4"/>
    <w:rsid w:val="47E949F4"/>
    <w:rsid w:val="47F46328"/>
    <w:rsid w:val="47FBE31A"/>
    <w:rsid w:val="48071663"/>
    <w:rsid w:val="4827EFA0"/>
    <w:rsid w:val="4833BE67"/>
    <w:rsid w:val="484CC93C"/>
    <w:rsid w:val="485C38DB"/>
    <w:rsid w:val="4864F5A4"/>
    <w:rsid w:val="486A5CC7"/>
    <w:rsid w:val="48799854"/>
    <w:rsid w:val="488BD59A"/>
    <w:rsid w:val="488EC6E5"/>
    <w:rsid w:val="48BD4B47"/>
    <w:rsid w:val="48F3F843"/>
    <w:rsid w:val="493DC2D4"/>
    <w:rsid w:val="49470BDD"/>
    <w:rsid w:val="495A8264"/>
    <w:rsid w:val="49A0DA0C"/>
    <w:rsid w:val="49DE3F58"/>
    <w:rsid w:val="4A144BD9"/>
    <w:rsid w:val="4A1D1C7C"/>
    <w:rsid w:val="4A52728C"/>
    <w:rsid w:val="4A67F03E"/>
    <w:rsid w:val="4A822A42"/>
    <w:rsid w:val="4A824719"/>
    <w:rsid w:val="4A869470"/>
    <w:rsid w:val="4A8B049D"/>
    <w:rsid w:val="4A908C96"/>
    <w:rsid w:val="4AC58845"/>
    <w:rsid w:val="4AFC79CB"/>
    <w:rsid w:val="4B06C44B"/>
    <w:rsid w:val="4B26EAF4"/>
    <w:rsid w:val="4B2CD709"/>
    <w:rsid w:val="4B50F96A"/>
    <w:rsid w:val="4B59A223"/>
    <w:rsid w:val="4B5A2DDB"/>
    <w:rsid w:val="4B792FFA"/>
    <w:rsid w:val="4B9D10FC"/>
    <w:rsid w:val="4B9E4538"/>
    <w:rsid w:val="4BA1DEF7"/>
    <w:rsid w:val="4BB84D75"/>
    <w:rsid w:val="4BC1A311"/>
    <w:rsid w:val="4BC831FD"/>
    <w:rsid w:val="4BEE42ED"/>
    <w:rsid w:val="4BF6A006"/>
    <w:rsid w:val="4C059931"/>
    <w:rsid w:val="4C127ACD"/>
    <w:rsid w:val="4C25D536"/>
    <w:rsid w:val="4C5C00C7"/>
    <w:rsid w:val="4C68B064"/>
    <w:rsid w:val="4C7C7F3B"/>
    <w:rsid w:val="4C9501B4"/>
    <w:rsid w:val="4CA3E9D1"/>
    <w:rsid w:val="4CA52610"/>
    <w:rsid w:val="4CC8519D"/>
    <w:rsid w:val="4CCE321B"/>
    <w:rsid w:val="4CE2D46E"/>
    <w:rsid w:val="4CE5C9F3"/>
    <w:rsid w:val="4D0965ED"/>
    <w:rsid w:val="4D1E0EAA"/>
    <w:rsid w:val="4D4A6293"/>
    <w:rsid w:val="4D5ECB48"/>
    <w:rsid w:val="4D601BA4"/>
    <w:rsid w:val="4D876671"/>
    <w:rsid w:val="4DA8D3DA"/>
    <w:rsid w:val="4DAE4B2E"/>
    <w:rsid w:val="4DB69875"/>
    <w:rsid w:val="4DC16C99"/>
    <w:rsid w:val="4DC56C5C"/>
    <w:rsid w:val="4DDF7F19"/>
    <w:rsid w:val="4DF28176"/>
    <w:rsid w:val="4DF959D7"/>
    <w:rsid w:val="4E1F4770"/>
    <w:rsid w:val="4E539224"/>
    <w:rsid w:val="4E63BA6A"/>
    <w:rsid w:val="4E689054"/>
    <w:rsid w:val="4E711BEA"/>
    <w:rsid w:val="4E8F928C"/>
    <w:rsid w:val="4E91B641"/>
    <w:rsid w:val="4EA70F22"/>
    <w:rsid w:val="4EB15EBC"/>
    <w:rsid w:val="4EC09B37"/>
    <w:rsid w:val="4EC7E500"/>
    <w:rsid w:val="4ED5E5FA"/>
    <w:rsid w:val="4EEA7D31"/>
    <w:rsid w:val="4EF7FFB3"/>
    <w:rsid w:val="4F6457C8"/>
    <w:rsid w:val="4F70463E"/>
    <w:rsid w:val="4F753835"/>
    <w:rsid w:val="4F8F731E"/>
    <w:rsid w:val="4FA9469C"/>
    <w:rsid w:val="4FAD4A2A"/>
    <w:rsid w:val="4FB581D3"/>
    <w:rsid w:val="4FD77F2D"/>
    <w:rsid w:val="4FE6AE62"/>
    <w:rsid w:val="502D2881"/>
    <w:rsid w:val="5047E47C"/>
    <w:rsid w:val="504BC538"/>
    <w:rsid w:val="50596ADE"/>
    <w:rsid w:val="5081A248"/>
    <w:rsid w:val="508B5F47"/>
    <w:rsid w:val="509C2D86"/>
    <w:rsid w:val="50B9E6E3"/>
    <w:rsid w:val="50D2F08F"/>
    <w:rsid w:val="50D5CBD0"/>
    <w:rsid w:val="50DC4CE8"/>
    <w:rsid w:val="50E36A3C"/>
    <w:rsid w:val="50EE3937"/>
    <w:rsid w:val="50F6D7AC"/>
    <w:rsid w:val="50F80317"/>
    <w:rsid w:val="511036F9"/>
    <w:rsid w:val="51162E18"/>
    <w:rsid w:val="5119295C"/>
    <w:rsid w:val="51491A8B"/>
    <w:rsid w:val="514AC599"/>
    <w:rsid w:val="514ACD2A"/>
    <w:rsid w:val="517990F7"/>
    <w:rsid w:val="518B77C3"/>
    <w:rsid w:val="5190F6A9"/>
    <w:rsid w:val="51A7BD93"/>
    <w:rsid w:val="51AA6A4B"/>
    <w:rsid w:val="51C3F3C2"/>
    <w:rsid w:val="51D93AD3"/>
    <w:rsid w:val="51F287E9"/>
    <w:rsid w:val="5201193A"/>
    <w:rsid w:val="520317F2"/>
    <w:rsid w:val="52284E17"/>
    <w:rsid w:val="5228D472"/>
    <w:rsid w:val="522C0325"/>
    <w:rsid w:val="5236348E"/>
    <w:rsid w:val="5253AA75"/>
    <w:rsid w:val="52583667"/>
    <w:rsid w:val="528B4DEC"/>
    <w:rsid w:val="52AE5679"/>
    <w:rsid w:val="52BD397D"/>
    <w:rsid w:val="52F786AD"/>
    <w:rsid w:val="5323426F"/>
    <w:rsid w:val="533566C4"/>
    <w:rsid w:val="536ECA38"/>
    <w:rsid w:val="5382A07B"/>
    <w:rsid w:val="53909118"/>
    <w:rsid w:val="53A7B396"/>
    <w:rsid w:val="53E31113"/>
    <w:rsid w:val="53E65270"/>
    <w:rsid w:val="53ECB483"/>
    <w:rsid w:val="545C66D7"/>
    <w:rsid w:val="54849C43"/>
    <w:rsid w:val="54C5DDD1"/>
    <w:rsid w:val="54F1FB8A"/>
    <w:rsid w:val="54F26301"/>
    <w:rsid w:val="5503C2F8"/>
    <w:rsid w:val="5512BA10"/>
    <w:rsid w:val="552D0641"/>
    <w:rsid w:val="552EED44"/>
    <w:rsid w:val="5533F0C2"/>
    <w:rsid w:val="553B52FA"/>
    <w:rsid w:val="55404C23"/>
    <w:rsid w:val="556301B4"/>
    <w:rsid w:val="556BD0FB"/>
    <w:rsid w:val="5571E9AD"/>
    <w:rsid w:val="558884E4"/>
    <w:rsid w:val="559B9468"/>
    <w:rsid w:val="55DA405A"/>
    <w:rsid w:val="55E10477"/>
    <w:rsid w:val="5617073C"/>
    <w:rsid w:val="561708CA"/>
    <w:rsid w:val="5621A132"/>
    <w:rsid w:val="562CF31D"/>
    <w:rsid w:val="56368A37"/>
    <w:rsid w:val="5676C70F"/>
    <w:rsid w:val="567A9836"/>
    <w:rsid w:val="568E64C5"/>
    <w:rsid w:val="569A09A4"/>
    <w:rsid w:val="56A15981"/>
    <w:rsid w:val="56AE7AE0"/>
    <w:rsid w:val="56B38F81"/>
    <w:rsid w:val="56C5C629"/>
    <w:rsid w:val="56D20DDE"/>
    <w:rsid w:val="56F37E71"/>
    <w:rsid w:val="56FD6572"/>
    <w:rsid w:val="575C8E82"/>
    <w:rsid w:val="576DB422"/>
    <w:rsid w:val="5772FEE4"/>
    <w:rsid w:val="5788F243"/>
    <w:rsid w:val="57912B8A"/>
    <w:rsid w:val="57B5D911"/>
    <w:rsid w:val="57C27A21"/>
    <w:rsid w:val="57D2547A"/>
    <w:rsid w:val="57EC94B8"/>
    <w:rsid w:val="5818DF9A"/>
    <w:rsid w:val="5840A594"/>
    <w:rsid w:val="5841E1F1"/>
    <w:rsid w:val="584522B6"/>
    <w:rsid w:val="5858EA9C"/>
    <w:rsid w:val="58601E19"/>
    <w:rsid w:val="586AE590"/>
    <w:rsid w:val="588C928B"/>
    <w:rsid w:val="5898DDCC"/>
    <w:rsid w:val="58B55F94"/>
    <w:rsid w:val="58B5C46C"/>
    <w:rsid w:val="58B67915"/>
    <w:rsid w:val="58BF2C42"/>
    <w:rsid w:val="58D364AE"/>
    <w:rsid w:val="58D8C628"/>
    <w:rsid w:val="58FC7B66"/>
    <w:rsid w:val="592763A9"/>
    <w:rsid w:val="592B70E3"/>
    <w:rsid w:val="59430A9B"/>
    <w:rsid w:val="5949047C"/>
    <w:rsid w:val="594F3165"/>
    <w:rsid w:val="59584817"/>
    <w:rsid w:val="595E4A82"/>
    <w:rsid w:val="595E9B25"/>
    <w:rsid w:val="597FBD7E"/>
    <w:rsid w:val="5981CE5D"/>
    <w:rsid w:val="59829C3B"/>
    <w:rsid w:val="59A5A259"/>
    <w:rsid w:val="59A7ABB0"/>
    <w:rsid w:val="59B81C34"/>
    <w:rsid w:val="59C4EF42"/>
    <w:rsid w:val="59DD5A62"/>
    <w:rsid w:val="59E1E256"/>
    <w:rsid w:val="59F51D19"/>
    <w:rsid w:val="59F9E199"/>
    <w:rsid w:val="5A2E701E"/>
    <w:rsid w:val="5A46E8F2"/>
    <w:rsid w:val="5A4BB162"/>
    <w:rsid w:val="5A841897"/>
    <w:rsid w:val="5A931E8C"/>
    <w:rsid w:val="5AA374D0"/>
    <w:rsid w:val="5AC64FDB"/>
    <w:rsid w:val="5B107866"/>
    <w:rsid w:val="5B213B7A"/>
    <w:rsid w:val="5B3050F5"/>
    <w:rsid w:val="5B3DA00C"/>
    <w:rsid w:val="5B70C39E"/>
    <w:rsid w:val="5B7DA1B2"/>
    <w:rsid w:val="5B8459BD"/>
    <w:rsid w:val="5BA7E061"/>
    <w:rsid w:val="5BC52D6A"/>
    <w:rsid w:val="5BC9EEAB"/>
    <w:rsid w:val="5BCEA722"/>
    <w:rsid w:val="5C11FCEA"/>
    <w:rsid w:val="5C20EFC4"/>
    <w:rsid w:val="5C2296F4"/>
    <w:rsid w:val="5C603979"/>
    <w:rsid w:val="5C6D4DF5"/>
    <w:rsid w:val="5C78CDDF"/>
    <w:rsid w:val="5C8BE78E"/>
    <w:rsid w:val="5CB6FAA7"/>
    <w:rsid w:val="5CC6F26D"/>
    <w:rsid w:val="5CDDB5CD"/>
    <w:rsid w:val="5CF5DF11"/>
    <w:rsid w:val="5CFFE393"/>
    <w:rsid w:val="5D107292"/>
    <w:rsid w:val="5D239352"/>
    <w:rsid w:val="5D306A7E"/>
    <w:rsid w:val="5D4CDF5C"/>
    <w:rsid w:val="5D5E0584"/>
    <w:rsid w:val="5D6B7D4C"/>
    <w:rsid w:val="5D6C940A"/>
    <w:rsid w:val="5D83B404"/>
    <w:rsid w:val="5DB4B4EF"/>
    <w:rsid w:val="5DCF7956"/>
    <w:rsid w:val="5DFA91A8"/>
    <w:rsid w:val="5E0A568D"/>
    <w:rsid w:val="5E142F4F"/>
    <w:rsid w:val="5E2F5451"/>
    <w:rsid w:val="5E4A6F18"/>
    <w:rsid w:val="5E554A7B"/>
    <w:rsid w:val="5E6E7C6E"/>
    <w:rsid w:val="5E876BD7"/>
    <w:rsid w:val="5E96446D"/>
    <w:rsid w:val="5E9BE64E"/>
    <w:rsid w:val="5EA86A12"/>
    <w:rsid w:val="5EB0B4FB"/>
    <w:rsid w:val="5EBA4051"/>
    <w:rsid w:val="5EC05914"/>
    <w:rsid w:val="5EF0427F"/>
    <w:rsid w:val="5EF05375"/>
    <w:rsid w:val="5F01A901"/>
    <w:rsid w:val="5F52DBDB"/>
    <w:rsid w:val="5F579878"/>
    <w:rsid w:val="5F6E9908"/>
    <w:rsid w:val="5F82A862"/>
    <w:rsid w:val="5F972F07"/>
    <w:rsid w:val="5FBB6682"/>
    <w:rsid w:val="5FBEA63A"/>
    <w:rsid w:val="5FD7F118"/>
    <w:rsid w:val="5FD86057"/>
    <w:rsid w:val="6023217B"/>
    <w:rsid w:val="602F771B"/>
    <w:rsid w:val="604004F2"/>
    <w:rsid w:val="60611F45"/>
    <w:rsid w:val="609AB0E9"/>
    <w:rsid w:val="60BCA1CC"/>
    <w:rsid w:val="60C91F6F"/>
    <w:rsid w:val="60DF3C5F"/>
    <w:rsid w:val="60F2CCF9"/>
    <w:rsid w:val="60FC0EA4"/>
    <w:rsid w:val="60FD95F9"/>
    <w:rsid w:val="612071C0"/>
    <w:rsid w:val="613B2EAD"/>
    <w:rsid w:val="613F92A8"/>
    <w:rsid w:val="615736E3"/>
    <w:rsid w:val="61598863"/>
    <w:rsid w:val="6162F0CC"/>
    <w:rsid w:val="618FC617"/>
    <w:rsid w:val="61D2D683"/>
    <w:rsid w:val="61E9CF36"/>
    <w:rsid w:val="621BC603"/>
    <w:rsid w:val="621D2367"/>
    <w:rsid w:val="622AC78E"/>
    <w:rsid w:val="6236814A"/>
    <w:rsid w:val="6236CB52"/>
    <w:rsid w:val="624365ED"/>
    <w:rsid w:val="626121E4"/>
    <w:rsid w:val="629B8667"/>
    <w:rsid w:val="62A00635"/>
    <w:rsid w:val="62A775A9"/>
    <w:rsid w:val="62AD54C6"/>
    <w:rsid w:val="62BECE3C"/>
    <w:rsid w:val="62F10373"/>
    <w:rsid w:val="62FE451C"/>
    <w:rsid w:val="63100119"/>
    <w:rsid w:val="6315A9BA"/>
    <w:rsid w:val="63214287"/>
    <w:rsid w:val="634EC961"/>
    <w:rsid w:val="6355489F"/>
    <w:rsid w:val="63775A40"/>
    <w:rsid w:val="637F8EFD"/>
    <w:rsid w:val="63A015D5"/>
    <w:rsid w:val="63C24038"/>
    <w:rsid w:val="63D7678B"/>
    <w:rsid w:val="63FE9B6B"/>
    <w:rsid w:val="64159158"/>
    <w:rsid w:val="6448BAFB"/>
    <w:rsid w:val="64554496"/>
    <w:rsid w:val="646BC86D"/>
    <w:rsid w:val="64831CAB"/>
    <w:rsid w:val="6484AADF"/>
    <w:rsid w:val="64913F17"/>
    <w:rsid w:val="64A8EAAF"/>
    <w:rsid w:val="64A91F5C"/>
    <w:rsid w:val="64CBB54F"/>
    <w:rsid w:val="64DC5841"/>
    <w:rsid w:val="64E034BA"/>
    <w:rsid w:val="64F10500"/>
    <w:rsid w:val="6562A966"/>
    <w:rsid w:val="656A307B"/>
    <w:rsid w:val="65932C17"/>
    <w:rsid w:val="65BC00BD"/>
    <w:rsid w:val="65CBCD2B"/>
    <w:rsid w:val="65FD9912"/>
    <w:rsid w:val="6614ADF0"/>
    <w:rsid w:val="6627D8AB"/>
    <w:rsid w:val="662AA806"/>
    <w:rsid w:val="66332B12"/>
    <w:rsid w:val="663EDCE2"/>
    <w:rsid w:val="6644BB10"/>
    <w:rsid w:val="665943B7"/>
    <w:rsid w:val="6661F594"/>
    <w:rsid w:val="6663F2D8"/>
    <w:rsid w:val="6672CEC9"/>
    <w:rsid w:val="6686B691"/>
    <w:rsid w:val="6696DC14"/>
    <w:rsid w:val="669AADBA"/>
    <w:rsid w:val="66B08AEE"/>
    <w:rsid w:val="66BF3C44"/>
    <w:rsid w:val="66C60A81"/>
    <w:rsid w:val="66E3C7D9"/>
    <w:rsid w:val="66EC4A58"/>
    <w:rsid w:val="66F3EA34"/>
    <w:rsid w:val="66F9061E"/>
    <w:rsid w:val="6720EDF9"/>
    <w:rsid w:val="67601780"/>
    <w:rsid w:val="677DEBD3"/>
    <w:rsid w:val="67819397"/>
    <w:rsid w:val="678C9BEF"/>
    <w:rsid w:val="67A4348F"/>
    <w:rsid w:val="67AEC219"/>
    <w:rsid w:val="67B3D49A"/>
    <w:rsid w:val="67D66100"/>
    <w:rsid w:val="67D76ED3"/>
    <w:rsid w:val="67D9BEC0"/>
    <w:rsid w:val="67D9E872"/>
    <w:rsid w:val="682318BD"/>
    <w:rsid w:val="683CA977"/>
    <w:rsid w:val="6848CFED"/>
    <w:rsid w:val="686F417A"/>
    <w:rsid w:val="6874C510"/>
    <w:rsid w:val="687E50FF"/>
    <w:rsid w:val="68BADBA1"/>
    <w:rsid w:val="68BBCF02"/>
    <w:rsid w:val="68C4698C"/>
    <w:rsid w:val="68D0C194"/>
    <w:rsid w:val="68DE0DC7"/>
    <w:rsid w:val="68E47A6A"/>
    <w:rsid w:val="68E63386"/>
    <w:rsid w:val="68E9FDDD"/>
    <w:rsid w:val="68EACB6F"/>
    <w:rsid w:val="68F1EE23"/>
    <w:rsid w:val="6901A322"/>
    <w:rsid w:val="691E32C1"/>
    <w:rsid w:val="69200E9A"/>
    <w:rsid w:val="692DCC12"/>
    <w:rsid w:val="6949F2A8"/>
    <w:rsid w:val="695A13E8"/>
    <w:rsid w:val="696248C8"/>
    <w:rsid w:val="69638CBB"/>
    <w:rsid w:val="69776F44"/>
    <w:rsid w:val="6982A52F"/>
    <w:rsid w:val="69835E1D"/>
    <w:rsid w:val="6991B1EC"/>
    <w:rsid w:val="69B17960"/>
    <w:rsid w:val="6A1351EB"/>
    <w:rsid w:val="6A1CA5B2"/>
    <w:rsid w:val="6A4DEC54"/>
    <w:rsid w:val="6A9B57C8"/>
    <w:rsid w:val="6ABDC949"/>
    <w:rsid w:val="6AFDEA1E"/>
    <w:rsid w:val="6B1C103F"/>
    <w:rsid w:val="6B1F2E7E"/>
    <w:rsid w:val="6B2E1097"/>
    <w:rsid w:val="6B36D841"/>
    <w:rsid w:val="6B49BF34"/>
    <w:rsid w:val="6BA82888"/>
    <w:rsid w:val="6BAFE7D3"/>
    <w:rsid w:val="6BB0CA02"/>
    <w:rsid w:val="6BB217FE"/>
    <w:rsid w:val="6BC11BE9"/>
    <w:rsid w:val="6BCD9EF7"/>
    <w:rsid w:val="6BDC62F2"/>
    <w:rsid w:val="6BF1DC1C"/>
    <w:rsid w:val="6C03C0D9"/>
    <w:rsid w:val="6C13CBA8"/>
    <w:rsid w:val="6C163EB7"/>
    <w:rsid w:val="6C219991"/>
    <w:rsid w:val="6C36A521"/>
    <w:rsid w:val="6C3C6F52"/>
    <w:rsid w:val="6C5262E5"/>
    <w:rsid w:val="6C53E0E5"/>
    <w:rsid w:val="6C6FCB75"/>
    <w:rsid w:val="6C99E98A"/>
    <w:rsid w:val="6CA6C5C5"/>
    <w:rsid w:val="6CC4B228"/>
    <w:rsid w:val="6CD7A601"/>
    <w:rsid w:val="6CE80DA8"/>
    <w:rsid w:val="6CF1FD3F"/>
    <w:rsid w:val="6D03314C"/>
    <w:rsid w:val="6D0FF4FB"/>
    <w:rsid w:val="6D22E303"/>
    <w:rsid w:val="6D28DAAC"/>
    <w:rsid w:val="6D2BA0C2"/>
    <w:rsid w:val="6D3D979D"/>
    <w:rsid w:val="6D4EC5AE"/>
    <w:rsid w:val="6D50A0DD"/>
    <w:rsid w:val="6D529739"/>
    <w:rsid w:val="6D6FD71A"/>
    <w:rsid w:val="6D81A116"/>
    <w:rsid w:val="6D94A8DC"/>
    <w:rsid w:val="6D9BEE1B"/>
    <w:rsid w:val="6D9FD201"/>
    <w:rsid w:val="6DF77767"/>
    <w:rsid w:val="6E04CA7F"/>
    <w:rsid w:val="6E0AD712"/>
    <w:rsid w:val="6E17EA7E"/>
    <w:rsid w:val="6E2C8686"/>
    <w:rsid w:val="6E3B95EF"/>
    <w:rsid w:val="6E56CF40"/>
    <w:rsid w:val="6E600C23"/>
    <w:rsid w:val="6E742084"/>
    <w:rsid w:val="6E79E3B0"/>
    <w:rsid w:val="6E9B207C"/>
    <w:rsid w:val="6EA1BEFE"/>
    <w:rsid w:val="6EAF6651"/>
    <w:rsid w:val="6EBC884C"/>
    <w:rsid w:val="6EC0AAE9"/>
    <w:rsid w:val="6F115388"/>
    <w:rsid w:val="6F11F8D3"/>
    <w:rsid w:val="6F1314A0"/>
    <w:rsid w:val="6F25F120"/>
    <w:rsid w:val="6F4C949C"/>
    <w:rsid w:val="6F8BBA1D"/>
    <w:rsid w:val="6F9D49D6"/>
    <w:rsid w:val="6FA67DC1"/>
    <w:rsid w:val="6FBA6068"/>
    <w:rsid w:val="6FE10B24"/>
    <w:rsid w:val="6FF0570F"/>
    <w:rsid w:val="6FF5F5C4"/>
    <w:rsid w:val="7013F2DF"/>
    <w:rsid w:val="7041E4EB"/>
    <w:rsid w:val="705E9D8F"/>
    <w:rsid w:val="707DB50B"/>
    <w:rsid w:val="708821AE"/>
    <w:rsid w:val="708B70C7"/>
    <w:rsid w:val="70AE5BFB"/>
    <w:rsid w:val="70D77B83"/>
    <w:rsid w:val="70E1E9AC"/>
    <w:rsid w:val="7128A44E"/>
    <w:rsid w:val="712E5798"/>
    <w:rsid w:val="713052D7"/>
    <w:rsid w:val="713C50A1"/>
    <w:rsid w:val="713E3BA5"/>
    <w:rsid w:val="714E7F3E"/>
    <w:rsid w:val="71693048"/>
    <w:rsid w:val="7181F9A8"/>
    <w:rsid w:val="71878635"/>
    <w:rsid w:val="71ADD5C4"/>
    <w:rsid w:val="71D33F90"/>
    <w:rsid w:val="71DD67F0"/>
    <w:rsid w:val="71E335CB"/>
    <w:rsid w:val="71EBEDC2"/>
    <w:rsid w:val="71ED2146"/>
    <w:rsid w:val="720FD1F0"/>
    <w:rsid w:val="7225B2C3"/>
    <w:rsid w:val="723BE2C7"/>
    <w:rsid w:val="7247F543"/>
    <w:rsid w:val="725F19CF"/>
    <w:rsid w:val="7269AC3B"/>
    <w:rsid w:val="72A9E5C0"/>
    <w:rsid w:val="72C2E85C"/>
    <w:rsid w:val="72DED62E"/>
    <w:rsid w:val="72E3C1B3"/>
    <w:rsid w:val="7308FC03"/>
    <w:rsid w:val="730C858C"/>
    <w:rsid w:val="732193BA"/>
    <w:rsid w:val="732DB4C3"/>
    <w:rsid w:val="736C5421"/>
    <w:rsid w:val="737F77A5"/>
    <w:rsid w:val="737FEC85"/>
    <w:rsid w:val="738791F7"/>
    <w:rsid w:val="73904A8D"/>
    <w:rsid w:val="73981E2C"/>
    <w:rsid w:val="73C12E56"/>
    <w:rsid w:val="73D44FC7"/>
    <w:rsid w:val="73E46BAD"/>
    <w:rsid w:val="73E69827"/>
    <w:rsid w:val="73F54F04"/>
    <w:rsid w:val="74012DAE"/>
    <w:rsid w:val="740907FE"/>
    <w:rsid w:val="741741D0"/>
    <w:rsid w:val="743E73C4"/>
    <w:rsid w:val="74601BDE"/>
    <w:rsid w:val="74775084"/>
    <w:rsid w:val="7490F234"/>
    <w:rsid w:val="7491D38D"/>
    <w:rsid w:val="74DB84A6"/>
    <w:rsid w:val="74DF45FD"/>
    <w:rsid w:val="74F2984D"/>
    <w:rsid w:val="74FC5676"/>
    <w:rsid w:val="750147F4"/>
    <w:rsid w:val="7529FAEE"/>
    <w:rsid w:val="752D39E4"/>
    <w:rsid w:val="7539C57B"/>
    <w:rsid w:val="7543D427"/>
    <w:rsid w:val="754DF3E2"/>
    <w:rsid w:val="75506A3A"/>
    <w:rsid w:val="7596BA91"/>
    <w:rsid w:val="75991465"/>
    <w:rsid w:val="75A83109"/>
    <w:rsid w:val="75C55DE0"/>
    <w:rsid w:val="7600BB1C"/>
    <w:rsid w:val="7601F6E5"/>
    <w:rsid w:val="7651B52C"/>
    <w:rsid w:val="76697736"/>
    <w:rsid w:val="7696795F"/>
    <w:rsid w:val="76D28911"/>
    <w:rsid w:val="77133866"/>
    <w:rsid w:val="771899B4"/>
    <w:rsid w:val="77236D22"/>
    <w:rsid w:val="773070E2"/>
    <w:rsid w:val="77307C7D"/>
    <w:rsid w:val="7740E6B0"/>
    <w:rsid w:val="7742E9CE"/>
    <w:rsid w:val="7753F59A"/>
    <w:rsid w:val="77648D60"/>
    <w:rsid w:val="77735390"/>
    <w:rsid w:val="77926523"/>
    <w:rsid w:val="77B1DD39"/>
    <w:rsid w:val="77D40B11"/>
    <w:rsid w:val="77E1FA87"/>
    <w:rsid w:val="77FDB186"/>
    <w:rsid w:val="783D81B6"/>
    <w:rsid w:val="7861A522"/>
    <w:rsid w:val="786B32D7"/>
    <w:rsid w:val="786D5DA8"/>
    <w:rsid w:val="78711A1D"/>
    <w:rsid w:val="78718449"/>
    <w:rsid w:val="78740F92"/>
    <w:rsid w:val="78744078"/>
    <w:rsid w:val="7877578D"/>
    <w:rsid w:val="78A89965"/>
    <w:rsid w:val="78AE12A6"/>
    <w:rsid w:val="78B39852"/>
    <w:rsid w:val="78B8A0C0"/>
    <w:rsid w:val="78BAD663"/>
    <w:rsid w:val="78CC4143"/>
    <w:rsid w:val="78D54965"/>
    <w:rsid w:val="78E6840B"/>
    <w:rsid w:val="7901F519"/>
    <w:rsid w:val="790C86B1"/>
    <w:rsid w:val="79233F35"/>
    <w:rsid w:val="7937FA5C"/>
    <w:rsid w:val="794E70FF"/>
    <w:rsid w:val="7960E926"/>
    <w:rsid w:val="7988FD01"/>
    <w:rsid w:val="799B897F"/>
    <w:rsid w:val="79C19A12"/>
    <w:rsid w:val="79C89C06"/>
    <w:rsid w:val="79C8F99D"/>
    <w:rsid w:val="79DCD8C5"/>
    <w:rsid w:val="79DE908D"/>
    <w:rsid w:val="79EF391E"/>
    <w:rsid w:val="7A2ACCE8"/>
    <w:rsid w:val="7A3B4AB1"/>
    <w:rsid w:val="7A4768AD"/>
    <w:rsid w:val="7A4D2E8B"/>
    <w:rsid w:val="7A590E91"/>
    <w:rsid w:val="7A5F873A"/>
    <w:rsid w:val="7A7000FD"/>
    <w:rsid w:val="7A7D4FEC"/>
    <w:rsid w:val="7A8D57AE"/>
    <w:rsid w:val="7ADF8EE1"/>
    <w:rsid w:val="7AEDF07F"/>
    <w:rsid w:val="7AF97B5A"/>
    <w:rsid w:val="7AFDDD52"/>
    <w:rsid w:val="7B1239BE"/>
    <w:rsid w:val="7B164850"/>
    <w:rsid w:val="7B17E528"/>
    <w:rsid w:val="7B25A745"/>
    <w:rsid w:val="7B729BD6"/>
    <w:rsid w:val="7B8ECB9A"/>
    <w:rsid w:val="7BA846CB"/>
    <w:rsid w:val="7BB5724C"/>
    <w:rsid w:val="7BCE37A4"/>
    <w:rsid w:val="7C03E205"/>
    <w:rsid w:val="7C3664EC"/>
    <w:rsid w:val="7C4A6047"/>
    <w:rsid w:val="7C59ED57"/>
    <w:rsid w:val="7C814A06"/>
    <w:rsid w:val="7C8B0547"/>
    <w:rsid w:val="7C8CB954"/>
    <w:rsid w:val="7CA5E8D5"/>
    <w:rsid w:val="7CC8A685"/>
    <w:rsid w:val="7CE55C22"/>
    <w:rsid w:val="7CE972A2"/>
    <w:rsid w:val="7D157FCC"/>
    <w:rsid w:val="7D28F4C3"/>
    <w:rsid w:val="7D4884F5"/>
    <w:rsid w:val="7D583EAC"/>
    <w:rsid w:val="7D62602B"/>
    <w:rsid w:val="7D9FB266"/>
    <w:rsid w:val="7DBABBCA"/>
    <w:rsid w:val="7DC59F96"/>
    <w:rsid w:val="7DF32C9D"/>
    <w:rsid w:val="7E034410"/>
    <w:rsid w:val="7E7A8756"/>
    <w:rsid w:val="7E80A213"/>
    <w:rsid w:val="7E9B1A6B"/>
    <w:rsid w:val="7EC46AB7"/>
    <w:rsid w:val="7ECAE968"/>
    <w:rsid w:val="7ECC1C78"/>
    <w:rsid w:val="7ECE7C43"/>
    <w:rsid w:val="7EDEA2C5"/>
    <w:rsid w:val="7EE0C5CD"/>
    <w:rsid w:val="7F2A1A61"/>
    <w:rsid w:val="7F4C3187"/>
    <w:rsid w:val="7F4CFFA6"/>
    <w:rsid w:val="7F646E0C"/>
    <w:rsid w:val="7F87659F"/>
    <w:rsid w:val="7F984318"/>
    <w:rsid w:val="7FB372DF"/>
    <w:rsid w:val="7FF6AE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9B626"/>
  <w15:chartTrackingRefBased/>
  <w15:docId w15:val="{8870C98F-2D4C-465D-891D-0ED1BF23F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0" w:unhideWhenUsed="1"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75179"/>
  </w:style>
  <w:style w:type="paragraph" w:styleId="Nadpis1">
    <w:name w:val="heading 1"/>
    <w:basedOn w:val="Normln"/>
    <w:next w:val="Normln"/>
    <w:link w:val="Nadpis1Char"/>
    <w:qFormat/>
    <w:rsid w:val="00A73F9E"/>
    <w:pPr>
      <w:keepNext/>
      <w:keepLines/>
      <w:pageBreakBefore/>
      <w:numPr>
        <w:numId w:val="2"/>
      </w:numPr>
      <w:spacing w:before="160" w:after="0" w:line="240" w:lineRule="auto"/>
      <w:jc w:val="both"/>
      <w:outlineLvl w:val="0"/>
    </w:pPr>
    <w:rPr>
      <w:rFonts w:asciiTheme="majorHAnsi" w:eastAsiaTheme="majorEastAsia" w:hAnsiTheme="majorHAnsi" w:cstheme="majorBidi"/>
      <w:b/>
      <w:caps/>
      <w:color w:val="000000" w:themeColor="text1"/>
      <w:sz w:val="28"/>
      <w:szCs w:val="32"/>
    </w:rPr>
  </w:style>
  <w:style w:type="paragraph" w:styleId="Nadpis2">
    <w:name w:val="heading 2"/>
    <w:basedOn w:val="Normln"/>
    <w:next w:val="Normln"/>
    <w:link w:val="Nadpis2Char"/>
    <w:unhideWhenUsed/>
    <w:qFormat/>
    <w:rsid w:val="00A73F9E"/>
    <w:pPr>
      <w:keepNext/>
      <w:keepLines/>
      <w:numPr>
        <w:ilvl w:val="1"/>
        <w:numId w:val="2"/>
      </w:numPr>
      <w:spacing w:before="160" w:line="240" w:lineRule="auto"/>
      <w:jc w:val="both"/>
      <w:outlineLvl w:val="1"/>
    </w:pPr>
    <w:rPr>
      <w:rFonts w:asciiTheme="majorHAnsi" w:eastAsiaTheme="majorEastAsia" w:hAnsiTheme="majorHAnsi" w:cstheme="majorBidi"/>
      <w:b/>
      <w:color w:val="000000" w:themeColor="text1"/>
      <w:sz w:val="26"/>
      <w:szCs w:val="26"/>
    </w:rPr>
  </w:style>
  <w:style w:type="paragraph" w:styleId="Nadpis3">
    <w:name w:val="heading 3"/>
    <w:basedOn w:val="Normln"/>
    <w:next w:val="Normln"/>
    <w:link w:val="Nadpis3Char"/>
    <w:unhideWhenUsed/>
    <w:qFormat/>
    <w:rsid w:val="00A73F9E"/>
    <w:pPr>
      <w:keepNext/>
      <w:keepLines/>
      <w:numPr>
        <w:ilvl w:val="2"/>
        <w:numId w:val="2"/>
      </w:numPr>
      <w:spacing w:before="160" w:line="240" w:lineRule="auto"/>
      <w:jc w:val="both"/>
      <w:outlineLvl w:val="2"/>
    </w:pPr>
    <w:rPr>
      <w:rFonts w:asciiTheme="majorHAnsi" w:eastAsiaTheme="majorEastAsia" w:hAnsiTheme="majorHAnsi" w:cstheme="majorBidi"/>
      <w:b/>
      <w:color w:val="000000" w:themeColor="text1"/>
      <w:sz w:val="24"/>
      <w:szCs w:val="24"/>
    </w:rPr>
  </w:style>
  <w:style w:type="paragraph" w:styleId="Nadpis4">
    <w:name w:val="heading 4"/>
    <w:basedOn w:val="Normln"/>
    <w:next w:val="Normln"/>
    <w:link w:val="Nadpis4Char"/>
    <w:uiPriority w:val="9"/>
    <w:unhideWhenUsed/>
    <w:qFormat/>
    <w:rsid w:val="00A73F9E"/>
    <w:pPr>
      <w:keepNext/>
      <w:keepLines/>
      <w:numPr>
        <w:ilvl w:val="3"/>
        <w:numId w:val="2"/>
      </w:numPr>
      <w:spacing w:before="160" w:line="240" w:lineRule="auto"/>
      <w:jc w:val="both"/>
      <w:outlineLvl w:val="3"/>
    </w:pPr>
    <w:rPr>
      <w:rFonts w:asciiTheme="majorHAnsi" w:eastAsiaTheme="majorEastAsia" w:hAnsiTheme="majorHAnsi" w:cstheme="majorBidi"/>
      <w:b/>
      <w:iCs/>
      <w:color w:val="000000" w:themeColor="text1"/>
      <w:sz w:val="20"/>
    </w:rPr>
  </w:style>
  <w:style w:type="paragraph" w:styleId="Nadpis5">
    <w:name w:val="heading 5"/>
    <w:basedOn w:val="Normln"/>
    <w:next w:val="Normln"/>
    <w:link w:val="Nadpis5Char"/>
    <w:uiPriority w:val="9"/>
    <w:unhideWhenUsed/>
    <w:qFormat/>
    <w:rsid w:val="00A73F9E"/>
    <w:pPr>
      <w:keepNext/>
      <w:keepLines/>
      <w:numPr>
        <w:ilvl w:val="4"/>
        <w:numId w:val="2"/>
      </w:numPr>
      <w:spacing w:before="40" w:after="0" w:line="240" w:lineRule="auto"/>
      <w:jc w:val="both"/>
      <w:outlineLvl w:val="4"/>
    </w:pPr>
    <w:rPr>
      <w:rFonts w:asciiTheme="majorHAnsi" w:eastAsiaTheme="majorEastAsia" w:hAnsiTheme="majorHAnsi" w:cstheme="majorBidi"/>
      <w:b/>
      <w:color w:val="000000" w:themeColor="text1"/>
      <w:sz w:val="20"/>
    </w:rPr>
  </w:style>
  <w:style w:type="paragraph" w:styleId="Nadpis6">
    <w:name w:val="heading 6"/>
    <w:basedOn w:val="Normln"/>
    <w:next w:val="Normln"/>
    <w:link w:val="Nadpis6Char"/>
    <w:uiPriority w:val="9"/>
    <w:unhideWhenUsed/>
    <w:qFormat/>
    <w:rsid w:val="00A73F9E"/>
    <w:pPr>
      <w:keepNext/>
      <w:keepLines/>
      <w:numPr>
        <w:ilvl w:val="5"/>
        <w:numId w:val="2"/>
      </w:numPr>
      <w:spacing w:before="40" w:after="0" w:line="240" w:lineRule="auto"/>
      <w:jc w:val="both"/>
      <w:outlineLvl w:val="5"/>
    </w:pPr>
    <w:rPr>
      <w:rFonts w:asciiTheme="majorHAnsi" w:eastAsiaTheme="majorEastAsia" w:hAnsiTheme="majorHAnsi" w:cstheme="majorBidi"/>
      <w:i/>
      <w:color w:val="000000" w:themeColor="text1"/>
      <w:sz w:val="20"/>
    </w:rPr>
  </w:style>
  <w:style w:type="paragraph" w:styleId="Nadpis7">
    <w:name w:val="heading 7"/>
    <w:basedOn w:val="Normln"/>
    <w:next w:val="Normln"/>
    <w:link w:val="Nadpis7Char"/>
    <w:uiPriority w:val="9"/>
    <w:unhideWhenUsed/>
    <w:qFormat/>
    <w:rsid w:val="00A73F9E"/>
    <w:pPr>
      <w:keepNext/>
      <w:keepLines/>
      <w:numPr>
        <w:ilvl w:val="6"/>
        <w:numId w:val="2"/>
      </w:numPr>
      <w:spacing w:before="40" w:after="0" w:line="240" w:lineRule="auto"/>
      <w:jc w:val="both"/>
      <w:outlineLvl w:val="6"/>
    </w:pPr>
    <w:rPr>
      <w:rFonts w:asciiTheme="majorHAnsi" w:eastAsiaTheme="majorEastAsia" w:hAnsiTheme="majorHAnsi" w:cstheme="majorBidi"/>
      <w:iCs/>
      <w:color w:val="000000" w:themeColor="text1"/>
      <w:sz w:val="20"/>
    </w:rPr>
  </w:style>
  <w:style w:type="paragraph" w:styleId="Nadpis8">
    <w:name w:val="heading 8"/>
    <w:basedOn w:val="Normln"/>
    <w:next w:val="Normln"/>
    <w:link w:val="Nadpis8Char"/>
    <w:uiPriority w:val="9"/>
    <w:unhideWhenUsed/>
    <w:qFormat/>
    <w:rsid w:val="00A73F9E"/>
    <w:pPr>
      <w:keepNext/>
      <w:keepLines/>
      <w:numPr>
        <w:ilvl w:val="7"/>
        <w:numId w:val="2"/>
      </w:numPr>
      <w:spacing w:before="40" w:after="0" w:line="240" w:lineRule="auto"/>
      <w:jc w:val="both"/>
      <w:outlineLvl w:val="7"/>
    </w:pPr>
    <w:rPr>
      <w:rFonts w:asciiTheme="majorHAnsi" w:eastAsiaTheme="majorEastAsia" w:hAnsiTheme="majorHAnsi" w:cstheme="majorBidi"/>
      <w:b/>
      <w:color w:val="272727" w:themeColor="text1" w:themeTint="D8"/>
      <w:sz w:val="20"/>
      <w:szCs w:val="21"/>
    </w:rPr>
  </w:style>
  <w:style w:type="paragraph" w:styleId="Nadpis9">
    <w:name w:val="heading 9"/>
    <w:basedOn w:val="Normln"/>
    <w:next w:val="Normln"/>
    <w:link w:val="Nadpis9Char"/>
    <w:uiPriority w:val="9"/>
    <w:unhideWhenUsed/>
    <w:qFormat/>
    <w:rsid w:val="00A73F9E"/>
    <w:pPr>
      <w:keepNext/>
      <w:keepLines/>
      <w:numPr>
        <w:ilvl w:val="8"/>
        <w:numId w:val="2"/>
      </w:numPr>
      <w:spacing w:before="40" w:after="0" w:line="240" w:lineRule="auto"/>
      <w:jc w:val="both"/>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3F9E"/>
    <w:rPr>
      <w:rFonts w:asciiTheme="majorHAnsi" w:eastAsiaTheme="majorEastAsia" w:hAnsiTheme="majorHAnsi" w:cstheme="majorBidi"/>
      <w:b/>
      <w:caps/>
      <w:color w:val="000000" w:themeColor="text1"/>
      <w:sz w:val="28"/>
      <w:szCs w:val="32"/>
    </w:rPr>
  </w:style>
  <w:style w:type="character" w:customStyle="1" w:styleId="Nadpis2Char">
    <w:name w:val="Nadpis 2 Char"/>
    <w:basedOn w:val="Standardnpsmoodstavce"/>
    <w:link w:val="Nadpis2"/>
    <w:rsid w:val="00A73F9E"/>
    <w:rPr>
      <w:rFonts w:asciiTheme="majorHAnsi" w:eastAsiaTheme="majorEastAsia" w:hAnsiTheme="majorHAnsi" w:cstheme="majorBidi"/>
      <w:b/>
      <w:color w:val="000000" w:themeColor="text1"/>
      <w:sz w:val="26"/>
      <w:szCs w:val="26"/>
    </w:rPr>
  </w:style>
  <w:style w:type="character" w:customStyle="1" w:styleId="Nadpis3Char">
    <w:name w:val="Nadpis 3 Char"/>
    <w:basedOn w:val="Standardnpsmoodstavce"/>
    <w:link w:val="Nadpis3"/>
    <w:rsid w:val="00A73F9E"/>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9"/>
    <w:rsid w:val="00A73F9E"/>
    <w:rPr>
      <w:rFonts w:asciiTheme="majorHAnsi" w:eastAsiaTheme="majorEastAsia" w:hAnsiTheme="majorHAnsi" w:cstheme="majorBidi"/>
      <w:b/>
      <w:iCs/>
      <w:color w:val="000000" w:themeColor="text1"/>
      <w:sz w:val="20"/>
    </w:rPr>
  </w:style>
  <w:style w:type="character" w:customStyle="1" w:styleId="Nadpis5Char">
    <w:name w:val="Nadpis 5 Char"/>
    <w:basedOn w:val="Standardnpsmoodstavce"/>
    <w:link w:val="Nadpis5"/>
    <w:uiPriority w:val="9"/>
    <w:rsid w:val="00A73F9E"/>
    <w:rPr>
      <w:rFonts w:asciiTheme="majorHAnsi" w:eastAsiaTheme="majorEastAsia" w:hAnsiTheme="majorHAnsi" w:cstheme="majorBidi"/>
      <w:b/>
      <w:color w:val="000000" w:themeColor="text1"/>
      <w:sz w:val="20"/>
    </w:rPr>
  </w:style>
  <w:style w:type="character" w:customStyle="1" w:styleId="Nadpis6Char">
    <w:name w:val="Nadpis 6 Char"/>
    <w:basedOn w:val="Standardnpsmoodstavce"/>
    <w:link w:val="Nadpis6"/>
    <w:uiPriority w:val="9"/>
    <w:rsid w:val="00A73F9E"/>
    <w:rPr>
      <w:rFonts w:asciiTheme="majorHAnsi" w:eastAsiaTheme="majorEastAsia" w:hAnsiTheme="majorHAnsi" w:cstheme="majorBidi"/>
      <w:i/>
      <w:color w:val="000000" w:themeColor="text1"/>
      <w:sz w:val="20"/>
    </w:rPr>
  </w:style>
  <w:style w:type="character" w:customStyle="1" w:styleId="Nadpis7Char">
    <w:name w:val="Nadpis 7 Char"/>
    <w:basedOn w:val="Standardnpsmoodstavce"/>
    <w:link w:val="Nadpis7"/>
    <w:uiPriority w:val="9"/>
    <w:rsid w:val="00A73F9E"/>
    <w:rPr>
      <w:rFonts w:asciiTheme="majorHAnsi" w:eastAsiaTheme="majorEastAsia" w:hAnsiTheme="majorHAnsi" w:cstheme="majorBidi"/>
      <w:iCs/>
      <w:color w:val="000000" w:themeColor="text1"/>
      <w:sz w:val="20"/>
    </w:rPr>
  </w:style>
  <w:style w:type="character" w:customStyle="1" w:styleId="Nadpis8Char">
    <w:name w:val="Nadpis 8 Char"/>
    <w:basedOn w:val="Standardnpsmoodstavce"/>
    <w:link w:val="Nadpis8"/>
    <w:uiPriority w:val="9"/>
    <w:rsid w:val="00A73F9E"/>
    <w:rPr>
      <w:rFonts w:asciiTheme="majorHAnsi" w:eastAsiaTheme="majorEastAsia" w:hAnsiTheme="majorHAnsi" w:cstheme="majorBidi"/>
      <w:b/>
      <w:color w:val="272727" w:themeColor="text1" w:themeTint="D8"/>
      <w:sz w:val="20"/>
      <w:szCs w:val="21"/>
    </w:rPr>
  </w:style>
  <w:style w:type="character" w:customStyle="1" w:styleId="Nadpis9Char">
    <w:name w:val="Nadpis 9 Char"/>
    <w:basedOn w:val="Standardnpsmoodstavce"/>
    <w:link w:val="Nadpis9"/>
    <w:uiPriority w:val="9"/>
    <w:rsid w:val="00A73F9E"/>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9A6B0C"/>
    <w:pPr>
      <w:keepNext/>
      <w:keepLines/>
      <w:spacing w:after="0" w:line="240" w:lineRule="auto"/>
      <w:contextualSpacing/>
      <w:jc w:val="both"/>
    </w:pPr>
    <w:rPr>
      <w:rFonts w:asciiTheme="majorHAnsi" w:eastAsiaTheme="majorEastAsia" w:hAnsiTheme="majorHAnsi" w:cstheme="majorBidi"/>
      <w:color w:val="44546A" w:themeColor="text2"/>
      <w:spacing w:val="-10"/>
      <w:kern w:val="28"/>
      <w:sz w:val="48"/>
      <w:szCs w:val="56"/>
    </w:rPr>
  </w:style>
  <w:style w:type="character" w:customStyle="1" w:styleId="NzevChar">
    <w:name w:val="Název Char"/>
    <w:basedOn w:val="Standardnpsmoodstavce"/>
    <w:link w:val="Nzev"/>
    <w:uiPriority w:val="4"/>
    <w:rsid w:val="009A6B0C"/>
    <w:rPr>
      <w:rFonts w:asciiTheme="majorHAnsi" w:eastAsiaTheme="majorEastAsia" w:hAnsiTheme="majorHAnsi" w:cstheme="majorBidi"/>
      <w:color w:val="44546A" w:themeColor="text2"/>
      <w:spacing w:val="-10"/>
      <w:kern w:val="28"/>
      <w:sz w:val="48"/>
      <w:szCs w:val="56"/>
    </w:rPr>
  </w:style>
  <w:style w:type="paragraph" w:styleId="Podnadpis">
    <w:name w:val="Subtitle"/>
    <w:basedOn w:val="Normln"/>
    <w:next w:val="Normln"/>
    <w:link w:val="PodnadpisChar"/>
    <w:uiPriority w:val="11"/>
    <w:qFormat/>
    <w:rsid w:val="009A6B0C"/>
    <w:pPr>
      <w:numPr>
        <w:ilvl w:val="1"/>
      </w:numPr>
      <w:spacing w:line="240" w:lineRule="auto"/>
      <w:jc w:val="both"/>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11"/>
    <w:rsid w:val="009A6B0C"/>
    <w:rPr>
      <w:rFonts w:eastAsiaTheme="minorEastAsia"/>
      <w:color w:val="595959" w:themeColor="text1" w:themeTint="A6"/>
      <w:spacing w:val="15"/>
      <w:sz w:val="28"/>
    </w:rPr>
  </w:style>
  <w:style w:type="character" w:customStyle="1" w:styleId="normaltextrun">
    <w:name w:val="normaltextrun"/>
    <w:basedOn w:val="Standardnpsmoodstavce"/>
    <w:rsid w:val="00A73F9E"/>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B4450A"/>
    <w:pPr>
      <w:spacing w:after="0" w:line="240" w:lineRule="auto"/>
      <w:jc w:val="both"/>
    </w:pPr>
    <w:rPr>
      <w:color w:val="000000" w:themeColor="text1"/>
      <w:sz w:val="20"/>
      <w:szCs w:val="20"/>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B4450A"/>
    <w:rPr>
      <w:color w:val="000000" w:themeColor="text1"/>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B4450A"/>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B4450A"/>
    <w:pPr>
      <w:spacing w:line="240" w:lineRule="exact"/>
      <w:jc w:val="both"/>
    </w:pPr>
    <w:rPr>
      <w:vertAlign w:val="superscript"/>
    </w:rPr>
  </w:style>
  <w:style w:type="character" w:styleId="Odkaznakoment">
    <w:name w:val="annotation reference"/>
    <w:basedOn w:val="Standardnpsmoodstavce"/>
    <w:uiPriority w:val="99"/>
    <w:semiHidden/>
    <w:unhideWhenUsed/>
    <w:rsid w:val="00BE113A"/>
    <w:rPr>
      <w:sz w:val="16"/>
      <w:szCs w:val="16"/>
    </w:rPr>
  </w:style>
  <w:style w:type="paragraph" w:styleId="Textkomente">
    <w:name w:val="annotation text"/>
    <w:basedOn w:val="Normln"/>
    <w:link w:val="TextkomenteChar"/>
    <w:uiPriority w:val="99"/>
    <w:unhideWhenUsed/>
    <w:rsid w:val="00BE113A"/>
    <w:pPr>
      <w:spacing w:line="240" w:lineRule="auto"/>
    </w:pPr>
    <w:rPr>
      <w:sz w:val="20"/>
      <w:szCs w:val="20"/>
    </w:rPr>
  </w:style>
  <w:style w:type="character" w:customStyle="1" w:styleId="TextkomenteChar">
    <w:name w:val="Text komentáře Char"/>
    <w:basedOn w:val="Standardnpsmoodstavce"/>
    <w:link w:val="Textkomente"/>
    <w:uiPriority w:val="99"/>
    <w:rsid w:val="00BE113A"/>
    <w:rPr>
      <w:sz w:val="20"/>
      <w:szCs w:val="20"/>
      <w:lang w:val="en-GB"/>
    </w:rPr>
  </w:style>
  <w:style w:type="paragraph" w:styleId="Pedmtkomente">
    <w:name w:val="annotation subject"/>
    <w:basedOn w:val="Textkomente"/>
    <w:next w:val="Textkomente"/>
    <w:link w:val="PedmtkomenteChar"/>
    <w:uiPriority w:val="99"/>
    <w:semiHidden/>
    <w:unhideWhenUsed/>
    <w:rsid w:val="00BE113A"/>
    <w:rPr>
      <w:b/>
      <w:bCs/>
    </w:rPr>
  </w:style>
  <w:style w:type="character" w:customStyle="1" w:styleId="PedmtkomenteChar">
    <w:name w:val="Předmět komentáře Char"/>
    <w:basedOn w:val="TextkomenteChar"/>
    <w:link w:val="Pedmtkomente"/>
    <w:uiPriority w:val="99"/>
    <w:semiHidden/>
    <w:rsid w:val="00BE113A"/>
    <w:rPr>
      <w:b/>
      <w:bCs/>
      <w:sz w:val="20"/>
      <w:szCs w:val="20"/>
      <w:lang w:val="en-GB"/>
    </w:rPr>
  </w:style>
  <w:style w:type="paragraph" w:styleId="Textbubliny">
    <w:name w:val="Balloon Text"/>
    <w:basedOn w:val="Normln"/>
    <w:link w:val="TextbublinyChar"/>
    <w:uiPriority w:val="99"/>
    <w:semiHidden/>
    <w:unhideWhenUsed/>
    <w:rsid w:val="00BE113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E113A"/>
    <w:rPr>
      <w:rFonts w:ascii="Segoe UI" w:hAnsi="Segoe UI" w:cs="Segoe UI"/>
      <w:sz w:val="18"/>
      <w:szCs w:val="18"/>
      <w:lang w:val="en-GB"/>
    </w:rPr>
  </w:style>
  <w:style w:type="table" w:styleId="Mkatabulky">
    <w:name w:val="Table Grid"/>
    <w:aliases w:val="SGS Table Basic 1,CV table"/>
    <w:basedOn w:val="Normlntabulka"/>
    <w:uiPriority w:val="39"/>
    <w:rsid w:val="00C70E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29588A"/>
    <w:pPr>
      <w:ind w:left="720"/>
      <w:contextualSpacing/>
    </w:pPr>
  </w:style>
  <w:style w:type="paragraph" w:customStyle="1" w:styleId="Styl1">
    <w:name w:val="Styl1"/>
    <w:basedOn w:val="Nadpis4"/>
    <w:qFormat/>
    <w:rsid w:val="00A14491"/>
    <w:pPr>
      <w:numPr>
        <w:ilvl w:val="0"/>
        <w:numId w:val="3"/>
      </w:numPr>
      <w:ind w:firstLine="0"/>
    </w:pPr>
    <w:rPr>
      <w:rFonts w:asciiTheme="minorHAnsi" w:hAnsiTheme="minorHAnsi" w:cstheme="minorHAnsi"/>
    </w:rPr>
  </w:style>
  <w:style w:type="paragraph" w:styleId="Nadpisobsahu">
    <w:name w:val="TOC Heading"/>
    <w:basedOn w:val="Nadpis1"/>
    <w:next w:val="Normln"/>
    <w:uiPriority w:val="39"/>
    <w:unhideWhenUsed/>
    <w:qFormat/>
    <w:rsid w:val="002560B3"/>
    <w:pPr>
      <w:pageBreakBefore w:val="0"/>
      <w:numPr>
        <w:numId w:val="0"/>
      </w:numPr>
      <w:spacing w:before="240" w:line="259" w:lineRule="auto"/>
      <w:jc w:val="left"/>
      <w:outlineLvl w:val="9"/>
    </w:pPr>
    <w:rPr>
      <w:b w:val="0"/>
      <w:caps w:val="0"/>
      <w:color w:val="2E74B5" w:themeColor="accent1" w:themeShade="BF"/>
      <w:sz w:val="32"/>
      <w:lang w:eastAsia="cs-CZ"/>
    </w:rPr>
  </w:style>
  <w:style w:type="paragraph" w:styleId="Obsah1">
    <w:name w:val="toc 1"/>
    <w:basedOn w:val="Normln"/>
    <w:next w:val="Normln"/>
    <w:autoRedefine/>
    <w:uiPriority w:val="39"/>
    <w:unhideWhenUsed/>
    <w:rsid w:val="002560B3"/>
    <w:pPr>
      <w:spacing w:after="100"/>
    </w:pPr>
  </w:style>
  <w:style w:type="paragraph" w:styleId="Obsah2">
    <w:name w:val="toc 2"/>
    <w:basedOn w:val="Normln"/>
    <w:next w:val="Normln"/>
    <w:autoRedefine/>
    <w:uiPriority w:val="39"/>
    <w:unhideWhenUsed/>
    <w:rsid w:val="002560B3"/>
    <w:pPr>
      <w:spacing w:after="100"/>
      <w:ind w:left="220"/>
    </w:pPr>
  </w:style>
  <w:style w:type="paragraph" w:styleId="Obsah3">
    <w:name w:val="toc 3"/>
    <w:basedOn w:val="Normln"/>
    <w:next w:val="Normln"/>
    <w:autoRedefine/>
    <w:uiPriority w:val="39"/>
    <w:unhideWhenUsed/>
    <w:rsid w:val="002560B3"/>
    <w:pPr>
      <w:spacing w:after="100"/>
      <w:ind w:left="440"/>
    </w:pPr>
  </w:style>
  <w:style w:type="character" w:styleId="Hypertextovodkaz">
    <w:name w:val="Hyperlink"/>
    <w:basedOn w:val="Standardnpsmoodstavce"/>
    <w:uiPriority w:val="99"/>
    <w:unhideWhenUsed/>
    <w:rsid w:val="002560B3"/>
    <w:rPr>
      <w:color w:val="0563C1" w:themeColor="hyperlink"/>
      <w:u w:val="single"/>
    </w:rPr>
  </w:style>
  <w:style w:type="paragraph" w:styleId="Obsah4">
    <w:name w:val="toc 4"/>
    <w:basedOn w:val="Normln"/>
    <w:next w:val="Normln"/>
    <w:autoRedefine/>
    <w:uiPriority w:val="39"/>
    <w:unhideWhenUsed/>
    <w:rsid w:val="002560B3"/>
    <w:pPr>
      <w:spacing w:after="100"/>
      <w:ind w:left="660"/>
    </w:pPr>
  </w:style>
  <w:style w:type="paragraph" w:customStyle="1" w:styleId="footnotedescription">
    <w:name w:val="footnote description"/>
    <w:next w:val="Normln"/>
    <w:link w:val="footnotedescriptionChar"/>
    <w:hidden/>
    <w:rsid w:val="00403D63"/>
    <w:pPr>
      <w:spacing w:after="0"/>
    </w:pPr>
    <w:rPr>
      <w:rFonts w:ascii="Calibri" w:eastAsia="Calibri" w:hAnsi="Calibri" w:cs="Calibri"/>
      <w:color w:val="000000"/>
      <w:sz w:val="20"/>
      <w:lang w:eastAsia="cs-CZ"/>
    </w:rPr>
  </w:style>
  <w:style w:type="character" w:customStyle="1" w:styleId="footnotedescriptionChar">
    <w:name w:val="footnote description Char"/>
    <w:link w:val="footnotedescription"/>
    <w:rsid w:val="00403D63"/>
    <w:rPr>
      <w:rFonts w:ascii="Calibri" w:eastAsia="Calibri" w:hAnsi="Calibri" w:cs="Calibri"/>
      <w:color w:val="000000"/>
      <w:sz w:val="20"/>
      <w:lang w:eastAsia="cs-CZ"/>
    </w:rPr>
  </w:style>
  <w:style w:type="character" w:customStyle="1" w:styleId="footnotemark">
    <w:name w:val="footnote mark"/>
    <w:hidden/>
    <w:rsid w:val="00403D63"/>
    <w:rPr>
      <w:rFonts w:ascii="Calibri" w:eastAsia="Calibri" w:hAnsi="Calibri" w:cs="Calibri"/>
      <w:color w:val="000000"/>
      <w:sz w:val="20"/>
      <w:vertAlign w:val="superscript"/>
    </w:rPr>
  </w:style>
  <w:style w:type="table" w:customStyle="1" w:styleId="TableGrid0">
    <w:name w:val="Table Grid0"/>
    <w:rsid w:val="00403D63"/>
    <w:pPr>
      <w:spacing w:after="0" w:line="240" w:lineRule="auto"/>
    </w:pPr>
    <w:rPr>
      <w:rFonts w:eastAsiaTheme="minorEastAsia"/>
      <w:lang w:eastAsia="cs-CZ"/>
    </w:rPr>
    <w:tblPr>
      <w:tblCellMar>
        <w:top w:w="0" w:type="dxa"/>
        <w:left w:w="0" w:type="dxa"/>
        <w:bottom w:w="0" w:type="dxa"/>
        <w:right w:w="0" w:type="dxa"/>
      </w:tblCellMar>
    </w:tblPr>
  </w:style>
  <w:style w:type="paragraph" w:styleId="Zhlav">
    <w:name w:val="header"/>
    <w:basedOn w:val="Normln"/>
    <w:link w:val="ZhlavChar"/>
    <w:uiPriority w:val="99"/>
    <w:unhideWhenUsed/>
    <w:rsid w:val="00403D63"/>
    <w:pPr>
      <w:tabs>
        <w:tab w:val="center" w:pos="4536"/>
        <w:tab w:val="right" w:pos="9072"/>
      </w:tabs>
      <w:spacing w:after="0" w:line="240" w:lineRule="auto"/>
      <w:ind w:left="10" w:hanging="10"/>
      <w:jc w:val="both"/>
    </w:pPr>
    <w:rPr>
      <w:rFonts w:ascii="Calibri" w:eastAsia="Calibri" w:hAnsi="Calibri" w:cs="Calibri"/>
      <w:color w:val="000000"/>
      <w:lang w:eastAsia="cs-CZ"/>
    </w:rPr>
  </w:style>
  <w:style w:type="character" w:customStyle="1" w:styleId="ZhlavChar">
    <w:name w:val="Záhlaví Char"/>
    <w:basedOn w:val="Standardnpsmoodstavce"/>
    <w:link w:val="Zhlav"/>
    <w:uiPriority w:val="99"/>
    <w:rsid w:val="00403D63"/>
    <w:rPr>
      <w:rFonts w:ascii="Calibri" w:eastAsia="Calibri" w:hAnsi="Calibri" w:cs="Calibri"/>
      <w:color w:val="000000"/>
      <w:lang w:eastAsia="cs-CZ"/>
    </w:rPr>
  </w:style>
  <w:style w:type="character" w:customStyle="1" w:styleId="TextvysvtlivekChar">
    <w:name w:val="Text vysvětlivek Char"/>
    <w:basedOn w:val="Standardnpsmoodstavce"/>
    <w:link w:val="Textvysvtlivek"/>
    <w:uiPriority w:val="99"/>
    <w:semiHidden/>
    <w:rsid w:val="00403D63"/>
    <w:rPr>
      <w:rFonts w:ascii="Calibri" w:eastAsia="Calibri" w:hAnsi="Calibri" w:cs="Calibri"/>
      <w:color w:val="000000"/>
      <w:sz w:val="20"/>
      <w:szCs w:val="20"/>
      <w:lang w:eastAsia="cs-CZ"/>
    </w:rPr>
  </w:style>
  <w:style w:type="paragraph" w:styleId="Textvysvtlivek">
    <w:name w:val="endnote text"/>
    <w:basedOn w:val="Normln"/>
    <w:link w:val="TextvysvtlivekChar"/>
    <w:uiPriority w:val="99"/>
    <w:semiHidden/>
    <w:unhideWhenUsed/>
    <w:rsid w:val="00403D63"/>
    <w:pPr>
      <w:spacing w:after="0" w:line="240" w:lineRule="auto"/>
      <w:ind w:left="10" w:hanging="10"/>
      <w:jc w:val="both"/>
    </w:pPr>
    <w:rPr>
      <w:rFonts w:ascii="Calibri" w:eastAsia="Calibri" w:hAnsi="Calibri" w:cs="Calibri"/>
      <w:color w:val="000000"/>
      <w:sz w:val="20"/>
      <w:szCs w:val="20"/>
      <w:lang w:eastAsia="cs-CZ"/>
    </w:rPr>
  </w:style>
  <w:style w:type="paragraph" w:customStyle="1" w:styleId="Default">
    <w:name w:val="Default"/>
    <w:link w:val="DefaultChar"/>
    <w:rsid w:val="00844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Standardnpsmoodstavce"/>
    <w:link w:val="Default"/>
    <w:rsid w:val="0084461B"/>
    <w:rPr>
      <w:rFonts w:ascii="Times New Roman" w:hAnsi="Times New Roman" w:cs="Times New Roman"/>
      <w:color w:val="000000"/>
      <w:sz w:val="24"/>
      <w:szCs w:val="24"/>
    </w:rPr>
  </w:style>
  <w:style w:type="character" w:customStyle="1" w:styleId="K-TextChar">
    <w:name w:val="K-Text Char"/>
    <w:basedOn w:val="Standardnpsmoodstavce"/>
    <w:link w:val="K-Text"/>
    <w:locked/>
    <w:rsid w:val="00216C9A"/>
    <w:rPr>
      <w:rFonts w:ascii="Times New Roman" w:hAnsi="Times New Roman" w:cs="Times New Roman"/>
      <w:iCs/>
      <w:sz w:val="23"/>
      <w:szCs w:val="23"/>
    </w:rPr>
  </w:style>
  <w:style w:type="paragraph" w:customStyle="1" w:styleId="K-Text">
    <w:name w:val="K-Text"/>
    <w:basedOn w:val="Normln"/>
    <w:link w:val="K-TextChar"/>
    <w:qFormat/>
    <w:rsid w:val="00216C9A"/>
    <w:pPr>
      <w:spacing w:after="120" w:line="292" w:lineRule="auto"/>
      <w:jc w:val="both"/>
    </w:pPr>
    <w:rPr>
      <w:rFonts w:ascii="Times New Roman" w:hAnsi="Times New Roman" w:cs="Times New Roman"/>
      <w:iCs/>
      <w:sz w:val="23"/>
      <w:szCs w:val="23"/>
    </w:rPr>
  </w:style>
  <w:style w:type="paragraph" w:customStyle="1" w:styleId="K-Nadpis2">
    <w:name w:val="K-Nadpis2"/>
    <w:basedOn w:val="Nadpis2"/>
    <w:link w:val="K-Nadpis2Char"/>
    <w:qFormat/>
    <w:rsid w:val="00216C9A"/>
    <w:pPr>
      <w:numPr>
        <w:ilvl w:val="0"/>
        <w:numId w:val="0"/>
      </w:numPr>
      <w:jc w:val="left"/>
    </w:pPr>
  </w:style>
  <w:style w:type="paragraph" w:customStyle="1" w:styleId="K-Nadpis3">
    <w:name w:val="K-Nadpis3"/>
    <w:basedOn w:val="Default"/>
    <w:link w:val="K-Nadpis3Char"/>
    <w:qFormat/>
    <w:rsid w:val="00216C9A"/>
    <w:pPr>
      <w:spacing w:after="120"/>
      <w:jc w:val="both"/>
    </w:pPr>
    <w:rPr>
      <w:b/>
      <w:szCs w:val="23"/>
    </w:rPr>
  </w:style>
  <w:style w:type="character" w:customStyle="1" w:styleId="K-Nadpis2Char">
    <w:name w:val="K-Nadpis2 Char"/>
    <w:basedOn w:val="Nadpis2Char"/>
    <w:link w:val="K-Nadpis2"/>
    <w:rsid w:val="00216C9A"/>
    <w:rPr>
      <w:rFonts w:asciiTheme="majorHAnsi" w:eastAsiaTheme="majorEastAsia" w:hAnsiTheme="majorHAnsi" w:cstheme="majorBidi"/>
      <w:b/>
      <w:color w:val="000000" w:themeColor="text1"/>
      <w:sz w:val="26"/>
      <w:szCs w:val="26"/>
    </w:rPr>
  </w:style>
  <w:style w:type="character" w:customStyle="1" w:styleId="K-Nadpis3Char">
    <w:name w:val="K-Nadpis3 Char"/>
    <w:basedOn w:val="DefaultChar"/>
    <w:link w:val="K-Nadpis3"/>
    <w:rsid w:val="00216C9A"/>
    <w:rPr>
      <w:rFonts w:ascii="Times New Roman" w:hAnsi="Times New Roman" w:cs="Times New Roman"/>
      <w:b/>
      <w:color w:val="000000"/>
      <w:sz w:val="24"/>
      <w:szCs w:val="23"/>
    </w:rPr>
  </w:style>
  <w:style w:type="paragraph" w:customStyle="1" w:styleId="K-TextInfo">
    <w:name w:val="K-Text_Info"/>
    <w:basedOn w:val="Default"/>
    <w:link w:val="K-TextInfoChar"/>
    <w:qFormat/>
    <w:rsid w:val="00216C9A"/>
    <w:pPr>
      <w:spacing w:after="120"/>
      <w:jc w:val="both"/>
    </w:pPr>
    <w:rPr>
      <w:rFonts w:eastAsiaTheme="minorEastAsia"/>
      <w:color w:val="000000" w:themeColor="text1"/>
      <w:sz w:val="20"/>
      <w:szCs w:val="20"/>
    </w:rPr>
  </w:style>
  <w:style w:type="paragraph" w:customStyle="1" w:styleId="K-Tabulka">
    <w:name w:val="K-Tabulka"/>
    <w:basedOn w:val="Default"/>
    <w:link w:val="K-TabulkaChar"/>
    <w:qFormat/>
    <w:rsid w:val="00216C9A"/>
    <w:pPr>
      <w:spacing w:after="120"/>
      <w:jc w:val="both"/>
    </w:pPr>
    <w:rPr>
      <w:b/>
      <w:bCs/>
      <w:sz w:val="23"/>
      <w:szCs w:val="23"/>
    </w:rPr>
  </w:style>
  <w:style w:type="character" w:customStyle="1" w:styleId="K-TextInfoChar">
    <w:name w:val="K-Text_Info Char"/>
    <w:basedOn w:val="DefaultChar"/>
    <w:link w:val="K-TextInfo"/>
    <w:rsid w:val="00216C9A"/>
    <w:rPr>
      <w:rFonts w:ascii="Times New Roman" w:eastAsiaTheme="minorEastAsia" w:hAnsi="Times New Roman" w:cs="Times New Roman"/>
      <w:color w:val="000000" w:themeColor="text1"/>
      <w:sz w:val="20"/>
      <w:szCs w:val="20"/>
    </w:rPr>
  </w:style>
  <w:style w:type="character" w:customStyle="1" w:styleId="K-TabulkaChar">
    <w:name w:val="K-Tabulka Char"/>
    <w:basedOn w:val="DefaultChar"/>
    <w:link w:val="K-Tabulka"/>
    <w:rsid w:val="00216C9A"/>
    <w:rPr>
      <w:rFonts w:ascii="Times New Roman" w:hAnsi="Times New Roman" w:cs="Times New Roman"/>
      <w:b/>
      <w:bCs/>
      <w:color w:val="000000"/>
      <w:sz w:val="23"/>
      <w:szCs w:val="23"/>
    </w:rPr>
  </w:style>
  <w:style w:type="paragraph" w:styleId="Bezmezer">
    <w:name w:val="No Spacing"/>
    <w:link w:val="BezmezerChar"/>
    <w:uiPriority w:val="1"/>
    <w:qFormat/>
    <w:rsid w:val="00216C9A"/>
    <w:pPr>
      <w:spacing w:after="0" w:line="240" w:lineRule="auto"/>
    </w:pPr>
  </w:style>
  <w:style w:type="paragraph" w:customStyle="1" w:styleId="Bntext">
    <w:name w:val="Běžný text"/>
    <w:basedOn w:val="Zkladntextodsazen2"/>
    <w:link w:val="BntextChar"/>
    <w:qFormat/>
    <w:rsid w:val="00216C9A"/>
    <w:pPr>
      <w:spacing w:before="120" w:line="276" w:lineRule="auto"/>
      <w:ind w:left="0" w:firstLine="578"/>
      <w:jc w:val="both"/>
    </w:pPr>
    <w:rPr>
      <w:rFonts w:ascii="Calibri" w:eastAsia="Times New Roman" w:hAnsi="Calibri" w:cs="Times New Roman"/>
      <w:color w:val="212121"/>
      <w:sz w:val="20"/>
      <w:szCs w:val="24"/>
      <w:lang w:val="en-US" w:eastAsia="cs-CZ"/>
    </w:rPr>
  </w:style>
  <w:style w:type="character" w:customStyle="1" w:styleId="BntextChar">
    <w:name w:val="Běžný text Char"/>
    <w:basedOn w:val="Zkladntextodsazen2Char"/>
    <w:link w:val="Bntext"/>
    <w:rsid w:val="00216C9A"/>
    <w:rPr>
      <w:rFonts w:ascii="Calibri" w:eastAsia="Times New Roman" w:hAnsi="Calibri" w:cs="Times New Roman"/>
      <w:color w:val="212121"/>
      <w:sz w:val="20"/>
      <w:szCs w:val="24"/>
      <w:lang w:val="en-US" w:eastAsia="cs-CZ"/>
    </w:rPr>
  </w:style>
  <w:style w:type="character" w:customStyle="1" w:styleId="BezmezerChar">
    <w:name w:val="Bez mezer Char"/>
    <w:basedOn w:val="Standardnpsmoodstavce"/>
    <w:link w:val="Bezmezer"/>
    <w:uiPriority w:val="1"/>
    <w:rsid w:val="00216C9A"/>
  </w:style>
  <w:style w:type="paragraph" w:customStyle="1" w:styleId="Odrka">
    <w:name w:val="Odrážka"/>
    <w:basedOn w:val="Odstavecseseznamem"/>
    <w:link w:val="OdrkaChar"/>
    <w:qFormat/>
    <w:rsid w:val="00216C9A"/>
    <w:pPr>
      <w:numPr>
        <w:numId w:val="6"/>
      </w:numPr>
      <w:spacing w:line="240" w:lineRule="auto"/>
      <w:contextualSpacing w:val="0"/>
      <w:jc w:val="both"/>
    </w:pPr>
    <w:rPr>
      <w:bCs/>
      <w:color w:val="000000" w:themeColor="text1"/>
      <w:sz w:val="20"/>
    </w:rPr>
  </w:style>
  <w:style w:type="paragraph" w:customStyle="1" w:styleId="K-nzev">
    <w:name w:val="K - název"/>
    <w:basedOn w:val="Normln"/>
    <w:link w:val="K-nzevChar"/>
    <w:qFormat/>
    <w:rsid w:val="00216C9A"/>
    <w:pPr>
      <w:keepNext/>
      <w:keepLines/>
      <w:pageBreakBefore/>
      <w:spacing w:before="160" w:after="0" w:line="240" w:lineRule="auto"/>
      <w:outlineLvl w:val="0"/>
    </w:pPr>
    <w:rPr>
      <w:rFonts w:eastAsiaTheme="majorEastAsia" w:cstheme="minorHAnsi"/>
      <w:b/>
      <w:color w:val="000000" w:themeColor="text1"/>
      <w:sz w:val="28"/>
      <w:szCs w:val="32"/>
    </w:rPr>
  </w:style>
  <w:style w:type="character" w:customStyle="1" w:styleId="OdrkaChar">
    <w:name w:val="Odrážka Char"/>
    <w:basedOn w:val="Standardnpsmoodstavce"/>
    <w:link w:val="Odrka"/>
    <w:rsid w:val="00216C9A"/>
    <w:rPr>
      <w:bCs/>
      <w:color w:val="000000" w:themeColor="text1"/>
      <w:sz w:val="20"/>
    </w:rPr>
  </w:style>
  <w:style w:type="paragraph" w:customStyle="1" w:styleId="K-1">
    <w:name w:val="K - 1"/>
    <w:basedOn w:val="K-Nadpis2"/>
    <w:link w:val="K-1Char"/>
    <w:qFormat/>
    <w:rsid w:val="00216C9A"/>
    <w:rPr>
      <w:rFonts w:cstheme="minorHAnsi"/>
    </w:rPr>
  </w:style>
  <w:style w:type="character" w:customStyle="1" w:styleId="K-nzevChar">
    <w:name w:val="K - název Char"/>
    <w:basedOn w:val="Standardnpsmoodstavce"/>
    <w:link w:val="K-nzev"/>
    <w:rsid w:val="00216C9A"/>
    <w:rPr>
      <w:rFonts w:eastAsiaTheme="majorEastAsia" w:cstheme="minorHAnsi"/>
      <w:b/>
      <w:color w:val="000000" w:themeColor="text1"/>
      <w:sz w:val="28"/>
      <w:szCs w:val="32"/>
    </w:rPr>
  </w:style>
  <w:style w:type="character" w:customStyle="1" w:styleId="K-1Char">
    <w:name w:val="K - 1 Char"/>
    <w:basedOn w:val="K-Nadpis2Char"/>
    <w:link w:val="K-1"/>
    <w:rsid w:val="00216C9A"/>
    <w:rPr>
      <w:rFonts w:asciiTheme="majorHAnsi" w:eastAsiaTheme="majorEastAsia" w:hAnsiTheme="majorHAnsi" w:cstheme="minorHAnsi"/>
      <w:b/>
      <w:color w:val="000000" w:themeColor="text1"/>
      <w:sz w:val="26"/>
      <w:szCs w:val="26"/>
    </w:rPr>
  </w:style>
  <w:style w:type="paragraph" w:styleId="Zkladntextodsazen2">
    <w:name w:val="Body Text Indent 2"/>
    <w:basedOn w:val="Normln"/>
    <w:link w:val="Zkladntextodsazen2Char"/>
    <w:uiPriority w:val="99"/>
    <w:semiHidden/>
    <w:unhideWhenUsed/>
    <w:rsid w:val="00216C9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216C9A"/>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216C9A"/>
  </w:style>
  <w:style w:type="character" w:customStyle="1" w:styleId="K-Nadpis1Char">
    <w:name w:val="K-Nadpis1 Char"/>
    <w:basedOn w:val="Standardnpsmoodstavce"/>
    <w:link w:val="K-Nadpis1"/>
    <w:locked/>
    <w:rsid w:val="00216C9A"/>
    <w:rPr>
      <w:rFonts w:ascii="Times New Roman" w:eastAsiaTheme="majorEastAsia" w:hAnsi="Times New Roman" w:cs="Times New Roman"/>
      <w:b/>
      <w:color w:val="000000" w:themeColor="text1"/>
      <w:sz w:val="32"/>
      <w:szCs w:val="32"/>
    </w:rPr>
  </w:style>
  <w:style w:type="paragraph" w:customStyle="1" w:styleId="K-Nadpis1">
    <w:name w:val="K-Nadpis1"/>
    <w:basedOn w:val="Nadpis1"/>
    <w:link w:val="K-Nadpis1Char"/>
    <w:qFormat/>
    <w:rsid w:val="00216C9A"/>
    <w:pPr>
      <w:pageBreakBefore w:val="0"/>
      <w:numPr>
        <w:numId w:val="0"/>
      </w:numPr>
      <w:spacing w:line="292" w:lineRule="auto"/>
      <w:jc w:val="left"/>
    </w:pPr>
    <w:rPr>
      <w:rFonts w:ascii="Times New Roman" w:hAnsi="Times New Roman" w:cs="Times New Roman"/>
      <w:caps w:val="0"/>
      <w:sz w:val="32"/>
    </w:rPr>
  </w:style>
  <w:style w:type="character" w:customStyle="1" w:styleId="00BodyChar">
    <w:name w:val="00 Body Char"/>
    <w:basedOn w:val="Standardnpsmoodstavce"/>
    <w:link w:val="00Body"/>
    <w:locked/>
    <w:rsid w:val="00216C9A"/>
    <w:rPr>
      <w:rFonts w:ascii="Arial (Body)" w:eastAsia="Times New Roman" w:hAnsi="Arial (Body)" w:cs="Times New Roman"/>
      <w:szCs w:val="20"/>
      <w:lang w:val="en-US"/>
    </w:rPr>
  </w:style>
  <w:style w:type="paragraph" w:customStyle="1" w:styleId="00Body">
    <w:name w:val="00 Body"/>
    <w:basedOn w:val="Normln"/>
    <w:link w:val="00BodyChar"/>
    <w:qFormat/>
    <w:rsid w:val="00216C9A"/>
    <w:pPr>
      <w:spacing w:before="180" w:after="180" w:line="264" w:lineRule="auto"/>
    </w:pPr>
    <w:rPr>
      <w:rFonts w:ascii="Arial (Body)" w:eastAsia="Times New Roman" w:hAnsi="Arial (Body)" w:cs="Times New Roman"/>
      <w:szCs w:val="20"/>
      <w:lang w:val="en-US"/>
    </w:rPr>
  </w:style>
  <w:style w:type="paragraph" w:styleId="Normlnweb">
    <w:name w:val="Normal (Web)"/>
    <w:basedOn w:val="Normln"/>
    <w:uiPriority w:val="99"/>
    <w:semiHidden/>
    <w:unhideWhenUsed/>
    <w:rsid w:val="0037037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70370"/>
    <w:rPr>
      <w:b/>
      <w:bCs/>
    </w:rPr>
  </w:style>
  <w:style w:type="paragraph" w:styleId="Titulek">
    <w:name w:val="caption"/>
    <w:basedOn w:val="Normln"/>
    <w:next w:val="Normln"/>
    <w:link w:val="TitulekChar"/>
    <w:unhideWhenUsed/>
    <w:qFormat/>
    <w:rsid w:val="001000FA"/>
    <w:pPr>
      <w:spacing w:after="200" w:line="240" w:lineRule="auto"/>
      <w:jc w:val="both"/>
    </w:pPr>
    <w:rPr>
      <w:i/>
      <w:iCs/>
      <w:noProof/>
      <w:color w:val="44546A" w:themeColor="text2"/>
      <w:sz w:val="18"/>
      <w:szCs w:val="18"/>
    </w:rPr>
  </w:style>
  <w:style w:type="character" w:customStyle="1" w:styleId="TitulekChar">
    <w:name w:val="Titulek Char"/>
    <w:link w:val="Titulek"/>
    <w:rsid w:val="001000FA"/>
    <w:rPr>
      <w:i/>
      <w:iCs/>
      <w:noProof/>
      <w:color w:val="44546A" w:themeColor="text2"/>
      <w:sz w:val="18"/>
      <w:szCs w:val="18"/>
    </w:rPr>
  </w:style>
  <w:style w:type="paragraph" w:customStyle="1" w:styleId="paragraph">
    <w:name w:val="paragraph"/>
    <w:basedOn w:val="Normln"/>
    <w:rsid w:val="008F3336"/>
    <w:pPr>
      <w:autoSpaceDE w:val="0"/>
      <w:autoSpaceDN w:val="0"/>
      <w:adjustRightInd w:val="0"/>
      <w:spacing w:before="100" w:beforeAutospacing="1" w:after="100" w:afterAutospacing="1" w:line="240" w:lineRule="auto"/>
      <w:jc w:val="both"/>
    </w:pPr>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555004"/>
    <w:pPr>
      <w:tabs>
        <w:tab w:val="center" w:pos="4536"/>
        <w:tab w:val="right" w:pos="9072"/>
      </w:tabs>
      <w:spacing w:after="0" w:line="240" w:lineRule="auto"/>
    </w:pPr>
  </w:style>
  <w:style w:type="character" w:customStyle="1" w:styleId="ZpatChar">
    <w:name w:val="Zápatí Char"/>
    <w:basedOn w:val="Standardnpsmoodstavce"/>
    <w:link w:val="Zpat"/>
    <w:uiPriority w:val="99"/>
    <w:rsid w:val="00555004"/>
  </w:style>
  <w:style w:type="paragraph" w:styleId="Seznamobrzk">
    <w:name w:val="table of figures"/>
    <w:basedOn w:val="Normln"/>
    <w:next w:val="Normln"/>
    <w:uiPriority w:val="99"/>
    <w:unhideWhenUsed/>
    <w:rsid w:val="00A33FF6"/>
    <w:pPr>
      <w:spacing w:after="0"/>
    </w:pPr>
  </w:style>
  <w:style w:type="character" w:customStyle="1" w:styleId="eop">
    <w:name w:val="eop"/>
    <w:basedOn w:val="Standardnpsmoodstavce"/>
    <w:rsid w:val="00D87523"/>
  </w:style>
  <w:style w:type="numbering" w:customStyle="1" w:styleId="VariantaA-odrky">
    <w:name w:val="Varianta A - odrážky"/>
    <w:uiPriority w:val="99"/>
    <w:rsid w:val="00AB4978"/>
    <w:pPr>
      <w:numPr>
        <w:numId w:val="14"/>
      </w:numPr>
    </w:pPr>
  </w:style>
  <w:style w:type="paragraph" w:styleId="Seznamsodrkami3">
    <w:name w:val="List Bullet 3"/>
    <w:aliases w:val="Seznam s odrážkami A 3"/>
    <w:basedOn w:val="Normln"/>
    <w:uiPriority w:val="10"/>
    <w:qFormat/>
    <w:rsid w:val="00AB4978"/>
    <w:pPr>
      <w:numPr>
        <w:ilvl w:val="2"/>
        <w:numId w:val="15"/>
      </w:numPr>
      <w:spacing w:after="0" w:line="240" w:lineRule="auto"/>
      <w:contextualSpacing/>
      <w:jc w:val="both"/>
    </w:pPr>
    <w:rPr>
      <w:color w:val="000000" w:themeColor="text1"/>
      <w:sz w:val="20"/>
    </w:rPr>
  </w:style>
  <w:style w:type="paragraph" w:styleId="Seznamsodrkami4">
    <w:name w:val="List Bullet 4"/>
    <w:aliases w:val="Seznam s odrážkami A 4"/>
    <w:basedOn w:val="Normln"/>
    <w:uiPriority w:val="10"/>
    <w:qFormat/>
    <w:rsid w:val="00AB4978"/>
    <w:pPr>
      <w:numPr>
        <w:ilvl w:val="3"/>
        <w:numId w:val="15"/>
      </w:numPr>
      <w:spacing w:after="0" w:line="240" w:lineRule="auto"/>
      <w:contextualSpacing/>
      <w:jc w:val="both"/>
    </w:pPr>
    <w:rPr>
      <w:color w:val="000000" w:themeColor="text1"/>
      <w:sz w:val="20"/>
    </w:rPr>
  </w:style>
  <w:style w:type="paragraph" w:styleId="Seznamsodrkami5">
    <w:name w:val="List Bullet 5"/>
    <w:aliases w:val="Seznam s odrážkami A 5"/>
    <w:basedOn w:val="Normln"/>
    <w:uiPriority w:val="10"/>
    <w:qFormat/>
    <w:rsid w:val="00AB4978"/>
    <w:pPr>
      <w:numPr>
        <w:ilvl w:val="4"/>
        <w:numId w:val="15"/>
      </w:numPr>
      <w:spacing w:after="0" w:line="240" w:lineRule="auto"/>
      <w:jc w:val="both"/>
    </w:pPr>
    <w:rPr>
      <w:color w:val="000000" w:themeColor="text1"/>
      <w:sz w:val="20"/>
    </w:rPr>
  </w:style>
  <w:style w:type="paragraph" w:styleId="Seznamsodrkami">
    <w:name w:val="List Bullet"/>
    <w:aliases w:val="Seznam s odrážkami A"/>
    <w:basedOn w:val="Normln"/>
    <w:uiPriority w:val="10"/>
    <w:qFormat/>
    <w:rsid w:val="00AB4978"/>
    <w:pPr>
      <w:numPr>
        <w:numId w:val="15"/>
      </w:numPr>
      <w:spacing w:after="0" w:line="240" w:lineRule="auto"/>
      <w:contextualSpacing/>
      <w:jc w:val="both"/>
    </w:pPr>
    <w:rPr>
      <w:color w:val="000000" w:themeColor="text1"/>
      <w:sz w:val="20"/>
    </w:rPr>
  </w:style>
  <w:style w:type="paragraph" w:styleId="Seznamsodrkami2">
    <w:name w:val="List Bullet 2"/>
    <w:aliases w:val="Seznam s odrážkami A 2"/>
    <w:basedOn w:val="Normln"/>
    <w:uiPriority w:val="10"/>
    <w:qFormat/>
    <w:rsid w:val="00AB4978"/>
    <w:pPr>
      <w:numPr>
        <w:ilvl w:val="1"/>
        <w:numId w:val="15"/>
      </w:numPr>
      <w:spacing w:after="0" w:line="240" w:lineRule="auto"/>
      <w:contextualSpacing/>
      <w:jc w:val="both"/>
    </w:pPr>
    <w:rPr>
      <w:color w:val="000000" w:themeColor="text1"/>
      <w:sz w:val="20"/>
    </w:rPr>
  </w:style>
  <w:style w:type="paragraph" w:customStyle="1" w:styleId="Nadpismal">
    <w:name w:val="Nadpis malý"/>
    <w:next w:val="Normln"/>
    <w:qFormat/>
    <w:rsid w:val="00AB4978"/>
    <w:pPr>
      <w:keepNext/>
      <w:keepLines/>
      <w:spacing w:before="360" w:after="60" w:line="240" w:lineRule="auto"/>
      <w:jc w:val="both"/>
    </w:pPr>
    <w:rPr>
      <w:rFonts w:ascii="Calibri" w:eastAsia="Times New Roman" w:hAnsi="Calibri" w:cs="Times New Roman"/>
      <w:b/>
      <w:sz w:val="20"/>
      <w:szCs w:val="20"/>
      <w:lang w:eastAsia="cs-CZ"/>
    </w:rPr>
  </w:style>
  <w:style w:type="paragraph" w:customStyle="1" w:styleId="Zdrojpodtabulkounebografem">
    <w:name w:val="Zdroj pod tabulkou nebo grafem"/>
    <w:basedOn w:val="Normln"/>
    <w:next w:val="Normln"/>
    <w:link w:val="ZdrojpodtabulkounebografemChar"/>
    <w:qFormat/>
    <w:rsid w:val="00AB4978"/>
    <w:pPr>
      <w:spacing w:after="240" w:line="240" w:lineRule="auto"/>
      <w:contextualSpacing/>
      <w:jc w:val="both"/>
    </w:pPr>
    <w:rPr>
      <w:rFonts w:ascii="Calibri" w:eastAsia="Times New Roman" w:hAnsi="Calibri" w:cs="Times New Roman"/>
      <w:i/>
      <w:sz w:val="16"/>
      <w:szCs w:val="16"/>
      <w:lang w:eastAsia="cs-CZ"/>
    </w:rPr>
  </w:style>
  <w:style w:type="character" w:customStyle="1" w:styleId="ZdrojpodtabulkounebografemChar">
    <w:name w:val="Zdroj pod tabulkou nebo grafem Char"/>
    <w:link w:val="Zdrojpodtabulkounebografem"/>
    <w:rsid w:val="00AB4978"/>
    <w:rPr>
      <w:rFonts w:ascii="Calibri" w:eastAsia="Times New Roman" w:hAnsi="Calibri" w:cs="Times New Roman"/>
      <w:i/>
      <w:sz w:val="16"/>
      <w:szCs w:val="16"/>
      <w:lang w:eastAsia="cs-CZ"/>
    </w:rPr>
  </w:style>
  <w:style w:type="paragraph" w:customStyle="1" w:styleId="Tabulkaagraf">
    <w:name w:val="Tabulka a graf"/>
    <w:basedOn w:val="Normln"/>
    <w:link w:val="TabulkaagrafChar"/>
    <w:rsid w:val="00AB4978"/>
    <w:pPr>
      <w:keepNext/>
      <w:tabs>
        <w:tab w:val="left" w:pos="454"/>
      </w:tabs>
      <w:spacing w:after="0" w:line="240" w:lineRule="auto"/>
      <w:jc w:val="both"/>
    </w:pPr>
    <w:rPr>
      <w:rFonts w:ascii="Calibri" w:eastAsia="Times New Roman" w:hAnsi="Calibri" w:cs="Times New Roman"/>
      <w:i/>
      <w:sz w:val="16"/>
      <w:szCs w:val="20"/>
      <w:lang w:eastAsia="cs-CZ"/>
    </w:rPr>
  </w:style>
  <w:style w:type="character" w:customStyle="1" w:styleId="TabulkaagrafChar">
    <w:name w:val="Tabulka a graf Char"/>
    <w:link w:val="Tabulkaagraf"/>
    <w:rsid w:val="00AB4978"/>
    <w:rPr>
      <w:rFonts w:ascii="Calibri" w:eastAsia="Times New Roman" w:hAnsi="Calibri" w:cs="Times New Roman"/>
      <w:i/>
      <w:sz w:val="16"/>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92217">
      <w:bodyDiv w:val="1"/>
      <w:marLeft w:val="0"/>
      <w:marRight w:val="0"/>
      <w:marTop w:val="0"/>
      <w:marBottom w:val="0"/>
      <w:divBdr>
        <w:top w:val="none" w:sz="0" w:space="0" w:color="auto"/>
        <w:left w:val="none" w:sz="0" w:space="0" w:color="auto"/>
        <w:bottom w:val="none" w:sz="0" w:space="0" w:color="auto"/>
        <w:right w:val="none" w:sz="0" w:space="0" w:color="auto"/>
      </w:divBdr>
    </w:div>
    <w:div w:id="101386214">
      <w:bodyDiv w:val="1"/>
      <w:marLeft w:val="0"/>
      <w:marRight w:val="0"/>
      <w:marTop w:val="0"/>
      <w:marBottom w:val="0"/>
      <w:divBdr>
        <w:top w:val="none" w:sz="0" w:space="0" w:color="auto"/>
        <w:left w:val="none" w:sz="0" w:space="0" w:color="auto"/>
        <w:bottom w:val="none" w:sz="0" w:space="0" w:color="auto"/>
        <w:right w:val="none" w:sz="0" w:space="0" w:color="auto"/>
      </w:divBdr>
    </w:div>
    <w:div w:id="109516520">
      <w:bodyDiv w:val="1"/>
      <w:marLeft w:val="0"/>
      <w:marRight w:val="0"/>
      <w:marTop w:val="0"/>
      <w:marBottom w:val="0"/>
      <w:divBdr>
        <w:top w:val="none" w:sz="0" w:space="0" w:color="auto"/>
        <w:left w:val="none" w:sz="0" w:space="0" w:color="auto"/>
        <w:bottom w:val="none" w:sz="0" w:space="0" w:color="auto"/>
        <w:right w:val="none" w:sz="0" w:space="0" w:color="auto"/>
      </w:divBdr>
    </w:div>
    <w:div w:id="196436334">
      <w:bodyDiv w:val="1"/>
      <w:marLeft w:val="0"/>
      <w:marRight w:val="0"/>
      <w:marTop w:val="0"/>
      <w:marBottom w:val="0"/>
      <w:divBdr>
        <w:top w:val="none" w:sz="0" w:space="0" w:color="auto"/>
        <w:left w:val="none" w:sz="0" w:space="0" w:color="auto"/>
        <w:bottom w:val="none" w:sz="0" w:space="0" w:color="auto"/>
        <w:right w:val="none" w:sz="0" w:space="0" w:color="auto"/>
      </w:divBdr>
    </w:div>
    <w:div w:id="264194863">
      <w:bodyDiv w:val="1"/>
      <w:marLeft w:val="0"/>
      <w:marRight w:val="0"/>
      <w:marTop w:val="0"/>
      <w:marBottom w:val="0"/>
      <w:divBdr>
        <w:top w:val="none" w:sz="0" w:space="0" w:color="auto"/>
        <w:left w:val="none" w:sz="0" w:space="0" w:color="auto"/>
        <w:bottom w:val="none" w:sz="0" w:space="0" w:color="auto"/>
        <w:right w:val="none" w:sz="0" w:space="0" w:color="auto"/>
      </w:divBdr>
    </w:div>
    <w:div w:id="287980228">
      <w:bodyDiv w:val="1"/>
      <w:marLeft w:val="0"/>
      <w:marRight w:val="0"/>
      <w:marTop w:val="0"/>
      <w:marBottom w:val="0"/>
      <w:divBdr>
        <w:top w:val="none" w:sz="0" w:space="0" w:color="auto"/>
        <w:left w:val="none" w:sz="0" w:space="0" w:color="auto"/>
        <w:bottom w:val="none" w:sz="0" w:space="0" w:color="auto"/>
        <w:right w:val="none" w:sz="0" w:space="0" w:color="auto"/>
      </w:divBdr>
    </w:div>
    <w:div w:id="565916249">
      <w:bodyDiv w:val="1"/>
      <w:marLeft w:val="0"/>
      <w:marRight w:val="0"/>
      <w:marTop w:val="0"/>
      <w:marBottom w:val="0"/>
      <w:divBdr>
        <w:top w:val="none" w:sz="0" w:space="0" w:color="auto"/>
        <w:left w:val="none" w:sz="0" w:space="0" w:color="auto"/>
        <w:bottom w:val="none" w:sz="0" w:space="0" w:color="auto"/>
        <w:right w:val="none" w:sz="0" w:space="0" w:color="auto"/>
      </w:divBdr>
    </w:div>
    <w:div w:id="594362720">
      <w:bodyDiv w:val="1"/>
      <w:marLeft w:val="0"/>
      <w:marRight w:val="0"/>
      <w:marTop w:val="0"/>
      <w:marBottom w:val="0"/>
      <w:divBdr>
        <w:top w:val="none" w:sz="0" w:space="0" w:color="auto"/>
        <w:left w:val="none" w:sz="0" w:space="0" w:color="auto"/>
        <w:bottom w:val="none" w:sz="0" w:space="0" w:color="auto"/>
        <w:right w:val="none" w:sz="0" w:space="0" w:color="auto"/>
      </w:divBdr>
    </w:div>
    <w:div w:id="745031180">
      <w:bodyDiv w:val="1"/>
      <w:marLeft w:val="0"/>
      <w:marRight w:val="0"/>
      <w:marTop w:val="0"/>
      <w:marBottom w:val="0"/>
      <w:divBdr>
        <w:top w:val="none" w:sz="0" w:space="0" w:color="auto"/>
        <w:left w:val="none" w:sz="0" w:space="0" w:color="auto"/>
        <w:bottom w:val="none" w:sz="0" w:space="0" w:color="auto"/>
        <w:right w:val="none" w:sz="0" w:space="0" w:color="auto"/>
      </w:divBdr>
    </w:div>
    <w:div w:id="800656496">
      <w:bodyDiv w:val="1"/>
      <w:marLeft w:val="0"/>
      <w:marRight w:val="0"/>
      <w:marTop w:val="0"/>
      <w:marBottom w:val="0"/>
      <w:divBdr>
        <w:top w:val="none" w:sz="0" w:space="0" w:color="auto"/>
        <w:left w:val="none" w:sz="0" w:space="0" w:color="auto"/>
        <w:bottom w:val="none" w:sz="0" w:space="0" w:color="auto"/>
        <w:right w:val="none" w:sz="0" w:space="0" w:color="auto"/>
      </w:divBdr>
    </w:div>
    <w:div w:id="813448824">
      <w:bodyDiv w:val="1"/>
      <w:marLeft w:val="0"/>
      <w:marRight w:val="0"/>
      <w:marTop w:val="0"/>
      <w:marBottom w:val="0"/>
      <w:divBdr>
        <w:top w:val="none" w:sz="0" w:space="0" w:color="auto"/>
        <w:left w:val="none" w:sz="0" w:space="0" w:color="auto"/>
        <w:bottom w:val="none" w:sz="0" w:space="0" w:color="auto"/>
        <w:right w:val="none" w:sz="0" w:space="0" w:color="auto"/>
      </w:divBdr>
    </w:div>
    <w:div w:id="820537127">
      <w:bodyDiv w:val="1"/>
      <w:marLeft w:val="0"/>
      <w:marRight w:val="0"/>
      <w:marTop w:val="0"/>
      <w:marBottom w:val="0"/>
      <w:divBdr>
        <w:top w:val="none" w:sz="0" w:space="0" w:color="auto"/>
        <w:left w:val="none" w:sz="0" w:space="0" w:color="auto"/>
        <w:bottom w:val="none" w:sz="0" w:space="0" w:color="auto"/>
        <w:right w:val="none" w:sz="0" w:space="0" w:color="auto"/>
      </w:divBdr>
    </w:div>
    <w:div w:id="821582083">
      <w:bodyDiv w:val="1"/>
      <w:marLeft w:val="0"/>
      <w:marRight w:val="0"/>
      <w:marTop w:val="0"/>
      <w:marBottom w:val="0"/>
      <w:divBdr>
        <w:top w:val="none" w:sz="0" w:space="0" w:color="auto"/>
        <w:left w:val="none" w:sz="0" w:space="0" w:color="auto"/>
        <w:bottom w:val="none" w:sz="0" w:space="0" w:color="auto"/>
        <w:right w:val="none" w:sz="0" w:space="0" w:color="auto"/>
      </w:divBdr>
    </w:div>
    <w:div w:id="838038994">
      <w:bodyDiv w:val="1"/>
      <w:marLeft w:val="0"/>
      <w:marRight w:val="0"/>
      <w:marTop w:val="0"/>
      <w:marBottom w:val="0"/>
      <w:divBdr>
        <w:top w:val="none" w:sz="0" w:space="0" w:color="auto"/>
        <w:left w:val="none" w:sz="0" w:space="0" w:color="auto"/>
        <w:bottom w:val="none" w:sz="0" w:space="0" w:color="auto"/>
        <w:right w:val="none" w:sz="0" w:space="0" w:color="auto"/>
      </w:divBdr>
    </w:div>
    <w:div w:id="911499923">
      <w:bodyDiv w:val="1"/>
      <w:marLeft w:val="0"/>
      <w:marRight w:val="0"/>
      <w:marTop w:val="0"/>
      <w:marBottom w:val="0"/>
      <w:divBdr>
        <w:top w:val="none" w:sz="0" w:space="0" w:color="auto"/>
        <w:left w:val="none" w:sz="0" w:space="0" w:color="auto"/>
        <w:bottom w:val="none" w:sz="0" w:space="0" w:color="auto"/>
        <w:right w:val="none" w:sz="0" w:space="0" w:color="auto"/>
      </w:divBdr>
      <w:divsChild>
        <w:div w:id="2070574926">
          <w:marLeft w:val="0"/>
          <w:marRight w:val="0"/>
          <w:marTop w:val="0"/>
          <w:marBottom w:val="0"/>
          <w:divBdr>
            <w:top w:val="none" w:sz="0" w:space="0" w:color="auto"/>
            <w:left w:val="none" w:sz="0" w:space="0" w:color="auto"/>
            <w:bottom w:val="none" w:sz="0" w:space="0" w:color="auto"/>
            <w:right w:val="none" w:sz="0" w:space="0" w:color="auto"/>
          </w:divBdr>
        </w:div>
        <w:div w:id="378943621">
          <w:marLeft w:val="0"/>
          <w:marRight w:val="0"/>
          <w:marTop w:val="0"/>
          <w:marBottom w:val="0"/>
          <w:divBdr>
            <w:top w:val="none" w:sz="0" w:space="0" w:color="auto"/>
            <w:left w:val="none" w:sz="0" w:space="0" w:color="auto"/>
            <w:bottom w:val="none" w:sz="0" w:space="0" w:color="auto"/>
            <w:right w:val="none" w:sz="0" w:space="0" w:color="auto"/>
          </w:divBdr>
        </w:div>
        <w:div w:id="1470703433">
          <w:marLeft w:val="0"/>
          <w:marRight w:val="0"/>
          <w:marTop w:val="0"/>
          <w:marBottom w:val="0"/>
          <w:divBdr>
            <w:top w:val="none" w:sz="0" w:space="0" w:color="auto"/>
            <w:left w:val="none" w:sz="0" w:space="0" w:color="auto"/>
            <w:bottom w:val="none" w:sz="0" w:space="0" w:color="auto"/>
            <w:right w:val="none" w:sz="0" w:space="0" w:color="auto"/>
          </w:divBdr>
        </w:div>
      </w:divsChild>
    </w:div>
    <w:div w:id="928006643">
      <w:bodyDiv w:val="1"/>
      <w:marLeft w:val="0"/>
      <w:marRight w:val="0"/>
      <w:marTop w:val="0"/>
      <w:marBottom w:val="0"/>
      <w:divBdr>
        <w:top w:val="none" w:sz="0" w:space="0" w:color="auto"/>
        <w:left w:val="none" w:sz="0" w:space="0" w:color="auto"/>
        <w:bottom w:val="none" w:sz="0" w:space="0" w:color="auto"/>
        <w:right w:val="none" w:sz="0" w:space="0" w:color="auto"/>
      </w:divBdr>
    </w:div>
    <w:div w:id="969483277">
      <w:bodyDiv w:val="1"/>
      <w:marLeft w:val="0"/>
      <w:marRight w:val="0"/>
      <w:marTop w:val="0"/>
      <w:marBottom w:val="0"/>
      <w:divBdr>
        <w:top w:val="none" w:sz="0" w:space="0" w:color="auto"/>
        <w:left w:val="none" w:sz="0" w:space="0" w:color="auto"/>
        <w:bottom w:val="none" w:sz="0" w:space="0" w:color="auto"/>
        <w:right w:val="none" w:sz="0" w:space="0" w:color="auto"/>
      </w:divBdr>
    </w:div>
    <w:div w:id="973019295">
      <w:bodyDiv w:val="1"/>
      <w:marLeft w:val="0"/>
      <w:marRight w:val="0"/>
      <w:marTop w:val="0"/>
      <w:marBottom w:val="0"/>
      <w:divBdr>
        <w:top w:val="none" w:sz="0" w:space="0" w:color="auto"/>
        <w:left w:val="none" w:sz="0" w:space="0" w:color="auto"/>
        <w:bottom w:val="none" w:sz="0" w:space="0" w:color="auto"/>
        <w:right w:val="none" w:sz="0" w:space="0" w:color="auto"/>
      </w:divBdr>
    </w:div>
    <w:div w:id="987562208">
      <w:bodyDiv w:val="1"/>
      <w:marLeft w:val="0"/>
      <w:marRight w:val="0"/>
      <w:marTop w:val="0"/>
      <w:marBottom w:val="0"/>
      <w:divBdr>
        <w:top w:val="none" w:sz="0" w:space="0" w:color="auto"/>
        <w:left w:val="none" w:sz="0" w:space="0" w:color="auto"/>
        <w:bottom w:val="none" w:sz="0" w:space="0" w:color="auto"/>
        <w:right w:val="none" w:sz="0" w:space="0" w:color="auto"/>
      </w:divBdr>
    </w:div>
    <w:div w:id="1010261252">
      <w:bodyDiv w:val="1"/>
      <w:marLeft w:val="0"/>
      <w:marRight w:val="0"/>
      <w:marTop w:val="0"/>
      <w:marBottom w:val="0"/>
      <w:divBdr>
        <w:top w:val="none" w:sz="0" w:space="0" w:color="auto"/>
        <w:left w:val="none" w:sz="0" w:space="0" w:color="auto"/>
        <w:bottom w:val="none" w:sz="0" w:space="0" w:color="auto"/>
        <w:right w:val="none" w:sz="0" w:space="0" w:color="auto"/>
      </w:divBdr>
    </w:div>
    <w:div w:id="1082606380">
      <w:bodyDiv w:val="1"/>
      <w:marLeft w:val="0"/>
      <w:marRight w:val="0"/>
      <w:marTop w:val="0"/>
      <w:marBottom w:val="0"/>
      <w:divBdr>
        <w:top w:val="none" w:sz="0" w:space="0" w:color="auto"/>
        <w:left w:val="none" w:sz="0" w:space="0" w:color="auto"/>
        <w:bottom w:val="none" w:sz="0" w:space="0" w:color="auto"/>
        <w:right w:val="none" w:sz="0" w:space="0" w:color="auto"/>
      </w:divBdr>
    </w:div>
    <w:div w:id="1215192952">
      <w:bodyDiv w:val="1"/>
      <w:marLeft w:val="0"/>
      <w:marRight w:val="0"/>
      <w:marTop w:val="0"/>
      <w:marBottom w:val="0"/>
      <w:divBdr>
        <w:top w:val="none" w:sz="0" w:space="0" w:color="auto"/>
        <w:left w:val="none" w:sz="0" w:space="0" w:color="auto"/>
        <w:bottom w:val="none" w:sz="0" w:space="0" w:color="auto"/>
        <w:right w:val="none" w:sz="0" w:space="0" w:color="auto"/>
      </w:divBdr>
    </w:div>
    <w:div w:id="1296136439">
      <w:bodyDiv w:val="1"/>
      <w:marLeft w:val="0"/>
      <w:marRight w:val="0"/>
      <w:marTop w:val="0"/>
      <w:marBottom w:val="0"/>
      <w:divBdr>
        <w:top w:val="none" w:sz="0" w:space="0" w:color="auto"/>
        <w:left w:val="none" w:sz="0" w:space="0" w:color="auto"/>
        <w:bottom w:val="none" w:sz="0" w:space="0" w:color="auto"/>
        <w:right w:val="none" w:sz="0" w:space="0" w:color="auto"/>
      </w:divBdr>
    </w:div>
    <w:div w:id="1404067691">
      <w:bodyDiv w:val="1"/>
      <w:marLeft w:val="0"/>
      <w:marRight w:val="0"/>
      <w:marTop w:val="0"/>
      <w:marBottom w:val="0"/>
      <w:divBdr>
        <w:top w:val="none" w:sz="0" w:space="0" w:color="auto"/>
        <w:left w:val="none" w:sz="0" w:space="0" w:color="auto"/>
        <w:bottom w:val="none" w:sz="0" w:space="0" w:color="auto"/>
        <w:right w:val="none" w:sz="0" w:space="0" w:color="auto"/>
      </w:divBdr>
    </w:div>
    <w:div w:id="1475638244">
      <w:bodyDiv w:val="1"/>
      <w:marLeft w:val="0"/>
      <w:marRight w:val="0"/>
      <w:marTop w:val="0"/>
      <w:marBottom w:val="0"/>
      <w:divBdr>
        <w:top w:val="none" w:sz="0" w:space="0" w:color="auto"/>
        <w:left w:val="none" w:sz="0" w:space="0" w:color="auto"/>
        <w:bottom w:val="none" w:sz="0" w:space="0" w:color="auto"/>
        <w:right w:val="none" w:sz="0" w:space="0" w:color="auto"/>
      </w:divBdr>
    </w:div>
    <w:div w:id="1585843300">
      <w:bodyDiv w:val="1"/>
      <w:marLeft w:val="0"/>
      <w:marRight w:val="0"/>
      <w:marTop w:val="0"/>
      <w:marBottom w:val="0"/>
      <w:divBdr>
        <w:top w:val="none" w:sz="0" w:space="0" w:color="auto"/>
        <w:left w:val="none" w:sz="0" w:space="0" w:color="auto"/>
        <w:bottom w:val="none" w:sz="0" w:space="0" w:color="auto"/>
        <w:right w:val="none" w:sz="0" w:space="0" w:color="auto"/>
      </w:divBdr>
    </w:div>
    <w:div w:id="1659311787">
      <w:bodyDiv w:val="1"/>
      <w:marLeft w:val="0"/>
      <w:marRight w:val="0"/>
      <w:marTop w:val="0"/>
      <w:marBottom w:val="0"/>
      <w:divBdr>
        <w:top w:val="none" w:sz="0" w:space="0" w:color="auto"/>
        <w:left w:val="none" w:sz="0" w:space="0" w:color="auto"/>
        <w:bottom w:val="none" w:sz="0" w:space="0" w:color="auto"/>
        <w:right w:val="none" w:sz="0" w:space="0" w:color="auto"/>
      </w:divBdr>
    </w:div>
    <w:div w:id="1670208317">
      <w:bodyDiv w:val="1"/>
      <w:marLeft w:val="0"/>
      <w:marRight w:val="0"/>
      <w:marTop w:val="0"/>
      <w:marBottom w:val="0"/>
      <w:divBdr>
        <w:top w:val="none" w:sz="0" w:space="0" w:color="auto"/>
        <w:left w:val="none" w:sz="0" w:space="0" w:color="auto"/>
        <w:bottom w:val="none" w:sz="0" w:space="0" w:color="auto"/>
        <w:right w:val="none" w:sz="0" w:space="0" w:color="auto"/>
      </w:divBdr>
    </w:div>
    <w:div w:id="1838156303">
      <w:bodyDiv w:val="1"/>
      <w:marLeft w:val="0"/>
      <w:marRight w:val="0"/>
      <w:marTop w:val="0"/>
      <w:marBottom w:val="0"/>
      <w:divBdr>
        <w:top w:val="none" w:sz="0" w:space="0" w:color="auto"/>
        <w:left w:val="none" w:sz="0" w:space="0" w:color="auto"/>
        <w:bottom w:val="none" w:sz="0" w:space="0" w:color="auto"/>
        <w:right w:val="none" w:sz="0" w:space="0" w:color="auto"/>
      </w:divBdr>
    </w:div>
    <w:div w:id="1883470986">
      <w:bodyDiv w:val="1"/>
      <w:marLeft w:val="0"/>
      <w:marRight w:val="0"/>
      <w:marTop w:val="0"/>
      <w:marBottom w:val="0"/>
      <w:divBdr>
        <w:top w:val="none" w:sz="0" w:space="0" w:color="auto"/>
        <w:left w:val="none" w:sz="0" w:space="0" w:color="auto"/>
        <w:bottom w:val="none" w:sz="0" w:space="0" w:color="auto"/>
        <w:right w:val="none" w:sz="0" w:space="0" w:color="auto"/>
      </w:divBdr>
    </w:div>
    <w:div w:id="1950550274">
      <w:bodyDiv w:val="1"/>
      <w:marLeft w:val="0"/>
      <w:marRight w:val="0"/>
      <w:marTop w:val="0"/>
      <w:marBottom w:val="0"/>
      <w:divBdr>
        <w:top w:val="none" w:sz="0" w:space="0" w:color="auto"/>
        <w:left w:val="none" w:sz="0" w:space="0" w:color="auto"/>
        <w:bottom w:val="none" w:sz="0" w:space="0" w:color="auto"/>
        <w:right w:val="none" w:sz="0" w:space="0" w:color="auto"/>
      </w:divBdr>
    </w:div>
    <w:div w:id="1950696279">
      <w:bodyDiv w:val="1"/>
      <w:marLeft w:val="0"/>
      <w:marRight w:val="0"/>
      <w:marTop w:val="0"/>
      <w:marBottom w:val="0"/>
      <w:divBdr>
        <w:top w:val="none" w:sz="0" w:space="0" w:color="auto"/>
        <w:left w:val="none" w:sz="0" w:space="0" w:color="auto"/>
        <w:bottom w:val="none" w:sz="0" w:space="0" w:color="auto"/>
        <w:right w:val="none" w:sz="0" w:space="0" w:color="auto"/>
      </w:divBdr>
    </w:div>
    <w:div w:id="1987665854">
      <w:bodyDiv w:val="1"/>
      <w:marLeft w:val="0"/>
      <w:marRight w:val="0"/>
      <w:marTop w:val="0"/>
      <w:marBottom w:val="0"/>
      <w:divBdr>
        <w:top w:val="none" w:sz="0" w:space="0" w:color="auto"/>
        <w:left w:val="none" w:sz="0" w:space="0" w:color="auto"/>
        <w:bottom w:val="none" w:sz="0" w:space="0" w:color="auto"/>
        <w:right w:val="none" w:sz="0" w:space="0" w:color="auto"/>
      </w:divBdr>
    </w:div>
    <w:div w:id="2024014566">
      <w:bodyDiv w:val="1"/>
      <w:marLeft w:val="0"/>
      <w:marRight w:val="0"/>
      <w:marTop w:val="0"/>
      <w:marBottom w:val="0"/>
      <w:divBdr>
        <w:top w:val="none" w:sz="0" w:space="0" w:color="auto"/>
        <w:left w:val="none" w:sz="0" w:space="0" w:color="auto"/>
        <w:bottom w:val="none" w:sz="0" w:space="0" w:color="auto"/>
        <w:right w:val="none" w:sz="0" w:space="0" w:color="auto"/>
      </w:divBdr>
    </w:div>
    <w:div w:id="2085957469">
      <w:bodyDiv w:val="1"/>
      <w:marLeft w:val="0"/>
      <w:marRight w:val="0"/>
      <w:marTop w:val="0"/>
      <w:marBottom w:val="0"/>
      <w:divBdr>
        <w:top w:val="none" w:sz="0" w:space="0" w:color="auto"/>
        <w:left w:val="none" w:sz="0" w:space="0" w:color="auto"/>
        <w:bottom w:val="none" w:sz="0" w:space="0" w:color="auto"/>
        <w:right w:val="none" w:sz="0" w:space="0" w:color="auto"/>
      </w:divBdr>
    </w:div>
    <w:div w:id="2113550933">
      <w:bodyDiv w:val="1"/>
      <w:marLeft w:val="0"/>
      <w:marRight w:val="0"/>
      <w:marTop w:val="0"/>
      <w:marBottom w:val="0"/>
      <w:divBdr>
        <w:top w:val="none" w:sz="0" w:space="0" w:color="auto"/>
        <w:left w:val="none" w:sz="0" w:space="0" w:color="auto"/>
        <w:bottom w:val="none" w:sz="0" w:space="0" w:color="auto"/>
        <w:right w:val="none" w:sz="0" w:space="0" w:color="auto"/>
      </w:divBdr>
    </w:div>
    <w:div w:id="211820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anobnovycr.cz" TargetMode="External"/><Relationship Id="rId18" Type="http://schemas.openxmlformats.org/officeDocument/2006/relationships/hyperlink" Target="https://dotaceeu.cz/cs/evropske-fondy-v-cr/kohezni-politika-po-roce-2020/programy/programy-preshranicni-spoluprace/program-preshranicni-spoluprace-ceska-republika" TargetMode="External"/><Relationship Id="rId26" Type="http://schemas.openxmlformats.org/officeDocument/2006/relationships/hyperlink" Target="http://www.planobnovy.sk/" TargetMode="External"/><Relationship Id="rId39" Type="http://schemas.openxmlformats.org/officeDocument/2006/relationships/image" Target="media/image12.emf"/><Relationship Id="rId3" Type="http://schemas.openxmlformats.org/officeDocument/2006/relationships/customXml" Target="../customXml/item3.xml"/><Relationship Id="rId21" Type="http://schemas.openxmlformats.org/officeDocument/2006/relationships/hyperlink" Target="https://dotaceeu.cz/cs/evropske-fondy-v-cr/kohezni-politika-po-roce-2020/programy/programy-nadnarodni-a-meziregionalni-spoluprace/interreg-europe-(2021-2027)" TargetMode="External"/><Relationship Id="rId34" Type="http://schemas.openxmlformats.org/officeDocument/2006/relationships/image" Target="media/image7.emf"/><Relationship Id="rId42"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mpo.cz" TargetMode="External"/><Relationship Id="rId17" Type="http://schemas.openxmlformats.org/officeDocument/2006/relationships/hyperlink" Target="https://dotaceeu.cz/cs/evropske-fondy-v-cr/kohezni-politika-po-roce-2020/programy/programy-preshranicni-spoluprace/interreg-v-a-rakousko-ceska-republika-(2021-2027" TargetMode="External"/><Relationship Id="rId25" Type="http://schemas.openxmlformats.org/officeDocument/2006/relationships/hyperlink" Target="http://www.planobnovycr.cz" TargetMode="External"/><Relationship Id="rId33" Type="http://schemas.openxmlformats.org/officeDocument/2006/relationships/image" Target="media/image6.emf"/><Relationship Id="rId38" Type="http://schemas.openxmlformats.org/officeDocument/2006/relationships/image" Target="media/image11.emf"/><Relationship Id="rId2" Type="http://schemas.openxmlformats.org/officeDocument/2006/relationships/customXml" Target="../customXml/item2.xml"/><Relationship Id="rId16" Type="http://schemas.openxmlformats.org/officeDocument/2006/relationships/hyperlink" Target="https://dotaceeu.cz/cs/evropske-fondy-v-cr/kohezni-politika-po-roce-2020/programy/programy-preshranicni-spoluprace/2-interreg-v-a-slovenska-republika-ceska-republ" TargetMode="External"/><Relationship Id="rId20" Type="http://schemas.openxmlformats.org/officeDocument/2006/relationships/hyperlink" Target="https://dotaceeu.cz/cs/evropske-fondy-v-cr/kohezni-politika-po-roce-2020/programy/programy-nadnarodni-a-meziregionalni-spoluprace/interreg-danube-(2021-2027)" TargetMode="External"/><Relationship Id="rId29" Type="http://schemas.openxmlformats.org/officeDocument/2006/relationships/hyperlink" Target="https://euc-word-edit.officeapps.live.com/we/wordeditorframe.aspx?ui=cs&amp;rs=cs%2DCZ&amp;wopisrc=https%3A%2F%2Fmpocz.sharepoint.com%2Fsites%2FNrodnplnobnovy-MPO-DU%2F_vti_bin%2Fwopi.ashx%2Ffiles%2F27f8fe376e30425f93ac8f3c880060b0&amp;wdorigin=TEAMS-ELECTRON.teamsSdk.openFilePreview&amp;wdexp=TEAMS-CONTROL&amp;wdenableroaming=1&amp;mscc=1&amp;hid=0C91D3A0-E0B8-7000-1153-3D7DBC9BD797&amp;wdhostclicktime=1692869587651&amp;jsapi=1&amp;jsapiver=v1&amp;newsession=1&amp;corrid=737808c4-769e-4c7b-a9be-719482b408ac&amp;usid=737808c4-769e-4c7b-a9be-719482b408ac&amp;sftc=1&amp;cac=1&amp;mtf=1&amp;sfp=1&amp;instantedit=1&amp;wopicomplete=1&amp;wdredirectionreason=Unified_SingleFlush&amp;rct=Normal&amp;ctp=LeastProtected" TargetMode="External"/><Relationship Id="rId41"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dotaceeu.cz/cs/evropske-fondy-v-cr/kohezni-politika-po-roce-2020/programy/programy-nadnarodni-a-meziregionalni-spoluprace/program-interact-(2021-2027)" TargetMode="External"/><Relationship Id="rId32" Type="http://schemas.openxmlformats.org/officeDocument/2006/relationships/image" Target="media/image5.emf"/><Relationship Id="rId37" Type="http://schemas.openxmlformats.org/officeDocument/2006/relationships/image" Target="media/image10.emf"/><Relationship Id="rId40" Type="http://schemas.openxmlformats.org/officeDocument/2006/relationships/image" Target="media/image13.emf"/><Relationship Id="rId53"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https://dotaceeu.cz/cs/evropske-fondy-v-cr/kohezni-politika-po-roce-2020/programy/programy-preshranicni-spoluprace/2-interreg-v-a-slovenska-republika-ceska-republ" TargetMode="External"/><Relationship Id="rId23" Type="http://schemas.openxmlformats.org/officeDocument/2006/relationships/hyperlink" Target="https://dotaceeu.cz/cs/evropske-fondy-v-cr/kohezni-politika-po-roce-2020/programy/programy-nadnarodni-a-meziregionalni-spoluprace/program-interact-(2021-2027)" TargetMode="External"/><Relationship Id="rId28" Type="http://schemas.openxmlformats.org/officeDocument/2006/relationships/hyperlink" Target="https://euc-word-edit.officeapps.live.com/we/wordeditorframe.aspx?ui=cs&amp;rs=cs%2DCZ&amp;wopisrc=https%3A%2F%2Fmpocz.sharepoint.com%2Fsites%2FNrodnplnobnovy-MPO-DU%2F_vti_bin%2Fwopi.ashx%2Ffiles%2F27f8fe376e30425f93ac8f3c880060b0&amp;wdorigin=TEAMS-ELECTRON.teamsSdk.openFilePreview&amp;wdexp=TEAMS-CONTROL&amp;wdenableroaming=1&amp;mscc=1&amp;hid=0C91D3A0-E0B8-7000-1153-3D7DBC9BD797&amp;wdhostclicktime=1692869587651&amp;jsapi=1&amp;jsapiver=v1&amp;newsession=1&amp;corrid=737808c4-769e-4c7b-a9be-719482b408ac&amp;usid=737808c4-769e-4c7b-a9be-719482b408ac&amp;sftc=1&amp;cac=1&amp;mtf=1&amp;sfp=1&amp;instantedit=1&amp;wopicomplete=1&amp;wdredirectionreason=Unified_SingleFlush&amp;rct=Normal&amp;ctp=LeastProtected" TargetMode="External"/><Relationship Id="rId36" Type="http://schemas.openxmlformats.org/officeDocument/2006/relationships/image" Target="media/image9.emf"/><Relationship Id="rId10" Type="http://schemas.openxmlformats.org/officeDocument/2006/relationships/endnotes" Target="endnotes.xml"/><Relationship Id="rId19" Type="http://schemas.openxmlformats.org/officeDocument/2006/relationships/hyperlink" Target="https://dotaceeu.cz/cs/evropske-fondy-v-cr/kohezni-politika-po-roce-2020/programy/programy-preshranicni-spoluprace/program-spoluprace-svobodny-stat-sasko-ceska-rep" TargetMode="External"/><Relationship Id="rId31" Type="http://schemas.openxmlformats.org/officeDocument/2006/relationships/image" Target="media/image4.emf"/><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taceeu.cz/cs/evropske-fondy-v-cr/kohezni-politika-po-roce-2020/programy/programy-preshranicni-spoluprace/interreg-v-a-ceska-republika-polsko" TargetMode="External"/><Relationship Id="rId22" Type="http://schemas.openxmlformats.org/officeDocument/2006/relationships/hyperlink" Target="https://dotaceeu.cz/cs/evropske-fondy-v-cr/kohezni-politika-po-roce-2020/programy/programy-nadnarodni-a-meziregionalni-spoluprace/program-espon-(2021-2027)" TargetMode="External"/><Relationship Id="rId27" Type="http://schemas.openxmlformats.org/officeDocument/2006/relationships/image" Target="media/image2.emf"/><Relationship Id="rId30" Type="http://schemas.openxmlformats.org/officeDocument/2006/relationships/image" Target="media/image3.emf"/><Relationship Id="rId35" Type="http://schemas.openxmlformats.org/officeDocument/2006/relationships/image" Target="media/image8.emf"/><Relationship Id="rId43"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AE0060-D86D-44DE-A9F2-55F27DB9B6B8}">
  <ds:schemaRefs>
    <ds:schemaRef ds:uri="http://schemas.microsoft.com/sharepoint/v3/contenttype/forms"/>
  </ds:schemaRefs>
</ds:datastoreItem>
</file>

<file path=customXml/itemProps2.xml><?xml version="1.0" encoding="utf-8"?>
<ds:datastoreItem xmlns:ds="http://schemas.openxmlformats.org/officeDocument/2006/customXml" ds:itemID="{1951E63E-7CEC-43E3-9855-577A27E03AD2}">
  <ds:schemaRefs>
    <ds:schemaRef ds:uri="http://schemas.microsoft.com/office/2006/metadata/properties"/>
    <ds:schemaRef ds:uri="http://schemas.microsoft.com/office/infopath/2007/PartnerControls"/>
    <ds:schemaRef ds:uri="11544cef-d40f-40e0-9fb2-ea3e47b346f0"/>
    <ds:schemaRef ds:uri="b4346392-9490-4ec2-979c-afa8507021a9"/>
  </ds:schemaRefs>
</ds:datastoreItem>
</file>

<file path=customXml/itemProps3.xml><?xml version="1.0" encoding="utf-8"?>
<ds:datastoreItem xmlns:ds="http://schemas.openxmlformats.org/officeDocument/2006/customXml" ds:itemID="{AF32D6A6-0186-4760-B0AF-9DE72FBF9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91E085-FB36-4EA7-BCFB-4D2B8CEB7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C38F2D40.dotm</Template>
  <TotalTime>19</TotalTime>
  <Pages>60</Pages>
  <Words>18887</Words>
  <Characters>111438</Characters>
  <Application>Microsoft Office Word</Application>
  <DocSecurity>0</DocSecurity>
  <Lines>928</Lines>
  <Paragraphs>260</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130065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Klusák Václav</dc:creator>
  <cp:keywords/>
  <dc:description/>
  <cp:lastModifiedBy>Bubenková Monika</cp:lastModifiedBy>
  <cp:revision>5</cp:revision>
  <dcterms:created xsi:type="dcterms:W3CDTF">2023-11-21T06:36:00Z</dcterms:created>
  <dcterms:modified xsi:type="dcterms:W3CDTF">2023-11-24T07:31:00Z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ediaServiceImageTags">
    <vt:lpwstr/>
  </property>
</Properties>
</file>