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09E890" w14:textId="069FFE78" w:rsidR="00AD2464" w:rsidRPr="007958B5" w:rsidRDefault="006335AA" w:rsidP="00B66D08">
      <w:pPr>
        <w:keepNext/>
        <w:keepLines/>
        <w:pageBreakBefore/>
        <w:spacing w:before="160" w:after="0" w:line="240" w:lineRule="auto"/>
        <w:jc w:val="both"/>
        <w:outlineLvl w:val="0"/>
        <w:rPr>
          <w:rFonts w:eastAsia="Times New Roman" w:cstheme="minorHAnsi"/>
          <w:b/>
          <w:bCs/>
        </w:rPr>
      </w:pPr>
      <w:bookmarkStart w:id="0" w:name="_Toc68888769"/>
      <w:bookmarkStart w:id="1" w:name="_GoBack"/>
      <w:bookmarkEnd w:id="1"/>
      <w:r w:rsidRPr="007958B5">
        <w:rPr>
          <w:rFonts w:eastAsia="Times New Roman" w:cstheme="minorHAnsi"/>
          <w:b/>
          <w:bCs/>
        </w:rPr>
        <w:t xml:space="preserve">Rozšíření komponenty </w:t>
      </w:r>
      <w:r w:rsidR="00AD2464" w:rsidRPr="007958B5">
        <w:rPr>
          <w:rFonts w:eastAsia="Times New Roman" w:cstheme="minorHAnsi"/>
          <w:b/>
          <w:bCs/>
        </w:rPr>
        <w:t>1.5 Digitální transformace podniků</w:t>
      </w:r>
      <w:bookmarkEnd w:id="0"/>
      <w:r w:rsidRPr="007958B5">
        <w:rPr>
          <w:rFonts w:eastAsia="Times New Roman" w:cstheme="minorHAnsi"/>
          <w:b/>
          <w:bCs/>
        </w:rPr>
        <w:t>: Investice</w:t>
      </w:r>
      <w:r w:rsidR="00D1209F" w:rsidRPr="007958B5">
        <w:rPr>
          <w:rFonts w:eastAsia="Times New Roman" w:cstheme="minorHAnsi"/>
          <w:b/>
          <w:bCs/>
        </w:rPr>
        <w:t xml:space="preserve"> 1. 5. </w:t>
      </w:r>
      <w:r w:rsidR="00134AA8" w:rsidRPr="007958B5">
        <w:rPr>
          <w:rFonts w:eastAsia="Times New Roman" w:cstheme="minorHAnsi"/>
          <w:b/>
          <w:bCs/>
        </w:rPr>
        <w:t xml:space="preserve">1. </w:t>
      </w:r>
      <w:r w:rsidR="00F056FE" w:rsidRPr="007958B5">
        <w:rPr>
          <w:rFonts w:eastAsia="Times New Roman" w:cstheme="minorHAnsi"/>
          <w:b/>
          <w:bCs/>
        </w:rPr>
        <w:t>4</w:t>
      </w:r>
      <w:r w:rsidR="00D1209F" w:rsidRPr="007958B5">
        <w:rPr>
          <w:rFonts w:eastAsia="Times New Roman" w:cstheme="minorHAnsi"/>
          <w:b/>
          <w:bCs/>
        </w:rPr>
        <w:t xml:space="preserve"> </w:t>
      </w:r>
      <w:r w:rsidR="00DC472A">
        <w:rPr>
          <w:rFonts w:eastAsia="Times New Roman" w:cstheme="minorHAnsi"/>
          <w:b/>
          <w:bCs/>
        </w:rPr>
        <w:t>Významný projekt společného evropského zájmu (</w:t>
      </w:r>
      <w:r w:rsidR="00D1209F" w:rsidRPr="007958B5">
        <w:rPr>
          <w:rFonts w:eastAsia="Times New Roman" w:cstheme="minorHAnsi"/>
          <w:b/>
          <w:bCs/>
        </w:rPr>
        <w:t>IPCEI</w:t>
      </w:r>
      <w:r w:rsidR="00DC472A">
        <w:rPr>
          <w:rFonts w:eastAsia="Times New Roman" w:cstheme="minorHAnsi"/>
          <w:b/>
          <w:bCs/>
        </w:rPr>
        <w:t>)</w:t>
      </w:r>
      <w:r w:rsidR="00D1209F" w:rsidRPr="007958B5">
        <w:rPr>
          <w:rFonts w:eastAsia="Times New Roman" w:cstheme="minorHAnsi"/>
          <w:b/>
          <w:bCs/>
        </w:rPr>
        <w:t xml:space="preserve"> </w:t>
      </w:r>
      <w:r w:rsidR="00DC472A">
        <w:rPr>
          <w:rFonts w:eastAsia="Times New Roman" w:cstheme="minorHAnsi"/>
          <w:b/>
          <w:bCs/>
        </w:rPr>
        <w:t>-</w:t>
      </w:r>
      <w:r w:rsidR="00D1209F" w:rsidRPr="007958B5">
        <w:rPr>
          <w:rFonts w:eastAsia="Times New Roman" w:cstheme="minorHAnsi"/>
          <w:b/>
          <w:bCs/>
        </w:rPr>
        <w:t xml:space="preserve"> Mikroelektronika a</w:t>
      </w:r>
      <w:r w:rsidR="00ED66CE">
        <w:rPr>
          <w:rFonts w:eastAsia="Times New Roman" w:cstheme="minorHAnsi"/>
          <w:b/>
          <w:bCs/>
        </w:rPr>
        <w:t> </w:t>
      </w:r>
      <w:r w:rsidR="00D1209F" w:rsidRPr="007958B5">
        <w:rPr>
          <w:rFonts w:eastAsia="Times New Roman" w:cstheme="minorHAnsi"/>
          <w:b/>
          <w:bCs/>
        </w:rPr>
        <w:t>komunikační technologie</w:t>
      </w:r>
    </w:p>
    <w:p w14:paraId="7E2B97E1" w14:textId="77777777" w:rsidR="00AD2464" w:rsidRPr="007958B5" w:rsidRDefault="00AD2464" w:rsidP="00AD2464">
      <w:pPr>
        <w:spacing w:before="120" w:after="120" w:line="240" w:lineRule="auto"/>
        <w:ind w:firstLine="578"/>
        <w:jc w:val="both"/>
        <w:rPr>
          <w:rFonts w:eastAsia="Times New Roman" w:cstheme="minorHAnsi"/>
          <w:lang w:eastAsia="cs-CZ"/>
        </w:rPr>
      </w:pPr>
    </w:p>
    <w:p w14:paraId="696E7C16" w14:textId="77777777" w:rsidR="00AD2464" w:rsidRPr="007958B5" w:rsidRDefault="00AD2464" w:rsidP="00AD2464">
      <w:pPr>
        <w:keepNext/>
        <w:keepLines/>
        <w:spacing w:before="160" w:line="240" w:lineRule="auto"/>
        <w:outlineLvl w:val="1"/>
        <w:rPr>
          <w:rFonts w:eastAsia="Times New Roman" w:cstheme="minorHAnsi"/>
          <w:b/>
          <w:i/>
        </w:rPr>
      </w:pPr>
      <w:r w:rsidRPr="007958B5">
        <w:rPr>
          <w:rFonts w:eastAsia="Times New Roman" w:cstheme="minorHAnsi"/>
          <w:b/>
        </w:rPr>
        <w:t>1. Popis komponenty</w:t>
      </w:r>
    </w:p>
    <w:p w14:paraId="4E9B40D1" w14:textId="77777777" w:rsidR="00AD2464" w:rsidRPr="007958B5" w:rsidRDefault="00AD2464" w:rsidP="00AD246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Souhrnný box pro komponentu 1.5 Digitální transformace podniků</w:t>
      </w:r>
    </w:p>
    <w:p w14:paraId="35127030" w14:textId="77777777" w:rsidR="00AD2464" w:rsidRPr="007958B5" w:rsidRDefault="00AD2464" w:rsidP="00AD246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  <w:b/>
        </w:rPr>
        <w:t xml:space="preserve">Oblast politiky/obor zájmu: </w:t>
      </w:r>
      <w:r w:rsidRPr="007958B5">
        <w:rPr>
          <w:rFonts w:eastAsia="Times New Roman" w:cstheme="minorHAnsi"/>
        </w:rPr>
        <w:t>Digital</w:t>
      </w:r>
    </w:p>
    <w:p w14:paraId="1F66A83F" w14:textId="64699C54" w:rsidR="00AD2464" w:rsidRPr="007958B5" w:rsidRDefault="45F2D1B5" w:rsidP="2B3615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/>
        </w:rPr>
      </w:pPr>
      <w:bookmarkStart w:id="2" w:name="_nj1ks6p3kwye"/>
      <w:bookmarkEnd w:id="2"/>
      <w:r w:rsidRPr="2B36153D">
        <w:rPr>
          <w:rFonts w:eastAsia="Times New Roman"/>
          <w:b/>
          <w:bCs/>
        </w:rPr>
        <w:t xml:space="preserve">Cíl: </w:t>
      </w:r>
      <w:r w:rsidRPr="2B36153D">
        <w:rPr>
          <w:rFonts w:eastAsia="Times New Roman"/>
        </w:rPr>
        <w:t>Cílem plně fungujícího ekosystému je komplexní provázanost všech aktérů v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systému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jejich aktivní nabídka vůči ostatním subjektům tak, aby došlo k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pokrytí potřeb trhu. Principem podpory je umožnit nabídku všem subjektům za účelem zvyšování digitální transformace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využití technologií. Kompo</w:t>
      </w:r>
      <w:r w:rsidR="18BE489C" w:rsidRPr="2B36153D">
        <w:rPr>
          <w:rFonts w:eastAsia="Times New Roman"/>
        </w:rPr>
        <w:t>nen</w:t>
      </w:r>
      <w:r w:rsidRPr="2B36153D">
        <w:rPr>
          <w:rFonts w:eastAsia="Times New Roman"/>
        </w:rPr>
        <w:t>ta digitální transformace podniků reflektuje Country Specific Recommendations (CSR)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zaměřuje se na vznik propojeného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dlouhodobě udržitelného ekosystému, jehož fungování bude zastřešovat nově vzniklá Platforma pro digitalizaci hospodářství. Oproti komponentě 1.4, která je spíše zaměřená na výzkum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vývoj v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oblasti digitalizace</w:t>
      </w:r>
      <w:r w:rsidR="12C17079" w:rsidRPr="2B36153D">
        <w:rPr>
          <w:rFonts w:eastAsia="Times New Roman"/>
        </w:rPr>
        <w:t>,</w:t>
      </w:r>
      <w:r w:rsidRPr="2B36153D">
        <w:rPr>
          <w:rFonts w:eastAsia="Times New Roman"/>
        </w:rPr>
        <w:t xml:space="preserve"> je komponenta 1.5 zacílena hlavně na podporu digitalizace průmyslu přes jednotlivé investice. Jasné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logické provázání investic umožní zreformovat ekosystém podpory digitální transformace průmyslu.</w:t>
      </w:r>
    </w:p>
    <w:p w14:paraId="40514550" w14:textId="7C75F88D" w:rsidR="00AD2464" w:rsidRPr="007958B5" w:rsidRDefault="45F2D1B5" w:rsidP="2B3615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/>
        </w:rPr>
      </w:pPr>
      <w:r w:rsidRPr="2B36153D">
        <w:rPr>
          <w:rFonts w:eastAsia="Times New Roman"/>
        </w:rPr>
        <w:t>Dalším cílem je umožnění podpory podniků zúčastněných v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tzv. Významných projektech společného evropského zájmu, tzv. IPCEI – Important Projects of Common European Interest v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oblasti Mikroelektronika a</w:t>
      </w:r>
      <w:r w:rsidR="00ED66CE">
        <w:rPr>
          <w:rFonts w:eastAsia="Times New Roman"/>
        </w:rPr>
        <w:t> </w:t>
      </w:r>
      <w:r w:rsidR="1800A9B5" w:rsidRPr="2B36153D">
        <w:rPr>
          <w:rFonts w:eastAsia="Times New Roman"/>
        </w:rPr>
        <w:t>komunikační technologie</w:t>
      </w:r>
      <w:r w:rsidR="6674F593" w:rsidRPr="2B36153D">
        <w:rPr>
          <w:rFonts w:eastAsia="Times New Roman"/>
        </w:rPr>
        <w:t>.</w:t>
      </w:r>
      <w:r w:rsidR="0D5EE251" w:rsidRPr="2B36153D">
        <w:rPr>
          <w:rFonts w:eastAsia="Times New Roman"/>
        </w:rPr>
        <w:t xml:space="preserve"> </w:t>
      </w:r>
      <w:r w:rsidRPr="2B36153D">
        <w:rPr>
          <w:rFonts w:eastAsia="Times New Roman"/>
        </w:rPr>
        <w:t>Tato spolupráce je zmíněna v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Deklaraci k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evropské iniciativě o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procesorech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 xml:space="preserve">polovodičových technologiích, kterou ČR podepsala. </w:t>
      </w:r>
      <w:r w:rsidR="51CED323" w:rsidRPr="2B36153D">
        <w:rPr>
          <w:rFonts w:eastAsia="Times New Roman"/>
        </w:rPr>
        <w:t xml:space="preserve"> </w:t>
      </w:r>
      <w:r w:rsidRPr="2B36153D">
        <w:rPr>
          <w:rFonts w:eastAsia="Times New Roman"/>
        </w:rPr>
        <w:t>Zároveň je prioritou podpořit ekologickou transformaci zejména malých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středních podniků prostřednictvím digitálních technologií,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to v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souladu s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cíli Zelené dohody pro Evropu.</w:t>
      </w:r>
    </w:p>
    <w:p w14:paraId="08DCF265" w14:textId="77777777" w:rsidR="00AD2464" w:rsidRPr="007958B5" w:rsidRDefault="00AD2464" w:rsidP="00AD246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</w:rPr>
        <w:t>Tato komponenta konkrétně reflektuje následující CSR:</w:t>
      </w:r>
    </w:p>
    <w:p w14:paraId="1F4BC87D" w14:textId="77777777" w:rsidR="00AD2464" w:rsidRPr="007958B5" w:rsidRDefault="45F2D1B5" w:rsidP="2B3615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ind w:firstLine="720"/>
        <w:jc w:val="both"/>
        <w:rPr>
          <w:rFonts w:eastAsia="Times New Roman"/>
          <w:lang w:val="en-GB"/>
        </w:rPr>
      </w:pPr>
      <w:r w:rsidRPr="2B36153D">
        <w:rPr>
          <w:rFonts w:eastAsia="Times New Roman"/>
        </w:rPr>
        <w:t>-</w:t>
      </w:r>
      <w:r w:rsidRPr="2B36153D">
        <w:rPr>
          <w:rFonts w:eastAsia="Times New Roman"/>
          <w:lang w:val="en-GB"/>
        </w:rPr>
        <w:t xml:space="preserve"> In line with the general escape clause, take all necessary measures to effectively address the pandemic, sustain the economy and support the ensuing recovery.</w:t>
      </w:r>
    </w:p>
    <w:p w14:paraId="6DF26EC3" w14:textId="77777777" w:rsidR="00F056FE" w:rsidRPr="007958B5" w:rsidRDefault="45F2D1B5" w:rsidP="2B3615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ind w:firstLine="720"/>
        <w:jc w:val="both"/>
        <w:rPr>
          <w:rFonts w:eastAsia="Times New Roman"/>
          <w:lang w:val="en-GB"/>
        </w:rPr>
      </w:pPr>
      <w:r w:rsidRPr="2B36153D">
        <w:rPr>
          <w:rFonts w:eastAsia="Times New Roman"/>
          <w:lang w:val="en-GB"/>
        </w:rPr>
        <w:t xml:space="preserve">- Ensure access to finance for innovative </w:t>
      </w:r>
      <w:r w:rsidR="0F6453EE" w:rsidRPr="2B36153D">
        <w:rPr>
          <w:rFonts w:eastAsia="Times New Roman"/>
          <w:lang w:val="en-GB"/>
        </w:rPr>
        <w:t>firms</w:t>
      </w:r>
    </w:p>
    <w:p w14:paraId="395714F0" w14:textId="454B1F09" w:rsidR="00AD2464" w:rsidRPr="007958B5" w:rsidRDefault="0F6453EE" w:rsidP="2B3615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ind w:firstLine="720"/>
        <w:jc w:val="both"/>
        <w:rPr>
          <w:rFonts w:eastAsia="Times New Roman"/>
          <w:lang w:val="en-GB"/>
        </w:rPr>
      </w:pPr>
      <w:r w:rsidRPr="2B36153D">
        <w:rPr>
          <w:rFonts w:eastAsia="Times New Roman"/>
          <w:lang w:val="en-GB"/>
        </w:rPr>
        <w:t xml:space="preserve"> – Focus</w:t>
      </w:r>
      <w:r w:rsidR="45F2D1B5" w:rsidRPr="2B36153D">
        <w:rPr>
          <w:rFonts w:eastAsia="Times New Roman"/>
          <w:lang w:val="en-GB"/>
        </w:rPr>
        <w:t xml:space="preserve"> investment on the green and digital transition, in particular on high-capacity digital infrastructure and technologies, clean and efficient production and use of energy </w:t>
      </w:r>
    </w:p>
    <w:p w14:paraId="5CCB177F" w14:textId="77777777" w:rsidR="00AD2464" w:rsidRPr="007958B5" w:rsidRDefault="45F2D1B5" w:rsidP="2B3615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ind w:firstLine="720"/>
        <w:jc w:val="both"/>
        <w:rPr>
          <w:rFonts w:eastAsia="Times New Roman"/>
          <w:lang w:val="en-GB"/>
        </w:rPr>
      </w:pPr>
      <w:r w:rsidRPr="2B36153D">
        <w:rPr>
          <w:rFonts w:eastAsia="Times New Roman"/>
          <w:lang w:val="en-GB"/>
        </w:rPr>
        <w:t>- Ensure access to finance for innovative firms and improve public-private cooperation in research and development</w:t>
      </w:r>
    </w:p>
    <w:p w14:paraId="76515AF2" w14:textId="5EB98C95" w:rsidR="00AD2464" w:rsidRPr="007958B5" w:rsidRDefault="007958B5" w:rsidP="00AD246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Rozšíření o</w:t>
      </w:r>
      <w:r w:rsidR="00ED66CE">
        <w:rPr>
          <w:rFonts w:eastAsia="Times New Roman" w:cstheme="minorHAnsi"/>
          <w:b/>
        </w:rPr>
        <w:t> </w:t>
      </w:r>
      <w:r w:rsidR="00AD2464" w:rsidRPr="007958B5">
        <w:rPr>
          <w:rFonts w:eastAsia="Times New Roman" w:cstheme="minorHAnsi"/>
          <w:b/>
        </w:rPr>
        <w:t>investic</w:t>
      </w:r>
      <w:r w:rsidRPr="007958B5">
        <w:rPr>
          <w:rFonts w:eastAsia="Times New Roman" w:cstheme="minorHAnsi"/>
          <w:b/>
        </w:rPr>
        <w:t>i</w:t>
      </w:r>
      <w:r w:rsidR="00AD2464" w:rsidRPr="007958B5">
        <w:rPr>
          <w:rFonts w:eastAsia="Times New Roman" w:cstheme="minorHAnsi"/>
          <w:b/>
        </w:rPr>
        <w:t xml:space="preserve">: </w:t>
      </w:r>
    </w:p>
    <w:p w14:paraId="7EDD092D" w14:textId="640F43E1" w:rsidR="00AD2464" w:rsidRPr="007958B5" w:rsidRDefault="51CED323" w:rsidP="2B3615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/>
        </w:rPr>
      </w:pPr>
      <w:r w:rsidRPr="2B36153D">
        <w:rPr>
          <w:rFonts w:eastAsia="Times New Roman"/>
        </w:rPr>
        <w:t xml:space="preserve">Investice 1.5.1.4 </w:t>
      </w:r>
      <w:r w:rsidR="628C0D2B" w:rsidRPr="2B36153D">
        <w:rPr>
          <w:rFonts w:eastAsia="Times New Roman"/>
        </w:rPr>
        <w:t xml:space="preserve">Podpora IPCEI </w:t>
      </w:r>
      <w:r w:rsidR="00DC472A">
        <w:rPr>
          <w:rFonts w:eastAsia="Times New Roman"/>
        </w:rPr>
        <w:t>-</w:t>
      </w:r>
      <w:r w:rsidR="628C0D2B" w:rsidRPr="2B36153D">
        <w:rPr>
          <w:rFonts w:eastAsia="Times New Roman"/>
        </w:rPr>
        <w:t xml:space="preserve"> </w:t>
      </w:r>
      <w:r w:rsidR="00DC472A">
        <w:rPr>
          <w:rFonts w:eastAsia="Times New Roman"/>
        </w:rPr>
        <w:t>M</w:t>
      </w:r>
      <w:r w:rsidR="3DF5C656" w:rsidRPr="2B36153D">
        <w:rPr>
          <w:rFonts w:eastAsia="Times New Roman"/>
        </w:rPr>
        <w:t>ikroelektronika a</w:t>
      </w:r>
      <w:r w:rsidR="00ED66CE">
        <w:rPr>
          <w:rFonts w:eastAsia="Times New Roman"/>
        </w:rPr>
        <w:t> </w:t>
      </w:r>
      <w:r w:rsidR="3DF5C656" w:rsidRPr="2B36153D">
        <w:rPr>
          <w:rFonts w:eastAsia="Times New Roman"/>
        </w:rPr>
        <w:t>komunikační technologie</w:t>
      </w:r>
      <w:r w:rsidR="36B15EEA" w:rsidRPr="2B36153D">
        <w:rPr>
          <w:rFonts w:eastAsia="Times New Roman"/>
        </w:rPr>
        <w:t xml:space="preserve"> se zaměřuje na podporu rozsáhlých inovativních průmyslových projektů ve formě IPCEI, zaměřených na rozvoj špičkových schopností v</w:t>
      </w:r>
      <w:r w:rsidR="00ED66CE">
        <w:rPr>
          <w:rFonts w:eastAsia="Times New Roman"/>
        </w:rPr>
        <w:t> </w:t>
      </w:r>
      <w:r w:rsidR="36B15EEA" w:rsidRPr="2B36153D">
        <w:rPr>
          <w:rFonts w:eastAsia="Times New Roman"/>
        </w:rPr>
        <w:t>kritických částech hodnotového řetězce.</w:t>
      </w:r>
    </w:p>
    <w:p w14:paraId="00B60AF9" w14:textId="77777777" w:rsidR="00AD2464" w:rsidRPr="007958B5" w:rsidRDefault="7AFEA33A" w:rsidP="33A14FD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</w:rPr>
        <w:t xml:space="preserve"> </w:t>
      </w:r>
    </w:p>
    <w:p w14:paraId="62CF9D3D" w14:textId="77777777" w:rsidR="00AD2464" w:rsidRPr="007958B5" w:rsidRDefault="00AD2464" w:rsidP="00AD246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  <w:b/>
        </w:rPr>
        <w:t xml:space="preserve">Odhadované náklady: </w:t>
      </w:r>
    </w:p>
    <w:p w14:paraId="51D02280" w14:textId="49CEDED9" w:rsidR="00AD2464" w:rsidRPr="007958B5" w:rsidRDefault="45F2D1B5" w:rsidP="2B3615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pacing w:after="120" w:line="240" w:lineRule="auto"/>
        <w:jc w:val="both"/>
        <w:rPr>
          <w:rFonts w:eastAsia="Times New Roman"/>
        </w:rPr>
      </w:pPr>
      <w:r w:rsidRPr="2B36153D">
        <w:rPr>
          <w:rFonts w:eastAsia="Times New Roman"/>
        </w:rPr>
        <w:t> </w:t>
      </w:r>
      <w:r w:rsidR="3CB8CB06" w:rsidRPr="2B36153D">
        <w:rPr>
          <w:rFonts w:eastAsia="Times New Roman"/>
        </w:rPr>
        <w:t>rozšíření komponenty o</w:t>
      </w:r>
      <w:r w:rsidR="00ED66CE">
        <w:rPr>
          <w:rFonts w:eastAsia="Times New Roman"/>
        </w:rPr>
        <w:t> </w:t>
      </w:r>
      <w:r w:rsidR="3CB8CB06" w:rsidRPr="2B36153D">
        <w:rPr>
          <w:rFonts w:eastAsia="Times New Roman"/>
        </w:rPr>
        <w:t xml:space="preserve">investici 1.5.1.4, kde náklady </w:t>
      </w:r>
      <w:r w:rsidRPr="2B36153D">
        <w:rPr>
          <w:rFonts w:eastAsia="Times New Roman"/>
        </w:rPr>
        <w:t xml:space="preserve">činí </w:t>
      </w:r>
      <w:r w:rsidR="6CAA55A6" w:rsidRPr="2B36153D">
        <w:rPr>
          <w:rFonts w:eastAsia="Times New Roman"/>
        </w:rPr>
        <w:t xml:space="preserve">1 </w:t>
      </w:r>
      <w:r w:rsidR="60C23371" w:rsidRPr="2B36153D">
        <w:rPr>
          <w:rFonts w:eastAsia="Times New Roman"/>
        </w:rPr>
        <w:t>1</w:t>
      </w:r>
      <w:r w:rsidR="6F6C8465" w:rsidRPr="2B36153D">
        <w:rPr>
          <w:rFonts w:eastAsia="Times New Roman"/>
        </w:rPr>
        <w:t>04</w:t>
      </w:r>
      <w:r w:rsidR="6D8790E3" w:rsidRPr="2B36153D">
        <w:rPr>
          <w:rFonts w:eastAsia="Times New Roman"/>
        </w:rPr>
        <w:t>,2</w:t>
      </w:r>
      <w:r w:rsidR="6F6C8465" w:rsidRPr="2B36153D">
        <w:rPr>
          <w:rFonts w:eastAsia="Times New Roman"/>
        </w:rPr>
        <w:t xml:space="preserve"> </w:t>
      </w:r>
      <w:r w:rsidRPr="2B36153D">
        <w:rPr>
          <w:rFonts w:eastAsia="Times New Roman"/>
        </w:rPr>
        <w:t>mil. Kč</w:t>
      </w:r>
      <w:r w:rsidR="16A528B1" w:rsidRPr="2B36153D">
        <w:rPr>
          <w:rFonts w:eastAsia="Times New Roman"/>
        </w:rPr>
        <w:t xml:space="preserve"> </w:t>
      </w:r>
      <w:r w:rsidR="16A528B1" w:rsidRPr="2B36153D">
        <w:rPr>
          <w:rFonts w:eastAsiaTheme="minorEastAsia"/>
        </w:rPr>
        <w:t>(plně zahrnuto do RRF)</w:t>
      </w:r>
    </w:p>
    <w:p w14:paraId="38C858AD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  <w:b/>
        </w:rPr>
      </w:pPr>
    </w:p>
    <w:p w14:paraId="62D1121F" w14:textId="343FE962" w:rsidR="00AD2464" w:rsidRPr="007958B5" w:rsidRDefault="007958B5" w:rsidP="00AD2464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</w:rPr>
        <w:t xml:space="preserve"> </w:t>
      </w:r>
    </w:p>
    <w:p w14:paraId="09B12CC5" w14:textId="6D0CA673" w:rsidR="00AD2464" w:rsidRPr="007958B5" w:rsidRDefault="00AD2464" w:rsidP="33A14FD8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</w:rPr>
        <w:t>Cílem je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 xml:space="preserve">rámci IPCEI podpořit významné inovační projekty </w:t>
      </w:r>
      <w:r w:rsidR="557A7C2B" w:rsidRPr="007958B5">
        <w:rPr>
          <w:rFonts w:eastAsia="Calibri" w:cstheme="minorHAnsi"/>
        </w:rPr>
        <w:t xml:space="preserve">mj. </w:t>
      </w:r>
      <w:r w:rsidRPr="007958B5">
        <w:rPr>
          <w:rFonts w:eastAsia="Calibri" w:cstheme="minorHAnsi"/>
        </w:rPr>
        <w:t>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oblasti designu procesorů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čipů pro umělou inteligenci (AI), designu čipů pro komunikaci (5G, 6G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dalších)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konektivitu, rozvoj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výrobu těchto čipů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Evropě, pokročilých  technologií pouzdření pro heterogenní integraci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polovodičových substrátů pro radiofrekvenční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výkonová zařízení, které pomohou obnovit kapacitu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oblastech, ve kterých je Evropa silně závislá na dovozu surovin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technologií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 xml:space="preserve">zajistí konkurenceschopnost průmyslu EU na světových trzích. </w:t>
      </w:r>
    </w:p>
    <w:p w14:paraId="6D0F3E8E" w14:textId="6E5006CF" w:rsidR="00AD2464" w:rsidRPr="007958B5" w:rsidRDefault="45F2D1B5" w:rsidP="2B36153D">
      <w:pPr>
        <w:spacing w:line="240" w:lineRule="auto"/>
        <w:jc w:val="both"/>
        <w:rPr>
          <w:rFonts w:eastAsia="Calibri"/>
        </w:rPr>
      </w:pPr>
      <w:r w:rsidRPr="2B36153D">
        <w:rPr>
          <w:rFonts w:eastAsia="Calibri"/>
        </w:rPr>
        <w:lastRenderedPageBreak/>
        <w:t xml:space="preserve">IPCEI </w:t>
      </w:r>
      <w:r w:rsidR="34324992" w:rsidRPr="2B36153D">
        <w:rPr>
          <w:rFonts w:eastAsia="Calibri"/>
        </w:rPr>
        <w:t xml:space="preserve">obecně </w:t>
      </w:r>
      <w:r w:rsidRPr="2B36153D">
        <w:rPr>
          <w:rFonts w:eastAsia="Calibri"/>
        </w:rPr>
        <w:t>umožňuj</w:t>
      </w:r>
      <w:r w:rsidR="3869D357" w:rsidRPr="2B36153D">
        <w:rPr>
          <w:rFonts w:eastAsia="Calibri"/>
        </w:rPr>
        <w:t>í</w:t>
      </w:r>
      <w:r w:rsidRPr="2B36153D">
        <w:rPr>
          <w:rFonts w:eastAsia="Calibri"/>
        </w:rPr>
        <w:t xml:space="preserve"> podpořit vybrané projekty od aplikovaného výzkumu, vývoje a</w:t>
      </w:r>
      <w:r w:rsidR="00ED66CE">
        <w:rPr>
          <w:rFonts w:eastAsia="Calibri"/>
        </w:rPr>
        <w:t> </w:t>
      </w:r>
      <w:r w:rsidRPr="2B36153D">
        <w:rPr>
          <w:rFonts w:eastAsia="Calibri"/>
        </w:rPr>
        <w:t>inovací až po první průmyslové nasazení. Prvním průmyslovým nasazením se rozumí činnosti, které zahrnují přechod od pilotního provozu k</w:t>
      </w:r>
      <w:r w:rsidR="00ED66CE">
        <w:rPr>
          <w:rFonts w:eastAsia="Calibri"/>
        </w:rPr>
        <w:t> </w:t>
      </w:r>
      <w:r w:rsidRPr="2B36153D">
        <w:rPr>
          <w:rFonts w:eastAsia="Calibri"/>
        </w:rPr>
        <w:t>provozu většího rozsahu, nikoli však sériová výroba. Záměrem je podpořit výzkumnou a</w:t>
      </w:r>
      <w:r w:rsidR="00ED66CE">
        <w:rPr>
          <w:rFonts w:eastAsia="Calibri"/>
        </w:rPr>
        <w:t> </w:t>
      </w:r>
      <w:r w:rsidRPr="2B36153D">
        <w:rPr>
          <w:rFonts w:eastAsia="Calibri"/>
        </w:rPr>
        <w:t>výrobní spolupráci v</w:t>
      </w:r>
      <w:r w:rsidR="00ED66CE">
        <w:rPr>
          <w:rFonts w:eastAsia="Calibri"/>
        </w:rPr>
        <w:t> </w:t>
      </w:r>
      <w:r w:rsidRPr="2B36153D">
        <w:rPr>
          <w:rFonts w:eastAsia="Calibri"/>
        </w:rPr>
        <w:t>rámci Evropské unie.</w:t>
      </w:r>
    </w:p>
    <w:p w14:paraId="3011D9B3" w14:textId="53FC199A" w:rsidR="00AD2464" w:rsidRPr="007958B5" w:rsidRDefault="007958B5" w:rsidP="00AD2464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  <w:bCs/>
        </w:rPr>
        <w:t xml:space="preserve"> </w:t>
      </w:r>
    </w:p>
    <w:p w14:paraId="37D98683" w14:textId="29A2BBA3" w:rsidR="00AD2464" w:rsidRPr="007958B5" w:rsidRDefault="00AD2464" w:rsidP="00AD2464">
      <w:pPr>
        <w:keepNext/>
        <w:keepLines/>
        <w:spacing w:before="160" w:line="240" w:lineRule="auto"/>
        <w:outlineLvl w:val="1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2. Hlavní výzvy a</w:t>
      </w:r>
      <w:r w:rsidR="00ED66CE">
        <w:rPr>
          <w:rFonts w:eastAsia="Times New Roman" w:cstheme="minorHAnsi"/>
          <w:b/>
        </w:rPr>
        <w:t> </w:t>
      </w:r>
      <w:r w:rsidRPr="007958B5">
        <w:rPr>
          <w:rFonts w:eastAsia="Times New Roman" w:cstheme="minorHAnsi"/>
          <w:b/>
        </w:rPr>
        <w:t>cíle</w:t>
      </w:r>
    </w:p>
    <w:p w14:paraId="2F0A2B4E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  <w:i/>
        </w:rPr>
      </w:pPr>
    </w:p>
    <w:p w14:paraId="342C0F67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a) Hlavní výzvy</w:t>
      </w:r>
    </w:p>
    <w:p w14:paraId="38A737ED" w14:textId="6AA8968D" w:rsidR="00AD2464" w:rsidRPr="007958B5" w:rsidRDefault="007958B5" w:rsidP="33A14FD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</w:rPr>
        <w:t>Hlavní výzvy komponenty jsou rozšiřovány o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>další (novou) výzvu, a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 xml:space="preserve">to je </w:t>
      </w:r>
      <w:r w:rsidR="00AD2464" w:rsidRPr="007958B5">
        <w:rPr>
          <w:rFonts w:eastAsia="Times New Roman" w:cstheme="minorHAnsi"/>
        </w:rPr>
        <w:t>připravit prostředí pro podniky usilující o</w:t>
      </w:r>
      <w:r w:rsidR="00ED66CE">
        <w:rPr>
          <w:rFonts w:eastAsia="Times New Roman" w:cstheme="minorHAnsi"/>
        </w:rPr>
        <w:t> </w:t>
      </w:r>
      <w:r w:rsidR="00AD2464" w:rsidRPr="007958B5">
        <w:rPr>
          <w:rFonts w:eastAsia="Times New Roman" w:cstheme="minorHAnsi"/>
        </w:rPr>
        <w:t>účast v</w:t>
      </w:r>
      <w:r w:rsidR="00ED66CE">
        <w:rPr>
          <w:rFonts w:eastAsia="Times New Roman" w:cstheme="minorHAnsi"/>
        </w:rPr>
        <w:t> </w:t>
      </w:r>
      <w:r w:rsidR="00AD2464" w:rsidRPr="007958B5">
        <w:rPr>
          <w:rFonts w:eastAsia="Times New Roman" w:cstheme="minorHAnsi"/>
        </w:rPr>
        <w:t xml:space="preserve">IPCEI, protože tato problematika </w:t>
      </w:r>
      <w:r w:rsidR="50E74A17" w:rsidRPr="007958B5">
        <w:rPr>
          <w:rFonts w:eastAsia="Times New Roman" w:cstheme="minorHAnsi"/>
        </w:rPr>
        <w:t xml:space="preserve">je </w:t>
      </w:r>
      <w:r w:rsidR="00AD2464" w:rsidRPr="007958B5">
        <w:rPr>
          <w:rFonts w:eastAsia="Times New Roman" w:cstheme="minorHAnsi"/>
        </w:rPr>
        <w:t>zatím nová.</w:t>
      </w:r>
    </w:p>
    <w:p w14:paraId="02194862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 xml:space="preserve">b) Cíle </w:t>
      </w:r>
    </w:p>
    <w:p w14:paraId="433113BD" w14:textId="572A1E64" w:rsidR="00AD2464" w:rsidRPr="007958B5" w:rsidRDefault="45F2D1B5" w:rsidP="2B36153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/>
          <w:i/>
          <w:iCs/>
        </w:rPr>
      </w:pPr>
      <w:r w:rsidRPr="2B36153D">
        <w:rPr>
          <w:rFonts w:eastAsia="Times New Roman"/>
        </w:rPr>
        <w:t>Dalším cílem této komponenty je podpora projektů vybraných v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rámci výzvy MPO k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vyjádření zájmu o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účast v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mezinárodních projektech IPCEI v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oblasti mikroelektroniky</w:t>
      </w:r>
      <w:r w:rsidR="156C7589" w:rsidRPr="2B36153D">
        <w:rPr>
          <w:rFonts w:eastAsia="Times New Roman"/>
        </w:rPr>
        <w:t xml:space="preserve"> </w:t>
      </w:r>
      <w:r w:rsidRPr="2B36153D">
        <w:rPr>
          <w:rFonts w:eastAsia="Times New Roman"/>
        </w:rPr>
        <w:t>a</w:t>
      </w:r>
      <w:r w:rsidR="00ED66CE">
        <w:rPr>
          <w:rFonts w:eastAsia="Times New Roman"/>
        </w:rPr>
        <w:t> </w:t>
      </w:r>
      <w:r w:rsidR="1800A9B5" w:rsidRPr="2B36153D">
        <w:rPr>
          <w:rFonts w:eastAsia="Times New Roman"/>
        </w:rPr>
        <w:t>komunikačních technologií</w:t>
      </w:r>
      <w:r w:rsidRPr="2B36153D">
        <w:rPr>
          <w:rFonts w:eastAsia="Times New Roman"/>
        </w:rPr>
        <w:t>. T</w:t>
      </w:r>
      <w:r w:rsidR="156C7589" w:rsidRPr="2B36153D">
        <w:rPr>
          <w:rFonts w:eastAsia="Times New Roman"/>
        </w:rPr>
        <w:t>at</w:t>
      </w:r>
      <w:r w:rsidRPr="2B36153D">
        <w:rPr>
          <w:rFonts w:eastAsia="Times New Roman"/>
        </w:rPr>
        <w:t>o výzv</w:t>
      </w:r>
      <w:r w:rsidR="6674F593" w:rsidRPr="2B36153D">
        <w:rPr>
          <w:rFonts w:eastAsia="Times New Roman"/>
        </w:rPr>
        <w:t>a</w:t>
      </w:r>
      <w:r w:rsidRPr="2B36153D">
        <w:rPr>
          <w:rFonts w:eastAsia="Times New Roman"/>
        </w:rPr>
        <w:t xml:space="preserve"> identifikoval</w:t>
      </w:r>
      <w:r w:rsidR="156C7589" w:rsidRPr="2B36153D">
        <w:rPr>
          <w:rFonts w:eastAsia="Times New Roman"/>
        </w:rPr>
        <w:t>a</w:t>
      </w:r>
      <w:r w:rsidRPr="2B36153D">
        <w:rPr>
          <w:rFonts w:eastAsia="Times New Roman"/>
        </w:rPr>
        <w:t xml:space="preserve"> podniky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projekty, které se zabývají mikroelektronikou a</w:t>
      </w:r>
      <w:r w:rsidR="00ED66CE">
        <w:rPr>
          <w:rFonts w:eastAsia="Times New Roman"/>
        </w:rPr>
        <w:t> </w:t>
      </w:r>
      <w:r w:rsidRPr="2B36153D">
        <w:rPr>
          <w:rFonts w:eastAsia="Times New Roman"/>
        </w:rPr>
        <w:t>konektivitou</w:t>
      </w:r>
      <w:r w:rsidR="6BD79DBC" w:rsidRPr="2B36153D">
        <w:rPr>
          <w:rFonts w:eastAsia="Times New Roman"/>
        </w:rPr>
        <w:t>.</w:t>
      </w:r>
      <w:r w:rsidRPr="2B36153D">
        <w:rPr>
          <w:rFonts w:eastAsia="Times New Roman"/>
        </w:rPr>
        <w:t xml:space="preserve"> </w:t>
      </w:r>
    </w:p>
    <w:p w14:paraId="0D6CC54E" w14:textId="4638D02D" w:rsidR="00AD2464" w:rsidRPr="007958B5" w:rsidRDefault="45F2D1B5" w:rsidP="2B36153D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/>
          <w:i/>
          <w:iCs/>
        </w:rPr>
      </w:pPr>
      <w:r w:rsidRPr="2B36153D">
        <w:rPr>
          <w:rFonts w:eastAsia="Times New Roman"/>
          <w:b/>
          <w:bCs/>
        </w:rPr>
        <w:t>c) Strategický kontext komponenty</w:t>
      </w:r>
    </w:p>
    <w:p w14:paraId="168E1D53" w14:textId="689F122E" w:rsidR="00D1209F" w:rsidRPr="007958B5" w:rsidRDefault="45F2D1B5" w:rsidP="2B36153D">
      <w:pPr>
        <w:spacing w:after="120" w:line="240" w:lineRule="auto"/>
        <w:jc w:val="both"/>
        <w:rPr>
          <w:rFonts w:eastAsia="Calibri"/>
        </w:rPr>
      </w:pPr>
      <w:r w:rsidRPr="2B36153D">
        <w:rPr>
          <w:rFonts w:eastAsia="Calibri"/>
        </w:rPr>
        <w:t>IPCEI jsou strategické projekty, kdy může podnik získat finanční podporu za předpokladu, že předmět splňuje kritéria stanovená v</w:t>
      </w:r>
      <w:r w:rsidR="00ED66CE">
        <w:rPr>
          <w:rFonts w:eastAsia="Calibri"/>
        </w:rPr>
        <w:t> </w:t>
      </w:r>
      <w:r w:rsidRPr="2B36153D">
        <w:rPr>
          <w:rFonts w:eastAsia="Calibri"/>
        </w:rPr>
        <w:t xml:space="preserve">bodě 3 </w:t>
      </w:r>
      <w:hyperlink r:id="rId11">
        <w:r w:rsidRPr="2B36153D">
          <w:rPr>
            <w:rFonts w:eastAsia="Calibri"/>
          </w:rPr>
          <w:t>sdělení Evropské komise (</w:t>
        </w:r>
      </w:hyperlink>
      <w:r w:rsidR="1814CD20" w:rsidRPr="2B36153D">
        <w:rPr>
          <w:rFonts w:eastAsia="Calibri"/>
        </w:rPr>
        <w:t xml:space="preserve"> </w:t>
      </w:r>
      <w:hyperlink r:id="rId12">
        <w:r w:rsidR="1814CD20" w:rsidRPr="2B36153D">
          <w:rPr>
            <w:rStyle w:val="Hypertextovodkaz"/>
            <w:rFonts w:eastAsia="Calibri"/>
            <w:color w:val="auto"/>
          </w:rPr>
          <w:t>C/2021/8481</w:t>
        </w:r>
      </w:hyperlink>
      <w:r w:rsidRPr="2B36153D">
        <w:rPr>
          <w:rFonts w:eastAsia="Calibri"/>
        </w:rPr>
        <w:t>). Projekt musí být buď vysoce inovativní a</w:t>
      </w:r>
      <w:r w:rsidR="00ED66CE">
        <w:rPr>
          <w:rFonts w:eastAsia="Calibri"/>
        </w:rPr>
        <w:t> </w:t>
      </w:r>
      <w:r w:rsidRPr="2B36153D">
        <w:rPr>
          <w:rFonts w:eastAsia="Calibri"/>
        </w:rPr>
        <w:t>jít nad rámec současných technologií nebo musí výrazně přispívat k</w:t>
      </w:r>
      <w:r w:rsidR="00ED66CE">
        <w:rPr>
          <w:rFonts w:eastAsia="Calibri"/>
        </w:rPr>
        <w:t> </w:t>
      </w:r>
      <w:r w:rsidRPr="2B36153D">
        <w:rPr>
          <w:rFonts w:eastAsia="Calibri"/>
        </w:rPr>
        <w:t>naplňování strategie Unie v</w:t>
      </w:r>
      <w:r w:rsidR="00ED66CE">
        <w:rPr>
          <w:rFonts w:eastAsia="Calibri"/>
        </w:rPr>
        <w:t> </w:t>
      </w:r>
      <w:r w:rsidRPr="2B36153D">
        <w:rPr>
          <w:rFonts w:eastAsia="Calibri"/>
        </w:rPr>
        <w:t>oblasti životního prostředí, energetiky či dopravy (viz bod odstavec 14, 15, 21, 22,23 sdělení EK). Projekt musí být realizován ve spolupráci s</w:t>
      </w:r>
      <w:r w:rsidR="00ED66CE">
        <w:rPr>
          <w:rFonts w:eastAsia="Calibri"/>
        </w:rPr>
        <w:t> </w:t>
      </w:r>
      <w:r w:rsidRPr="2B36153D">
        <w:rPr>
          <w:rFonts w:eastAsia="Calibri"/>
        </w:rPr>
        <w:t xml:space="preserve">minimálně jedním zahraničním partnerem, který se účastní stejného IPCEI. </w:t>
      </w:r>
    </w:p>
    <w:p w14:paraId="132D1732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Předchozí snahy</w:t>
      </w:r>
    </w:p>
    <w:p w14:paraId="43DF84D9" w14:textId="10983053" w:rsidR="00AD2464" w:rsidRPr="007958B5" w:rsidRDefault="1214E8A9" w:rsidP="33A14FD8">
      <w:pP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</w:rPr>
        <w:t xml:space="preserve">V rámci IPCEI se české podniky zúčastnily </w:t>
      </w:r>
      <w:r w:rsidR="6BA43A22" w:rsidRPr="007958B5">
        <w:rPr>
          <w:rFonts w:eastAsia="Times New Roman" w:cstheme="minorHAnsi"/>
        </w:rPr>
        <w:t>výzvy v</w:t>
      </w:r>
      <w:r w:rsidR="00ED66CE">
        <w:rPr>
          <w:rFonts w:eastAsia="Times New Roman" w:cstheme="minorHAnsi"/>
        </w:rPr>
        <w:t> </w:t>
      </w:r>
      <w:r w:rsidR="6BA43A22" w:rsidRPr="007958B5">
        <w:rPr>
          <w:rFonts w:eastAsia="Times New Roman" w:cstheme="minorHAnsi"/>
        </w:rPr>
        <w:t>oblasti výroby a</w:t>
      </w:r>
      <w:r w:rsidR="00ED66CE">
        <w:rPr>
          <w:rFonts w:eastAsia="Times New Roman" w:cstheme="minorHAnsi"/>
        </w:rPr>
        <w:t> </w:t>
      </w:r>
      <w:r w:rsidR="6BA43A22" w:rsidRPr="007958B5">
        <w:rPr>
          <w:rFonts w:eastAsia="Times New Roman" w:cstheme="minorHAnsi"/>
        </w:rPr>
        <w:t>využití vodíku a</w:t>
      </w:r>
      <w:r w:rsidR="00ED66CE">
        <w:rPr>
          <w:rFonts w:eastAsia="Times New Roman" w:cstheme="minorHAnsi"/>
        </w:rPr>
        <w:t> </w:t>
      </w:r>
      <w:r w:rsidR="6BA43A22" w:rsidRPr="007958B5">
        <w:rPr>
          <w:rFonts w:eastAsia="Times New Roman" w:cstheme="minorHAnsi"/>
        </w:rPr>
        <w:t>vodíkových technologií</w:t>
      </w:r>
      <w:r w:rsidRPr="007958B5">
        <w:rPr>
          <w:rFonts w:eastAsia="Times New Roman" w:cstheme="minorHAnsi"/>
        </w:rPr>
        <w:t>.</w:t>
      </w:r>
    </w:p>
    <w:p w14:paraId="70F84EB2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</w:rPr>
      </w:pPr>
    </w:p>
    <w:p w14:paraId="00F00904" w14:textId="6063A4CC" w:rsidR="00AD2464" w:rsidRPr="007958B5" w:rsidRDefault="00AD2464" w:rsidP="00AD2464">
      <w:pPr>
        <w:keepNext/>
        <w:keepLines/>
        <w:spacing w:before="160" w:line="240" w:lineRule="auto"/>
        <w:outlineLvl w:val="1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3. Popis reforem a</w:t>
      </w:r>
      <w:r w:rsidR="00ED66CE">
        <w:rPr>
          <w:rFonts w:eastAsia="Times New Roman" w:cstheme="minorHAnsi"/>
          <w:b/>
        </w:rPr>
        <w:t> </w:t>
      </w:r>
      <w:r w:rsidRPr="007958B5">
        <w:rPr>
          <w:rFonts w:eastAsia="Times New Roman" w:cstheme="minorHAnsi"/>
          <w:b/>
        </w:rPr>
        <w:t xml:space="preserve">investic komponenty </w:t>
      </w:r>
    </w:p>
    <w:p w14:paraId="139685CB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  <w:i/>
        </w:rPr>
      </w:pPr>
    </w:p>
    <w:p w14:paraId="10977E17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a) Popis reforem</w:t>
      </w:r>
    </w:p>
    <w:p w14:paraId="1ECCDFF5" w14:textId="77777777" w:rsidR="00AD2464" w:rsidRPr="007958B5" w:rsidRDefault="00AD2464" w:rsidP="00AD24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</w:rPr>
        <w:t>Vytvoření infrastruktury pro digitální transformaci skrze Platformu pro digitalizaci hospodářství</w:t>
      </w:r>
    </w:p>
    <w:p w14:paraId="6AB84886" w14:textId="1C418A7E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cstheme="minorHAnsi"/>
        </w:rPr>
      </w:pPr>
      <w:bookmarkStart w:id="3" w:name="_30j0zll"/>
      <w:bookmarkEnd w:id="3"/>
    </w:p>
    <w:p w14:paraId="5AD595B7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b) Popis investic</w:t>
      </w:r>
    </w:p>
    <w:p w14:paraId="4EDD6E36" w14:textId="09EEB380" w:rsidR="00AD2464" w:rsidRPr="007958B5" w:rsidRDefault="00AD2464" w:rsidP="00AD24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 w:cstheme="minorHAnsi"/>
        </w:rPr>
      </w:pPr>
      <w:r w:rsidRPr="007958B5">
        <w:rPr>
          <w:rFonts w:eastAsia="Times New Roman" w:cstheme="minorHAnsi"/>
        </w:rPr>
        <w:t>Evropská a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>národní centra digitálních inovací (e/DIH)</w:t>
      </w:r>
    </w:p>
    <w:p w14:paraId="1FD9FA91" w14:textId="77777777" w:rsidR="00AD2464" w:rsidRPr="007958B5" w:rsidRDefault="00AD2464" w:rsidP="00AD2464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Calibri" w:cstheme="minorHAnsi"/>
        </w:rPr>
      </w:pPr>
      <w:r w:rsidRPr="007958B5">
        <w:rPr>
          <w:rFonts w:eastAsia="Times New Roman" w:cstheme="minorHAnsi"/>
        </w:rPr>
        <w:t>Evropská referenční testovací centra</w:t>
      </w:r>
    </w:p>
    <w:p w14:paraId="086E4434" w14:textId="77777777" w:rsidR="00AD2464" w:rsidRPr="007958B5" w:rsidRDefault="00AD2464" w:rsidP="33A14FD8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</w:rPr>
        <w:t>Programy přímé podpory digitální transformace podniků</w:t>
      </w:r>
    </w:p>
    <w:p w14:paraId="3CB50C97" w14:textId="13322D89" w:rsidR="54F84814" w:rsidRPr="007958B5" w:rsidRDefault="54F84814" w:rsidP="33A14FD8">
      <w:pPr>
        <w:numPr>
          <w:ilvl w:val="0"/>
          <w:numId w:val="2"/>
        </w:numPr>
        <w:spacing w:after="120" w:line="240" w:lineRule="auto"/>
        <w:jc w:val="both"/>
        <w:rPr>
          <w:rFonts w:eastAsia="Times New Roman" w:cstheme="minorHAnsi"/>
          <w:bCs/>
        </w:rPr>
      </w:pPr>
      <w:r w:rsidRPr="007958B5">
        <w:rPr>
          <w:rFonts w:eastAsia="Times New Roman" w:cstheme="minorHAnsi"/>
          <w:bCs/>
        </w:rPr>
        <w:t>Podpora IPCEI v</w:t>
      </w:r>
      <w:r w:rsidR="00ED66CE">
        <w:rPr>
          <w:rFonts w:eastAsia="Times New Roman" w:cstheme="minorHAnsi"/>
          <w:bCs/>
        </w:rPr>
        <w:t> </w:t>
      </w:r>
      <w:r w:rsidRPr="007958B5">
        <w:rPr>
          <w:rFonts w:eastAsia="Times New Roman" w:cstheme="minorHAnsi"/>
          <w:bCs/>
        </w:rPr>
        <w:t>oblasti mikroelektroniky a</w:t>
      </w:r>
      <w:r w:rsidR="00ED66CE">
        <w:rPr>
          <w:rFonts w:eastAsia="Times New Roman" w:cstheme="minorHAnsi"/>
          <w:bCs/>
        </w:rPr>
        <w:t> </w:t>
      </w:r>
      <w:r w:rsidRPr="007958B5">
        <w:rPr>
          <w:rFonts w:eastAsia="Times New Roman" w:cstheme="minorHAnsi"/>
          <w:bCs/>
        </w:rPr>
        <w:t>komunikačních technologií</w:t>
      </w:r>
    </w:p>
    <w:p w14:paraId="715A8464" w14:textId="36B22E62" w:rsidR="00AD2464" w:rsidRPr="007958B5" w:rsidRDefault="1214E8A9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</w:rPr>
        <w:t>Jednotlivé projekty digitální transformace, které jsou plánované nad rámec celého ekosystému pro jednotlivé podniky, navazují na celý ekosystém a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 xml:space="preserve">doplňují jeho mezery. Celý ekosystém je tedy logicky provázán na podporu digitalizace průmyslu </w:t>
      </w:r>
      <w:r w:rsidR="644F9E84" w:rsidRPr="007958B5">
        <w:rPr>
          <w:rFonts w:eastAsia="Times New Roman" w:cstheme="minorHAnsi"/>
          <w:u w:val="single"/>
        </w:rPr>
        <w:t>a</w:t>
      </w:r>
      <w:r w:rsidR="00ED66CE">
        <w:rPr>
          <w:rFonts w:eastAsia="Times New Roman" w:cstheme="minorHAnsi"/>
          <w:u w:val="single"/>
        </w:rPr>
        <w:t> </w:t>
      </w:r>
      <w:r w:rsidR="644F9E84" w:rsidRPr="007958B5">
        <w:rPr>
          <w:rFonts w:eastAsia="Times New Roman" w:cstheme="minorHAnsi"/>
          <w:u w:val="single"/>
        </w:rPr>
        <w:t>služeb</w:t>
      </w:r>
      <w:r w:rsidR="644F9E84" w:rsidRPr="007958B5">
        <w:rPr>
          <w:rFonts w:eastAsia="Times New Roman" w:cstheme="minorHAnsi"/>
        </w:rPr>
        <w:t xml:space="preserve"> </w:t>
      </w:r>
      <w:r w:rsidRPr="007958B5">
        <w:rPr>
          <w:rFonts w:eastAsia="Times New Roman" w:cstheme="minorHAnsi"/>
        </w:rPr>
        <w:t>a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>zajištění větší resistence pro případné další krize, včetně zaměření na podporu rozsáhlých inovativních průmyslových projektů ve formě IPCEI, zaměřených na rozvoj špičkových schopností a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>první průmyslové nasazení v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>kritických částech hodnotového řetězce.</w:t>
      </w:r>
      <w:r w:rsidR="43B307BF" w:rsidRPr="007958B5">
        <w:rPr>
          <w:rFonts w:eastAsia="Times New Roman" w:cstheme="minorHAnsi"/>
        </w:rPr>
        <w:t xml:space="preserve"> Ekosystém rovněž umožní rozvoj digitalizace služeb.</w:t>
      </w:r>
    </w:p>
    <w:p w14:paraId="124A3A19" w14:textId="1FAD96C4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</w:rPr>
      </w:pPr>
    </w:p>
    <w:p w14:paraId="5B8BD9C2" w14:textId="7F30FEE5" w:rsidR="00E60FC3" w:rsidRPr="007958B5" w:rsidRDefault="00E60FC3" w:rsidP="00E60FC3">
      <w:pPr>
        <w:spacing w:after="120" w:line="276" w:lineRule="auto"/>
        <w:jc w:val="both"/>
        <w:rPr>
          <w:rFonts w:eastAsia="Times New Roman" w:cstheme="minorHAnsi"/>
          <w:b/>
          <w:bCs/>
        </w:rPr>
      </w:pPr>
      <w:r w:rsidRPr="007958B5">
        <w:rPr>
          <w:rFonts w:eastAsia="Times New Roman" w:cstheme="minorHAnsi"/>
          <w:b/>
          <w:bCs/>
        </w:rPr>
        <w:t xml:space="preserve">Podpora IPCEI </w:t>
      </w:r>
      <w:r w:rsidR="00DC472A">
        <w:rPr>
          <w:rFonts w:eastAsia="Times New Roman" w:cstheme="minorHAnsi"/>
          <w:b/>
          <w:bCs/>
        </w:rPr>
        <w:t>-</w:t>
      </w:r>
      <w:r w:rsidRPr="007958B5">
        <w:rPr>
          <w:rFonts w:eastAsia="Times New Roman" w:cstheme="minorHAnsi"/>
          <w:b/>
          <w:bCs/>
        </w:rPr>
        <w:t xml:space="preserve"> Mikroelektronika a</w:t>
      </w:r>
      <w:r w:rsidR="00ED66CE">
        <w:rPr>
          <w:rFonts w:eastAsia="Times New Roman" w:cstheme="minorHAnsi"/>
          <w:b/>
          <w:bCs/>
        </w:rPr>
        <w:t> </w:t>
      </w:r>
      <w:r w:rsidRPr="007958B5">
        <w:rPr>
          <w:rFonts w:eastAsia="Times New Roman" w:cstheme="minorHAnsi"/>
          <w:b/>
          <w:bCs/>
        </w:rPr>
        <w:t>komunikační technologie</w:t>
      </w:r>
    </w:p>
    <w:p w14:paraId="4401DF0D" w14:textId="16D6C334" w:rsidR="008D3022" w:rsidRPr="007958B5" w:rsidRDefault="008D3022" w:rsidP="00E60FC3">
      <w:pPr>
        <w:spacing w:after="120" w:line="276" w:lineRule="auto"/>
        <w:jc w:val="both"/>
        <w:rPr>
          <w:rFonts w:eastAsia="Times New Roman" w:cstheme="minorHAns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2031"/>
        <w:gridCol w:w="7597"/>
      </w:tblGrid>
      <w:tr w:rsidR="007958B5" w:rsidRPr="00986DA9" w14:paraId="761588B6" w14:textId="77777777" w:rsidTr="2B36153D">
        <w:tc>
          <w:tcPr>
            <w:tcW w:w="2405" w:type="dxa"/>
          </w:tcPr>
          <w:p w14:paraId="74C894F9" w14:textId="26036D1E" w:rsidR="008D3022" w:rsidRPr="00986DA9" w:rsidRDefault="00D84FAB" w:rsidP="009E76AF">
            <w:pPr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Výzva</w:t>
            </w:r>
          </w:p>
        </w:tc>
        <w:tc>
          <w:tcPr>
            <w:tcW w:w="11765" w:type="dxa"/>
          </w:tcPr>
          <w:p w14:paraId="6E202D1D" w14:textId="37626D1E" w:rsidR="00EF0C45" w:rsidRPr="00986DA9" w:rsidRDefault="2FD3F5D0" w:rsidP="2B36153D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2B36153D">
              <w:rPr>
                <w:rFonts w:cs="Times New Roman"/>
                <w:lang w:val="cs-CZ"/>
              </w:rPr>
              <w:t>Vzhledem k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 xml:space="preserve">významu </w:t>
            </w:r>
            <w:r w:rsidR="02A2C83C" w:rsidRPr="2B36153D">
              <w:rPr>
                <w:rFonts w:cs="Times New Roman"/>
                <w:lang w:val="cs-CZ"/>
              </w:rPr>
              <w:t>Významn</w:t>
            </w:r>
            <w:r w:rsidRPr="2B36153D">
              <w:rPr>
                <w:rFonts w:cs="Times New Roman"/>
                <w:lang w:val="cs-CZ"/>
              </w:rPr>
              <w:t xml:space="preserve">ých projektů společného evropského zájmu (IPCEI) jako společné činnosti více zemí, která integruje zúčastněné strany hodnotového řetězce EU ve strategických odvětvích, má mnoho </w:t>
            </w:r>
            <w:r w:rsidR="02A2C83C" w:rsidRPr="2B36153D">
              <w:rPr>
                <w:rFonts w:cs="Times New Roman"/>
                <w:lang w:val="cs-CZ"/>
              </w:rPr>
              <w:t>spill-over efektů</w:t>
            </w:r>
            <w:r w:rsidRPr="2B36153D">
              <w:rPr>
                <w:rFonts w:cs="Times New Roman"/>
                <w:lang w:val="cs-CZ"/>
              </w:rPr>
              <w:t xml:space="preserve"> a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přispívá k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evropské nezávislosti při vývoji, navrhování a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používání nových technologií, je zásadní podporovat české projekty zapojené do IPCEI Mikroelektronika a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komunikační technologie (IPCEI ME/CT).</w:t>
            </w:r>
          </w:p>
          <w:p w14:paraId="4CFD08AF" w14:textId="12A1BBCF" w:rsidR="00EF0C45" w:rsidRPr="00986DA9" w:rsidRDefault="2FD3F5D0" w:rsidP="2B36153D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2B36153D">
              <w:rPr>
                <w:rFonts w:cs="Times New Roman"/>
                <w:lang w:val="cs-CZ"/>
              </w:rPr>
              <w:t>Cílem je podpořit významné inovační projekty v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těchto oblastech. V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plánovaných projektech IPCEI může Evropa posílit svou pozici prostřednictvím společného a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 xml:space="preserve">integrovaného postupu. </w:t>
            </w:r>
            <w:r w:rsidR="02A2C83C" w:rsidRPr="2B36153D">
              <w:rPr>
                <w:rFonts w:cs="Times New Roman"/>
                <w:lang w:val="cs-CZ"/>
              </w:rPr>
              <w:t>IPCEI se z</w:t>
            </w:r>
            <w:r w:rsidRPr="2B36153D">
              <w:rPr>
                <w:rFonts w:cs="Times New Roman"/>
                <w:lang w:val="cs-CZ"/>
              </w:rPr>
              <w:t>aměřují na aplikace a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produkty s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vysokou přidanou hodnotou a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systémovou integraci technologií jako celku. Cílem je vytvořit synergie mezi členskými státy a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zajistit soudržný evropský přístup ve velkém měřítku.</w:t>
            </w:r>
          </w:p>
          <w:p w14:paraId="22430ED2" w14:textId="77777777" w:rsidR="00EF0C45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</w:p>
          <w:p w14:paraId="7DCE801B" w14:textId="3666AC78" w:rsidR="008D3022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EU je životně závislá na výrobě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návrhu čipů. To má rovněž dopad na politické cíle EU, jako je bezpečnost sítí, evropské superpočítače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strategická autonomie.</w:t>
            </w:r>
            <w:r w:rsidR="008D3022" w:rsidRPr="00986DA9">
              <w:rPr>
                <w:rFonts w:cs="Times New Roman"/>
                <w:lang w:val="cs-CZ"/>
              </w:rPr>
              <w:t xml:space="preserve"> </w:t>
            </w:r>
          </w:p>
        </w:tc>
      </w:tr>
      <w:tr w:rsidR="007958B5" w:rsidRPr="00986DA9" w14:paraId="07846F79" w14:textId="77777777" w:rsidTr="2B36153D">
        <w:tc>
          <w:tcPr>
            <w:tcW w:w="2405" w:type="dxa"/>
          </w:tcPr>
          <w:p w14:paraId="332AA687" w14:textId="18592528" w:rsidR="008D3022" w:rsidRPr="00986DA9" w:rsidRDefault="00D84FAB" w:rsidP="009E76AF">
            <w:pPr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Cíl</w:t>
            </w:r>
          </w:p>
        </w:tc>
        <w:tc>
          <w:tcPr>
            <w:tcW w:w="11765" w:type="dxa"/>
          </w:tcPr>
          <w:p w14:paraId="7DA3191A" w14:textId="6FEDCE86" w:rsidR="00EF0C45" w:rsidRPr="00986DA9" w:rsidRDefault="2FD3F5D0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2B36153D">
              <w:rPr>
                <w:rFonts w:cs="Times New Roman"/>
                <w:lang w:val="cs-CZ"/>
              </w:rPr>
              <w:t>Investice je zaměřena na podporu českých účastníků IPCEI ME/CT s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cílem zlepšit vývoj, návrh a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aplikaci nových technologií v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příslušných oblastech IPCEI.</w:t>
            </w:r>
          </w:p>
          <w:p w14:paraId="7506FCBE" w14:textId="017C6E82" w:rsidR="00EF0C45" w:rsidRPr="00986DA9" w:rsidRDefault="382BF0D9" w:rsidP="2B36153D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lang w:val="cs-CZ"/>
              </w:rPr>
            </w:pPr>
            <w:r w:rsidRPr="2B36153D">
              <w:rPr>
                <w:rFonts w:ascii="Calibri" w:eastAsia="Calibri" w:hAnsi="Calibri" w:cs="Calibri"/>
                <w:lang w:val="cs-CZ"/>
              </w:rPr>
              <w:t>Financování bude poskytováno na výzkumnou a</w:t>
            </w:r>
            <w:r w:rsidR="00ED66CE">
              <w:rPr>
                <w:rFonts w:ascii="Calibri" w:eastAsia="Calibri" w:hAnsi="Calibri" w:cs="Calibri"/>
                <w:lang w:val="cs-CZ"/>
              </w:rPr>
              <w:t> </w:t>
            </w:r>
            <w:r w:rsidRPr="2B36153D">
              <w:rPr>
                <w:rFonts w:ascii="Calibri" w:eastAsia="Calibri" w:hAnsi="Calibri" w:cs="Calibri"/>
                <w:lang w:val="cs-CZ"/>
              </w:rPr>
              <w:t xml:space="preserve">vývojovou fázi </w:t>
            </w:r>
            <w:r w:rsidR="3B8E6681" w:rsidRPr="2B36153D">
              <w:rPr>
                <w:rFonts w:ascii="Calibri" w:eastAsia="Calibri" w:hAnsi="Calibri" w:cs="Calibri"/>
                <w:lang w:val="cs-CZ"/>
              </w:rPr>
              <w:t>projektů</w:t>
            </w:r>
            <w:r w:rsidRPr="2B36153D">
              <w:rPr>
                <w:rFonts w:ascii="Calibri" w:eastAsia="Calibri" w:hAnsi="Calibri" w:cs="Calibri"/>
                <w:lang w:val="cs-CZ"/>
              </w:rPr>
              <w:t>.</w:t>
            </w:r>
          </w:p>
          <w:p w14:paraId="4B0E8801" w14:textId="49C2FF9C" w:rsidR="008D3022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Zásadní je spolupráce napříč ekosystémem. Vývojová centra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vlastníci špičkových technologií mají zaručeno sdílení výsledků na evropské úrovni v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rámci projektů IPCEI. Žadatel o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podporu se zavazuje šířit poznatky získané díky podpoře nejen mezi partnery, ale i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v rámci EU. Vzájemné propojení účastníků IPCEI vede k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tomu, že účastníci mohou pokročit v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digitální transformaci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ve využívání nejnovějších technologií.</w:t>
            </w:r>
            <w:r w:rsidR="008D3022" w:rsidRPr="00986DA9">
              <w:rPr>
                <w:rFonts w:cs="Times New Roman"/>
                <w:lang w:val="cs-CZ"/>
              </w:rPr>
              <w:t xml:space="preserve"> </w:t>
            </w:r>
          </w:p>
        </w:tc>
      </w:tr>
      <w:tr w:rsidR="007958B5" w:rsidRPr="00986DA9" w14:paraId="0CD1A7B0" w14:textId="77777777" w:rsidTr="2B36153D">
        <w:tc>
          <w:tcPr>
            <w:tcW w:w="2405" w:type="dxa"/>
          </w:tcPr>
          <w:p w14:paraId="7EB53804" w14:textId="11C3951A" w:rsidR="008D3022" w:rsidRPr="00986DA9" w:rsidRDefault="008D3022" w:rsidP="009E76AF">
            <w:pPr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Implementa</w:t>
            </w:r>
            <w:r w:rsidR="00D84FAB" w:rsidRPr="00986DA9">
              <w:rPr>
                <w:rFonts w:cs="Times New Roman"/>
                <w:lang w:val="cs-CZ"/>
              </w:rPr>
              <w:t>ce</w:t>
            </w:r>
          </w:p>
        </w:tc>
        <w:tc>
          <w:tcPr>
            <w:tcW w:w="11765" w:type="dxa"/>
          </w:tcPr>
          <w:p w14:paraId="7FF2486E" w14:textId="5E205B32" w:rsidR="008D3022" w:rsidRPr="00986DA9" w:rsidRDefault="00EF0C45" w:rsidP="00177D03">
            <w:pPr>
              <w:tabs>
                <w:tab w:val="left" w:pos="1845"/>
              </w:tabs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Přímá grantová podpora účastníkům prostřednictvím plánovaného IPCEI ME/CT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jeho</w:t>
            </w:r>
            <w:r w:rsidR="00177D03" w:rsidRPr="00986DA9">
              <w:rPr>
                <w:rFonts w:cs="Times New Roman"/>
                <w:lang w:val="cs-CZ"/>
              </w:rPr>
              <w:t xml:space="preserve"> </w:t>
            </w:r>
            <w:r w:rsidRPr="00986DA9">
              <w:rPr>
                <w:rFonts w:cs="Times New Roman"/>
                <w:lang w:val="cs-CZ"/>
              </w:rPr>
              <w:t>souvisejícího ekosystému na základě předchozí národní výzvy k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předkládání žádostí.</w:t>
            </w:r>
          </w:p>
        </w:tc>
      </w:tr>
      <w:tr w:rsidR="007958B5" w:rsidRPr="00986DA9" w14:paraId="1CB3CDBC" w14:textId="77777777" w:rsidTr="2B36153D">
        <w:trPr>
          <w:trHeight w:val="70"/>
        </w:trPr>
        <w:tc>
          <w:tcPr>
            <w:tcW w:w="2405" w:type="dxa"/>
          </w:tcPr>
          <w:p w14:paraId="621ACB00" w14:textId="2A645181" w:rsidR="008D3022" w:rsidRPr="00986DA9" w:rsidRDefault="00D84FAB" w:rsidP="009E76AF">
            <w:pPr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Spolupráce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zapojení zúčastněných stran</w:t>
            </w:r>
          </w:p>
        </w:tc>
        <w:tc>
          <w:tcPr>
            <w:tcW w:w="11765" w:type="dxa"/>
          </w:tcPr>
          <w:p w14:paraId="38EAA474" w14:textId="035A0449" w:rsidR="008D3022" w:rsidRPr="00986DA9" w:rsidRDefault="008D3022" w:rsidP="009E76AF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Minist</w:t>
            </w:r>
            <w:r w:rsidR="00EF0C45" w:rsidRPr="00986DA9">
              <w:rPr>
                <w:rFonts w:cs="Times New Roman"/>
                <w:lang w:val="cs-CZ"/>
              </w:rPr>
              <w:t>erstvo průmyslu a</w:t>
            </w:r>
            <w:r w:rsidR="00ED66CE">
              <w:rPr>
                <w:rFonts w:cs="Times New Roman"/>
                <w:lang w:val="cs-CZ"/>
              </w:rPr>
              <w:t> </w:t>
            </w:r>
            <w:r w:rsidR="00EF0C45" w:rsidRPr="00986DA9">
              <w:rPr>
                <w:rFonts w:cs="Times New Roman"/>
                <w:lang w:val="cs-CZ"/>
              </w:rPr>
              <w:t>obchodu ČR</w:t>
            </w:r>
          </w:p>
        </w:tc>
      </w:tr>
      <w:tr w:rsidR="007958B5" w:rsidRPr="00986DA9" w14:paraId="2D1BFD6C" w14:textId="77777777" w:rsidTr="2B36153D">
        <w:tc>
          <w:tcPr>
            <w:tcW w:w="2405" w:type="dxa"/>
          </w:tcPr>
          <w:p w14:paraId="38E865BC" w14:textId="0497261A" w:rsidR="008D3022" w:rsidRPr="00986DA9" w:rsidRDefault="00D84FAB" w:rsidP="009E76AF">
            <w:pPr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Překážky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rizika</w:t>
            </w:r>
          </w:p>
        </w:tc>
        <w:tc>
          <w:tcPr>
            <w:tcW w:w="11765" w:type="dxa"/>
          </w:tcPr>
          <w:p w14:paraId="4693BF3A" w14:textId="71D8A509" w:rsidR="008D3022" w:rsidRPr="00986DA9" w:rsidRDefault="00EF0C45" w:rsidP="009E76AF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Rizikem je možnost rychlejšího výzkumu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vývoje ze strany mimoevropských konkurentů.</w:t>
            </w:r>
          </w:p>
        </w:tc>
      </w:tr>
      <w:tr w:rsidR="007958B5" w:rsidRPr="00986DA9" w14:paraId="51812DDB" w14:textId="77777777" w:rsidTr="2B36153D">
        <w:tc>
          <w:tcPr>
            <w:tcW w:w="2405" w:type="dxa"/>
          </w:tcPr>
          <w:p w14:paraId="25D5DA8C" w14:textId="7C962265" w:rsidR="008D3022" w:rsidRPr="00986DA9" w:rsidRDefault="00D84FAB" w:rsidP="009E76AF">
            <w:pPr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 w:eastAsia="cs-CZ"/>
              </w:rPr>
              <w:t>Cílové skupiny populace a</w:t>
            </w:r>
            <w:r w:rsidR="00ED66CE">
              <w:rPr>
                <w:rFonts w:cs="Times New Roman"/>
                <w:lang w:val="cs-CZ" w:eastAsia="cs-CZ"/>
              </w:rPr>
              <w:t> </w:t>
            </w:r>
            <w:r w:rsidRPr="00986DA9">
              <w:rPr>
                <w:rFonts w:cs="Times New Roman"/>
                <w:lang w:val="cs-CZ" w:eastAsia="cs-CZ"/>
              </w:rPr>
              <w:t>ekonomické subjekty</w:t>
            </w:r>
          </w:p>
        </w:tc>
        <w:tc>
          <w:tcPr>
            <w:tcW w:w="11765" w:type="dxa"/>
          </w:tcPr>
          <w:p w14:paraId="020ED22D" w14:textId="250CF5F1" w:rsidR="00EF0C45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Podniky (malé, střední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velké).</w:t>
            </w:r>
          </w:p>
          <w:p w14:paraId="0DA1ACFE" w14:textId="77777777" w:rsidR="00EF0C45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</w:p>
          <w:p w14:paraId="0E7638F0" w14:textId="1B335BA6" w:rsidR="00EF0C45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Cílovou skupinou jsou subjekty s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pozitivním dopadem na ekosystém, zejména malé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střední podniky, ale i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velké podniky. Jedná se o</w:t>
            </w:r>
            <w:r w:rsidR="00ED66CE">
              <w:rPr>
                <w:rFonts w:cs="Times New Roman"/>
                <w:lang w:val="cs-CZ"/>
              </w:rPr>
              <w:t> </w:t>
            </w:r>
            <w:r w:rsidR="008079E5" w:rsidRPr="00986DA9">
              <w:rPr>
                <w:rFonts w:cs="Times New Roman"/>
                <w:lang w:val="cs-CZ"/>
              </w:rPr>
              <w:t xml:space="preserve">významné </w:t>
            </w:r>
            <w:r w:rsidRPr="00986DA9">
              <w:rPr>
                <w:rFonts w:cs="Times New Roman"/>
                <w:lang w:val="cs-CZ"/>
              </w:rPr>
              <w:t>subjekty v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českém průmyslu, jejichž cílem je rozšířit dopad příslušných projektů IPCEI mimo jejich národní působnost do mezinárodního společenství.</w:t>
            </w:r>
          </w:p>
          <w:p w14:paraId="6872FD31" w14:textId="77777777" w:rsidR="00EF0C45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</w:p>
          <w:p w14:paraId="1E682EDF" w14:textId="77777777" w:rsidR="00EF0C45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DNSH</w:t>
            </w:r>
          </w:p>
          <w:p w14:paraId="7D76CC1B" w14:textId="3A2F75C5" w:rsidR="008D3022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Projekty IPCEI ze své podstaty naplňují princip DNSH. Všichni účastníci IPCEI museli během přípravy prokázat, že celý IPCEI je v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souladu se zásadou "</w:t>
            </w:r>
            <w:r w:rsidR="000F62D6" w:rsidRPr="00986DA9">
              <w:rPr>
                <w:rFonts w:cs="Times New Roman"/>
                <w:lang w:val="cs-CZ"/>
              </w:rPr>
              <w:t>významně nepoškozovat</w:t>
            </w:r>
            <w:r w:rsidRPr="00986DA9">
              <w:rPr>
                <w:rFonts w:cs="Times New Roman"/>
                <w:lang w:val="cs-CZ"/>
              </w:rPr>
              <w:t>" ve smyslu článku 17 nařízení (EU) 2020/852 nebo jiné srovnatelné metodiky.</w:t>
            </w:r>
          </w:p>
        </w:tc>
      </w:tr>
      <w:tr w:rsidR="007958B5" w:rsidRPr="00986DA9" w14:paraId="36236DDB" w14:textId="77777777" w:rsidTr="2B36153D">
        <w:tc>
          <w:tcPr>
            <w:tcW w:w="2405" w:type="dxa"/>
          </w:tcPr>
          <w:p w14:paraId="63C902BF" w14:textId="49107281" w:rsidR="008D3022" w:rsidRPr="00986DA9" w:rsidRDefault="00D84FAB" w:rsidP="009E76AF">
            <w:pPr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 w:eastAsia="cs-CZ"/>
              </w:rPr>
              <w:t>Souhrnné náklady realizace financované z</w:t>
            </w:r>
            <w:r w:rsidR="00ED66CE">
              <w:rPr>
                <w:rFonts w:cs="Times New Roman"/>
                <w:lang w:val="cs-CZ" w:eastAsia="cs-CZ"/>
              </w:rPr>
              <w:t> </w:t>
            </w:r>
            <w:r w:rsidRPr="00986DA9">
              <w:rPr>
                <w:rFonts w:cs="Times New Roman"/>
                <w:lang w:val="cs-CZ" w:eastAsia="cs-CZ"/>
              </w:rPr>
              <w:t>RRF za celé období</w:t>
            </w:r>
          </w:p>
        </w:tc>
        <w:tc>
          <w:tcPr>
            <w:tcW w:w="11765" w:type="dxa"/>
          </w:tcPr>
          <w:p w14:paraId="317B5193" w14:textId="0CCBC586" w:rsidR="008D3022" w:rsidRPr="00986DA9" w:rsidRDefault="66EE4999" w:rsidP="2B36153D">
            <w:pPr>
              <w:autoSpaceDE w:val="0"/>
              <w:autoSpaceDN w:val="0"/>
              <w:adjustRightInd w:val="0"/>
              <w:rPr>
                <w:rFonts w:cs="Times New Roman"/>
                <w:i/>
                <w:iCs/>
                <w:lang w:val="cs-CZ"/>
              </w:rPr>
            </w:pPr>
            <w:r w:rsidRPr="2B36153D">
              <w:rPr>
                <w:rFonts w:cs="Times New Roman"/>
                <w:lang w:val="cs-CZ"/>
              </w:rPr>
              <w:t>1</w:t>
            </w:r>
            <w:r w:rsidR="6762284D" w:rsidRPr="2B36153D">
              <w:rPr>
                <w:rFonts w:cs="Times New Roman"/>
                <w:lang w:val="cs-CZ"/>
              </w:rPr>
              <w:t xml:space="preserve"> </w:t>
            </w:r>
            <w:r w:rsidR="0488990B" w:rsidRPr="2B36153D">
              <w:rPr>
                <w:rFonts w:cs="Times New Roman"/>
                <w:lang w:val="cs-CZ"/>
              </w:rPr>
              <w:t>1</w:t>
            </w:r>
            <w:r w:rsidR="5845C2E5" w:rsidRPr="2B36153D">
              <w:rPr>
                <w:rFonts w:cs="Times New Roman"/>
                <w:lang w:val="cs-CZ"/>
              </w:rPr>
              <w:t>04</w:t>
            </w:r>
            <w:r w:rsidR="56AD8047" w:rsidRPr="2B36153D">
              <w:rPr>
                <w:rFonts w:cs="Times New Roman"/>
                <w:lang w:val="cs-CZ"/>
              </w:rPr>
              <w:t>,2</w:t>
            </w:r>
            <w:r w:rsidR="5845C2E5" w:rsidRPr="2B36153D">
              <w:rPr>
                <w:rFonts w:cs="Times New Roman"/>
                <w:lang w:val="cs-CZ"/>
              </w:rPr>
              <w:t xml:space="preserve"> </w:t>
            </w:r>
            <w:r w:rsidRPr="2B36153D">
              <w:rPr>
                <w:rFonts w:cs="Times New Roman"/>
                <w:lang w:val="cs-CZ"/>
              </w:rPr>
              <w:t>mil</w:t>
            </w:r>
            <w:r w:rsidR="2FD3F5D0" w:rsidRPr="2B36153D">
              <w:rPr>
                <w:rFonts w:cs="Times New Roman"/>
                <w:lang w:val="cs-CZ"/>
              </w:rPr>
              <w:t>.</w:t>
            </w:r>
            <w:r w:rsidRPr="2B36153D">
              <w:rPr>
                <w:rFonts w:cs="Times New Roman"/>
                <w:lang w:val="cs-CZ"/>
              </w:rPr>
              <w:t xml:space="preserve"> CZK </w:t>
            </w:r>
          </w:p>
          <w:p w14:paraId="62F5355D" w14:textId="77777777" w:rsidR="008D3022" w:rsidRPr="00986DA9" w:rsidRDefault="008D3022" w:rsidP="009E76AF">
            <w:pPr>
              <w:autoSpaceDE w:val="0"/>
              <w:autoSpaceDN w:val="0"/>
              <w:adjustRightInd w:val="0"/>
              <w:rPr>
                <w:rFonts w:cs="Times New Roman"/>
                <w:lang w:val="cs-CZ"/>
              </w:rPr>
            </w:pPr>
          </w:p>
          <w:p w14:paraId="740D1D21" w14:textId="77777777" w:rsidR="008D3022" w:rsidRPr="00986DA9" w:rsidRDefault="008D3022" w:rsidP="009E76AF">
            <w:pPr>
              <w:autoSpaceDE w:val="0"/>
              <w:autoSpaceDN w:val="0"/>
              <w:adjustRightInd w:val="0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 xml:space="preserve"> </w:t>
            </w:r>
          </w:p>
        </w:tc>
      </w:tr>
      <w:tr w:rsidR="007958B5" w:rsidRPr="00986DA9" w14:paraId="09CF8773" w14:textId="77777777" w:rsidTr="2B36153D">
        <w:tc>
          <w:tcPr>
            <w:tcW w:w="2405" w:type="dxa"/>
          </w:tcPr>
          <w:p w14:paraId="083A2F92" w14:textId="23916B1F" w:rsidR="008D3022" w:rsidRPr="00986DA9" w:rsidRDefault="00D84FAB" w:rsidP="009E76AF">
            <w:pPr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 w:eastAsia="cs-CZ"/>
              </w:rPr>
              <w:t>Dodržování pravidel státní podpory</w:t>
            </w:r>
          </w:p>
        </w:tc>
        <w:tc>
          <w:tcPr>
            <w:tcW w:w="11765" w:type="dxa"/>
          </w:tcPr>
          <w:p w14:paraId="777BE2BE" w14:textId="4A5E9E7B" w:rsidR="00EF0C45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Veřejná podpora přímých účastníků IPCEI závisí na rozhodnutích Evropské komise o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 xml:space="preserve">notifikaci, kdy jednotlivé členské státy notifikují podporu projektů začleněných do </w:t>
            </w:r>
            <w:r w:rsidRPr="00986DA9">
              <w:rPr>
                <w:rFonts w:cs="Times New Roman"/>
                <w:lang w:val="cs-CZ"/>
              </w:rPr>
              <w:lastRenderedPageBreak/>
              <w:t>komplexního projektu významného evropského zájmu. Komise schválila notifikaci IPCEI ME/CT dne 8. června 2023. Délka trvání notifikovaných projektů je 5 let.</w:t>
            </w:r>
          </w:p>
          <w:p w14:paraId="66B6965F" w14:textId="77777777" w:rsidR="00EF0C45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</w:p>
          <w:p w14:paraId="05B3A464" w14:textId="77777777" w:rsidR="00EF0C45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Pro tzv. nepřímé účastníky IPCEI se použijí pravidla GBER.</w:t>
            </w:r>
          </w:p>
          <w:p w14:paraId="66814F63" w14:textId="39BF6C21" w:rsidR="008D3022" w:rsidRPr="00986DA9" w:rsidRDefault="00EF0C45" w:rsidP="00EF0C4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Podmínky veřejné podpory budou zapracovány do dotačního programu / výzvy k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předkládání žádostí.</w:t>
            </w:r>
          </w:p>
        </w:tc>
      </w:tr>
      <w:tr w:rsidR="007958B5" w:rsidRPr="00986DA9" w14:paraId="4E7CBB61" w14:textId="77777777" w:rsidTr="2B36153D">
        <w:tc>
          <w:tcPr>
            <w:tcW w:w="2405" w:type="dxa"/>
          </w:tcPr>
          <w:p w14:paraId="798BEB44" w14:textId="697138A6" w:rsidR="008D3022" w:rsidRPr="00986DA9" w:rsidRDefault="00D84FAB" w:rsidP="009E76AF">
            <w:pPr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 w:eastAsia="cs-CZ"/>
              </w:rPr>
              <w:lastRenderedPageBreak/>
              <w:t>Uveďte dobu implementace</w:t>
            </w:r>
          </w:p>
        </w:tc>
        <w:tc>
          <w:tcPr>
            <w:tcW w:w="11765" w:type="dxa"/>
          </w:tcPr>
          <w:p w14:paraId="24290502" w14:textId="77777777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Milník CID</w:t>
            </w:r>
          </w:p>
          <w:p w14:paraId="54B1E834" w14:textId="3DD41043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i/>
                <w:lang w:val="cs-CZ"/>
              </w:rPr>
              <w:t>Název:</w:t>
            </w:r>
            <w:r w:rsidRPr="00986DA9">
              <w:rPr>
                <w:rFonts w:cs="Times New Roman"/>
                <w:lang w:val="cs-CZ"/>
              </w:rPr>
              <w:t xml:space="preserve"> Podpis </w:t>
            </w:r>
            <w:r w:rsidR="000716EB" w:rsidRPr="00986DA9">
              <w:rPr>
                <w:rFonts w:cs="Times New Roman"/>
                <w:lang w:val="cs-CZ"/>
              </w:rPr>
              <w:t xml:space="preserve">grantové dohody </w:t>
            </w:r>
            <w:r w:rsidRPr="00986DA9">
              <w:rPr>
                <w:rFonts w:cs="Times New Roman"/>
                <w:lang w:val="cs-CZ"/>
              </w:rPr>
              <w:t>žadatele o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dotaci v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rámci výzvy IPCEI ME/CT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zahájení projektů</w:t>
            </w:r>
          </w:p>
          <w:p w14:paraId="482601DC" w14:textId="77777777" w:rsidR="00EF0C45" w:rsidRPr="00986DA9" w:rsidRDefault="00EF0C45" w:rsidP="00EF0C45">
            <w:pPr>
              <w:pStyle w:val="Odstavecseseznamem"/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lang w:val="cs-CZ"/>
              </w:rPr>
            </w:pPr>
          </w:p>
          <w:p w14:paraId="75222F22" w14:textId="77777777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lang w:val="cs-CZ"/>
              </w:rPr>
            </w:pPr>
            <w:r w:rsidRPr="00986DA9">
              <w:rPr>
                <w:rFonts w:cs="Times New Roman"/>
                <w:i/>
                <w:lang w:val="cs-CZ"/>
              </w:rPr>
              <w:t>Kvalitativní ukazatele</w:t>
            </w:r>
          </w:p>
          <w:p w14:paraId="3B771FDE" w14:textId="74070953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Schválení výzvy k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předkládání žádostí o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grant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zahájení projektů</w:t>
            </w:r>
          </w:p>
          <w:p w14:paraId="640E4C81" w14:textId="77777777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i/>
                <w:lang w:val="cs-CZ"/>
              </w:rPr>
              <w:t>Orientační časový plán dokončení:</w:t>
            </w:r>
            <w:r w:rsidRPr="00986DA9">
              <w:rPr>
                <w:rFonts w:cs="Times New Roman"/>
                <w:lang w:val="cs-CZ"/>
              </w:rPr>
              <w:t xml:space="preserve"> Q2 / 2024</w:t>
            </w:r>
          </w:p>
          <w:p w14:paraId="1399EE4C" w14:textId="3D5B41B5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i/>
                <w:lang w:val="cs-CZ"/>
              </w:rPr>
              <w:t>Odpovědnost za podávání zpráv a</w:t>
            </w:r>
            <w:r w:rsidR="00ED66CE">
              <w:rPr>
                <w:rFonts w:cs="Times New Roman"/>
                <w:i/>
                <w:lang w:val="cs-CZ"/>
              </w:rPr>
              <w:t> </w:t>
            </w:r>
            <w:r w:rsidRPr="00986DA9">
              <w:rPr>
                <w:rFonts w:cs="Times New Roman"/>
                <w:i/>
                <w:lang w:val="cs-CZ"/>
              </w:rPr>
              <w:t>provádění</w:t>
            </w:r>
            <w:r w:rsidRPr="00986DA9">
              <w:rPr>
                <w:rFonts w:cs="Times New Roman"/>
                <w:lang w:val="cs-CZ"/>
              </w:rPr>
              <w:t>: Ministerstvo průmyslu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obchodu</w:t>
            </w:r>
          </w:p>
          <w:p w14:paraId="13578FA3" w14:textId="77777777" w:rsidR="00EF0C45" w:rsidRPr="00986DA9" w:rsidRDefault="00EF0C45" w:rsidP="00EF0C45">
            <w:pPr>
              <w:pStyle w:val="Odstavecseseznamem"/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lang w:val="cs-CZ"/>
              </w:rPr>
            </w:pPr>
          </w:p>
          <w:p w14:paraId="212E1245" w14:textId="6FE3922D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lang w:val="cs-CZ"/>
              </w:rPr>
            </w:pPr>
            <w:r w:rsidRPr="00986DA9">
              <w:rPr>
                <w:rFonts w:cs="Times New Roman"/>
                <w:i/>
                <w:lang w:val="cs-CZ"/>
              </w:rPr>
              <w:t>Popis a</w:t>
            </w:r>
            <w:r w:rsidR="00ED66CE">
              <w:rPr>
                <w:rFonts w:cs="Times New Roman"/>
                <w:i/>
                <w:lang w:val="cs-CZ"/>
              </w:rPr>
              <w:t> </w:t>
            </w:r>
            <w:r w:rsidRPr="00986DA9">
              <w:rPr>
                <w:rFonts w:cs="Times New Roman"/>
                <w:i/>
                <w:lang w:val="cs-CZ"/>
              </w:rPr>
              <w:t>jasné vymezení milníku:</w:t>
            </w:r>
          </w:p>
          <w:p w14:paraId="7F7FA16D" w14:textId="46FC948F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Investice je zaměřena na podporu českých účastníků IPCEI ME/CT za účelem posílení rozvoje v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oblasti mikroelektroniky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komunikačních technologií.</w:t>
            </w:r>
          </w:p>
          <w:p w14:paraId="5E60D3EC" w14:textId="77777777" w:rsidR="00EF0C45" w:rsidRPr="00986DA9" w:rsidRDefault="00EF0C45" w:rsidP="00EF0C45">
            <w:pPr>
              <w:pStyle w:val="Odstavecseseznamem"/>
              <w:autoSpaceDE w:val="0"/>
              <w:autoSpaceDN w:val="0"/>
              <w:adjustRightInd w:val="0"/>
              <w:jc w:val="both"/>
              <w:rPr>
                <w:rFonts w:cs="Times New Roman"/>
                <w:color w:val="auto"/>
                <w:lang w:val="cs-CZ"/>
              </w:rPr>
            </w:pPr>
          </w:p>
          <w:p w14:paraId="43AEF25B" w14:textId="77777777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i/>
                <w:lang w:val="cs-CZ"/>
              </w:rPr>
            </w:pPr>
            <w:r w:rsidRPr="00986DA9">
              <w:rPr>
                <w:rFonts w:cs="Times New Roman"/>
                <w:i/>
                <w:lang w:val="cs-CZ"/>
              </w:rPr>
              <w:t xml:space="preserve">Mechanismus ověřování: </w:t>
            </w:r>
          </w:p>
          <w:p w14:paraId="29945CEF" w14:textId="77777777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 xml:space="preserve">Souhrnný dokument řádně zdůvodňující, jak byl milník uspokojivě splněn. Tento dokument musí obsahovat následující doklady: </w:t>
            </w:r>
          </w:p>
          <w:p w14:paraId="3BBE086D" w14:textId="20B4BBE0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 xml:space="preserve">- </w:t>
            </w:r>
            <w:r w:rsidR="000716EB" w:rsidRPr="00986DA9">
              <w:rPr>
                <w:rFonts w:cs="Times New Roman"/>
                <w:lang w:val="cs-CZ"/>
              </w:rPr>
              <w:t>k</w:t>
            </w:r>
            <w:r w:rsidRPr="00986DA9">
              <w:rPr>
                <w:rFonts w:cs="Times New Roman"/>
                <w:lang w:val="cs-CZ"/>
              </w:rPr>
              <w:t>opi</w:t>
            </w:r>
            <w:r w:rsidR="000716EB" w:rsidRPr="00986DA9">
              <w:rPr>
                <w:rFonts w:cs="Times New Roman"/>
                <w:lang w:val="cs-CZ"/>
              </w:rPr>
              <w:t>i</w:t>
            </w:r>
            <w:r w:rsidRPr="00986DA9">
              <w:rPr>
                <w:rFonts w:cs="Times New Roman"/>
                <w:lang w:val="cs-CZ"/>
              </w:rPr>
              <w:t xml:space="preserve"> zveřejnění výzvy</w:t>
            </w:r>
          </w:p>
          <w:p w14:paraId="04562201" w14:textId="2D950360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- kopi</w:t>
            </w:r>
            <w:r w:rsidR="000716EB" w:rsidRPr="00986DA9">
              <w:rPr>
                <w:rFonts w:cs="Times New Roman"/>
                <w:lang w:val="cs-CZ"/>
              </w:rPr>
              <w:t>i</w:t>
            </w:r>
            <w:r w:rsidRPr="00986DA9">
              <w:rPr>
                <w:rFonts w:cs="Times New Roman"/>
                <w:lang w:val="cs-CZ"/>
              </w:rPr>
              <w:t xml:space="preserve"> podpisu grantové dohody na každého žadatele o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projekt</w:t>
            </w:r>
          </w:p>
          <w:p w14:paraId="7763431F" w14:textId="097901AA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>- doklad o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 xml:space="preserve">zahájení každého projektu </w:t>
            </w:r>
          </w:p>
          <w:p w14:paraId="3612F665" w14:textId="6951FEE6" w:rsidR="00EF0C45" w:rsidRPr="00986DA9" w:rsidRDefault="00EF0C45" w:rsidP="008079E5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cs-CZ"/>
              </w:rPr>
            </w:pPr>
            <w:r w:rsidRPr="00986DA9">
              <w:rPr>
                <w:rFonts w:cs="Times New Roman"/>
                <w:lang w:val="cs-CZ"/>
              </w:rPr>
              <w:t xml:space="preserve">- </w:t>
            </w:r>
            <w:r w:rsidR="000716EB" w:rsidRPr="00986DA9">
              <w:rPr>
                <w:rFonts w:cs="Times New Roman"/>
                <w:lang w:val="cs-CZ"/>
              </w:rPr>
              <w:t>p</w:t>
            </w:r>
            <w:r w:rsidRPr="00986DA9">
              <w:rPr>
                <w:rFonts w:cs="Times New Roman"/>
                <w:lang w:val="cs-CZ"/>
              </w:rPr>
              <w:t>lán postupu realizace projektu včetně výstupů projektu až do jeho ukončení pro každý projekt, doplněný o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kladné posouzení Ministerstva průmyslu a</w:t>
            </w:r>
            <w:r w:rsidR="00ED66CE">
              <w:rPr>
                <w:rFonts w:cs="Times New Roman"/>
                <w:lang w:val="cs-CZ"/>
              </w:rPr>
              <w:t> </w:t>
            </w:r>
            <w:r w:rsidRPr="00986DA9">
              <w:rPr>
                <w:rFonts w:cs="Times New Roman"/>
                <w:lang w:val="cs-CZ"/>
              </w:rPr>
              <w:t>obchodu ČR před podáním žádosti.</w:t>
            </w:r>
          </w:p>
          <w:p w14:paraId="22CCA04E" w14:textId="520A9D97" w:rsidR="000716EB" w:rsidRPr="00986DA9" w:rsidRDefault="2FD3F5D0" w:rsidP="2B36153D">
            <w:pPr>
              <w:jc w:val="both"/>
              <w:rPr>
                <w:rFonts w:cs="Times New Roman"/>
                <w:lang w:val="cs-CZ"/>
              </w:rPr>
            </w:pPr>
            <w:r w:rsidRPr="2B36153D">
              <w:rPr>
                <w:rFonts w:cs="Times New Roman"/>
                <w:lang w:val="cs-CZ"/>
              </w:rPr>
              <w:t xml:space="preserve">- </w:t>
            </w:r>
            <w:bookmarkStart w:id="4" w:name="_Hlk136865780"/>
          </w:p>
          <w:p w14:paraId="1D793015" w14:textId="43EF47C7" w:rsidR="00177D03" w:rsidRPr="00986DA9" w:rsidRDefault="00177D03" w:rsidP="00177D03">
            <w:pPr>
              <w:jc w:val="both"/>
              <w:rPr>
                <w:rFonts w:eastAsia="Times New Roman" w:cs="Times New Roman"/>
                <w:lang w:val="cs-CZ"/>
              </w:rPr>
            </w:pPr>
            <w:r w:rsidRPr="00986DA9">
              <w:rPr>
                <w:rFonts w:eastAsia="Times New Roman" w:cs="Times New Roman"/>
                <w:lang w:val="cs-CZ"/>
              </w:rPr>
              <w:t>Cíl CID</w:t>
            </w:r>
          </w:p>
          <w:p w14:paraId="4D3652D8" w14:textId="7D9B6C81" w:rsidR="00177D03" w:rsidRPr="00986DA9" w:rsidRDefault="02A2C83C" w:rsidP="00177D03">
            <w:pPr>
              <w:jc w:val="both"/>
              <w:rPr>
                <w:rFonts w:eastAsia="Times New Roman" w:cs="Times New Roman"/>
                <w:lang w:val="cs-CZ"/>
              </w:rPr>
            </w:pPr>
            <w:r w:rsidRPr="2B36153D">
              <w:rPr>
                <w:rFonts w:eastAsia="Times New Roman" w:cs="Times New Roman"/>
                <w:i/>
                <w:iCs/>
                <w:lang w:val="cs-CZ"/>
              </w:rPr>
              <w:t>Název</w:t>
            </w:r>
            <w:r w:rsidRPr="2B36153D">
              <w:rPr>
                <w:rFonts w:eastAsia="Times New Roman" w:cs="Times New Roman"/>
                <w:lang w:val="cs-CZ"/>
              </w:rPr>
              <w:t>: Vyvinutí pilotních řešení</w:t>
            </w:r>
          </w:p>
          <w:p w14:paraId="381511AB" w14:textId="77777777" w:rsidR="00177D03" w:rsidRPr="00986DA9" w:rsidRDefault="00177D03" w:rsidP="00177D03">
            <w:pPr>
              <w:jc w:val="both"/>
              <w:rPr>
                <w:rFonts w:eastAsia="Times New Roman" w:cs="Times New Roman"/>
                <w:lang w:val="cs-CZ"/>
              </w:rPr>
            </w:pPr>
          </w:p>
          <w:p w14:paraId="1B53A7DD" w14:textId="77777777" w:rsidR="00177D03" w:rsidRPr="00986DA9" w:rsidRDefault="00177D03" w:rsidP="00177D03">
            <w:pPr>
              <w:jc w:val="both"/>
              <w:rPr>
                <w:rFonts w:eastAsia="Times New Roman" w:cs="Times New Roman"/>
                <w:i/>
                <w:lang w:val="cs-CZ"/>
              </w:rPr>
            </w:pPr>
            <w:r w:rsidRPr="00986DA9">
              <w:rPr>
                <w:rFonts w:eastAsia="Times New Roman" w:cs="Times New Roman"/>
                <w:i/>
                <w:lang w:val="cs-CZ"/>
              </w:rPr>
              <w:t xml:space="preserve">Kvantitativní ukazatele </w:t>
            </w:r>
          </w:p>
          <w:p w14:paraId="735B7B7C" w14:textId="77777777" w:rsidR="00177D03" w:rsidRPr="00986DA9" w:rsidRDefault="00177D03" w:rsidP="00177D03">
            <w:pPr>
              <w:jc w:val="both"/>
              <w:rPr>
                <w:rFonts w:eastAsia="Times New Roman" w:cs="Times New Roman"/>
                <w:lang w:val="cs-CZ"/>
              </w:rPr>
            </w:pPr>
            <w:r w:rsidRPr="00986DA9">
              <w:rPr>
                <w:rFonts w:eastAsia="Times New Roman" w:cs="Times New Roman"/>
                <w:i/>
                <w:lang w:val="cs-CZ"/>
              </w:rPr>
              <w:t>Měrná jednotka</w:t>
            </w:r>
            <w:r w:rsidRPr="00986DA9">
              <w:rPr>
                <w:rFonts w:eastAsia="Times New Roman" w:cs="Times New Roman"/>
                <w:lang w:val="cs-CZ"/>
              </w:rPr>
              <w:t xml:space="preserve">: Počet </w:t>
            </w:r>
          </w:p>
          <w:p w14:paraId="179D38B7" w14:textId="77777777" w:rsidR="00177D03" w:rsidRPr="00986DA9" w:rsidRDefault="00177D03" w:rsidP="00177D03">
            <w:pPr>
              <w:jc w:val="both"/>
              <w:rPr>
                <w:rFonts w:eastAsia="Times New Roman" w:cs="Times New Roman"/>
                <w:lang w:val="cs-CZ"/>
              </w:rPr>
            </w:pPr>
            <w:r w:rsidRPr="00986DA9">
              <w:rPr>
                <w:rFonts w:eastAsia="Times New Roman" w:cs="Times New Roman"/>
                <w:i/>
                <w:lang w:val="cs-CZ"/>
              </w:rPr>
              <w:t>Výchozí hodnota</w:t>
            </w:r>
            <w:r w:rsidRPr="00986DA9">
              <w:rPr>
                <w:rFonts w:eastAsia="Times New Roman" w:cs="Times New Roman"/>
                <w:lang w:val="cs-CZ"/>
              </w:rPr>
              <w:t>: 0</w:t>
            </w:r>
          </w:p>
          <w:p w14:paraId="059570EB" w14:textId="4DA16898" w:rsidR="00177D03" w:rsidRPr="00986DA9" w:rsidRDefault="00177D03" w:rsidP="00177D03">
            <w:pPr>
              <w:jc w:val="both"/>
              <w:rPr>
                <w:rFonts w:eastAsia="Times New Roman" w:cs="Times New Roman"/>
                <w:lang w:val="cs-CZ"/>
              </w:rPr>
            </w:pPr>
            <w:r w:rsidRPr="00986DA9">
              <w:rPr>
                <w:rFonts w:eastAsia="Times New Roman" w:cs="Times New Roman"/>
                <w:i/>
                <w:lang w:val="cs-CZ"/>
              </w:rPr>
              <w:t>Cíl</w:t>
            </w:r>
            <w:r w:rsidRPr="00986DA9">
              <w:rPr>
                <w:rFonts w:eastAsia="Times New Roman" w:cs="Times New Roman"/>
                <w:lang w:val="cs-CZ"/>
              </w:rPr>
              <w:t>:</w:t>
            </w:r>
            <w:r w:rsidR="000716EB" w:rsidRPr="00986DA9">
              <w:rPr>
                <w:rFonts w:eastAsia="Times New Roman" w:cs="Times New Roman"/>
                <w:lang w:val="cs-CZ"/>
              </w:rPr>
              <w:t xml:space="preserve"> </w:t>
            </w:r>
            <w:r w:rsidRPr="00986DA9">
              <w:rPr>
                <w:rFonts w:eastAsia="Times New Roman" w:cs="Times New Roman"/>
                <w:lang w:val="cs-CZ"/>
              </w:rPr>
              <w:t>alespoň 1 pilotní řešení na projekt</w:t>
            </w:r>
          </w:p>
          <w:p w14:paraId="51198FD5" w14:textId="77777777" w:rsidR="00177D03" w:rsidRPr="00986DA9" w:rsidRDefault="00177D03" w:rsidP="00177D03">
            <w:pPr>
              <w:jc w:val="both"/>
              <w:rPr>
                <w:rFonts w:eastAsia="Times New Roman" w:cs="Times New Roman"/>
                <w:lang w:val="cs-CZ"/>
              </w:rPr>
            </w:pPr>
          </w:p>
          <w:p w14:paraId="5CAFBB83" w14:textId="1C5F9009" w:rsidR="00177D03" w:rsidRPr="00986DA9" w:rsidRDefault="02A2C83C" w:rsidP="00177D03">
            <w:pPr>
              <w:jc w:val="both"/>
              <w:rPr>
                <w:rFonts w:eastAsia="Times New Roman" w:cs="Times New Roman"/>
                <w:lang w:val="cs-CZ"/>
              </w:rPr>
            </w:pPr>
            <w:r w:rsidRPr="2B36153D">
              <w:rPr>
                <w:rFonts w:eastAsia="Times New Roman" w:cs="Times New Roman"/>
                <w:i/>
                <w:iCs/>
                <w:lang w:val="cs-CZ"/>
              </w:rPr>
              <w:t>Orientační časový plán dokončení</w:t>
            </w:r>
            <w:r w:rsidRPr="2B36153D">
              <w:rPr>
                <w:rFonts w:eastAsia="Times New Roman" w:cs="Times New Roman"/>
                <w:lang w:val="cs-CZ"/>
              </w:rPr>
              <w:t>: Q</w:t>
            </w:r>
            <w:r w:rsidR="6CB9497F" w:rsidRPr="2B36153D">
              <w:rPr>
                <w:rFonts w:eastAsia="Times New Roman" w:cs="Times New Roman"/>
                <w:lang w:val="cs-CZ"/>
              </w:rPr>
              <w:t>2</w:t>
            </w:r>
            <w:r w:rsidRPr="2B36153D">
              <w:rPr>
                <w:rFonts w:eastAsia="Times New Roman" w:cs="Times New Roman"/>
                <w:lang w:val="cs-CZ"/>
              </w:rPr>
              <w:t xml:space="preserve"> / 202</w:t>
            </w:r>
            <w:r w:rsidR="690920B0" w:rsidRPr="2B36153D">
              <w:rPr>
                <w:rFonts w:eastAsia="Times New Roman" w:cs="Times New Roman"/>
                <w:lang w:val="cs-CZ"/>
              </w:rPr>
              <w:t>6</w:t>
            </w:r>
          </w:p>
          <w:p w14:paraId="5CB98853" w14:textId="219CB427" w:rsidR="00177D03" w:rsidRPr="00986DA9" w:rsidRDefault="00177D03" w:rsidP="00177D03">
            <w:pPr>
              <w:jc w:val="both"/>
              <w:rPr>
                <w:rFonts w:eastAsia="Times New Roman" w:cs="Times New Roman"/>
                <w:lang w:val="cs-CZ"/>
              </w:rPr>
            </w:pPr>
            <w:r w:rsidRPr="00986DA9">
              <w:rPr>
                <w:rFonts w:eastAsia="Times New Roman" w:cs="Times New Roman"/>
                <w:i/>
                <w:lang w:val="cs-CZ"/>
              </w:rPr>
              <w:t>Odpovědnost za podávání zpráv a</w:t>
            </w:r>
            <w:r w:rsidR="00ED66CE">
              <w:rPr>
                <w:rFonts w:eastAsia="Times New Roman" w:cs="Times New Roman"/>
                <w:i/>
                <w:lang w:val="cs-CZ"/>
              </w:rPr>
              <w:t> </w:t>
            </w:r>
            <w:r w:rsidRPr="00986DA9">
              <w:rPr>
                <w:rFonts w:eastAsia="Times New Roman" w:cs="Times New Roman"/>
                <w:i/>
                <w:lang w:val="cs-CZ"/>
              </w:rPr>
              <w:t>provádění:</w:t>
            </w:r>
            <w:r w:rsidRPr="00986DA9">
              <w:rPr>
                <w:rFonts w:eastAsia="Times New Roman" w:cs="Times New Roman"/>
                <w:lang w:val="cs-CZ"/>
              </w:rPr>
              <w:t xml:space="preserve"> Ministerstvo průmyslu a</w:t>
            </w:r>
            <w:r w:rsidR="00ED66CE">
              <w:rPr>
                <w:rFonts w:eastAsia="Times New Roman" w:cs="Times New Roman"/>
                <w:lang w:val="cs-CZ"/>
              </w:rPr>
              <w:t> </w:t>
            </w:r>
            <w:r w:rsidRPr="00986DA9">
              <w:rPr>
                <w:rFonts w:eastAsia="Times New Roman" w:cs="Times New Roman"/>
                <w:lang w:val="cs-CZ"/>
              </w:rPr>
              <w:t>obchodu</w:t>
            </w:r>
          </w:p>
          <w:p w14:paraId="54AFBC08" w14:textId="77777777" w:rsidR="00177D03" w:rsidRPr="00986DA9" w:rsidRDefault="00177D03" w:rsidP="00177D03">
            <w:pPr>
              <w:jc w:val="both"/>
              <w:rPr>
                <w:rFonts w:eastAsia="Times New Roman" w:cs="Times New Roman"/>
                <w:lang w:val="cs-CZ"/>
              </w:rPr>
            </w:pPr>
          </w:p>
          <w:p w14:paraId="74CD5D9D" w14:textId="134BD4CA" w:rsidR="00177D03" w:rsidRPr="00986DA9" w:rsidRDefault="00177D03" w:rsidP="00177D03">
            <w:pPr>
              <w:jc w:val="both"/>
              <w:rPr>
                <w:rFonts w:eastAsia="Times New Roman" w:cs="Times New Roman"/>
                <w:i/>
                <w:lang w:val="cs-CZ"/>
              </w:rPr>
            </w:pPr>
            <w:r w:rsidRPr="00986DA9">
              <w:rPr>
                <w:rFonts w:eastAsia="Times New Roman" w:cs="Times New Roman"/>
                <w:i/>
                <w:lang w:val="cs-CZ"/>
              </w:rPr>
              <w:t>Popis a</w:t>
            </w:r>
            <w:r w:rsidR="00ED66CE">
              <w:rPr>
                <w:rFonts w:eastAsia="Times New Roman" w:cs="Times New Roman"/>
                <w:i/>
                <w:lang w:val="cs-CZ"/>
              </w:rPr>
              <w:t> </w:t>
            </w:r>
            <w:r w:rsidRPr="00986DA9">
              <w:rPr>
                <w:rFonts w:eastAsia="Times New Roman" w:cs="Times New Roman"/>
                <w:i/>
                <w:lang w:val="cs-CZ"/>
              </w:rPr>
              <w:t>jasné vymezení cíle:</w:t>
            </w:r>
          </w:p>
          <w:p w14:paraId="6726CD48" w14:textId="24940A1D" w:rsidR="008D3022" w:rsidRPr="00986DA9" w:rsidRDefault="02A2C83C" w:rsidP="00177D03">
            <w:pPr>
              <w:jc w:val="both"/>
              <w:rPr>
                <w:rFonts w:eastAsia="Times New Roman" w:cs="Times New Roman"/>
                <w:lang w:val="cs-CZ"/>
              </w:rPr>
            </w:pPr>
            <w:r w:rsidRPr="2B36153D">
              <w:rPr>
                <w:rFonts w:eastAsia="Times New Roman" w:cs="Times New Roman"/>
                <w:lang w:val="cs-CZ"/>
              </w:rPr>
              <w:t>Počet pilotních řešení v</w:t>
            </w:r>
            <w:r w:rsidR="00ED66CE">
              <w:rPr>
                <w:rFonts w:eastAsia="Times New Roman" w:cs="Times New Roman"/>
                <w:lang w:val="cs-CZ"/>
              </w:rPr>
              <w:t> </w:t>
            </w:r>
            <w:r w:rsidRPr="2B36153D">
              <w:rPr>
                <w:rFonts w:eastAsia="Times New Roman" w:cs="Times New Roman"/>
                <w:lang w:val="cs-CZ"/>
              </w:rPr>
              <w:t>oblasti mikroelektroniky a</w:t>
            </w:r>
            <w:r w:rsidR="00ED66CE">
              <w:rPr>
                <w:rFonts w:eastAsia="Times New Roman" w:cs="Times New Roman"/>
                <w:lang w:val="cs-CZ"/>
              </w:rPr>
              <w:t> </w:t>
            </w:r>
            <w:r w:rsidRPr="2B36153D">
              <w:rPr>
                <w:rFonts w:eastAsia="Times New Roman" w:cs="Times New Roman"/>
                <w:lang w:val="cs-CZ"/>
              </w:rPr>
              <w:t>komunikačních technologií vyvinutých v</w:t>
            </w:r>
            <w:r w:rsidR="00ED66CE">
              <w:rPr>
                <w:rFonts w:eastAsia="Times New Roman" w:cs="Times New Roman"/>
                <w:lang w:val="cs-CZ"/>
              </w:rPr>
              <w:t> </w:t>
            </w:r>
            <w:r w:rsidRPr="2B36153D">
              <w:rPr>
                <w:rFonts w:eastAsia="Times New Roman" w:cs="Times New Roman"/>
                <w:lang w:val="cs-CZ"/>
              </w:rPr>
              <w:t>rámci IPCEI ME/CT a</w:t>
            </w:r>
            <w:r w:rsidR="00ED66CE">
              <w:rPr>
                <w:rFonts w:eastAsia="Times New Roman" w:cs="Times New Roman"/>
                <w:lang w:val="cs-CZ"/>
              </w:rPr>
              <w:t> </w:t>
            </w:r>
            <w:r w:rsidRPr="2B36153D">
              <w:rPr>
                <w:rFonts w:eastAsia="Times New Roman" w:cs="Times New Roman"/>
                <w:lang w:val="cs-CZ"/>
              </w:rPr>
              <w:t>jeho ekosystému s</w:t>
            </w:r>
            <w:r w:rsidR="00ED66CE">
              <w:rPr>
                <w:rFonts w:eastAsia="Times New Roman" w:cs="Times New Roman"/>
                <w:lang w:val="cs-CZ"/>
              </w:rPr>
              <w:t> </w:t>
            </w:r>
            <w:r w:rsidRPr="2B36153D">
              <w:rPr>
                <w:rFonts w:eastAsia="Times New Roman" w:cs="Times New Roman"/>
                <w:lang w:val="cs-CZ"/>
              </w:rPr>
              <w:t>cílem dosáhnout vedoucího postavení v</w:t>
            </w:r>
            <w:r w:rsidR="00ED66CE">
              <w:rPr>
                <w:rFonts w:eastAsia="Times New Roman" w:cs="Times New Roman"/>
                <w:lang w:val="cs-CZ"/>
              </w:rPr>
              <w:t> </w:t>
            </w:r>
            <w:r w:rsidRPr="2B36153D">
              <w:rPr>
                <w:rFonts w:eastAsia="Times New Roman" w:cs="Times New Roman"/>
                <w:lang w:val="cs-CZ"/>
              </w:rPr>
              <w:t>Evropě při vývoji, navrhování, zavádění a</w:t>
            </w:r>
            <w:r w:rsidR="00ED66CE">
              <w:rPr>
                <w:rFonts w:eastAsia="Times New Roman" w:cs="Times New Roman"/>
                <w:lang w:val="cs-CZ"/>
              </w:rPr>
              <w:t> </w:t>
            </w:r>
            <w:r w:rsidRPr="2B36153D">
              <w:rPr>
                <w:rFonts w:eastAsia="Times New Roman" w:cs="Times New Roman"/>
                <w:lang w:val="cs-CZ"/>
              </w:rPr>
              <w:t>používání nových technologií, produktů a</w:t>
            </w:r>
            <w:r w:rsidR="00ED66CE">
              <w:rPr>
                <w:rFonts w:eastAsia="Times New Roman" w:cs="Times New Roman"/>
                <w:lang w:val="cs-CZ"/>
              </w:rPr>
              <w:t> </w:t>
            </w:r>
            <w:r w:rsidRPr="2B36153D">
              <w:rPr>
                <w:rFonts w:eastAsia="Times New Roman" w:cs="Times New Roman"/>
                <w:lang w:val="cs-CZ"/>
              </w:rPr>
              <w:t>služeb.</w:t>
            </w:r>
          </w:p>
          <w:bookmarkEnd w:id="4"/>
          <w:p w14:paraId="08C9D9DC" w14:textId="75581B49" w:rsidR="2B36153D" w:rsidRDefault="2B36153D" w:rsidP="2B36153D">
            <w:pPr>
              <w:jc w:val="both"/>
              <w:rPr>
                <w:rFonts w:cs="Times New Roman"/>
                <w:i/>
                <w:iCs/>
                <w:lang w:val="cs-CZ"/>
              </w:rPr>
            </w:pPr>
          </w:p>
          <w:p w14:paraId="41FA242C" w14:textId="77777777" w:rsidR="00177D03" w:rsidRPr="00986DA9" w:rsidRDefault="00177D03" w:rsidP="00177D03">
            <w:pPr>
              <w:jc w:val="both"/>
              <w:rPr>
                <w:rFonts w:cs="Times New Roman"/>
                <w:i/>
                <w:lang w:val="cs-CZ"/>
              </w:rPr>
            </w:pPr>
            <w:r w:rsidRPr="00986DA9">
              <w:rPr>
                <w:rFonts w:cs="Times New Roman"/>
                <w:i/>
                <w:lang w:val="cs-CZ"/>
              </w:rPr>
              <w:t xml:space="preserve">Mechanismus ověřování: </w:t>
            </w:r>
          </w:p>
          <w:p w14:paraId="27A6DC3A" w14:textId="76EB7DFA" w:rsidR="00177D03" w:rsidRPr="00986DA9" w:rsidRDefault="02A2C83C" w:rsidP="00177D03">
            <w:pPr>
              <w:jc w:val="both"/>
              <w:rPr>
                <w:rFonts w:cs="Times New Roman"/>
                <w:lang w:val="cs-CZ"/>
              </w:rPr>
            </w:pPr>
            <w:r w:rsidRPr="2B36153D">
              <w:rPr>
                <w:rFonts w:cs="Times New Roman"/>
                <w:lang w:val="cs-CZ"/>
              </w:rPr>
              <w:t>Dokument, který řádně zdůvodňuje, jak byl cíl uspokojivě splněn,</w:t>
            </w:r>
            <w:r w:rsidR="574C5EBF" w:rsidRPr="2B36153D">
              <w:rPr>
                <w:rFonts w:cs="Times New Roman"/>
                <w:lang w:val="cs-CZ"/>
              </w:rPr>
              <w:t xml:space="preserve"> </w:t>
            </w:r>
            <w:r w:rsidRPr="2B36153D">
              <w:rPr>
                <w:rFonts w:cs="Times New Roman"/>
                <w:lang w:val="cs-CZ"/>
              </w:rPr>
              <w:t>včetně</w:t>
            </w:r>
            <w:r w:rsidR="55B3CB29" w:rsidRPr="2B36153D">
              <w:rPr>
                <w:rFonts w:cs="Times New Roman"/>
                <w:lang w:val="cs-CZ"/>
              </w:rPr>
              <w:t xml:space="preserve"> </w:t>
            </w:r>
            <w:r w:rsidRPr="2B36153D">
              <w:rPr>
                <w:rFonts w:cs="Times New Roman"/>
                <w:lang w:val="cs-CZ"/>
              </w:rPr>
              <w:t>technick</w:t>
            </w:r>
            <w:r w:rsidR="7CE9814F" w:rsidRPr="2B36153D">
              <w:rPr>
                <w:rFonts w:cs="Times New Roman"/>
                <w:lang w:val="cs-CZ"/>
              </w:rPr>
              <w:t>é</w:t>
            </w:r>
            <w:r w:rsidRPr="2B36153D">
              <w:rPr>
                <w:rFonts w:cs="Times New Roman"/>
                <w:lang w:val="cs-CZ"/>
              </w:rPr>
              <w:t xml:space="preserve"> zpráv</w:t>
            </w:r>
            <w:r w:rsidR="6EC08A28" w:rsidRPr="2B36153D">
              <w:rPr>
                <w:rFonts w:cs="Times New Roman"/>
                <w:lang w:val="cs-CZ"/>
              </w:rPr>
              <w:t>y</w:t>
            </w:r>
            <w:r w:rsidRPr="2B36153D">
              <w:rPr>
                <w:rFonts w:cs="Times New Roman"/>
                <w:lang w:val="cs-CZ"/>
              </w:rPr>
              <w:t xml:space="preserve"> o</w:t>
            </w:r>
            <w:r w:rsidR="00ED66CE">
              <w:rPr>
                <w:rFonts w:cs="Times New Roman"/>
                <w:lang w:val="cs-CZ"/>
              </w:rPr>
              <w:t> </w:t>
            </w:r>
            <w:r w:rsidRPr="2B36153D">
              <w:rPr>
                <w:rFonts w:cs="Times New Roman"/>
                <w:lang w:val="cs-CZ"/>
              </w:rPr>
              <w:t>vyvinutém pilotním řešení (řešeních) na projekt</w:t>
            </w:r>
            <w:r w:rsidR="5DB2F523" w:rsidRPr="2B36153D">
              <w:rPr>
                <w:rFonts w:cs="Times New Roman"/>
                <w:lang w:val="cs-CZ"/>
              </w:rPr>
              <w:t>.</w:t>
            </w:r>
          </w:p>
          <w:p w14:paraId="56347835" w14:textId="27939758" w:rsidR="00177D03" w:rsidRPr="00986DA9" w:rsidRDefault="00177D03" w:rsidP="00177D03">
            <w:pPr>
              <w:jc w:val="both"/>
              <w:rPr>
                <w:rFonts w:cs="Times New Roman"/>
                <w:lang w:val="cs-CZ"/>
              </w:rPr>
            </w:pPr>
          </w:p>
          <w:p w14:paraId="0A3C8310" w14:textId="60B016C4" w:rsidR="008D3022" w:rsidRPr="00986DA9" w:rsidRDefault="008D3022" w:rsidP="2B36153D">
            <w:pPr>
              <w:jc w:val="both"/>
              <w:rPr>
                <w:rFonts w:cs="Times New Roman"/>
                <w:lang w:val="cs-CZ"/>
              </w:rPr>
            </w:pPr>
          </w:p>
        </w:tc>
      </w:tr>
    </w:tbl>
    <w:p w14:paraId="480B4E53" w14:textId="77777777" w:rsidR="008D3022" w:rsidRPr="00986DA9" w:rsidRDefault="008D3022" w:rsidP="00E60FC3">
      <w:pPr>
        <w:spacing w:after="120" w:line="276" w:lineRule="auto"/>
        <w:jc w:val="both"/>
        <w:rPr>
          <w:rFonts w:ascii="Times New Roman" w:eastAsia="Times New Roman" w:hAnsi="Times New Roman" w:cs="Times New Roman"/>
        </w:rPr>
      </w:pPr>
    </w:p>
    <w:p w14:paraId="26914627" w14:textId="77777777" w:rsidR="33A14FD8" w:rsidRPr="007958B5" w:rsidRDefault="33A14FD8" w:rsidP="33A14FD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</w:rPr>
      </w:pPr>
    </w:p>
    <w:p w14:paraId="2E3D008A" w14:textId="745B3908" w:rsidR="00AD2464" w:rsidRPr="007958B5" w:rsidRDefault="00AD2464" w:rsidP="00AD2464">
      <w:pPr>
        <w:keepNext/>
        <w:keepLines/>
        <w:spacing w:before="160" w:line="240" w:lineRule="auto"/>
        <w:outlineLvl w:val="1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4. Strategická autonomie a</w:t>
      </w:r>
      <w:r w:rsidR="00ED66CE">
        <w:rPr>
          <w:rFonts w:eastAsia="Times New Roman" w:cstheme="minorHAnsi"/>
          <w:b/>
        </w:rPr>
        <w:t> </w:t>
      </w:r>
      <w:r w:rsidRPr="007958B5">
        <w:rPr>
          <w:rFonts w:eastAsia="Times New Roman" w:cstheme="minorHAnsi"/>
          <w:b/>
        </w:rPr>
        <w:t>bezpečnostní problematika</w:t>
      </w:r>
    </w:p>
    <w:p w14:paraId="497DC739" w14:textId="0B255C82" w:rsidR="381FB225" w:rsidRPr="007958B5" w:rsidRDefault="381FB225" w:rsidP="007958B5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</w:rPr>
        <w:t>Komponenta je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souladu se rozvojovými záměry Evropské unie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oblasti digitalizace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ve velké části vychází z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evropských programů (Digital Europe Programme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 xml:space="preserve">Horizon Europe). </w:t>
      </w:r>
    </w:p>
    <w:p w14:paraId="7950B40A" w14:textId="77777777" w:rsidR="00AD2464" w:rsidRPr="007958B5" w:rsidRDefault="00AD2464" w:rsidP="00AD2464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</w:rPr>
        <w:t xml:space="preserve"> </w:t>
      </w:r>
    </w:p>
    <w:p w14:paraId="2817D7C6" w14:textId="382123B7" w:rsidR="00AD2464" w:rsidRPr="007958B5" w:rsidRDefault="00AD2464" w:rsidP="00AD2464">
      <w:pPr>
        <w:keepNext/>
        <w:keepLines/>
        <w:spacing w:before="160" w:line="240" w:lineRule="auto"/>
        <w:outlineLvl w:val="1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  <w:bCs/>
        </w:rPr>
        <w:t>5. Přeshraniční a</w:t>
      </w:r>
      <w:r w:rsidR="00ED66CE">
        <w:rPr>
          <w:rFonts w:eastAsia="Times New Roman" w:cstheme="minorHAnsi"/>
          <w:b/>
          <w:bCs/>
        </w:rPr>
        <w:t> </w:t>
      </w:r>
      <w:r w:rsidRPr="007958B5">
        <w:rPr>
          <w:rFonts w:eastAsia="Times New Roman" w:cstheme="minorHAnsi"/>
          <w:b/>
          <w:bCs/>
        </w:rPr>
        <w:t xml:space="preserve">mezinárodní projekty </w:t>
      </w:r>
    </w:p>
    <w:p w14:paraId="35BD8F63" w14:textId="77777777" w:rsidR="00AD2464" w:rsidRPr="007958B5" w:rsidRDefault="02B19736" w:rsidP="00E60FC3">
      <w:pPr>
        <w:spacing w:after="165" w:line="240" w:lineRule="auto"/>
        <w:ind w:left="45"/>
        <w:rPr>
          <w:rFonts w:eastAsia="Calibri" w:cstheme="minorHAnsi"/>
        </w:rPr>
      </w:pPr>
      <w:r w:rsidRPr="007958B5">
        <w:rPr>
          <w:rFonts w:eastAsia="Times New Roman" w:cstheme="minorHAnsi"/>
        </w:rPr>
        <w:t>IPCEI jsou mezinárodní přeshraniční projekty.</w:t>
      </w:r>
      <w:r w:rsidRPr="007958B5">
        <w:rPr>
          <w:rFonts w:eastAsia="Calibri" w:cstheme="minorHAnsi"/>
        </w:rPr>
        <w:t xml:space="preserve"> </w:t>
      </w:r>
    </w:p>
    <w:p w14:paraId="639441EA" w14:textId="77777777" w:rsidR="00AD2464" w:rsidRPr="007958B5" w:rsidRDefault="00AD2464" w:rsidP="00AD246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jc w:val="both"/>
        <w:rPr>
          <w:rFonts w:eastAsia="Times New Roman" w:cstheme="minorHAnsi"/>
          <w:b/>
        </w:rPr>
      </w:pPr>
    </w:p>
    <w:p w14:paraId="49B19868" w14:textId="77777777" w:rsidR="00AD2464" w:rsidRPr="007958B5" w:rsidRDefault="00AD2464" w:rsidP="00AD2464">
      <w:pPr>
        <w:keepNext/>
        <w:keepLines/>
        <w:spacing w:before="160" w:line="240" w:lineRule="auto"/>
        <w:outlineLvl w:val="1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 xml:space="preserve">6. Zelený rozměr komponenty </w:t>
      </w:r>
    </w:p>
    <w:p w14:paraId="3D30A4EC" w14:textId="2C1CCF1A" w:rsidR="00AD2464" w:rsidRPr="007958B5" w:rsidRDefault="1214E8A9" w:rsidP="00AD2464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</w:rPr>
        <w:t>Digitalizace průmyslu</w:t>
      </w:r>
      <w:r w:rsidR="5A43B03D" w:rsidRPr="007958B5">
        <w:rPr>
          <w:rFonts w:eastAsia="Calibri" w:cstheme="minorHAnsi"/>
        </w:rPr>
        <w:t xml:space="preserve"> </w:t>
      </w:r>
      <w:r w:rsidR="5A43B03D" w:rsidRPr="007958B5">
        <w:rPr>
          <w:rFonts w:eastAsia="Calibri" w:cstheme="minorHAnsi"/>
          <w:u w:val="single"/>
        </w:rPr>
        <w:t>a</w:t>
      </w:r>
      <w:r w:rsidR="00ED66CE">
        <w:rPr>
          <w:rFonts w:eastAsia="Calibri" w:cstheme="minorHAnsi"/>
          <w:u w:val="single"/>
        </w:rPr>
        <w:t> </w:t>
      </w:r>
      <w:r w:rsidR="5A43B03D" w:rsidRPr="007958B5">
        <w:rPr>
          <w:rFonts w:eastAsia="Calibri" w:cstheme="minorHAnsi"/>
          <w:u w:val="single"/>
        </w:rPr>
        <w:t>služeb</w:t>
      </w:r>
      <w:r w:rsidRPr="007958B5">
        <w:rPr>
          <w:rFonts w:eastAsia="Calibri" w:cstheme="minorHAnsi"/>
        </w:rPr>
        <w:t xml:space="preserve"> by ve své podstatě měla naplňovat primárně digitální cíle, ačkoli sekundárně může ovlivnit i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 xml:space="preserve">cíle snížení emisí (nové technologie by měly pomoci snížit uhlíkové </w:t>
      </w:r>
      <w:r w:rsidR="00FE51C3" w:rsidRPr="007958B5">
        <w:rPr>
          <w:rFonts w:eastAsia="Calibri" w:cstheme="minorHAnsi"/>
        </w:rPr>
        <w:t>emise – týká</w:t>
      </w:r>
      <w:r w:rsidRPr="007958B5">
        <w:rPr>
          <w:rFonts w:eastAsia="Calibri" w:cstheme="minorHAnsi"/>
        </w:rPr>
        <w:t xml:space="preserve"> se jiných komponent), ale také napomoci nastartovat oběhové hospodářství (využívání odpadů a</w:t>
      </w:r>
      <w:r w:rsidR="00ED66CE">
        <w:rPr>
          <w:rFonts w:eastAsia="Calibri" w:cstheme="minorHAnsi"/>
        </w:rPr>
        <w:t> </w:t>
      </w:r>
      <w:r w:rsidR="00FE51C3" w:rsidRPr="007958B5">
        <w:rPr>
          <w:rFonts w:eastAsia="Calibri" w:cstheme="minorHAnsi"/>
        </w:rPr>
        <w:t>recyklace – týká</w:t>
      </w:r>
      <w:r w:rsidRPr="007958B5">
        <w:rPr>
          <w:rFonts w:eastAsia="Calibri" w:cstheme="minorHAnsi"/>
        </w:rPr>
        <w:t xml:space="preserve"> se jiných komponent).</w:t>
      </w:r>
    </w:p>
    <w:p w14:paraId="0E33D518" w14:textId="77777777" w:rsidR="00AD2464" w:rsidRPr="007958B5" w:rsidRDefault="00AD2464" w:rsidP="00AD246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80" w:after="0" w:line="240" w:lineRule="auto"/>
        <w:jc w:val="both"/>
        <w:rPr>
          <w:rFonts w:eastAsia="Times New Roman" w:cstheme="minorHAnsi"/>
          <w:b/>
        </w:rPr>
      </w:pPr>
    </w:p>
    <w:p w14:paraId="7582A7A6" w14:textId="77777777" w:rsidR="00AD2464" w:rsidRPr="007958B5" w:rsidRDefault="00AD2464" w:rsidP="00AD2464">
      <w:pPr>
        <w:keepNext/>
        <w:keepLines/>
        <w:spacing w:before="160" w:line="240" w:lineRule="auto"/>
        <w:outlineLvl w:val="1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 xml:space="preserve">7. Digitální rozměr komponenty </w:t>
      </w:r>
    </w:p>
    <w:p w14:paraId="30667268" w14:textId="71911651" w:rsidR="00AD2464" w:rsidRPr="007958B5" w:rsidRDefault="00AD2464" w:rsidP="00AD2464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</w:rPr>
        <w:t>Komponenta naplňuje Digitální agendu. Její obsah je zcela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souladu s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Programem Digitální Česko jako základního kamene národního digitálního plánu. Jednotlivé reformy jsou tematickým souhrnem vybraných digitálních záměrů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projektů. Investice popsané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přiložené tabulce jsou pak záměry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projekty Programu Digitální Česko.</w:t>
      </w:r>
    </w:p>
    <w:p w14:paraId="653FD738" w14:textId="2A87C6AF" w:rsidR="00AD2464" w:rsidRPr="007958B5" w:rsidRDefault="00AD2464" w:rsidP="00AD2464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</w:rPr>
        <w:t>Komponenta dále naplňuje veškeré cíle Národní strategie umělé inteligence ČR, jejímž hlavním cílem je vybudování AI ekosystému, který je součástí digitálního ekosystému. Inovační strategie 2019-2030 je také zásadním dokumentem, který zavádí potřebu vytvořit digitální ekosystém včetně všech důležitých aktérů, jako jsou Evropská centra pro digitální inovace, Centra excelence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AI či Testovacích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experimentálních zařízení. Je zcela evidentní, že propojení Národního plánu obnovy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oblasti digitalizace je v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>souladu se všemi významnými a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 xml:space="preserve">klíčovými dokumenty České republiky. </w:t>
      </w:r>
    </w:p>
    <w:p w14:paraId="5D307E92" w14:textId="0B686221" w:rsidR="00AD2464" w:rsidRPr="007958B5" w:rsidRDefault="1214E8A9" w:rsidP="00AD2464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</w:rPr>
        <w:t xml:space="preserve">Digitalizace průmyslu </w:t>
      </w:r>
      <w:r w:rsidR="2C36309D" w:rsidRPr="007958B5">
        <w:rPr>
          <w:rFonts w:eastAsia="Calibri" w:cstheme="minorHAnsi"/>
          <w:u w:val="single"/>
        </w:rPr>
        <w:t>a</w:t>
      </w:r>
      <w:r w:rsidR="00ED66CE">
        <w:rPr>
          <w:rFonts w:eastAsia="Calibri" w:cstheme="minorHAnsi"/>
          <w:u w:val="single"/>
        </w:rPr>
        <w:t> </w:t>
      </w:r>
      <w:r w:rsidR="2C36309D" w:rsidRPr="007958B5">
        <w:rPr>
          <w:rFonts w:eastAsia="Calibri" w:cstheme="minorHAnsi"/>
          <w:u w:val="single"/>
        </w:rPr>
        <w:t>služeb</w:t>
      </w:r>
      <w:r w:rsidR="2C36309D" w:rsidRPr="007958B5">
        <w:rPr>
          <w:rFonts w:eastAsia="Calibri" w:cstheme="minorHAnsi"/>
        </w:rPr>
        <w:t xml:space="preserve"> </w:t>
      </w:r>
      <w:r w:rsidRPr="007958B5">
        <w:rPr>
          <w:rFonts w:eastAsia="Calibri" w:cstheme="minorHAnsi"/>
        </w:rPr>
        <w:t>by ve své podstatě měla naplňovat primárně digitální cíle, ačkoli sekundárně může ovlivnit i</w:t>
      </w:r>
      <w:r w:rsidR="00ED66CE">
        <w:rPr>
          <w:rFonts w:eastAsia="Calibri" w:cstheme="minorHAnsi"/>
        </w:rPr>
        <w:t> </w:t>
      </w:r>
      <w:r w:rsidRPr="007958B5">
        <w:rPr>
          <w:rFonts w:eastAsia="Calibri" w:cstheme="minorHAnsi"/>
        </w:rPr>
        <w:t xml:space="preserve">cíle snížení emisí (nové technologie by měly pomoci snížit uhlíkové </w:t>
      </w:r>
      <w:r w:rsidR="00FE51C3" w:rsidRPr="007958B5">
        <w:rPr>
          <w:rFonts w:eastAsia="Calibri" w:cstheme="minorHAnsi"/>
        </w:rPr>
        <w:t>emise – týká</w:t>
      </w:r>
      <w:r w:rsidRPr="007958B5">
        <w:rPr>
          <w:rFonts w:eastAsia="Calibri" w:cstheme="minorHAnsi"/>
        </w:rPr>
        <w:t xml:space="preserve"> se jiných komponent), ale také napomoci nastartovat oběhové hospodářství (využívání odpadů a</w:t>
      </w:r>
      <w:r w:rsidR="00ED66CE">
        <w:rPr>
          <w:rFonts w:eastAsia="Calibri" w:cstheme="minorHAnsi"/>
        </w:rPr>
        <w:t> </w:t>
      </w:r>
      <w:r w:rsidR="00FE51C3" w:rsidRPr="007958B5">
        <w:rPr>
          <w:rFonts w:eastAsia="Calibri" w:cstheme="minorHAnsi"/>
        </w:rPr>
        <w:t>recyklace – týká</w:t>
      </w:r>
      <w:r w:rsidRPr="007958B5">
        <w:rPr>
          <w:rFonts w:eastAsia="Calibri" w:cstheme="minorHAnsi"/>
        </w:rPr>
        <w:t xml:space="preserve"> se jiných komponent).</w:t>
      </w:r>
    </w:p>
    <w:p w14:paraId="28749137" w14:textId="6FBF5B20" w:rsidR="00AD2464" w:rsidRPr="007958B5" w:rsidRDefault="00AD2464" w:rsidP="33A14FD8">
      <w:pPr>
        <w:spacing w:line="240" w:lineRule="auto"/>
        <w:jc w:val="both"/>
        <w:rPr>
          <w:rFonts w:eastAsia="Calibri" w:cstheme="minorHAnsi"/>
          <w:b/>
          <w:bCs/>
        </w:rPr>
      </w:pPr>
      <w:r w:rsidRPr="007958B5">
        <w:rPr>
          <w:rFonts w:eastAsia="Calibri" w:cstheme="minorHAnsi"/>
          <w:shd w:val="clear" w:color="auto" w:fill="FFFFFF"/>
        </w:rPr>
        <w:t>Digitální rozměr komponenty</w:t>
      </w:r>
      <w:r w:rsidRPr="007958B5">
        <w:rPr>
          <w:rFonts w:eastAsia="Calibri" w:cstheme="minorHAnsi"/>
          <w:b/>
          <w:bCs/>
        </w:rPr>
        <w:t xml:space="preserve"> </w:t>
      </w:r>
      <w:r w:rsidRPr="007958B5">
        <w:rPr>
          <w:rFonts w:eastAsia="Calibri" w:cstheme="minorHAnsi"/>
          <w:shd w:val="clear" w:color="auto" w:fill="FFFFFF"/>
        </w:rPr>
        <w:t>je dále popsán v</w:t>
      </w:r>
      <w:r w:rsidR="00ED66CE">
        <w:rPr>
          <w:rFonts w:eastAsia="Calibri" w:cstheme="minorHAnsi"/>
          <w:shd w:val="clear" w:color="auto" w:fill="FFFFFF"/>
        </w:rPr>
        <w:t> </w:t>
      </w:r>
      <w:r w:rsidRPr="007958B5">
        <w:rPr>
          <w:rFonts w:eastAsia="Calibri" w:cstheme="minorHAnsi"/>
          <w:shd w:val="clear" w:color="auto" w:fill="FFFFFF"/>
        </w:rPr>
        <w:t>tabulce v</w:t>
      </w:r>
      <w:r w:rsidR="00ED66CE">
        <w:rPr>
          <w:rFonts w:eastAsia="Calibri" w:cstheme="minorHAnsi"/>
          <w:shd w:val="clear" w:color="auto" w:fill="FFFFFF"/>
        </w:rPr>
        <w:t> </w:t>
      </w:r>
      <w:r w:rsidRPr="007958B5">
        <w:rPr>
          <w:rFonts w:eastAsia="Calibri" w:cstheme="minorHAnsi"/>
          <w:shd w:val="clear" w:color="auto" w:fill="FFFFFF"/>
        </w:rPr>
        <w:t>příloze</w:t>
      </w:r>
      <w:r w:rsidR="11B6D3F1" w:rsidRPr="007958B5">
        <w:rPr>
          <w:rFonts w:eastAsia="Calibri" w:cstheme="minorHAnsi"/>
          <w:shd w:val="clear" w:color="auto" w:fill="FFFFFF"/>
        </w:rPr>
        <w:t xml:space="preserve"> a</w:t>
      </w:r>
      <w:r w:rsidR="00ED66CE">
        <w:rPr>
          <w:rFonts w:eastAsia="Calibri" w:cstheme="minorHAnsi"/>
          <w:shd w:val="clear" w:color="auto" w:fill="FFFFFF"/>
        </w:rPr>
        <w:t> </w:t>
      </w:r>
      <w:r w:rsidR="11B6D3F1" w:rsidRPr="007958B5">
        <w:rPr>
          <w:rFonts w:eastAsia="Calibri" w:cstheme="minorHAnsi"/>
          <w:shd w:val="clear" w:color="auto" w:fill="FFFFFF"/>
        </w:rPr>
        <w:t>v případě IPCEI v</w:t>
      </w:r>
      <w:r w:rsidR="00ED66CE">
        <w:rPr>
          <w:rFonts w:eastAsia="Calibri" w:cstheme="minorHAnsi"/>
          <w:shd w:val="clear" w:color="auto" w:fill="FFFFFF"/>
        </w:rPr>
        <w:t> </w:t>
      </w:r>
      <w:r w:rsidR="11B6D3F1" w:rsidRPr="007958B5">
        <w:rPr>
          <w:rFonts w:eastAsia="Calibri" w:cstheme="minorHAnsi"/>
          <w:shd w:val="clear" w:color="auto" w:fill="FFFFFF"/>
        </w:rPr>
        <w:t>samostatn</w:t>
      </w:r>
      <w:r w:rsidR="00010513" w:rsidRPr="007958B5">
        <w:rPr>
          <w:rFonts w:eastAsia="Calibri" w:cstheme="minorHAnsi"/>
          <w:shd w:val="clear" w:color="auto" w:fill="FFFFFF"/>
        </w:rPr>
        <w:t xml:space="preserve">é </w:t>
      </w:r>
      <w:r w:rsidR="11B6D3F1" w:rsidRPr="007958B5">
        <w:rPr>
          <w:rFonts w:eastAsia="Calibri" w:cstheme="minorHAnsi"/>
          <w:shd w:val="clear" w:color="auto" w:fill="FFFFFF"/>
        </w:rPr>
        <w:t>tabul</w:t>
      </w:r>
      <w:r w:rsidR="00010513" w:rsidRPr="007958B5">
        <w:rPr>
          <w:rFonts w:eastAsia="Calibri" w:cstheme="minorHAnsi"/>
          <w:shd w:val="clear" w:color="auto" w:fill="FFFFFF"/>
        </w:rPr>
        <w:t>ce</w:t>
      </w:r>
      <w:r w:rsidR="12B0FF1B" w:rsidRPr="007958B5">
        <w:rPr>
          <w:rFonts w:eastAsia="Calibri" w:cstheme="minorHAnsi"/>
          <w:shd w:val="clear" w:color="auto" w:fill="FFFFFF"/>
        </w:rPr>
        <w:t xml:space="preserve"> k</w:t>
      </w:r>
      <w:r w:rsidR="00ED66CE">
        <w:rPr>
          <w:rFonts w:eastAsia="Calibri" w:cstheme="minorHAnsi"/>
          <w:shd w:val="clear" w:color="auto" w:fill="FFFFFF"/>
        </w:rPr>
        <w:t> </w:t>
      </w:r>
      <w:r w:rsidR="12B0FF1B" w:rsidRPr="007958B5">
        <w:rPr>
          <w:rFonts w:eastAsia="Calibri" w:cstheme="minorHAnsi"/>
          <w:shd w:val="clear" w:color="auto" w:fill="FFFFFF"/>
        </w:rPr>
        <w:t>daným investicím</w:t>
      </w:r>
      <w:r w:rsidRPr="007958B5">
        <w:rPr>
          <w:rFonts w:eastAsia="Calibri" w:cstheme="minorHAnsi"/>
          <w:shd w:val="clear" w:color="auto" w:fill="FFFFFF"/>
        </w:rPr>
        <w:t>.</w:t>
      </w:r>
    </w:p>
    <w:p w14:paraId="1AF3AD38" w14:textId="77777777" w:rsidR="00AD2464" w:rsidRPr="007958B5" w:rsidRDefault="00AD2464" w:rsidP="00AD2464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</w:rPr>
      </w:pPr>
    </w:p>
    <w:p w14:paraId="114906B4" w14:textId="77777777" w:rsidR="00AD2464" w:rsidRPr="007958B5" w:rsidRDefault="00AD2464" w:rsidP="00AD2464">
      <w:pPr>
        <w:keepNext/>
        <w:keepLines/>
        <w:spacing w:before="160" w:line="240" w:lineRule="auto"/>
        <w:outlineLvl w:val="1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8. Uplatnění zásady „významně nepoškozovat“</w:t>
      </w:r>
    </w:p>
    <w:p w14:paraId="3992D433" w14:textId="77777777" w:rsidR="00AD2464" w:rsidRPr="007958B5" w:rsidRDefault="00AD2464" w:rsidP="00AD2464">
      <w:pPr>
        <w:spacing w:line="240" w:lineRule="auto"/>
        <w:jc w:val="both"/>
        <w:rPr>
          <w:rFonts w:eastAsia="Calibri" w:cstheme="minorHAnsi"/>
        </w:rPr>
      </w:pPr>
      <w:r w:rsidRPr="007958B5">
        <w:rPr>
          <w:rFonts w:eastAsia="Calibri" w:cstheme="minorHAnsi"/>
        </w:rPr>
        <w:t>Vzhledem ke své povaze komponenta 1.5 naplňuje zásadu „významně nepoškozovat“.</w:t>
      </w:r>
    </w:p>
    <w:p w14:paraId="66E5DA67" w14:textId="78AC5CCD" w:rsidR="2AAE095E" w:rsidRPr="007958B5" w:rsidRDefault="2AAE095E" w:rsidP="33A14FD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</w:rPr>
      </w:pPr>
      <w:r w:rsidRPr="007958B5">
        <w:rPr>
          <w:rFonts w:eastAsia="Times New Roman" w:cstheme="minorHAnsi"/>
        </w:rPr>
        <w:t>Investice 1.</w:t>
      </w:r>
      <w:r w:rsidR="00010513" w:rsidRPr="007958B5">
        <w:rPr>
          <w:rFonts w:eastAsia="Times New Roman" w:cstheme="minorHAnsi"/>
        </w:rPr>
        <w:t>4</w:t>
      </w:r>
      <w:r w:rsidRPr="007958B5">
        <w:rPr>
          <w:rFonts w:eastAsia="Times New Roman" w:cstheme="minorHAnsi"/>
        </w:rPr>
        <w:t>. Podpora IPCEI Mikroelektronika a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>komunikační technologie</w:t>
      </w:r>
    </w:p>
    <w:p w14:paraId="1AF88839" w14:textId="31010386" w:rsidR="5C6CD69B" w:rsidRPr="007958B5" w:rsidRDefault="00520EBD" w:rsidP="00E60FC3">
      <w:pPr>
        <w:spacing w:line="293" w:lineRule="auto"/>
        <w:jc w:val="both"/>
        <w:rPr>
          <w:rFonts w:eastAsia="Calibri" w:cstheme="minorHAnsi"/>
        </w:rPr>
      </w:pPr>
      <w:r w:rsidRPr="007958B5">
        <w:rPr>
          <w:rFonts w:eastAsia="Times New Roman" w:cstheme="minorHAnsi"/>
        </w:rPr>
        <w:t>Projekty IPCEI splňují zásadu "významně nepoškozovat", což museli všichni účastníci IPCEI během přípravy svých projektů prokázat. Bližší informace k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>souladu investice se zásadou "významně nepoškozovat" jsou dále popsány v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>přiložené tabulce k</w:t>
      </w:r>
      <w:r w:rsidR="00ED66CE">
        <w:rPr>
          <w:rFonts w:eastAsia="Times New Roman" w:cstheme="minorHAnsi"/>
        </w:rPr>
        <w:t> </w:t>
      </w:r>
      <w:r w:rsidRPr="007958B5">
        <w:rPr>
          <w:rFonts w:eastAsia="Times New Roman" w:cstheme="minorHAnsi"/>
        </w:rPr>
        <w:t>této investici. </w:t>
      </w:r>
    </w:p>
    <w:p w14:paraId="3BC09CC8" w14:textId="77777777" w:rsidR="33A14FD8" w:rsidRPr="007958B5" w:rsidRDefault="33A14FD8" w:rsidP="33A14FD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rFonts w:eastAsia="Times New Roman" w:cstheme="minorHAnsi"/>
        </w:rPr>
      </w:pPr>
    </w:p>
    <w:p w14:paraId="674B66F7" w14:textId="4FF4AAE9" w:rsidR="00AD2464" w:rsidRPr="007958B5" w:rsidRDefault="00AD2464" w:rsidP="754A9DD7">
      <w:pPr>
        <w:keepNext/>
        <w:keepLines/>
        <w:spacing w:before="160" w:after="120" w:line="240" w:lineRule="auto"/>
        <w:jc w:val="both"/>
        <w:rPr>
          <w:rFonts w:eastAsia="Times New Roman" w:cstheme="minorHAnsi"/>
          <w:b/>
          <w:bCs/>
        </w:rPr>
      </w:pPr>
      <w:r w:rsidRPr="007958B5">
        <w:rPr>
          <w:rFonts w:eastAsia="Times New Roman" w:cstheme="minorHAnsi"/>
          <w:b/>
          <w:bCs/>
        </w:rPr>
        <w:lastRenderedPageBreak/>
        <w:t>9. Milníky, cíle a</w:t>
      </w:r>
      <w:r w:rsidR="00ED66CE">
        <w:rPr>
          <w:rFonts w:eastAsia="Times New Roman" w:cstheme="minorHAnsi"/>
          <w:b/>
          <w:bCs/>
        </w:rPr>
        <w:t> </w:t>
      </w:r>
      <w:r w:rsidRPr="007958B5">
        <w:rPr>
          <w:rFonts w:eastAsia="Times New Roman" w:cstheme="minorHAnsi"/>
          <w:b/>
          <w:bCs/>
        </w:rPr>
        <w:t xml:space="preserve">harmonogram </w:t>
      </w:r>
    </w:p>
    <w:p w14:paraId="52BA086B" w14:textId="5FD054D1" w:rsidR="00AD2464" w:rsidRPr="007958B5" w:rsidRDefault="00AD2464" w:rsidP="000716EB">
      <w:pPr>
        <w:spacing w:line="240" w:lineRule="auto"/>
        <w:jc w:val="both"/>
        <w:rPr>
          <w:rFonts w:eastAsia="Calibri" w:cstheme="minorHAnsi"/>
          <w:b/>
          <w:bCs/>
        </w:rPr>
      </w:pPr>
      <w:r w:rsidRPr="007958B5">
        <w:rPr>
          <w:rFonts w:eastAsia="Calibri" w:cstheme="minorHAnsi"/>
          <w:shd w:val="clear" w:color="auto" w:fill="FFFFFF"/>
        </w:rPr>
        <w:t>Milníky, cíle a</w:t>
      </w:r>
      <w:r w:rsidR="00ED66CE">
        <w:rPr>
          <w:rFonts w:eastAsia="Calibri" w:cstheme="minorHAnsi"/>
          <w:shd w:val="clear" w:color="auto" w:fill="FFFFFF"/>
        </w:rPr>
        <w:t> </w:t>
      </w:r>
      <w:r w:rsidRPr="007958B5">
        <w:rPr>
          <w:rFonts w:eastAsia="Calibri" w:cstheme="minorHAnsi"/>
          <w:shd w:val="clear" w:color="auto" w:fill="FFFFFF"/>
        </w:rPr>
        <w:t>časová osa jsou popsány v</w:t>
      </w:r>
      <w:r w:rsidR="00ED66CE">
        <w:rPr>
          <w:rFonts w:eastAsia="Calibri" w:cstheme="minorHAnsi"/>
          <w:shd w:val="clear" w:color="auto" w:fill="FFFFFF"/>
        </w:rPr>
        <w:t> </w:t>
      </w:r>
      <w:r w:rsidRPr="007958B5">
        <w:rPr>
          <w:rFonts w:eastAsia="Calibri" w:cstheme="minorHAnsi"/>
          <w:shd w:val="clear" w:color="auto" w:fill="FFFFFF"/>
        </w:rPr>
        <w:t>tabulce v</w:t>
      </w:r>
      <w:r w:rsidR="00ED66CE">
        <w:rPr>
          <w:rFonts w:eastAsia="Calibri" w:cstheme="minorHAnsi"/>
          <w:shd w:val="clear" w:color="auto" w:fill="FFFFFF"/>
        </w:rPr>
        <w:t> </w:t>
      </w:r>
      <w:r w:rsidRPr="007958B5">
        <w:rPr>
          <w:rFonts w:eastAsia="Calibri" w:cstheme="minorHAnsi"/>
          <w:shd w:val="clear" w:color="auto" w:fill="FFFFFF"/>
        </w:rPr>
        <w:t>příloze</w:t>
      </w:r>
      <w:r w:rsidR="4AEF4DE8" w:rsidRPr="007958B5">
        <w:rPr>
          <w:rFonts w:eastAsia="Calibri" w:cstheme="minorHAnsi"/>
          <w:shd w:val="clear" w:color="auto" w:fill="FFFFFF"/>
        </w:rPr>
        <w:t xml:space="preserve"> </w:t>
      </w:r>
      <w:r w:rsidR="4AEF4DE8" w:rsidRPr="007958B5">
        <w:rPr>
          <w:rFonts w:eastAsia="Calibri" w:cstheme="minorHAnsi"/>
        </w:rPr>
        <w:t>a</w:t>
      </w:r>
      <w:r w:rsidR="00ED66CE">
        <w:rPr>
          <w:rFonts w:eastAsia="Calibri" w:cstheme="minorHAnsi"/>
        </w:rPr>
        <w:t> </w:t>
      </w:r>
      <w:r w:rsidR="4AEF4DE8" w:rsidRPr="007958B5">
        <w:rPr>
          <w:rFonts w:eastAsia="Calibri" w:cstheme="minorHAnsi"/>
        </w:rPr>
        <w:t>v případě IPCEI v</w:t>
      </w:r>
      <w:r w:rsidR="00ED66CE">
        <w:rPr>
          <w:rFonts w:eastAsia="Calibri" w:cstheme="minorHAnsi"/>
        </w:rPr>
        <w:t> </w:t>
      </w:r>
      <w:r w:rsidR="4AEF4DE8" w:rsidRPr="007958B5">
        <w:rPr>
          <w:rFonts w:eastAsia="Calibri" w:cstheme="minorHAnsi"/>
        </w:rPr>
        <w:t>samostatn</w:t>
      </w:r>
      <w:r w:rsidR="00010513" w:rsidRPr="007958B5">
        <w:rPr>
          <w:rFonts w:eastAsia="Calibri" w:cstheme="minorHAnsi"/>
        </w:rPr>
        <w:t>é</w:t>
      </w:r>
      <w:r w:rsidR="4AEF4DE8" w:rsidRPr="007958B5">
        <w:rPr>
          <w:rFonts w:eastAsia="Calibri" w:cstheme="minorHAnsi"/>
        </w:rPr>
        <w:t xml:space="preserve"> tabul</w:t>
      </w:r>
      <w:r w:rsidR="00010513" w:rsidRPr="007958B5">
        <w:rPr>
          <w:rFonts w:eastAsia="Calibri" w:cstheme="minorHAnsi"/>
        </w:rPr>
        <w:t>ce</w:t>
      </w:r>
      <w:r w:rsidR="4AEF4DE8" w:rsidRPr="007958B5">
        <w:rPr>
          <w:rFonts w:eastAsia="Calibri" w:cstheme="minorHAnsi"/>
        </w:rPr>
        <w:t xml:space="preserve"> k</w:t>
      </w:r>
      <w:r w:rsidR="00ED66CE">
        <w:rPr>
          <w:rFonts w:eastAsia="Calibri" w:cstheme="minorHAnsi"/>
        </w:rPr>
        <w:t> </w:t>
      </w:r>
      <w:r w:rsidR="4AEF4DE8" w:rsidRPr="007958B5">
        <w:rPr>
          <w:rFonts w:eastAsia="Calibri" w:cstheme="minorHAnsi"/>
        </w:rPr>
        <w:t>daným investicím.</w:t>
      </w:r>
    </w:p>
    <w:p w14:paraId="008C8C6B" w14:textId="3EC311A4" w:rsidR="00AD2464" w:rsidRPr="007958B5" w:rsidRDefault="00AD2464" w:rsidP="00AD2464">
      <w:pPr>
        <w:keepNext/>
        <w:keepLines/>
        <w:spacing w:before="160" w:line="240" w:lineRule="auto"/>
        <w:outlineLvl w:val="1"/>
        <w:rPr>
          <w:rFonts w:eastAsia="Times New Roman" w:cstheme="minorHAnsi"/>
          <w:b/>
        </w:rPr>
      </w:pPr>
      <w:r w:rsidRPr="007958B5">
        <w:rPr>
          <w:rFonts w:eastAsia="Times New Roman" w:cstheme="minorHAnsi"/>
          <w:b/>
        </w:rPr>
        <w:t>10. Financování a</w:t>
      </w:r>
      <w:r w:rsidR="00ED66CE">
        <w:rPr>
          <w:rFonts w:eastAsia="Times New Roman" w:cstheme="minorHAnsi"/>
          <w:b/>
        </w:rPr>
        <w:t> </w:t>
      </w:r>
      <w:r w:rsidRPr="007958B5">
        <w:rPr>
          <w:rFonts w:eastAsia="Times New Roman" w:cstheme="minorHAnsi"/>
          <w:b/>
        </w:rPr>
        <w:t xml:space="preserve">costing </w:t>
      </w:r>
    </w:p>
    <w:p w14:paraId="2AF38385" w14:textId="17536B1F" w:rsidR="00143496" w:rsidRPr="007958B5" w:rsidRDefault="00143496" w:rsidP="000716EB">
      <w:pPr>
        <w:jc w:val="both"/>
        <w:rPr>
          <w:rFonts w:eastAsiaTheme="minorEastAsia" w:cstheme="minorHAnsi"/>
        </w:rPr>
      </w:pPr>
      <w:bookmarkStart w:id="5" w:name="_Hlk73448929"/>
      <w:r w:rsidRPr="007958B5">
        <w:rPr>
          <w:rFonts w:eastAsiaTheme="minorEastAsia" w:cstheme="minorHAnsi"/>
          <w:shd w:val="clear" w:color="auto" w:fill="FFFFFF"/>
        </w:rPr>
        <w:t>Financování a</w:t>
      </w:r>
      <w:r w:rsidR="00ED66CE">
        <w:rPr>
          <w:rFonts w:eastAsiaTheme="minorEastAsia" w:cstheme="minorHAnsi"/>
          <w:shd w:val="clear" w:color="auto" w:fill="FFFFFF"/>
        </w:rPr>
        <w:t> </w:t>
      </w:r>
      <w:r w:rsidRPr="007958B5">
        <w:rPr>
          <w:rFonts w:eastAsiaTheme="minorEastAsia" w:cstheme="minorHAnsi"/>
          <w:shd w:val="clear" w:color="auto" w:fill="FFFFFF"/>
        </w:rPr>
        <w:t>náklady jsou popsány v</w:t>
      </w:r>
      <w:r w:rsidR="00ED66CE">
        <w:rPr>
          <w:rFonts w:eastAsiaTheme="minorEastAsia" w:cstheme="minorHAnsi"/>
          <w:shd w:val="clear" w:color="auto" w:fill="FFFFFF"/>
        </w:rPr>
        <w:t> </w:t>
      </w:r>
      <w:r w:rsidRPr="007958B5">
        <w:rPr>
          <w:rFonts w:eastAsiaTheme="minorEastAsia" w:cstheme="minorHAnsi"/>
          <w:shd w:val="clear" w:color="auto" w:fill="FFFFFF"/>
        </w:rPr>
        <w:t>tabulce v</w:t>
      </w:r>
      <w:r w:rsidR="00ED66CE">
        <w:rPr>
          <w:rFonts w:eastAsiaTheme="minorEastAsia" w:cstheme="minorHAnsi"/>
          <w:shd w:val="clear" w:color="auto" w:fill="FFFFFF"/>
        </w:rPr>
        <w:t> </w:t>
      </w:r>
      <w:r w:rsidRPr="007958B5">
        <w:rPr>
          <w:rFonts w:eastAsiaTheme="minorEastAsia" w:cstheme="minorHAnsi"/>
          <w:shd w:val="clear" w:color="auto" w:fill="FFFFFF"/>
        </w:rPr>
        <w:t>příloze</w:t>
      </w:r>
      <w:r w:rsidR="368ABB27" w:rsidRPr="007958B5">
        <w:rPr>
          <w:rFonts w:eastAsiaTheme="minorEastAsia" w:cstheme="minorHAnsi"/>
          <w:shd w:val="clear" w:color="auto" w:fill="FFFFFF"/>
        </w:rPr>
        <w:t>, v</w:t>
      </w:r>
      <w:r w:rsidR="00ED66CE">
        <w:rPr>
          <w:rFonts w:eastAsiaTheme="minorEastAsia" w:cstheme="minorHAnsi"/>
          <w:shd w:val="clear" w:color="auto" w:fill="FFFFFF"/>
        </w:rPr>
        <w:t> </w:t>
      </w:r>
      <w:r w:rsidR="368ABB27" w:rsidRPr="007958B5">
        <w:rPr>
          <w:rFonts w:eastAsiaTheme="minorEastAsia" w:cstheme="minorHAnsi"/>
          <w:shd w:val="clear" w:color="auto" w:fill="FFFFFF"/>
        </w:rPr>
        <w:t>samostatn</w:t>
      </w:r>
      <w:r w:rsidR="00010513" w:rsidRPr="007958B5">
        <w:rPr>
          <w:rFonts w:eastAsiaTheme="minorEastAsia" w:cstheme="minorHAnsi"/>
          <w:shd w:val="clear" w:color="auto" w:fill="FFFFFF"/>
        </w:rPr>
        <w:t>é</w:t>
      </w:r>
      <w:r w:rsidR="368ABB27" w:rsidRPr="007958B5">
        <w:rPr>
          <w:rFonts w:eastAsiaTheme="minorEastAsia" w:cstheme="minorHAnsi"/>
          <w:shd w:val="clear" w:color="auto" w:fill="FFFFFF"/>
        </w:rPr>
        <w:t xml:space="preserve"> tabul</w:t>
      </w:r>
      <w:r w:rsidR="00010513" w:rsidRPr="007958B5">
        <w:rPr>
          <w:rFonts w:eastAsiaTheme="minorEastAsia" w:cstheme="minorHAnsi"/>
          <w:shd w:val="clear" w:color="auto" w:fill="FFFFFF"/>
        </w:rPr>
        <w:t>ce</w:t>
      </w:r>
      <w:r w:rsidR="368ABB27" w:rsidRPr="007958B5">
        <w:rPr>
          <w:rFonts w:eastAsiaTheme="minorEastAsia" w:cstheme="minorHAnsi"/>
          <w:shd w:val="clear" w:color="auto" w:fill="FFFFFF"/>
        </w:rPr>
        <w:t xml:space="preserve"> k</w:t>
      </w:r>
      <w:r w:rsidR="00ED66CE">
        <w:rPr>
          <w:rFonts w:eastAsiaTheme="minorEastAsia" w:cstheme="minorHAnsi"/>
          <w:shd w:val="clear" w:color="auto" w:fill="FFFFFF"/>
        </w:rPr>
        <w:t> </w:t>
      </w:r>
      <w:r w:rsidR="368ABB27" w:rsidRPr="007958B5">
        <w:rPr>
          <w:rFonts w:eastAsiaTheme="minorEastAsia" w:cstheme="minorHAnsi"/>
          <w:shd w:val="clear" w:color="auto" w:fill="FFFFFF"/>
        </w:rPr>
        <w:t xml:space="preserve">IPCEI investicím </w:t>
      </w:r>
      <w:r w:rsidRPr="007958B5">
        <w:rPr>
          <w:rFonts w:eastAsiaTheme="minorEastAsia" w:cstheme="minorHAnsi"/>
          <w:shd w:val="clear" w:color="auto" w:fill="FFFFFF"/>
        </w:rPr>
        <w:t>a</w:t>
      </w:r>
      <w:r w:rsidR="00ED66CE">
        <w:rPr>
          <w:rFonts w:eastAsiaTheme="minorEastAsia" w:cstheme="minorHAnsi"/>
          <w:shd w:val="clear" w:color="auto" w:fill="FFFFFF"/>
        </w:rPr>
        <w:t> </w:t>
      </w:r>
      <w:r w:rsidRPr="007958B5">
        <w:rPr>
          <w:rFonts w:eastAsiaTheme="minorEastAsia" w:cstheme="minorHAnsi"/>
          <w:shd w:val="clear" w:color="auto" w:fill="FFFFFF"/>
        </w:rPr>
        <w:t>v přiložených souborech prokazujících věrohodnost stanovených nákladů.</w:t>
      </w:r>
      <w:bookmarkStart w:id="6" w:name="_1fob9te" w:colFirst="0" w:colLast="0"/>
      <w:bookmarkStart w:id="7" w:name="_Toc68035740"/>
      <w:bookmarkStart w:id="8" w:name="_Toc68035916"/>
      <w:bookmarkStart w:id="9" w:name="_Toc68035741"/>
      <w:bookmarkStart w:id="10" w:name="_Toc68035917"/>
      <w:bookmarkStart w:id="11" w:name="_Toc68035746"/>
      <w:bookmarkStart w:id="12" w:name="_Toc68035922"/>
      <w:bookmarkStart w:id="13" w:name="_Toc68035762"/>
      <w:bookmarkStart w:id="14" w:name="_Toc68035938"/>
      <w:bookmarkStart w:id="15" w:name="_Toc68035763"/>
      <w:bookmarkStart w:id="16" w:name="_Toc68035939"/>
      <w:bookmarkStart w:id="17" w:name="_Toc68035764"/>
      <w:bookmarkStart w:id="18" w:name="_Toc68035940"/>
      <w:bookmarkStart w:id="19" w:name="_Toc68035765"/>
      <w:bookmarkStart w:id="20" w:name="_Toc68035941"/>
      <w:bookmarkStart w:id="21" w:name="_Toc68035766"/>
      <w:bookmarkStart w:id="22" w:name="_Toc68035942"/>
      <w:bookmarkStart w:id="23" w:name="_Toc68035767"/>
      <w:bookmarkStart w:id="24" w:name="_Toc68035943"/>
      <w:bookmarkStart w:id="25" w:name="_Toc68035768"/>
      <w:bookmarkStart w:id="26" w:name="_Toc68035944"/>
      <w:bookmarkStart w:id="27" w:name="_Toc68035769"/>
      <w:bookmarkStart w:id="28" w:name="_Toc68035945"/>
      <w:bookmarkStart w:id="29" w:name="_Toc68035770"/>
      <w:bookmarkStart w:id="30" w:name="_Toc68035946"/>
      <w:bookmarkStart w:id="31" w:name="_Toc68035771"/>
      <w:bookmarkStart w:id="32" w:name="_Toc68035947"/>
      <w:bookmarkStart w:id="33" w:name="_Toc68035773"/>
      <w:bookmarkStart w:id="34" w:name="_Toc68035949"/>
      <w:bookmarkStart w:id="35" w:name="_Toc68035774"/>
      <w:bookmarkStart w:id="36" w:name="_Toc68035950"/>
      <w:bookmarkStart w:id="37" w:name="_Toc68035778"/>
      <w:bookmarkStart w:id="38" w:name="_Toc68035954"/>
      <w:bookmarkStart w:id="39" w:name="_Toc68035779"/>
      <w:bookmarkStart w:id="40" w:name="_Toc68035955"/>
      <w:bookmarkStart w:id="41" w:name="_Toc68035780"/>
      <w:bookmarkStart w:id="42" w:name="_Toc68035956"/>
      <w:bookmarkStart w:id="43" w:name="_Toc68035781"/>
      <w:bookmarkStart w:id="44" w:name="_Toc68035957"/>
      <w:bookmarkStart w:id="45" w:name="_Toc68035782"/>
      <w:bookmarkStart w:id="46" w:name="_Toc68035958"/>
      <w:bookmarkStart w:id="47" w:name="_Toc68035783"/>
      <w:bookmarkStart w:id="48" w:name="_Toc68035959"/>
      <w:bookmarkStart w:id="49" w:name="_Toc68035784"/>
      <w:bookmarkStart w:id="50" w:name="_Toc68035960"/>
      <w:bookmarkStart w:id="51" w:name="_Toc68035785"/>
      <w:bookmarkStart w:id="52" w:name="_Toc68035961"/>
      <w:bookmarkStart w:id="53" w:name="_Toc68035786"/>
      <w:bookmarkStart w:id="54" w:name="_Toc68035962"/>
      <w:bookmarkStart w:id="55" w:name="_Toc68035787"/>
      <w:bookmarkStart w:id="56" w:name="_Toc68035963"/>
      <w:bookmarkStart w:id="57" w:name="_Toc68035788"/>
      <w:bookmarkStart w:id="58" w:name="_Toc68035964"/>
      <w:bookmarkStart w:id="59" w:name="_Toc68035789"/>
      <w:bookmarkStart w:id="60" w:name="_Toc68035965"/>
      <w:bookmarkStart w:id="61" w:name="_Toc68035790"/>
      <w:bookmarkStart w:id="62" w:name="_Toc68035966"/>
      <w:bookmarkStart w:id="63" w:name="_Toc68035791"/>
      <w:bookmarkStart w:id="64" w:name="_Toc68035967"/>
      <w:bookmarkStart w:id="65" w:name="_Toc68035792"/>
      <w:bookmarkStart w:id="66" w:name="_Toc68035968"/>
      <w:bookmarkStart w:id="67" w:name="_Toc68035793"/>
      <w:bookmarkStart w:id="68" w:name="_Toc68035969"/>
      <w:bookmarkStart w:id="69" w:name="_Toc68035794"/>
      <w:bookmarkStart w:id="70" w:name="_Toc68035970"/>
      <w:bookmarkStart w:id="71" w:name="_Toc68035795"/>
      <w:bookmarkStart w:id="72" w:name="_Toc68035971"/>
      <w:bookmarkStart w:id="73" w:name="_Toc68035796"/>
      <w:bookmarkStart w:id="74" w:name="_Toc68035972"/>
      <w:bookmarkStart w:id="75" w:name="_Toc68035797"/>
      <w:bookmarkStart w:id="76" w:name="_Toc68035973"/>
      <w:bookmarkStart w:id="77" w:name="_Toc68035798"/>
      <w:bookmarkStart w:id="78" w:name="_Toc68035974"/>
      <w:bookmarkStart w:id="79" w:name="_Toc68035799"/>
      <w:bookmarkStart w:id="80" w:name="_Toc68035975"/>
      <w:bookmarkStart w:id="81" w:name="_Toc68035800"/>
      <w:bookmarkStart w:id="82" w:name="_Toc68035976"/>
      <w:bookmarkStart w:id="83" w:name="_Toc68035801"/>
      <w:bookmarkStart w:id="84" w:name="_Toc68035977"/>
      <w:bookmarkStart w:id="85" w:name="_Toc68035802"/>
      <w:bookmarkStart w:id="86" w:name="_Toc68035978"/>
      <w:bookmarkStart w:id="87" w:name="_Toc68035803"/>
      <w:bookmarkStart w:id="88" w:name="_Toc68035979"/>
      <w:bookmarkStart w:id="89" w:name="_Toc68035804"/>
      <w:bookmarkStart w:id="90" w:name="_Toc68035980"/>
      <w:bookmarkStart w:id="91" w:name="_Toc68035805"/>
      <w:bookmarkStart w:id="92" w:name="_Toc68035981"/>
      <w:bookmarkStart w:id="93" w:name="_Toc68035806"/>
      <w:bookmarkStart w:id="94" w:name="_Toc68035982"/>
      <w:bookmarkStart w:id="95" w:name="_Toc68035807"/>
      <w:bookmarkStart w:id="96" w:name="_Toc68035983"/>
      <w:bookmarkStart w:id="97" w:name="_Toc68035808"/>
      <w:bookmarkStart w:id="98" w:name="_Toc68035984"/>
      <w:bookmarkStart w:id="99" w:name="_Toc68035809"/>
      <w:bookmarkStart w:id="100" w:name="_Toc68035985"/>
      <w:bookmarkStart w:id="101" w:name="_Toc68035810"/>
      <w:bookmarkStart w:id="102" w:name="_Toc68035986"/>
      <w:bookmarkStart w:id="103" w:name="_Toc68035811"/>
      <w:bookmarkStart w:id="104" w:name="_Toc68035987"/>
      <w:bookmarkStart w:id="105" w:name="_Toc68035812"/>
      <w:bookmarkStart w:id="106" w:name="_Toc68035988"/>
      <w:bookmarkStart w:id="107" w:name="_Toc68035813"/>
      <w:bookmarkStart w:id="108" w:name="_Toc68035989"/>
      <w:bookmarkStart w:id="109" w:name="_Toc68035814"/>
      <w:bookmarkStart w:id="110" w:name="_Toc68035990"/>
      <w:bookmarkStart w:id="111" w:name="_Toc68035815"/>
      <w:bookmarkStart w:id="112" w:name="_Toc68035991"/>
      <w:bookmarkStart w:id="113" w:name="_Toc68035816"/>
      <w:bookmarkStart w:id="114" w:name="_Toc68035992"/>
      <w:bookmarkStart w:id="115" w:name="_Toc68035817"/>
      <w:bookmarkStart w:id="116" w:name="_Toc68035993"/>
      <w:bookmarkStart w:id="117" w:name="_Toc68035818"/>
      <w:bookmarkStart w:id="118" w:name="_Toc68035994"/>
      <w:bookmarkStart w:id="119" w:name="_Toc68035819"/>
      <w:bookmarkStart w:id="120" w:name="_Toc68035995"/>
      <w:bookmarkStart w:id="121" w:name="_Toc66646721"/>
      <w:bookmarkStart w:id="122" w:name="_Toc66647251"/>
      <w:bookmarkStart w:id="123" w:name="_Toc66647613"/>
      <w:bookmarkStart w:id="124" w:name="_Toc66647739"/>
      <w:bookmarkStart w:id="125" w:name="_Toc66647788"/>
      <w:bookmarkStart w:id="126" w:name="_Toc66860970"/>
      <w:bookmarkStart w:id="127" w:name="_Toc66862914"/>
      <w:bookmarkStart w:id="128" w:name="_Toc66900245"/>
      <w:bookmarkStart w:id="129" w:name="_Toc66901827"/>
      <w:bookmarkStart w:id="130" w:name="_Toc67437533"/>
      <w:bookmarkStart w:id="131" w:name="_Toc67437571"/>
      <w:bookmarkStart w:id="132" w:name="_Toc67457119"/>
      <w:bookmarkStart w:id="133" w:name="_Toc67464643"/>
      <w:bookmarkStart w:id="134" w:name="_Toc67474540"/>
      <w:bookmarkStart w:id="135" w:name="_Toc68035820"/>
      <w:bookmarkStart w:id="136" w:name="_Toc68035996"/>
      <w:bookmarkStart w:id="137" w:name="_Toc66647740"/>
      <w:bookmarkStart w:id="138" w:name="_Toc66647789"/>
      <w:bookmarkStart w:id="139" w:name="_Toc66860971"/>
      <w:bookmarkStart w:id="140" w:name="_Toc66862915"/>
      <w:bookmarkStart w:id="141" w:name="_Toc66900246"/>
      <w:bookmarkStart w:id="142" w:name="_Toc66901828"/>
      <w:bookmarkStart w:id="143" w:name="_Toc67437534"/>
      <w:bookmarkStart w:id="144" w:name="_Toc67437572"/>
      <w:bookmarkStart w:id="145" w:name="_Toc67457120"/>
      <w:bookmarkStart w:id="146" w:name="_Toc67464644"/>
      <w:bookmarkStart w:id="147" w:name="_Toc67474541"/>
      <w:bookmarkStart w:id="148" w:name="_Toc68035821"/>
      <w:bookmarkStart w:id="149" w:name="_Toc68035997"/>
      <w:bookmarkStart w:id="150" w:name="_Toc68035822"/>
      <w:bookmarkStart w:id="151" w:name="_Toc68035998"/>
      <w:bookmarkStart w:id="152" w:name="_Toc68035823"/>
      <w:bookmarkStart w:id="153" w:name="_Toc68035999"/>
      <w:bookmarkStart w:id="154" w:name="_Toc68035824"/>
      <w:bookmarkStart w:id="155" w:name="_Toc68036000"/>
      <w:bookmarkStart w:id="156" w:name="_Toc68035825"/>
      <w:bookmarkStart w:id="157" w:name="_Toc68036001"/>
      <w:bookmarkStart w:id="158" w:name="_Toc68035826"/>
      <w:bookmarkStart w:id="159" w:name="_Toc68036002"/>
      <w:bookmarkStart w:id="160" w:name="_Toc68035827"/>
      <w:bookmarkStart w:id="161" w:name="_Toc68036003"/>
      <w:bookmarkStart w:id="162" w:name="_Toc68035828"/>
      <w:bookmarkStart w:id="163" w:name="_Toc68036004"/>
      <w:bookmarkStart w:id="164" w:name="_Toc68035829"/>
      <w:bookmarkStart w:id="165" w:name="_Toc68036005"/>
      <w:bookmarkStart w:id="166" w:name="_Toc68035830"/>
      <w:bookmarkStart w:id="167" w:name="_Toc68036006"/>
      <w:bookmarkStart w:id="168" w:name="_Toc68035831"/>
      <w:bookmarkStart w:id="169" w:name="_Toc68036007"/>
      <w:bookmarkStart w:id="170" w:name="_Toc68035832"/>
      <w:bookmarkStart w:id="171" w:name="_Toc68036008"/>
      <w:bookmarkStart w:id="172" w:name="_Toc68035833"/>
      <w:bookmarkStart w:id="173" w:name="_Toc68036009"/>
      <w:bookmarkStart w:id="174" w:name="_Toc68035834"/>
      <w:bookmarkStart w:id="175" w:name="_Toc68036010"/>
      <w:bookmarkStart w:id="176" w:name="_Toc68035835"/>
      <w:bookmarkStart w:id="177" w:name="_Toc68036011"/>
      <w:bookmarkStart w:id="178" w:name="_Toc68035836"/>
      <w:bookmarkStart w:id="179" w:name="_Toc68036012"/>
      <w:bookmarkStart w:id="180" w:name="_Toc68035837"/>
      <w:bookmarkStart w:id="181" w:name="_Toc68036013"/>
      <w:bookmarkStart w:id="182" w:name="_Toc68035838"/>
      <w:bookmarkStart w:id="183" w:name="_Toc68036014"/>
      <w:bookmarkStart w:id="184" w:name="_Toc68035839"/>
      <w:bookmarkStart w:id="185" w:name="_Toc68036015"/>
      <w:bookmarkStart w:id="186" w:name="_Toc68035841"/>
      <w:bookmarkStart w:id="187" w:name="_Toc68036017"/>
      <w:bookmarkStart w:id="188" w:name="_Toc68035842"/>
      <w:bookmarkStart w:id="189" w:name="_Toc68036018"/>
      <w:bookmarkStart w:id="190" w:name="_Toc68035843"/>
      <w:bookmarkStart w:id="191" w:name="_Toc68036019"/>
      <w:bookmarkStart w:id="192" w:name="_Toc66647256"/>
      <w:bookmarkStart w:id="193" w:name="_Toc66647618"/>
      <w:bookmarkStart w:id="194" w:name="_Toc66647745"/>
      <w:bookmarkStart w:id="195" w:name="_Toc66647794"/>
      <w:bookmarkStart w:id="196" w:name="_Toc66860976"/>
      <w:bookmarkStart w:id="197" w:name="_Toc66862920"/>
      <w:bookmarkStart w:id="198" w:name="_Toc66900251"/>
      <w:bookmarkStart w:id="199" w:name="_Toc66901833"/>
      <w:bookmarkStart w:id="200" w:name="_Toc67437539"/>
      <w:bookmarkStart w:id="201" w:name="_Toc67437577"/>
      <w:bookmarkStart w:id="202" w:name="_Toc67457125"/>
      <w:bookmarkStart w:id="203" w:name="_Toc67464646"/>
      <w:bookmarkStart w:id="204" w:name="_Toc68035844"/>
      <w:bookmarkStart w:id="205" w:name="_Toc68036020"/>
      <w:bookmarkStart w:id="206" w:name="_Toc66647257"/>
      <w:bookmarkStart w:id="207" w:name="_Toc66647619"/>
      <w:bookmarkStart w:id="208" w:name="_Toc66647746"/>
      <w:bookmarkStart w:id="209" w:name="_Toc66647795"/>
      <w:bookmarkStart w:id="210" w:name="_Toc66860977"/>
      <w:bookmarkStart w:id="211" w:name="_Toc66862921"/>
      <w:bookmarkStart w:id="212" w:name="_Toc66900252"/>
      <w:bookmarkStart w:id="213" w:name="_Toc66901834"/>
      <w:bookmarkStart w:id="214" w:name="_Toc67437540"/>
      <w:bookmarkStart w:id="215" w:name="_Toc67437578"/>
      <w:bookmarkStart w:id="216" w:name="_Toc67457126"/>
      <w:bookmarkStart w:id="217" w:name="_Toc67464647"/>
      <w:bookmarkStart w:id="218" w:name="_Toc68035845"/>
      <w:bookmarkStart w:id="219" w:name="_Toc68036021"/>
      <w:bookmarkStart w:id="220" w:name="_Toc68035846"/>
      <w:bookmarkStart w:id="221" w:name="_Toc68036022"/>
      <w:bookmarkStart w:id="222" w:name="_Toc68035847"/>
      <w:bookmarkStart w:id="223" w:name="_Toc68036023"/>
      <w:bookmarkStart w:id="224" w:name="_Toc68035848"/>
      <w:bookmarkStart w:id="225" w:name="_Toc68036024"/>
      <w:bookmarkStart w:id="226" w:name="_Toc68035849"/>
      <w:bookmarkStart w:id="227" w:name="_Toc68036025"/>
      <w:bookmarkStart w:id="228" w:name="_Toc68035850"/>
      <w:bookmarkStart w:id="229" w:name="_Toc68036026"/>
      <w:bookmarkStart w:id="230" w:name="_Toc68035851"/>
      <w:bookmarkStart w:id="231" w:name="_Toc68036027"/>
      <w:bookmarkStart w:id="232" w:name="_Toc68035852"/>
      <w:bookmarkStart w:id="233" w:name="_Toc68036028"/>
      <w:bookmarkStart w:id="234" w:name="_Toc68035853"/>
      <w:bookmarkStart w:id="235" w:name="_Toc68036029"/>
      <w:bookmarkStart w:id="236" w:name="_Toc68035854"/>
      <w:bookmarkStart w:id="237" w:name="_Toc68036030"/>
      <w:bookmarkStart w:id="238" w:name="_Toc68035855"/>
      <w:bookmarkStart w:id="239" w:name="_Toc68036031"/>
      <w:bookmarkStart w:id="240" w:name="_Toc68035856"/>
      <w:bookmarkStart w:id="241" w:name="_Toc68036032"/>
      <w:bookmarkStart w:id="242" w:name="_Toc68035857"/>
      <w:bookmarkStart w:id="243" w:name="_Toc68036033"/>
      <w:bookmarkStart w:id="244" w:name="_Toc68035858"/>
      <w:bookmarkStart w:id="245" w:name="_Toc68036034"/>
      <w:bookmarkStart w:id="246" w:name="_Toc68035859"/>
      <w:bookmarkStart w:id="247" w:name="_Toc68036035"/>
      <w:bookmarkStart w:id="248" w:name="_Toc68035860"/>
      <w:bookmarkStart w:id="249" w:name="_Toc68036036"/>
      <w:bookmarkStart w:id="250" w:name="_Toc68035861"/>
      <w:bookmarkStart w:id="251" w:name="_Toc68036037"/>
      <w:bookmarkStart w:id="252" w:name="_Toc68035862"/>
      <w:bookmarkStart w:id="253" w:name="_Toc68036038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r w:rsidR="00807547" w:rsidRPr="007958B5">
        <w:rPr>
          <w:rFonts w:eastAsiaTheme="minorEastAsia" w:cstheme="minorHAnsi"/>
          <w:shd w:val="clear" w:color="auto" w:fill="FFFFFF"/>
        </w:rPr>
        <w:t xml:space="preserve"> </w:t>
      </w:r>
    </w:p>
    <w:sectPr w:rsidR="00143496" w:rsidRPr="007958B5" w:rsidSect="00BB5CC3">
      <w:headerReference w:type="even" r:id="rId13"/>
      <w:footerReference w:type="default" r:id="rId14"/>
      <w:headerReference w:type="firs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1F7B" w14:textId="77777777" w:rsidR="00CE1195" w:rsidRDefault="00CE1195" w:rsidP="00AD2464">
      <w:pPr>
        <w:spacing w:after="0" w:line="240" w:lineRule="auto"/>
      </w:pPr>
      <w:r>
        <w:separator/>
      </w:r>
    </w:p>
  </w:endnote>
  <w:endnote w:type="continuationSeparator" w:id="0">
    <w:p w14:paraId="7B9E4201" w14:textId="77777777" w:rsidR="00CE1195" w:rsidRDefault="00CE1195" w:rsidP="00AD2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ECC95" w14:textId="77777777" w:rsidR="00ED66CE" w:rsidRPr="00ED66CE" w:rsidRDefault="00ED66CE">
    <w:pPr>
      <w:pStyle w:val="Zpat"/>
      <w:jc w:val="center"/>
      <w:rPr>
        <w:caps/>
      </w:rPr>
    </w:pPr>
    <w:r w:rsidRPr="00ED66CE">
      <w:rPr>
        <w:caps/>
      </w:rPr>
      <w:fldChar w:fldCharType="begin"/>
    </w:r>
    <w:r w:rsidRPr="00ED66CE">
      <w:rPr>
        <w:caps/>
      </w:rPr>
      <w:instrText>PAGE   \* MERGEFORMAT</w:instrText>
    </w:r>
    <w:r w:rsidRPr="00ED66CE">
      <w:rPr>
        <w:caps/>
      </w:rPr>
      <w:fldChar w:fldCharType="separate"/>
    </w:r>
    <w:r w:rsidRPr="00ED66CE">
      <w:rPr>
        <w:caps/>
      </w:rPr>
      <w:t>2</w:t>
    </w:r>
    <w:r w:rsidRPr="00ED66CE">
      <w:rPr>
        <w:caps/>
      </w:rPr>
      <w:fldChar w:fldCharType="end"/>
    </w:r>
  </w:p>
  <w:p w14:paraId="2241D124" w14:textId="77777777" w:rsidR="00ED66CE" w:rsidRDefault="00ED66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B673F" w14:textId="77777777" w:rsidR="00CE1195" w:rsidRDefault="00CE1195" w:rsidP="00AD2464">
      <w:pPr>
        <w:spacing w:after="0" w:line="240" w:lineRule="auto"/>
      </w:pPr>
      <w:r>
        <w:separator/>
      </w:r>
    </w:p>
  </w:footnote>
  <w:footnote w:type="continuationSeparator" w:id="0">
    <w:p w14:paraId="0ACAAC3D" w14:textId="77777777" w:rsidR="00CE1195" w:rsidRDefault="00CE1195" w:rsidP="00AD24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9D718" w14:textId="77777777" w:rsidR="000350FC" w:rsidRDefault="000350FC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A7EE90" wp14:editId="6177F2B0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7145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ED44B3" w14:textId="77777777" w:rsidR="000350FC" w:rsidRPr="000350FC" w:rsidRDefault="000350F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350FC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A7EE9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ě přístupné informace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AjIXzsRwIAAGc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7BED44B3" w14:textId="77777777" w:rsidR="000350FC" w:rsidRPr="000350FC" w:rsidRDefault="000350FC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0350FC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0B8D4" w14:textId="77777777" w:rsidR="000350FC" w:rsidRDefault="000350FC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1A624C0" wp14:editId="6DDCB948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7145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27992C" w14:textId="77777777" w:rsidR="000350FC" w:rsidRPr="000350FC" w:rsidRDefault="000350FC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0350FC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A624C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Veřejně přístupné informace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BQlIGARwIAAG4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1327992C" w14:textId="77777777" w:rsidR="000350FC" w:rsidRPr="000350FC" w:rsidRDefault="000350FC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0350FC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F4EBC"/>
    <w:multiLevelType w:val="hybridMultilevel"/>
    <w:tmpl w:val="90B85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D5738B"/>
    <w:multiLevelType w:val="multilevel"/>
    <w:tmpl w:val="EA3A785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81EFA"/>
    <w:multiLevelType w:val="multilevel"/>
    <w:tmpl w:val="31283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464"/>
    <w:rsid w:val="00010513"/>
    <w:rsid w:val="000350FC"/>
    <w:rsid w:val="000554F6"/>
    <w:rsid w:val="000716EB"/>
    <w:rsid w:val="00086E31"/>
    <w:rsid w:val="000958BF"/>
    <w:rsid w:val="000F62D6"/>
    <w:rsid w:val="00124645"/>
    <w:rsid w:val="00134AA8"/>
    <w:rsid w:val="00135B16"/>
    <w:rsid w:val="00143496"/>
    <w:rsid w:val="00177D03"/>
    <w:rsid w:val="0018767F"/>
    <w:rsid w:val="00187A0D"/>
    <w:rsid w:val="002E1BFD"/>
    <w:rsid w:val="002F0918"/>
    <w:rsid w:val="0036492A"/>
    <w:rsid w:val="00391237"/>
    <w:rsid w:val="004E0E5D"/>
    <w:rsid w:val="004F584E"/>
    <w:rsid w:val="00520EBD"/>
    <w:rsid w:val="0054601E"/>
    <w:rsid w:val="005665BC"/>
    <w:rsid w:val="006335AA"/>
    <w:rsid w:val="006444A2"/>
    <w:rsid w:val="006A0BEB"/>
    <w:rsid w:val="007129BC"/>
    <w:rsid w:val="00744B2D"/>
    <w:rsid w:val="007623F2"/>
    <w:rsid w:val="00762F25"/>
    <w:rsid w:val="007958B5"/>
    <w:rsid w:val="00806882"/>
    <w:rsid w:val="00807547"/>
    <w:rsid w:val="008079E5"/>
    <w:rsid w:val="00851FE5"/>
    <w:rsid w:val="00875D8C"/>
    <w:rsid w:val="0088628B"/>
    <w:rsid w:val="008D3022"/>
    <w:rsid w:val="008F34D6"/>
    <w:rsid w:val="00926AF3"/>
    <w:rsid w:val="00942FBD"/>
    <w:rsid w:val="00986C8D"/>
    <w:rsid w:val="00986DA9"/>
    <w:rsid w:val="009B3A9B"/>
    <w:rsid w:val="009C311A"/>
    <w:rsid w:val="00A34A62"/>
    <w:rsid w:val="00AD2464"/>
    <w:rsid w:val="00AF3166"/>
    <w:rsid w:val="00AF5B90"/>
    <w:rsid w:val="00B52CE5"/>
    <w:rsid w:val="00B66D08"/>
    <w:rsid w:val="00B86A05"/>
    <w:rsid w:val="00BB5CC3"/>
    <w:rsid w:val="00C94910"/>
    <w:rsid w:val="00CC6D2B"/>
    <w:rsid w:val="00CE1195"/>
    <w:rsid w:val="00D1209F"/>
    <w:rsid w:val="00D84B6A"/>
    <w:rsid w:val="00D84FAB"/>
    <w:rsid w:val="00DC472A"/>
    <w:rsid w:val="00E60FC3"/>
    <w:rsid w:val="00ED66CE"/>
    <w:rsid w:val="00EE1CCF"/>
    <w:rsid w:val="00EF0C45"/>
    <w:rsid w:val="00F056FE"/>
    <w:rsid w:val="00FA58DD"/>
    <w:rsid w:val="00FE51C3"/>
    <w:rsid w:val="0105CECA"/>
    <w:rsid w:val="010A8B5D"/>
    <w:rsid w:val="02A2C83C"/>
    <w:rsid w:val="02B19736"/>
    <w:rsid w:val="02C57D71"/>
    <w:rsid w:val="02FE3C4F"/>
    <w:rsid w:val="03762745"/>
    <w:rsid w:val="037F89EC"/>
    <w:rsid w:val="0488990B"/>
    <w:rsid w:val="049A0CB0"/>
    <w:rsid w:val="0505A206"/>
    <w:rsid w:val="05877DD7"/>
    <w:rsid w:val="05FB9D57"/>
    <w:rsid w:val="0635DD11"/>
    <w:rsid w:val="067806E1"/>
    <w:rsid w:val="06961BD9"/>
    <w:rsid w:val="0751D72E"/>
    <w:rsid w:val="076F926D"/>
    <w:rsid w:val="07C7608B"/>
    <w:rsid w:val="08698F46"/>
    <w:rsid w:val="091B8185"/>
    <w:rsid w:val="09AFA7A3"/>
    <w:rsid w:val="09C82B60"/>
    <w:rsid w:val="0A632E64"/>
    <w:rsid w:val="0A8977F0"/>
    <w:rsid w:val="0AB13FDB"/>
    <w:rsid w:val="0B4C2936"/>
    <w:rsid w:val="0B5AAF08"/>
    <w:rsid w:val="0BD50040"/>
    <w:rsid w:val="0C4D103C"/>
    <w:rsid w:val="0D5EE251"/>
    <w:rsid w:val="0D70D0A1"/>
    <w:rsid w:val="0DC118B2"/>
    <w:rsid w:val="0E803814"/>
    <w:rsid w:val="0F6453EE"/>
    <w:rsid w:val="0F7A7226"/>
    <w:rsid w:val="0F8C2F49"/>
    <w:rsid w:val="106487AF"/>
    <w:rsid w:val="10BF743C"/>
    <w:rsid w:val="110B227D"/>
    <w:rsid w:val="116B7560"/>
    <w:rsid w:val="11B6D3F1"/>
    <w:rsid w:val="1214E8A9"/>
    <w:rsid w:val="12682E63"/>
    <w:rsid w:val="12B0FF1B"/>
    <w:rsid w:val="12C17079"/>
    <w:rsid w:val="133E79A0"/>
    <w:rsid w:val="136599B1"/>
    <w:rsid w:val="139D1374"/>
    <w:rsid w:val="139D2D46"/>
    <w:rsid w:val="13F4FF52"/>
    <w:rsid w:val="141F615D"/>
    <w:rsid w:val="14582221"/>
    <w:rsid w:val="1480414D"/>
    <w:rsid w:val="14FDE8D5"/>
    <w:rsid w:val="1538E3D5"/>
    <w:rsid w:val="15520C32"/>
    <w:rsid w:val="1566DE71"/>
    <w:rsid w:val="156A499E"/>
    <w:rsid w:val="156C7589"/>
    <w:rsid w:val="15CDF24B"/>
    <w:rsid w:val="15E9B3AA"/>
    <w:rsid w:val="16518CE7"/>
    <w:rsid w:val="165362E3"/>
    <w:rsid w:val="1699B936"/>
    <w:rsid w:val="169D3A73"/>
    <w:rsid w:val="16A528B1"/>
    <w:rsid w:val="16E859CC"/>
    <w:rsid w:val="17287655"/>
    <w:rsid w:val="17423474"/>
    <w:rsid w:val="1785840B"/>
    <w:rsid w:val="1800A9B5"/>
    <w:rsid w:val="1814CD20"/>
    <w:rsid w:val="187F7AB5"/>
    <w:rsid w:val="18BE489C"/>
    <w:rsid w:val="18D76FE7"/>
    <w:rsid w:val="18FD353F"/>
    <w:rsid w:val="1905930D"/>
    <w:rsid w:val="1A280C15"/>
    <w:rsid w:val="1A734048"/>
    <w:rsid w:val="1AB1B76A"/>
    <w:rsid w:val="1B3F1986"/>
    <w:rsid w:val="1C6B218C"/>
    <w:rsid w:val="1C9C266C"/>
    <w:rsid w:val="1CD736E0"/>
    <w:rsid w:val="1CD9E0BB"/>
    <w:rsid w:val="1CE8E409"/>
    <w:rsid w:val="1CF88E39"/>
    <w:rsid w:val="1CF9245D"/>
    <w:rsid w:val="1D43F5BA"/>
    <w:rsid w:val="1D8F2138"/>
    <w:rsid w:val="1DDF2A02"/>
    <w:rsid w:val="1E06F1ED"/>
    <w:rsid w:val="1E41E7E7"/>
    <w:rsid w:val="1F4371E4"/>
    <w:rsid w:val="1F46B16B"/>
    <w:rsid w:val="1FC79EDF"/>
    <w:rsid w:val="20EB5546"/>
    <w:rsid w:val="222DB928"/>
    <w:rsid w:val="22A92812"/>
    <w:rsid w:val="22DA6310"/>
    <w:rsid w:val="22F9F3E8"/>
    <w:rsid w:val="2407D2FB"/>
    <w:rsid w:val="244E6B86"/>
    <w:rsid w:val="249BAA7B"/>
    <w:rsid w:val="24CD86DF"/>
    <w:rsid w:val="24F578D6"/>
    <w:rsid w:val="2593D482"/>
    <w:rsid w:val="25E318AA"/>
    <w:rsid w:val="26155A3A"/>
    <w:rsid w:val="2658F95F"/>
    <w:rsid w:val="272FA4E3"/>
    <w:rsid w:val="27ADD433"/>
    <w:rsid w:val="27E480D6"/>
    <w:rsid w:val="2801C007"/>
    <w:rsid w:val="285902E6"/>
    <w:rsid w:val="28A5B861"/>
    <w:rsid w:val="296CE2B3"/>
    <w:rsid w:val="2985BD6D"/>
    <w:rsid w:val="29EEE9D9"/>
    <w:rsid w:val="2A1FB05F"/>
    <w:rsid w:val="2A750717"/>
    <w:rsid w:val="2AA1EA5F"/>
    <w:rsid w:val="2AAE095E"/>
    <w:rsid w:val="2B36153D"/>
    <w:rsid w:val="2BF7BE7C"/>
    <w:rsid w:val="2C3506E8"/>
    <w:rsid w:val="2C36309D"/>
    <w:rsid w:val="2C3DBAC0"/>
    <w:rsid w:val="2C5B563B"/>
    <w:rsid w:val="2C814556"/>
    <w:rsid w:val="2CAC894F"/>
    <w:rsid w:val="2D958CE4"/>
    <w:rsid w:val="2DA17A37"/>
    <w:rsid w:val="2DF16478"/>
    <w:rsid w:val="2E12323F"/>
    <w:rsid w:val="2E3BF655"/>
    <w:rsid w:val="2F9286BD"/>
    <w:rsid w:val="2FC7D4BE"/>
    <w:rsid w:val="2FD3F5D0"/>
    <w:rsid w:val="2FEFA125"/>
    <w:rsid w:val="307F6131"/>
    <w:rsid w:val="3111D429"/>
    <w:rsid w:val="3161182A"/>
    <w:rsid w:val="31C6C9A8"/>
    <w:rsid w:val="31F0FB9F"/>
    <w:rsid w:val="332C4796"/>
    <w:rsid w:val="33A14FD8"/>
    <w:rsid w:val="34324992"/>
    <w:rsid w:val="3466C2AD"/>
    <w:rsid w:val="34703929"/>
    <w:rsid w:val="34A28CB9"/>
    <w:rsid w:val="3530CC8E"/>
    <w:rsid w:val="3554C573"/>
    <w:rsid w:val="368ABB27"/>
    <w:rsid w:val="36B15EEA"/>
    <w:rsid w:val="36D4334A"/>
    <w:rsid w:val="3758C256"/>
    <w:rsid w:val="37F91D69"/>
    <w:rsid w:val="381FB225"/>
    <w:rsid w:val="382BF0D9"/>
    <w:rsid w:val="3869D357"/>
    <w:rsid w:val="388C6635"/>
    <w:rsid w:val="392D6C44"/>
    <w:rsid w:val="39408DF2"/>
    <w:rsid w:val="395A0B97"/>
    <w:rsid w:val="39E41213"/>
    <w:rsid w:val="3A283696"/>
    <w:rsid w:val="3AB6BF23"/>
    <w:rsid w:val="3B8E6681"/>
    <w:rsid w:val="3BDAD997"/>
    <w:rsid w:val="3BFAB1DE"/>
    <w:rsid w:val="3CB8CB06"/>
    <w:rsid w:val="3D1BB2D5"/>
    <w:rsid w:val="3D43188E"/>
    <w:rsid w:val="3D49B3D3"/>
    <w:rsid w:val="3D7203B6"/>
    <w:rsid w:val="3D82DDE3"/>
    <w:rsid w:val="3DA61BA0"/>
    <w:rsid w:val="3DE9BAC5"/>
    <w:rsid w:val="3DF5C656"/>
    <w:rsid w:val="3DFDB864"/>
    <w:rsid w:val="3E838192"/>
    <w:rsid w:val="3E95C41B"/>
    <w:rsid w:val="3EA85F05"/>
    <w:rsid w:val="3F0DD417"/>
    <w:rsid w:val="3F13ABBE"/>
    <w:rsid w:val="3F36AB07"/>
    <w:rsid w:val="3FF0FF4B"/>
    <w:rsid w:val="409F65A0"/>
    <w:rsid w:val="40AF7C1F"/>
    <w:rsid w:val="40FA44C0"/>
    <w:rsid w:val="41F1517C"/>
    <w:rsid w:val="423B3601"/>
    <w:rsid w:val="42845AD5"/>
    <w:rsid w:val="430DE311"/>
    <w:rsid w:val="438D21DD"/>
    <w:rsid w:val="43B307BF"/>
    <w:rsid w:val="44572CD0"/>
    <w:rsid w:val="44B75105"/>
    <w:rsid w:val="44C64A31"/>
    <w:rsid w:val="44DAA4BA"/>
    <w:rsid w:val="44DB2F4B"/>
    <w:rsid w:val="4528F23E"/>
    <w:rsid w:val="4569618D"/>
    <w:rsid w:val="456ABBD4"/>
    <w:rsid w:val="457B1446"/>
    <w:rsid w:val="45BBFB97"/>
    <w:rsid w:val="45F2D1B5"/>
    <w:rsid w:val="4626AB59"/>
    <w:rsid w:val="46532166"/>
    <w:rsid w:val="465DD74F"/>
    <w:rsid w:val="4698A08D"/>
    <w:rsid w:val="46EB0E73"/>
    <w:rsid w:val="4718E5FC"/>
    <w:rsid w:val="478F841F"/>
    <w:rsid w:val="4790DA57"/>
    <w:rsid w:val="47F9A7B0"/>
    <w:rsid w:val="48A03442"/>
    <w:rsid w:val="48AA7785"/>
    <w:rsid w:val="48D8CB35"/>
    <w:rsid w:val="48FA4F5C"/>
    <w:rsid w:val="492960D7"/>
    <w:rsid w:val="493772D9"/>
    <w:rsid w:val="496338CB"/>
    <w:rsid w:val="49709A2E"/>
    <w:rsid w:val="49C8FDEB"/>
    <w:rsid w:val="49D777EA"/>
    <w:rsid w:val="4A7FB6FE"/>
    <w:rsid w:val="4AEF4DE8"/>
    <w:rsid w:val="4AFF092C"/>
    <w:rsid w:val="4B2C6D48"/>
    <w:rsid w:val="4B6DB9B0"/>
    <w:rsid w:val="4B7FB2FC"/>
    <w:rsid w:val="4B8FA42C"/>
    <w:rsid w:val="4BF66CE1"/>
    <w:rsid w:val="4C9AD98D"/>
    <w:rsid w:val="4DB7481C"/>
    <w:rsid w:val="4DC25D4F"/>
    <w:rsid w:val="4E78C762"/>
    <w:rsid w:val="4E84F9D1"/>
    <w:rsid w:val="4EE983BC"/>
    <w:rsid w:val="4F94CA41"/>
    <w:rsid w:val="4FD27A4F"/>
    <w:rsid w:val="50E74A17"/>
    <w:rsid w:val="51309AA2"/>
    <w:rsid w:val="51830472"/>
    <w:rsid w:val="51CED323"/>
    <w:rsid w:val="52A14160"/>
    <w:rsid w:val="53C18143"/>
    <w:rsid w:val="5454DECA"/>
    <w:rsid w:val="547BB2B9"/>
    <w:rsid w:val="54AAB631"/>
    <w:rsid w:val="54EB2C0D"/>
    <w:rsid w:val="54F84814"/>
    <w:rsid w:val="5540B437"/>
    <w:rsid w:val="557A7C2B"/>
    <w:rsid w:val="55B3CB29"/>
    <w:rsid w:val="55F0AF2B"/>
    <w:rsid w:val="567132B6"/>
    <w:rsid w:val="56AD8047"/>
    <w:rsid w:val="56ADB348"/>
    <w:rsid w:val="56CA1B74"/>
    <w:rsid w:val="574C5EBF"/>
    <w:rsid w:val="57516361"/>
    <w:rsid w:val="57879794"/>
    <w:rsid w:val="57B580FF"/>
    <w:rsid w:val="5827E3E1"/>
    <w:rsid w:val="58403BD8"/>
    <w:rsid w:val="5845C2E5"/>
    <w:rsid w:val="587C48C5"/>
    <w:rsid w:val="59284FED"/>
    <w:rsid w:val="5950E74D"/>
    <w:rsid w:val="59DA9583"/>
    <w:rsid w:val="5A268489"/>
    <w:rsid w:val="5A43B03D"/>
    <w:rsid w:val="5A9CD5A8"/>
    <w:rsid w:val="5AB4310D"/>
    <w:rsid w:val="5AC4204E"/>
    <w:rsid w:val="5B1B44E7"/>
    <w:rsid w:val="5C2CA98C"/>
    <w:rsid w:val="5C340669"/>
    <w:rsid w:val="5C6CD69B"/>
    <w:rsid w:val="5C9A3454"/>
    <w:rsid w:val="5CFB7D3A"/>
    <w:rsid w:val="5D4FF8DF"/>
    <w:rsid w:val="5D9B5558"/>
    <w:rsid w:val="5DAB05DE"/>
    <w:rsid w:val="5DB2F523"/>
    <w:rsid w:val="5DBDD733"/>
    <w:rsid w:val="5DFBC110"/>
    <w:rsid w:val="5E00F508"/>
    <w:rsid w:val="5E53A907"/>
    <w:rsid w:val="5E61493E"/>
    <w:rsid w:val="5F334B8F"/>
    <w:rsid w:val="5F629C27"/>
    <w:rsid w:val="5FC986BF"/>
    <w:rsid w:val="600A7769"/>
    <w:rsid w:val="601A323E"/>
    <w:rsid w:val="603FFA3A"/>
    <w:rsid w:val="60543F47"/>
    <w:rsid w:val="60B374C9"/>
    <w:rsid w:val="60C23371"/>
    <w:rsid w:val="611F4E49"/>
    <w:rsid w:val="6190AC3D"/>
    <w:rsid w:val="620CE442"/>
    <w:rsid w:val="628C0D2B"/>
    <w:rsid w:val="62E62A8C"/>
    <w:rsid w:val="6300CAB8"/>
    <w:rsid w:val="63A8B4A3"/>
    <w:rsid w:val="64083AD4"/>
    <w:rsid w:val="644F9E84"/>
    <w:rsid w:val="64A7E940"/>
    <w:rsid w:val="64DDE88C"/>
    <w:rsid w:val="651C86D8"/>
    <w:rsid w:val="65722221"/>
    <w:rsid w:val="6573D798"/>
    <w:rsid w:val="65786D83"/>
    <w:rsid w:val="65BFE8C7"/>
    <w:rsid w:val="65F2D112"/>
    <w:rsid w:val="6674F593"/>
    <w:rsid w:val="66EE4999"/>
    <w:rsid w:val="67141759"/>
    <w:rsid w:val="6762284D"/>
    <w:rsid w:val="6816DF7C"/>
    <w:rsid w:val="682858FB"/>
    <w:rsid w:val="6864FAA4"/>
    <w:rsid w:val="68669BA8"/>
    <w:rsid w:val="68ACB399"/>
    <w:rsid w:val="68C63CFE"/>
    <w:rsid w:val="68D8A8B3"/>
    <w:rsid w:val="690920B0"/>
    <w:rsid w:val="697048A4"/>
    <w:rsid w:val="69DC1C42"/>
    <w:rsid w:val="6A190E4D"/>
    <w:rsid w:val="6A3FE23C"/>
    <w:rsid w:val="6A9C5A3B"/>
    <w:rsid w:val="6ACDBEB8"/>
    <w:rsid w:val="6AD51919"/>
    <w:rsid w:val="6AE042D2"/>
    <w:rsid w:val="6B34E6C7"/>
    <w:rsid w:val="6B3557E1"/>
    <w:rsid w:val="6B77C6E4"/>
    <w:rsid w:val="6BA43A22"/>
    <w:rsid w:val="6BD79DBC"/>
    <w:rsid w:val="6C382A9C"/>
    <w:rsid w:val="6CAA55A6"/>
    <w:rsid w:val="6CB9497F"/>
    <w:rsid w:val="6CD12842"/>
    <w:rsid w:val="6D8790E3"/>
    <w:rsid w:val="6E06B34D"/>
    <w:rsid w:val="6E337A5C"/>
    <w:rsid w:val="6E6CF8A3"/>
    <w:rsid w:val="6EC08A28"/>
    <w:rsid w:val="6ED5DD2C"/>
    <w:rsid w:val="6EDEA1E1"/>
    <w:rsid w:val="6F6C8465"/>
    <w:rsid w:val="6FB26568"/>
    <w:rsid w:val="7008C904"/>
    <w:rsid w:val="7011E6D4"/>
    <w:rsid w:val="703F5DCE"/>
    <w:rsid w:val="70884FD1"/>
    <w:rsid w:val="70BB9E58"/>
    <w:rsid w:val="71094689"/>
    <w:rsid w:val="71228855"/>
    <w:rsid w:val="714E35C9"/>
    <w:rsid w:val="71BDB973"/>
    <w:rsid w:val="71D12CC7"/>
    <w:rsid w:val="720D7DEE"/>
    <w:rsid w:val="725C047D"/>
    <w:rsid w:val="7329780B"/>
    <w:rsid w:val="7487057A"/>
    <w:rsid w:val="74DC3A27"/>
    <w:rsid w:val="754A9DD7"/>
    <w:rsid w:val="7584D3C2"/>
    <w:rsid w:val="75B17576"/>
    <w:rsid w:val="772ECF00"/>
    <w:rsid w:val="773FCE0D"/>
    <w:rsid w:val="77622D43"/>
    <w:rsid w:val="7782CAC9"/>
    <w:rsid w:val="77D1ED4D"/>
    <w:rsid w:val="77E9B619"/>
    <w:rsid w:val="784F2A78"/>
    <w:rsid w:val="78DB7D5E"/>
    <w:rsid w:val="78F3C722"/>
    <w:rsid w:val="79059DC7"/>
    <w:rsid w:val="7985867A"/>
    <w:rsid w:val="799A8143"/>
    <w:rsid w:val="7A021BF8"/>
    <w:rsid w:val="7A334BB2"/>
    <w:rsid w:val="7ABA6B8B"/>
    <w:rsid w:val="7ADE228B"/>
    <w:rsid w:val="7AFEA33A"/>
    <w:rsid w:val="7B18C745"/>
    <w:rsid w:val="7B902EAC"/>
    <w:rsid w:val="7BFFB400"/>
    <w:rsid w:val="7CA29D95"/>
    <w:rsid w:val="7CDA36F3"/>
    <w:rsid w:val="7CE9814F"/>
    <w:rsid w:val="7CF8223C"/>
    <w:rsid w:val="7D945A7F"/>
    <w:rsid w:val="7DA90AA1"/>
    <w:rsid w:val="7E20372A"/>
    <w:rsid w:val="7ECD78F6"/>
    <w:rsid w:val="7F3D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595A98"/>
  <w15:chartTrackingRefBased/>
  <w15:docId w15:val="{5E303386-2C60-44CF-A942-9500FEE4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5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5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50FC"/>
  </w:style>
  <w:style w:type="paragraph" w:styleId="Zpat">
    <w:name w:val="footer"/>
    <w:basedOn w:val="Normln"/>
    <w:link w:val="ZpatChar"/>
    <w:uiPriority w:val="99"/>
    <w:unhideWhenUsed/>
    <w:rsid w:val="00035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50FC"/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60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60FC3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Standardnpsmoodstavce"/>
    <w:rsid w:val="00E60FC3"/>
  </w:style>
  <w:style w:type="character" w:customStyle="1" w:styleId="eop">
    <w:name w:val="eop"/>
    <w:basedOn w:val="Standardnpsmoodstavce"/>
    <w:rsid w:val="00E60FC3"/>
  </w:style>
  <w:style w:type="character" w:styleId="Odkaznakoment">
    <w:name w:val="annotation reference"/>
    <w:basedOn w:val="Standardnpsmoodstavce"/>
    <w:uiPriority w:val="99"/>
    <w:semiHidden/>
    <w:unhideWhenUsed/>
    <w:rsid w:val="00520E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0EB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0EB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0E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0EBD"/>
    <w:rPr>
      <w:b/>
      <w:bCs/>
      <w:sz w:val="20"/>
      <w:szCs w:val="20"/>
    </w:rPr>
  </w:style>
  <w:style w:type="paragraph" w:styleId="Odstavecseseznamem">
    <w:name w:val="List Paragraph"/>
    <w:basedOn w:val="Normln"/>
    <w:uiPriority w:val="35"/>
    <w:unhideWhenUsed/>
    <w:qFormat/>
    <w:rsid w:val="008D3022"/>
    <w:pPr>
      <w:spacing w:line="293" w:lineRule="auto"/>
      <w:ind w:left="720"/>
      <w:contextualSpacing/>
    </w:pPr>
    <w:rPr>
      <w:color w:val="000000" w:themeColor="text1"/>
    </w:rPr>
  </w:style>
  <w:style w:type="table" w:customStyle="1" w:styleId="TableGrid1">
    <w:name w:val="Table Grid1"/>
    <w:basedOn w:val="Normlntabulka"/>
    <w:next w:val="Mkatabulky"/>
    <w:uiPriority w:val="39"/>
    <w:rsid w:val="008D302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ur-lex.europa.eu/legal-content/EN/TXT/?uri=PI_COM:C(2021)8481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otaceeu.cz/getmedia/3702c189-1855-40ce-95e7-35da374a9e37/Sdeleni-EK_vyznamne-projekty-spo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7AC3D038E8784E9C16E0921B8D5155" ma:contentTypeVersion="15" ma:contentTypeDescription="Vytvoří nový dokument" ma:contentTypeScope="" ma:versionID="00d78ad4826458ef1624f2d93d9153c5">
  <xsd:schema xmlns:xsd="http://www.w3.org/2001/XMLSchema" xmlns:xs="http://www.w3.org/2001/XMLSchema" xmlns:p="http://schemas.microsoft.com/office/2006/metadata/properties" xmlns:ns2="11544cef-d40f-40e0-9fb2-ea3e47b346f0" xmlns:ns3="b4346392-9490-4ec2-979c-afa8507021a9" targetNamespace="http://schemas.microsoft.com/office/2006/metadata/properties" ma:root="true" ma:fieldsID="7f79c3da929e12af0a74d4f77ed7b1e5" ns2:_="" ns3:_="">
    <xsd:import namespace="11544cef-d40f-40e0-9fb2-ea3e47b346f0"/>
    <xsd:import namespace="b4346392-9490-4ec2-979c-afa850702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44cef-d40f-40e0-9fb2-ea3e47b34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4dd7ddbe-1f86-4eaf-800e-08e792b06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46392-9490-4ec2-979c-afa8507021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70caa18-f488-432e-906b-9ca052482661}" ma:internalName="TaxCatchAll" ma:showField="CatchAllData" ma:web="b4346392-9490-4ec2-979c-afa850702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544cef-d40f-40e0-9fb2-ea3e47b346f0">
      <Terms xmlns="http://schemas.microsoft.com/office/infopath/2007/PartnerControls"/>
    </lcf76f155ced4ddcb4097134ff3c332f>
    <TaxCatchAll xmlns="b4346392-9490-4ec2-979c-afa8507021a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E74FE-6C99-4746-BFA0-648DBD7B95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D3A5D8-AC49-4DDF-9031-6BC148AB0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544cef-d40f-40e0-9fb2-ea3e47b346f0"/>
    <ds:schemaRef ds:uri="b4346392-9490-4ec2-979c-afa8507021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90518-16AF-48C0-8AF3-E8424EB8B423}">
  <ds:schemaRefs>
    <ds:schemaRef ds:uri="http://schemas.microsoft.com/office/2006/metadata/properties"/>
    <ds:schemaRef ds:uri="http://schemas.microsoft.com/office/infopath/2007/PartnerControls"/>
    <ds:schemaRef ds:uri="11544cef-d40f-40e0-9fb2-ea3e47b346f0"/>
    <ds:schemaRef ds:uri="b4346392-9490-4ec2-979c-afa8507021a9"/>
  </ds:schemaRefs>
</ds:datastoreItem>
</file>

<file path=customXml/itemProps4.xml><?xml version="1.0" encoding="utf-8"?>
<ds:datastoreItem xmlns:ds="http://schemas.openxmlformats.org/officeDocument/2006/customXml" ds:itemID="{92E0B062-E591-4666-A04F-AD73B426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8031C4B6.dotm</Template>
  <TotalTime>3</TotalTime>
  <Pages>6</Pages>
  <Words>1987</Words>
  <Characters>11728</Characters>
  <Application>Microsoft Office Word</Application>
  <DocSecurity>0</DocSecurity>
  <Lines>97</Lines>
  <Paragraphs>27</Paragraphs>
  <ScaleCrop>false</ScaleCrop>
  <Company>Ministerstvo průmyslu a obchodu</Company>
  <LinksUpToDate>false</LinksUpToDate>
  <CharactersWithSpaces>13688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Bubenková Monika</cp:lastModifiedBy>
  <cp:revision>10</cp:revision>
  <dcterms:created xsi:type="dcterms:W3CDTF">2023-06-27T07:16:00Z</dcterms:created>
  <dcterms:modified xsi:type="dcterms:W3CDTF">2023-11-22T07:11:00Z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0x010100787AC3D038E8784E9C16E0921B8D5155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349d3676-4709-48eb-9c02-c91456f84e2d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2021-05-07T11:42:13Z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  <property fmtid="{D5CDD505-2E9C-101B-9397-08002B2CF9AE}" pid="13" name="MediaServiceImageTags">
    <vt:lpwstr/>
  </property>
</Properties>
</file>