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1EEB0" w14:textId="7D561A5A" w:rsidR="001D3CB7" w:rsidRPr="00EF053F" w:rsidRDefault="001D3CB7" w:rsidP="001D3CB7">
      <w:pPr>
        <w:spacing w:line="240" w:lineRule="auto"/>
        <w:rPr>
          <w:b/>
          <w:bCs/>
        </w:rPr>
      </w:pPr>
      <w:bookmarkStart w:id="0" w:name="_GoBack"/>
      <w:bookmarkEnd w:id="0"/>
      <w:r w:rsidRPr="7E1B314E">
        <w:rPr>
          <w:b/>
          <w:bCs/>
        </w:rPr>
        <w:t>Rozšíření komponenty 1.4 o</w:t>
      </w:r>
      <w:r w:rsidR="00294A4D">
        <w:rPr>
          <w:b/>
          <w:bCs/>
        </w:rPr>
        <w:t> </w:t>
      </w:r>
      <w:r w:rsidRPr="7E1B314E">
        <w:rPr>
          <w:b/>
          <w:bCs/>
        </w:rPr>
        <w:t>novou investici</w:t>
      </w:r>
      <w:r w:rsidR="003F6344" w:rsidRPr="7E1B314E">
        <w:rPr>
          <w:b/>
          <w:bCs/>
        </w:rPr>
        <w:t xml:space="preserve"> 1.4.2.6</w:t>
      </w:r>
      <w:r w:rsidRPr="7E1B314E">
        <w:rPr>
          <w:b/>
          <w:bCs/>
        </w:rPr>
        <w:t xml:space="preserve">: </w:t>
      </w:r>
      <w:r w:rsidR="69088FFA" w:rsidRPr="7E1B314E">
        <w:rPr>
          <w:b/>
          <w:bCs/>
        </w:rPr>
        <w:t>Fondy</w:t>
      </w:r>
      <w:r w:rsidRPr="7E1B314E">
        <w:rPr>
          <w:b/>
          <w:bCs/>
        </w:rPr>
        <w:t xml:space="preserve"> </w:t>
      </w:r>
      <w:r w:rsidR="003D5C62">
        <w:rPr>
          <w:b/>
          <w:bCs/>
        </w:rPr>
        <w:t>na vývoj</w:t>
      </w:r>
      <w:r w:rsidRPr="7E1B314E">
        <w:rPr>
          <w:b/>
          <w:bCs/>
        </w:rPr>
        <w:t xml:space="preserve"> strategických technologií </w:t>
      </w:r>
      <w:r w:rsidR="4749C6AD" w:rsidRPr="7E1B314E">
        <w:rPr>
          <w:b/>
          <w:bCs/>
        </w:rPr>
        <w:t xml:space="preserve"> </w:t>
      </w:r>
    </w:p>
    <w:p w14:paraId="210A7420" w14:textId="41238855" w:rsidR="001D3CB7" w:rsidRPr="00EF053F" w:rsidRDefault="001D3CB7" w:rsidP="00AF162D">
      <w:pPr>
        <w:spacing w:line="240" w:lineRule="auto"/>
        <w:rPr>
          <w:b/>
          <w:bCs/>
        </w:rPr>
      </w:pPr>
    </w:p>
    <w:tbl>
      <w:tblPr>
        <w:tblW w:w="962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2175"/>
        <w:gridCol w:w="7453"/>
      </w:tblGrid>
      <w:tr w:rsidR="00AF162D" w:rsidRPr="00EF053F" w14:paraId="75FE1E8B" w14:textId="77777777" w:rsidTr="00294A4D">
        <w:trPr>
          <w:trHeight w:val="300"/>
        </w:trPr>
        <w:tc>
          <w:tcPr>
            <w:tcW w:w="2175" w:type="dxa"/>
          </w:tcPr>
          <w:p w14:paraId="4FD58FFC" w14:textId="34A58EA2" w:rsidR="003D5C62" w:rsidRDefault="3243E3AD" w:rsidP="00E40C44">
            <w:pPr>
              <w:spacing w:after="120"/>
              <w:rPr>
                <w:b/>
                <w:bCs/>
              </w:rPr>
            </w:pPr>
            <w:r w:rsidRPr="7E1B314E">
              <w:rPr>
                <w:b/>
                <w:bCs/>
              </w:rPr>
              <w:t>F</w:t>
            </w:r>
            <w:r w:rsidR="00AF162D" w:rsidRPr="7E1B314E">
              <w:rPr>
                <w:b/>
                <w:bCs/>
              </w:rPr>
              <w:t xml:space="preserve">ondy </w:t>
            </w:r>
            <w:r w:rsidR="003D5C62">
              <w:rPr>
                <w:b/>
                <w:bCs/>
              </w:rPr>
              <w:t>na vývoj</w:t>
            </w:r>
            <w:r w:rsidR="00AF162D" w:rsidRPr="7E1B314E">
              <w:rPr>
                <w:b/>
                <w:bCs/>
              </w:rPr>
              <w:t xml:space="preserve"> strategických technologií</w:t>
            </w:r>
            <w:r w:rsidR="00D93000" w:rsidRPr="7E1B314E">
              <w:rPr>
                <w:b/>
                <w:bCs/>
              </w:rPr>
              <w:t xml:space="preserve"> </w:t>
            </w:r>
          </w:p>
          <w:p w14:paraId="08BCA6C6" w14:textId="77777777" w:rsidR="003D5C62" w:rsidRDefault="003D5C62" w:rsidP="00E40C44">
            <w:pPr>
              <w:spacing w:after="120"/>
            </w:pPr>
          </w:p>
          <w:p w14:paraId="0B217198" w14:textId="4F01879E" w:rsidR="00AF162D" w:rsidRPr="00EF053F" w:rsidRDefault="00AF162D" w:rsidP="00E40C44">
            <w:pPr>
              <w:spacing w:after="120"/>
            </w:pPr>
            <w:r w:rsidRPr="00EF053F">
              <w:t>Výzva</w:t>
            </w:r>
          </w:p>
        </w:tc>
        <w:tc>
          <w:tcPr>
            <w:tcW w:w="7453" w:type="dxa"/>
          </w:tcPr>
          <w:p w14:paraId="1D0F7B69" w14:textId="2AE906B4" w:rsidR="00AF162D" w:rsidRPr="00EF053F" w:rsidRDefault="00AF162D" w:rsidP="00E40C44">
            <w:pPr>
              <w:spacing w:after="120"/>
              <w:jc w:val="both"/>
            </w:pPr>
            <w:r w:rsidRPr="00EF053F">
              <w:t>Česká republika adresuje selhání trhu v</w:t>
            </w:r>
            <w:r w:rsidR="00294A4D">
              <w:t> </w:t>
            </w:r>
            <w:r w:rsidRPr="00EF053F">
              <w:t>důležitých oblastech pre/seedových investic a</w:t>
            </w:r>
            <w:r w:rsidR="00294A4D">
              <w:t> </w:t>
            </w:r>
            <w:r w:rsidRPr="00EF053F">
              <w:t>kultivace ekosystému rizikového kapitálu (venture capital – VC) v</w:t>
            </w:r>
            <w:r w:rsidR="00294A4D">
              <w:t> </w:t>
            </w:r>
            <w:r w:rsidRPr="00EF053F">
              <w:t>rámci předchozí investice této komponenty, a</w:t>
            </w:r>
            <w:r w:rsidR="00294A4D">
              <w:t> </w:t>
            </w:r>
            <w:r w:rsidRPr="00EF053F">
              <w:t xml:space="preserve">to </w:t>
            </w:r>
            <w:r w:rsidR="00941537" w:rsidRPr="00EF053F">
              <w:t>trojicí pilotních investičních fondů. Vzhledem k</w:t>
            </w:r>
            <w:r w:rsidR="00294A4D">
              <w:t> </w:t>
            </w:r>
            <w:r w:rsidR="00941537" w:rsidRPr="00EF053F">
              <w:t>zásadním změnám ekonomické</w:t>
            </w:r>
            <w:r w:rsidR="001059BB" w:rsidRPr="00EF053F">
              <w:rPr>
                <w:rStyle w:val="Znakapoznpodarou"/>
              </w:rPr>
              <w:footnoteReference w:id="1"/>
            </w:r>
            <w:r w:rsidR="00941537" w:rsidRPr="00EF053F">
              <w:t>, politické a</w:t>
            </w:r>
            <w:r w:rsidR="00294A4D">
              <w:t> </w:t>
            </w:r>
            <w:r w:rsidR="00941537" w:rsidRPr="00EF053F">
              <w:t>bezpečnostní situace</w:t>
            </w:r>
            <w:r w:rsidR="001059BB" w:rsidRPr="00EF053F">
              <w:t xml:space="preserve"> v</w:t>
            </w:r>
            <w:r w:rsidR="00294A4D">
              <w:t> </w:t>
            </w:r>
            <w:r w:rsidR="001059BB" w:rsidRPr="00EF053F">
              <w:t>období od února 2022</w:t>
            </w:r>
            <w:r w:rsidR="00941537" w:rsidRPr="00EF053F">
              <w:t>, však došlo k</w:t>
            </w:r>
            <w:r w:rsidR="00294A4D">
              <w:t> </w:t>
            </w:r>
            <w:r w:rsidR="00941537" w:rsidRPr="00EF053F">
              <w:t xml:space="preserve">zásadnímu prohloubení poptávky po veřejném financování </w:t>
            </w:r>
            <w:r w:rsidR="001059BB" w:rsidRPr="00EF053F">
              <w:t>v</w:t>
            </w:r>
            <w:r w:rsidR="00294A4D">
              <w:t> </w:t>
            </w:r>
            <w:r w:rsidR="001059BB" w:rsidRPr="00EF053F">
              <w:t>technologických oblastech, které jsou strategické pro rozvoj, odolnost a</w:t>
            </w:r>
            <w:r w:rsidR="00294A4D">
              <w:t> </w:t>
            </w:r>
            <w:r w:rsidR="001059BB" w:rsidRPr="00EF053F">
              <w:t>transformaci české i</w:t>
            </w:r>
            <w:r w:rsidR="00294A4D">
              <w:t> </w:t>
            </w:r>
            <w:r w:rsidR="001059BB" w:rsidRPr="00EF053F">
              <w:t>evropské ekonomiky. Mezi tyto oblasti patří například čistá energetika, biotechnologie, technologie automatizace všech oborů ekonomiky a</w:t>
            </w:r>
            <w:r w:rsidR="00294A4D">
              <w:t> </w:t>
            </w:r>
            <w:r w:rsidR="001059BB" w:rsidRPr="00EF053F">
              <w:t>pokročilá průmyslová výroba, včetně technologií dvojího užití i</w:t>
            </w:r>
            <w:r w:rsidR="00294A4D">
              <w:t> </w:t>
            </w:r>
            <w:r w:rsidR="001059BB" w:rsidRPr="00EF053F">
              <w:t>s čistě obranným a</w:t>
            </w:r>
            <w:r w:rsidR="00294A4D">
              <w:t> </w:t>
            </w:r>
            <w:r w:rsidR="001059BB" w:rsidRPr="00EF053F">
              <w:t>bezpečnostním zaměřením</w:t>
            </w:r>
            <w:r w:rsidR="00DA6D59" w:rsidRPr="00EF053F">
              <w:t>, vč. samotných nástrojů financování inovací a</w:t>
            </w:r>
            <w:r w:rsidR="00294A4D">
              <w:t> </w:t>
            </w:r>
            <w:r w:rsidR="00DA6D59" w:rsidRPr="00EF053F">
              <w:t>dalších</w:t>
            </w:r>
            <w:r w:rsidR="001059BB" w:rsidRPr="00EF053F">
              <w:t xml:space="preserve">. </w:t>
            </w:r>
            <w:r w:rsidR="00DA6D59" w:rsidRPr="00EF053F">
              <w:t>Propojenou výzvou je pak podpora získání a</w:t>
            </w:r>
            <w:r w:rsidR="00294A4D">
              <w:t> </w:t>
            </w:r>
            <w:r w:rsidR="00DA6D59" w:rsidRPr="00EF053F">
              <w:t>rozvoje nadějných projektů z</w:t>
            </w:r>
            <w:r w:rsidR="00294A4D">
              <w:t> </w:t>
            </w:r>
            <w:r w:rsidR="00DA6D59" w:rsidRPr="00EF053F">
              <w:t>Ukrajiny a</w:t>
            </w:r>
            <w:r w:rsidR="00294A4D">
              <w:t> </w:t>
            </w:r>
            <w:r w:rsidR="00DA6D59" w:rsidRPr="00EF053F">
              <w:t>to jak s</w:t>
            </w:r>
            <w:r w:rsidR="00294A4D">
              <w:t> </w:t>
            </w:r>
            <w:r w:rsidR="00DA6D59" w:rsidRPr="00EF053F">
              <w:t>cílem podpory budoucí poválečné rekonstrukce, tak společného rozvoje technologií, nejen v</w:t>
            </w:r>
            <w:r w:rsidR="00294A4D">
              <w:t> </w:t>
            </w:r>
            <w:r w:rsidR="00DA6D59" w:rsidRPr="00EF053F">
              <w:t xml:space="preserve">obranné oblasti. </w:t>
            </w:r>
            <w:r w:rsidR="001059BB" w:rsidRPr="00EF053F">
              <w:t>Ve</w:t>
            </w:r>
            <w:r w:rsidRPr="00EF053F">
              <w:t xml:space="preserve"> vybraných klíčových technologiích strategické důležitosti je třeba podpořit projekty </w:t>
            </w:r>
            <w:r w:rsidR="001059BB" w:rsidRPr="00EF053F">
              <w:t xml:space="preserve">jak </w:t>
            </w:r>
            <w:r w:rsidRPr="00EF053F">
              <w:t>v</w:t>
            </w:r>
            <w:r w:rsidR="00294A4D">
              <w:t> </w:t>
            </w:r>
            <w:r w:rsidRPr="00EF053F">
              <w:t>prvotní fázi</w:t>
            </w:r>
            <w:r w:rsidR="001059BB" w:rsidRPr="00EF053F">
              <w:t>, tak i</w:t>
            </w:r>
            <w:r w:rsidR="00294A4D">
              <w:t> </w:t>
            </w:r>
            <w:r w:rsidR="001059BB" w:rsidRPr="00EF053F">
              <w:t>v</w:t>
            </w:r>
            <w:r w:rsidR="00D93000" w:rsidRPr="00EF053F">
              <w:t>e fázích</w:t>
            </w:r>
            <w:r w:rsidR="001059BB" w:rsidRPr="00EF053F">
              <w:t> následujících</w:t>
            </w:r>
            <w:r w:rsidR="00D93000" w:rsidRPr="00EF053F">
              <w:t xml:space="preserve">, </w:t>
            </w:r>
            <w:r w:rsidRPr="00EF053F">
              <w:t>s</w:t>
            </w:r>
            <w:r w:rsidR="00294A4D">
              <w:t> </w:t>
            </w:r>
            <w:r w:rsidRPr="00EF053F">
              <w:t>cílem rozvoje a</w:t>
            </w:r>
            <w:r w:rsidR="00294A4D">
              <w:t> </w:t>
            </w:r>
            <w:r w:rsidRPr="00EF053F">
              <w:t>udržení těchto technologických firem v</w:t>
            </w:r>
            <w:r w:rsidR="00294A4D">
              <w:t> </w:t>
            </w:r>
            <w:r w:rsidRPr="00EF053F">
              <w:t>ČR/EU</w:t>
            </w:r>
            <w:r w:rsidR="001059BB" w:rsidRPr="00EF053F">
              <w:t>.</w:t>
            </w:r>
            <w:r w:rsidRPr="00EF053F">
              <w:t xml:space="preserve"> </w:t>
            </w:r>
            <w:r w:rsidR="00D93000" w:rsidRPr="00EF053F">
              <w:t>Cíl zvýšení dostupnosti kapitálu pro takovéto projekty z</w:t>
            </w:r>
            <w:r w:rsidR="00294A4D">
              <w:t> </w:t>
            </w:r>
            <w:r w:rsidR="00D93000" w:rsidRPr="00EF053F">
              <w:t>oblasti tzv. „deep tech“ pak uvádí řada strategických dokumentů a</w:t>
            </w:r>
            <w:r w:rsidR="00294A4D">
              <w:t> </w:t>
            </w:r>
            <w:r w:rsidR="00D93000" w:rsidRPr="00EF053F">
              <w:t xml:space="preserve">iniciativ EU, jako </w:t>
            </w:r>
            <w:r w:rsidR="00DA6D59" w:rsidRPr="00EF053F">
              <w:t xml:space="preserve">např. </w:t>
            </w:r>
            <w:r w:rsidR="00D93000" w:rsidRPr="00EF053F">
              <w:t>New European Innovation Agenda, nebo</w:t>
            </w:r>
            <w:r w:rsidRPr="00EF053F">
              <w:t xml:space="preserve"> EU Startup Nations Standard.</w:t>
            </w:r>
          </w:p>
        </w:tc>
      </w:tr>
      <w:tr w:rsidR="00AF162D" w:rsidRPr="00EF053F" w14:paraId="22131F81" w14:textId="77777777" w:rsidTr="00294A4D">
        <w:trPr>
          <w:trHeight w:val="300"/>
        </w:trPr>
        <w:tc>
          <w:tcPr>
            <w:tcW w:w="2175" w:type="dxa"/>
          </w:tcPr>
          <w:p w14:paraId="30E6AB90" w14:textId="77777777" w:rsidR="00AF162D" w:rsidRPr="00EF053F" w:rsidRDefault="00AF162D" w:rsidP="00E40C44">
            <w:pPr>
              <w:spacing w:after="120"/>
            </w:pPr>
            <w:r w:rsidRPr="00EF053F">
              <w:t>Cíl</w:t>
            </w:r>
          </w:p>
        </w:tc>
        <w:tc>
          <w:tcPr>
            <w:tcW w:w="7453" w:type="dxa"/>
          </w:tcPr>
          <w:p w14:paraId="3B34927D" w14:textId="654727AD" w:rsidR="00F7144E" w:rsidRPr="00EF053F" w:rsidRDefault="00AF162D" w:rsidP="00E40C44">
            <w:pPr>
              <w:jc w:val="both"/>
            </w:pPr>
            <w:r w:rsidRPr="00EF053F">
              <w:t>Pro digitální transformaci ekonomiky je stěžejní rozvíjet trh s</w:t>
            </w:r>
            <w:r w:rsidR="00294A4D">
              <w:t> </w:t>
            </w:r>
            <w:r w:rsidRPr="00EF053F">
              <w:t>rizikovým kapitálem</w:t>
            </w:r>
            <w:r w:rsidR="00F7144E" w:rsidRPr="00EF053F">
              <w:t xml:space="preserve"> (VC)</w:t>
            </w:r>
            <w:r w:rsidRPr="00EF053F">
              <w:t>, proto je v</w:t>
            </w:r>
            <w:r w:rsidR="00294A4D">
              <w:t> </w:t>
            </w:r>
            <w:r w:rsidRPr="00EF053F">
              <w:t xml:space="preserve">ČR potřeba zajistit dostatečnou nabídku rizikového kapitálu </w:t>
            </w:r>
            <w:r w:rsidR="00F7144E" w:rsidRPr="00EF053F">
              <w:t xml:space="preserve">jak </w:t>
            </w:r>
            <w:r w:rsidRPr="00EF053F">
              <w:t>pro projekty a</w:t>
            </w:r>
            <w:r w:rsidR="00294A4D">
              <w:t> </w:t>
            </w:r>
            <w:r w:rsidRPr="00EF053F">
              <w:t>podniky v</w:t>
            </w:r>
            <w:r w:rsidR="00294A4D">
              <w:t> </w:t>
            </w:r>
            <w:r w:rsidRPr="00EF053F">
              <w:t>rané fázi rozvoje s</w:t>
            </w:r>
            <w:r w:rsidR="00294A4D">
              <w:t> </w:t>
            </w:r>
            <w:r w:rsidRPr="00EF053F">
              <w:t>vysokou mírou rizikovosti</w:t>
            </w:r>
            <w:r w:rsidR="00F7144E" w:rsidRPr="00EF053F">
              <w:t>, tak i</w:t>
            </w:r>
            <w:r w:rsidR="00294A4D">
              <w:t> </w:t>
            </w:r>
            <w:r w:rsidR="00F7144E" w:rsidRPr="00EF053F">
              <w:t>ve fázích pozdějších. V</w:t>
            </w:r>
            <w:r w:rsidR="00294A4D">
              <w:t> </w:t>
            </w:r>
            <w:r w:rsidR="00F7144E" w:rsidRPr="00EF053F">
              <w:t>případě technologií se značným strategickým významem pro ČR a</w:t>
            </w:r>
            <w:r w:rsidR="00294A4D">
              <w:t> </w:t>
            </w:r>
            <w:r w:rsidR="00F7144E" w:rsidRPr="00EF053F">
              <w:t>EU, se navíc jedná často o</w:t>
            </w:r>
            <w:r w:rsidR="00294A4D">
              <w:t> </w:t>
            </w:r>
            <w:r w:rsidR="00F7144E" w:rsidRPr="00EF053F">
              <w:t>kapitálově náročné investice, které už v</w:t>
            </w:r>
            <w:r w:rsidR="00294A4D">
              <w:t> </w:t>
            </w:r>
            <w:r w:rsidR="00F7144E" w:rsidRPr="00EF053F">
              <w:t>prvotní fázi vykazují vyšší potřebu finančních prostředků a</w:t>
            </w:r>
            <w:r w:rsidR="00294A4D">
              <w:t> </w:t>
            </w:r>
            <w:r w:rsidR="00F7144E" w:rsidRPr="00EF053F">
              <w:t>často vyšší úroveň rizikovosti. V</w:t>
            </w:r>
            <w:r w:rsidR="00294A4D">
              <w:t> </w:t>
            </w:r>
            <w:r w:rsidR="00F7144E" w:rsidRPr="00EF053F">
              <w:t>této kombinaci je pak podpora z</w:t>
            </w:r>
            <w:r w:rsidR="00294A4D">
              <w:t> </w:t>
            </w:r>
            <w:r w:rsidR="00F7144E" w:rsidRPr="00EF053F">
              <w:t>veřejných zdrojů nejen nezbytná, ale také obvyklá v</w:t>
            </w:r>
            <w:r w:rsidR="00294A4D">
              <w:t> </w:t>
            </w:r>
            <w:r w:rsidR="00F7144E" w:rsidRPr="00EF053F">
              <w:t>zemích EU i</w:t>
            </w:r>
            <w:r w:rsidR="00294A4D">
              <w:t> </w:t>
            </w:r>
            <w:r w:rsidR="00F7144E" w:rsidRPr="00EF053F">
              <w:t>mimo ni. ČR v</w:t>
            </w:r>
            <w:r w:rsidR="00294A4D">
              <w:t> </w:t>
            </w:r>
            <w:r w:rsidR="00F7144E" w:rsidRPr="00EF053F">
              <w:t xml:space="preserve">tuto chvíli nicméně nedisponuje obdobným investičním nástrojem, jakým je např. „Future </w:t>
            </w:r>
            <w:r w:rsidR="00DA6D59" w:rsidRPr="00EF053F">
              <w:t>F</w:t>
            </w:r>
            <w:r w:rsidR="00F7144E" w:rsidRPr="00EF053F">
              <w:t>und“ v</w:t>
            </w:r>
            <w:r w:rsidR="00294A4D">
              <w:t> </w:t>
            </w:r>
            <w:r w:rsidR="00F7144E" w:rsidRPr="00EF053F">
              <w:t>Lucembursku, nebo obdobný fond v</w:t>
            </w:r>
            <w:r w:rsidR="00294A4D">
              <w:t> </w:t>
            </w:r>
            <w:r w:rsidR="00F7144E" w:rsidRPr="00EF053F">
              <w:t>Nizozemí a</w:t>
            </w:r>
            <w:r w:rsidR="00294A4D">
              <w:t> </w:t>
            </w:r>
            <w:r w:rsidR="00F7144E" w:rsidRPr="00EF053F">
              <w:t xml:space="preserve">dalších zemích. </w:t>
            </w:r>
            <w:r w:rsidR="00122DDD" w:rsidRPr="00EF053F">
              <w:t>Vznik tohoto nástroje v</w:t>
            </w:r>
            <w:r w:rsidR="00294A4D">
              <w:t> </w:t>
            </w:r>
            <w:r w:rsidR="00122DDD" w:rsidRPr="00EF053F">
              <w:t>ČR tak má i</w:t>
            </w:r>
            <w:r w:rsidR="00294A4D">
              <w:t> </w:t>
            </w:r>
            <w:r w:rsidR="00122DDD" w:rsidRPr="00EF053F">
              <w:t>značný pozitivní reformní charakter pro ekonomiku ČR.</w:t>
            </w:r>
          </w:p>
          <w:p w14:paraId="1C5090E7" w14:textId="045B3217" w:rsidR="00AF162D" w:rsidRPr="00EF053F" w:rsidRDefault="00F7144E" w:rsidP="00E40C44">
            <w:pPr>
              <w:jc w:val="both"/>
            </w:pPr>
            <w:r w:rsidRPr="00EF053F">
              <w:t xml:space="preserve">Cílem rozšíření této investice tak je </w:t>
            </w:r>
            <w:r w:rsidR="00AF162D" w:rsidRPr="00EF053F">
              <w:t>podpořit vznik nových inovativních a</w:t>
            </w:r>
            <w:r w:rsidR="00294A4D">
              <w:t> </w:t>
            </w:r>
            <w:r w:rsidR="00AF162D" w:rsidRPr="00EF053F">
              <w:t>technologicky založených podniků, nápadů a</w:t>
            </w:r>
            <w:r w:rsidR="00294A4D">
              <w:t> </w:t>
            </w:r>
            <w:r w:rsidR="00AF162D" w:rsidRPr="00EF053F">
              <w:t>inovací, což ve výsledku povede ke zvýšení konkurenceschopnosti české ekonomiky</w:t>
            </w:r>
            <w:r w:rsidR="00DA6D59" w:rsidRPr="00EF053F">
              <w:t xml:space="preserve"> a</w:t>
            </w:r>
            <w:r w:rsidR="00294A4D">
              <w:t> </w:t>
            </w:r>
            <w:r w:rsidR="00DA6D59" w:rsidRPr="00EF053F">
              <w:t>podpoře konkurenceschopnosti EU</w:t>
            </w:r>
            <w:r w:rsidR="00AF162D" w:rsidRPr="00EF053F">
              <w:t>. Rizikový kapitál přináší zainvestovaným společnostem nejen okamžitý příliv financí, ale díky zkušenostem investorů také jejich koučing a</w:t>
            </w:r>
            <w:r w:rsidR="00294A4D">
              <w:t> </w:t>
            </w:r>
            <w:r w:rsidR="00AF162D" w:rsidRPr="00EF053F">
              <w:t>mentoring.</w:t>
            </w:r>
          </w:p>
          <w:p w14:paraId="59D39C5F" w14:textId="42D47BDA" w:rsidR="00AF162D" w:rsidRPr="00EF053F" w:rsidRDefault="00AF162D" w:rsidP="00E40C44">
            <w:pPr>
              <w:jc w:val="both"/>
            </w:pPr>
            <w:r w:rsidRPr="00EF053F">
              <w:lastRenderedPageBreak/>
              <w:t>Cílem investice tak je napomáhat zlepšení fungování trhu rizikového kapitálu prostřednictvím přímého zapojení veřejného kapitálu do investování</w:t>
            </w:r>
            <w:r w:rsidR="00DA6D59" w:rsidRPr="00EF053F">
              <w:t xml:space="preserve"> skrze </w:t>
            </w:r>
            <w:r w:rsidRPr="00EF053F">
              <w:t xml:space="preserve">fondy rizikového kapitálu. </w:t>
            </w:r>
            <w:r w:rsidR="00DA6D59" w:rsidRPr="00EF053F">
              <w:t xml:space="preserve">Rozšíření této investice tak dále doplní </w:t>
            </w:r>
            <w:r w:rsidRPr="00EF053F">
              <w:t xml:space="preserve">soukromý kapitál na trhu, podpoří přímo </w:t>
            </w:r>
            <w:r w:rsidR="00DA6D59" w:rsidRPr="00EF053F">
              <w:t xml:space="preserve">rozvoj firem typu </w:t>
            </w:r>
            <w:r w:rsidRPr="00EF053F">
              <w:t xml:space="preserve">start-up </w:t>
            </w:r>
            <w:r w:rsidR="00DA6D59" w:rsidRPr="00EF053F">
              <w:t>a</w:t>
            </w:r>
            <w:r w:rsidR="00294A4D">
              <w:t> </w:t>
            </w:r>
            <w:r w:rsidR="00DA6D59" w:rsidRPr="00EF053F">
              <w:t>univerzitní spin-off a</w:t>
            </w:r>
            <w:r w:rsidR="00294A4D">
              <w:t> </w:t>
            </w:r>
            <w:r w:rsidR="00DA6D59" w:rsidRPr="00EF053F">
              <w:t>může tak přímo navázat na trojici pilotních fondů podpořených z</w:t>
            </w:r>
            <w:r w:rsidR="00294A4D">
              <w:t> </w:t>
            </w:r>
            <w:r w:rsidR="00DA6D59" w:rsidRPr="00EF053F">
              <w:t>investice 2.3.1 v</w:t>
            </w:r>
            <w:r w:rsidR="00294A4D">
              <w:t> </w:t>
            </w:r>
            <w:r w:rsidR="00DA6D59" w:rsidRPr="00EF053F">
              <w:t>této komponentě viz výše. Rozšíření i</w:t>
            </w:r>
            <w:r w:rsidRPr="00EF053F">
              <w:t>nvestice tak</w:t>
            </w:r>
            <w:r w:rsidR="00DA6D59" w:rsidRPr="00EF053F">
              <w:t>é</w:t>
            </w:r>
            <w:r w:rsidRPr="00EF053F">
              <w:t xml:space="preserve"> naváže na dosavadní projekty (Středoevropský fond fondů a</w:t>
            </w:r>
            <w:r w:rsidR="00294A4D">
              <w:t> </w:t>
            </w:r>
            <w:r w:rsidRPr="00EF053F">
              <w:t>Fond fondů OP PIK ve správě EIF, IPO Fond na podporu úpisů MSP na alternativních obchodních platformách). Kofinancování veřejných finančních prostředků by pak měl být zdrojem z</w:t>
            </w:r>
            <w:r w:rsidR="00294A4D">
              <w:t> </w:t>
            </w:r>
            <w:r w:rsidRPr="00EF053F">
              <w:t>Evropského investičního fondu (EIF) a</w:t>
            </w:r>
            <w:r w:rsidR="00294A4D">
              <w:t> </w:t>
            </w:r>
            <w:r w:rsidRPr="00EF053F">
              <w:t>v cílové fázi bude soukromý kapitál zapojen v</w:t>
            </w:r>
            <w:r w:rsidR="00294A4D">
              <w:t> </w:t>
            </w:r>
            <w:r w:rsidRPr="00EF053F">
              <w:t>maximální možné míře, čímž bude umožněno fungování pozitivních efektů na trhu i</w:t>
            </w:r>
            <w:r w:rsidR="00294A4D">
              <w:t> </w:t>
            </w:r>
            <w:r w:rsidRPr="00EF053F">
              <w:t>po snížení dostupných prostředků z</w:t>
            </w:r>
            <w:r w:rsidR="00294A4D">
              <w:t> </w:t>
            </w:r>
            <w:r w:rsidRPr="00EF053F">
              <w:t>evropských fondů. Podpořeny také budou zvláště investoři a</w:t>
            </w:r>
            <w:r w:rsidR="00294A4D">
              <w:t> </w:t>
            </w:r>
            <w:r w:rsidRPr="00EF053F">
              <w:t>projekty podporující rovné příležitosti žen a</w:t>
            </w:r>
            <w:r w:rsidR="00294A4D">
              <w:t> </w:t>
            </w:r>
            <w:r w:rsidRPr="00EF053F">
              <w:t>mužů.</w:t>
            </w:r>
          </w:p>
          <w:p w14:paraId="79CCE262" w14:textId="68C20E37" w:rsidR="00DA6D59" w:rsidRPr="00EF053F" w:rsidRDefault="00DA6D59" w:rsidP="00E40C44">
            <w:pPr>
              <w:jc w:val="both"/>
            </w:pPr>
            <w:r>
              <w:t xml:space="preserve">Samostatný cíl podpory </w:t>
            </w:r>
            <w:r w:rsidR="00456E0B">
              <w:t>ukrajinských projektů, firem a</w:t>
            </w:r>
            <w:r w:rsidR="00294A4D">
              <w:t> </w:t>
            </w:r>
            <w:r w:rsidR="00456E0B">
              <w:t>start-upů bude realizován zvláštním zaměřením (viz dále), a</w:t>
            </w:r>
            <w:r w:rsidR="00294A4D">
              <w:t> </w:t>
            </w:r>
            <w:r w:rsidR="00456E0B">
              <w:t>to se zvláštním zřetelem na aktuální bezpečnostní, politickou a</w:t>
            </w:r>
            <w:r w:rsidR="00294A4D">
              <w:t> </w:t>
            </w:r>
            <w:r w:rsidR="00456E0B">
              <w:t>ekonomickou situaci. Cíle podpory např. zelené energetiky a</w:t>
            </w:r>
            <w:r w:rsidR="00294A4D">
              <w:t> </w:t>
            </w:r>
            <w:r w:rsidR="00456E0B">
              <w:t>modernizace průmyslových odvětví v</w:t>
            </w:r>
            <w:r w:rsidR="00294A4D">
              <w:t> </w:t>
            </w:r>
            <w:r w:rsidR="00456E0B">
              <w:t>EU, jsou nicméně již dnes jasně uváděny zástupci Evropské komise jako cíle komplementární k</w:t>
            </w:r>
            <w:r w:rsidR="00294A4D">
              <w:t> </w:t>
            </w:r>
            <w:r w:rsidR="00456E0B">
              <w:t>obnově Ukrajiny po ukončení ruské invaze.</w:t>
            </w:r>
          </w:p>
          <w:p w14:paraId="2622DA08" w14:textId="14568472" w:rsidR="00AF162D" w:rsidRPr="00EF053F" w:rsidRDefault="00AF162D" w:rsidP="00E40C44">
            <w:pPr>
              <w:jc w:val="both"/>
            </w:pPr>
            <w:r w:rsidRPr="00EF053F">
              <w:t>Investice tak</w:t>
            </w:r>
            <w:r w:rsidR="00456E0B" w:rsidRPr="00EF053F">
              <w:t>é</w:t>
            </w:r>
            <w:r w:rsidRPr="00EF053F">
              <w:t xml:space="preserve"> naplní cíle Strategie podpory malých a</w:t>
            </w:r>
            <w:r w:rsidR="00294A4D">
              <w:t> </w:t>
            </w:r>
            <w:r w:rsidRPr="00EF053F">
              <w:t>středních podniků v</w:t>
            </w:r>
            <w:r w:rsidR="00294A4D">
              <w:t> </w:t>
            </w:r>
            <w:r w:rsidRPr="00EF053F">
              <w:t>ČR pro období 2021–2027, zejména specifického cíle Vytvoření příznivých podmínek pro financování začínajících a</w:t>
            </w:r>
            <w:r w:rsidR="00294A4D">
              <w:t> </w:t>
            </w:r>
            <w:r w:rsidRPr="00EF053F">
              <w:t>rostoucích podniků a</w:t>
            </w:r>
            <w:r w:rsidR="00294A4D">
              <w:t> </w:t>
            </w:r>
            <w:r w:rsidRPr="00EF053F">
              <w:t>také cíle Koncepce rozvoje kapitálového trhu v</w:t>
            </w:r>
            <w:r w:rsidR="00294A4D">
              <w:t> </w:t>
            </w:r>
            <w:r w:rsidRPr="00EF053F">
              <w:t>ČR.</w:t>
            </w:r>
          </w:p>
        </w:tc>
      </w:tr>
      <w:tr w:rsidR="00AF162D" w:rsidRPr="00EF053F" w14:paraId="731D587D" w14:textId="77777777" w:rsidTr="00294A4D">
        <w:trPr>
          <w:trHeight w:val="300"/>
        </w:trPr>
        <w:tc>
          <w:tcPr>
            <w:tcW w:w="2175" w:type="dxa"/>
          </w:tcPr>
          <w:p w14:paraId="52AC4CFD" w14:textId="77777777" w:rsidR="00AF162D" w:rsidRPr="00EF053F" w:rsidRDefault="00AF162D" w:rsidP="00E40C44">
            <w:pPr>
              <w:spacing w:after="120"/>
            </w:pPr>
            <w:r w:rsidRPr="00EF053F">
              <w:lastRenderedPageBreak/>
              <w:t>Implementace</w:t>
            </w:r>
          </w:p>
        </w:tc>
        <w:tc>
          <w:tcPr>
            <w:tcW w:w="7453" w:type="dxa"/>
          </w:tcPr>
          <w:p w14:paraId="05534DAF" w14:textId="58FF1E97" w:rsidR="0019671D" w:rsidRPr="00EF053F" w:rsidRDefault="00456E0B" w:rsidP="00E40C44">
            <w:pPr>
              <w:spacing w:after="120"/>
              <w:jc w:val="both"/>
            </w:pPr>
            <w:r>
              <w:t>Rozšíření investice</w:t>
            </w:r>
            <w:r w:rsidR="0019671D">
              <w:t xml:space="preserve"> bude realizováno v</w:t>
            </w:r>
            <w:r w:rsidR="00294A4D">
              <w:t> </w:t>
            </w:r>
            <w:r w:rsidR="0019671D">
              <w:t>návaznosti na úspěšnou realizaci investice 2.3.1 této komponenty. Tedy rozšířením uzavřené smlouvy s</w:t>
            </w:r>
            <w:r w:rsidR="00294A4D">
              <w:t> </w:t>
            </w:r>
            <w:r w:rsidR="0019671D">
              <w:t>Evropským investičním fondem (EIF) a</w:t>
            </w:r>
            <w:r w:rsidR="00294A4D">
              <w:t> </w:t>
            </w:r>
            <w:r w:rsidR="0019671D">
              <w:t>programu „RRF Czech Republic Fund of Funds,“ na jejíchž základě se již dnes realizuje trojice pilotních fondů.</w:t>
            </w:r>
          </w:p>
          <w:p w14:paraId="1732FC1B" w14:textId="09FDA093" w:rsidR="00AF162D" w:rsidRPr="00EF053F" w:rsidRDefault="0019671D" w:rsidP="00122DDD">
            <w:pPr>
              <w:spacing w:after="120"/>
              <w:jc w:val="both"/>
            </w:pPr>
            <w:r>
              <w:t>Svěřené prostředky EIF budou investovány v</w:t>
            </w:r>
            <w:r w:rsidR="00294A4D">
              <w:t> </w:t>
            </w:r>
            <w:r>
              <w:t>režimu tzv. fondu fondů, tedy investicí svěřených prostředků do již existujících, nebo nově vzniklých VC fondů</w:t>
            </w:r>
            <w:r w:rsidR="00AF162D">
              <w:t>.</w:t>
            </w:r>
            <w:r>
              <w:t xml:space="preserve"> Tyto vybrané subjekty budou nezávisle posouzeny ze strany EIF, a</w:t>
            </w:r>
            <w:r w:rsidR="00294A4D">
              <w:t> </w:t>
            </w:r>
            <w:r>
              <w:t>to na základě předložené investiční strategie a</w:t>
            </w:r>
            <w:r w:rsidR="00294A4D">
              <w:t> </w:t>
            </w:r>
            <w:r>
              <w:t>jejího souladu se strategickým záměrem této investice. Rozhodujícím pro výběr subjektů, jejichž prostřednictvím se bud</w:t>
            </w:r>
            <w:r w:rsidR="00122DDD">
              <w:t>ou realizovat investice do konečných příjemců, bude jejich zaměření a</w:t>
            </w:r>
            <w:r w:rsidR="00294A4D">
              <w:t> </w:t>
            </w:r>
            <w:r w:rsidR="00122DDD">
              <w:t>zkušenosti v</w:t>
            </w:r>
            <w:r w:rsidR="00294A4D">
              <w:t> </w:t>
            </w:r>
            <w:r w:rsidR="00122DDD">
              <w:t>oboru technologií se strategickým významem pro ČR a</w:t>
            </w:r>
            <w:r w:rsidR="00294A4D">
              <w:t> </w:t>
            </w:r>
            <w:r w:rsidR="00122DDD">
              <w:t>EU, nikoliv jejich velikost. Cílové projekty by pak měly mít přinejmenším úzkou vazbu na ČR a</w:t>
            </w:r>
            <w:r w:rsidR="00294A4D">
              <w:t> </w:t>
            </w:r>
            <w:r w:rsidR="00122DDD">
              <w:t>její ekonomiku a</w:t>
            </w:r>
            <w:r w:rsidR="00294A4D">
              <w:t> </w:t>
            </w:r>
            <w:r w:rsidR="00122DDD">
              <w:t>předpokládá se i</w:t>
            </w:r>
            <w:r w:rsidR="00294A4D">
              <w:t> </w:t>
            </w:r>
            <w:r w:rsidR="00122DDD">
              <w:t>významný podíl technologického transferu z</w:t>
            </w:r>
            <w:r w:rsidR="00294A4D">
              <w:t> </w:t>
            </w:r>
            <w:r w:rsidR="00122DDD">
              <w:t>akademického výzkumu.</w:t>
            </w:r>
          </w:p>
          <w:p w14:paraId="418053D8" w14:textId="62CFD603" w:rsidR="00122DDD" w:rsidRPr="00EF053F" w:rsidRDefault="00122DDD" w:rsidP="00122DDD">
            <w:pPr>
              <w:spacing w:after="120"/>
              <w:jc w:val="both"/>
            </w:pPr>
            <w:r>
              <w:t xml:space="preserve">Realizace rozšíření investice je nastavena na navýšení </w:t>
            </w:r>
            <w:r w:rsidR="144A377A">
              <w:t>o</w:t>
            </w:r>
            <w:r w:rsidR="00294A4D">
              <w:t> </w:t>
            </w:r>
            <w:r w:rsidR="144A377A">
              <w:t>1,9 mld. Kč,</w:t>
            </w:r>
            <w:r>
              <w:t xml:space="preserve"> a</w:t>
            </w:r>
            <w:r w:rsidR="00294A4D">
              <w:t> </w:t>
            </w:r>
            <w:r>
              <w:t>to vzhledem k</w:t>
            </w:r>
            <w:r w:rsidR="00294A4D">
              <w:t> </w:t>
            </w:r>
            <w:r>
              <w:t>celkové velikosti obdobných projektů viz výše, zaměření na kapitálově náročné obory se strategickým významem i</w:t>
            </w:r>
            <w:r w:rsidR="00294A4D">
              <w:t> </w:t>
            </w:r>
            <w:r>
              <w:t xml:space="preserve">předpokládané profitabilitě investic </w:t>
            </w:r>
            <w:r>
              <w:lastRenderedPageBreak/>
              <w:t>a</w:t>
            </w:r>
            <w:r w:rsidR="00294A4D">
              <w:t> </w:t>
            </w:r>
            <w:r>
              <w:t>v současnosti odhadované absorpční kapacitě trhu v</w:t>
            </w:r>
            <w:r w:rsidR="00294A4D">
              <w:t> </w:t>
            </w:r>
            <w:r>
              <w:t>daných oborech. Vzhledem k</w:t>
            </w:r>
            <w:r w:rsidR="00294A4D">
              <w:t> </w:t>
            </w:r>
            <w:r>
              <w:t>charakteru finančního nástroje a</w:t>
            </w:r>
            <w:r w:rsidR="00294A4D">
              <w:t> </w:t>
            </w:r>
            <w:r>
              <w:t>dle zkušeností EIF i</w:t>
            </w:r>
            <w:r w:rsidR="00294A4D">
              <w:t> </w:t>
            </w:r>
            <w:r>
              <w:t>MPO je předpokládána jeho plná návratnost, čímž odpovídá i</w:t>
            </w:r>
            <w:r w:rsidR="00294A4D">
              <w:t> </w:t>
            </w:r>
            <w:r>
              <w:t>charakteru financování z</w:t>
            </w:r>
            <w:r w:rsidR="00294A4D">
              <w:t> </w:t>
            </w:r>
            <w:r>
              <w:t>půjčky.</w:t>
            </w:r>
          </w:p>
        </w:tc>
      </w:tr>
      <w:tr w:rsidR="00AF162D" w:rsidRPr="00EF053F" w14:paraId="1E352D90" w14:textId="77777777" w:rsidTr="00294A4D">
        <w:trPr>
          <w:trHeight w:val="70"/>
        </w:trPr>
        <w:tc>
          <w:tcPr>
            <w:tcW w:w="2175" w:type="dxa"/>
          </w:tcPr>
          <w:p w14:paraId="47D89724" w14:textId="1C17B47E" w:rsidR="00AF162D" w:rsidRPr="00EF053F" w:rsidRDefault="00AF162D" w:rsidP="00E40C44">
            <w:pPr>
              <w:spacing w:after="120"/>
            </w:pPr>
            <w:r w:rsidRPr="00EF053F">
              <w:lastRenderedPageBreak/>
              <w:t>Spolupráce a</w:t>
            </w:r>
            <w:r w:rsidR="00294A4D">
              <w:t> </w:t>
            </w:r>
            <w:r w:rsidRPr="00EF053F">
              <w:t>zapojení zúčastněných stran</w:t>
            </w:r>
          </w:p>
        </w:tc>
        <w:tc>
          <w:tcPr>
            <w:tcW w:w="7453" w:type="dxa"/>
          </w:tcPr>
          <w:p w14:paraId="5B2B10ED" w14:textId="665215EB" w:rsidR="00AF162D" w:rsidRPr="00EF053F" w:rsidRDefault="00AF162D" w:rsidP="00E40C44">
            <w:pPr>
              <w:spacing w:after="120"/>
              <w:jc w:val="both"/>
            </w:pPr>
            <w:r>
              <w:t>Vzhledem k</w:t>
            </w:r>
            <w:r w:rsidR="00294A4D">
              <w:t> </w:t>
            </w:r>
            <w:r>
              <w:t>dosavadní spolupráci a</w:t>
            </w:r>
            <w:r w:rsidR="00294A4D">
              <w:t> </w:t>
            </w:r>
            <w:r>
              <w:t>zkušenostem – a</w:t>
            </w:r>
            <w:r w:rsidR="00294A4D">
              <w:t> </w:t>
            </w:r>
            <w:r>
              <w:t>to včetně realizace investice 2.3.1 výše – provede realizaci projektu Ministerstvo průmyslu a</w:t>
            </w:r>
            <w:r w:rsidR="00294A4D">
              <w:t> </w:t>
            </w:r>
            <w:r>
              <w:t>obchodu ve spolupráci s</w:t>
            </w:r>
            <w:r w:rsidR="00294A4D">
              <w:t> </w:t>
            </w:r>
            <w:r>
              <w:t>EIF, který bude správcem (popř. zároveň i</w:t>
            </w:r>
            <w:r w:rsidR="00294A4D">
              <w:t> </w:t>
            </w:r>
            <w:r>
              <w:t>ko</w:t>
            </w:r>
            <w:r w:rsidR="00122DDD">
              <w:t>-</w:t>
            </w:r>
            <w:r>
              <w:t>investorem) fondů.</w:t>
            </w:r>
          </w:p>
        </w:tc>
      </w:tr>
      <w:tr w:rsidR="00AF162D" w:rsidRPr="00EF053F" w14:paraId="056D1047" w14:textId="77777777" w:rsidTr="00294A4D">
        <w:trPr>
          <w:trHeight w:val="300"/>
        </w:trPr>
        <w:tc>
          <w:tcPr>
            <w:tcW w:w="2175" w:type="dxa"/>
          </w:tcPr>
          <w:p w14:paraId="7921C281" w14:textId="3A690341" w:rsidR="00AF162D" w:rsidRPr="00EF053F" w:rsidRDefault="00AF162D" w:rsidP="00E40C44">
            <w:pPr>
              <w:spacing w:after="120"/>
            </w:pPr>
            <w:r w:rsidRPr="00EF053F">
              <w:t>Překážky a</w:t>
            </w:r>
            <w:r w:rsidR="00294A4D">
              <w:t> </w:t>
            </w:r>
            <w:r w:rsidRPr="00EF053F">
              <w:t>rizika</w:t>
            </w:r>
          </w:p>
        </w:tc>
        <w:tc>
          <w:tcPr>
            <w:tcW w:w="7453" w:type="dxa"/>
          </w:tcPr>
          <w:p w14:paraId="1F2FBCDC" w14:textId="795DC788" w:rsidR="00AF162D" w:rsidRPr="00EF053F" w:rsidRDefault="00AF162D" w:rsidP="00E40C44">
            <w:pPr>
              <w:spacing w:after="120"/>
              <w:jc w:val="both"/>
            </w:pPr>
            <w:r>
              <w:t>Klíčovou překážkou a</w:t>
            </w:r>
            <w:r w:rsidR="00294A4D">
              <w:t> </w:t>
            </w:r>
            <w:r>
              <w:t xml:space="preserve">rizikem je </w:t>
            </w:r>
            <w:r w:rsidR="00122DDD">
              <w:t>zdržení schválení a</w:t>
            </w:r>
            <w:r w:rsidR="00294A4D">
              <w:t> </w:t>
            </w:r>
            <w:r w:rsidR="00122DDD">
              <w:t xml:space="preserve">implementace </w:t>
            </w:r>
            <w:r w:rsidR="00840EE1">
              <w:t xml:space="preserve">projektu, které tak nemusí </w:t>
            </w:r>
            <w:r>
              <w:t>reagovat na potřeby trhu</w:t>
            </w:r>
            <w:r w:rsidR="00840EE1">
              <w:t xml:space="preserve"> a</w:t>
            </w:r>
            <w:r w:rsidR="00294A4D">
              <w:t> </w:t>
            </w:r>
            <w:r w:rsidR="00840EE1">
              <w:t>poptávku po finančních prostředcích</w:t>
            </w:r>
            <w:r>
              <w:t xml:space="preserve">. Klíčovým rizikem jsou </w:t>
            </w:r>
            <w:r w:rsidR="00840EE1">
              <w:t xml:space="preserve">pak </w:t>
            </w:r>
            <w:r>
              <w:t>nedostatečné personální kapacity u</w:t>
            </w:r>
            <w:r w:rsidR="00294A4D">
              <w:t> </w:t>
            </w:r>
            <w:r>
              <w:t xml:space="preserve">implementující instituce </w:t>
            </w:r>
            <w:r w:rsidR="00840EE1">
              <w:t xml:space="preserve">– vlastníka komponenty </w:t>
            </w:r>
            <w:r>
              <w:t>(Ministerstvo průmyslu a</w:t>
            </w:r>
            <w:r w:rsidR="00294A4D">
              <w:t> </w:t>
            </w:r>
            <w:r>
              <w:t>obchodu ČR).</w:t>
            </w:r>
          </w:p>
        </w:tc>
      </w:tr>
      <w:tr w:rsidR="00AF162D" w:rsidRPr="00EF053F" w14:paraId="0A9FC3EA" w14:textId="77777777" w:rsidTr="00294A4D">
        <w:trPr>
          <w:trHeight w:val="300"/>
        </w:trPr>
        <w:tc>
          <w:tcPr>
            <w:tcW w:w="2175" w:type="dxa"/>
          </w:tcPr>
          <w:p w14:paraId="44162ACA" w14:textId="67317148" w:rsidR="00AF162D" w:rsidRPr="00EF053F" w:rsidRDefault="00AF162D" w:rsidP="00E40C44">
            <w:pPr>
              <w:spacing w:after="120"/>
            </w:pPr>
            <w:r w:rsidRPr="00EF053F">
              <w:t>Cílové skupiny populace a</w:t>
            </w:r>
            <w:r w:rsidR="00294A4D">
              <w:t> </w:t>
            </w:r>
            <w:r w:rsidRPr="00EF053F">
              <w:t>ekonomické subjekty</w:t>
            </w:r>
          </w:p>
        </w:tc>
        <w:tc>
          <w:tcPr>
            <w:tcW w:w="7453" w:type="dxa"/>
          </w:tcPr>
          <w:p w14:paraId="21746DAA" w14:textId="4BA707E2" w:rsidR="00AF162D" w:rsidRPr="00EF053F" w:rsidRDefault="00AF162D" w:rsidP="00E40C44">
            <w:pPr>
              <w:spacing w:after="120"/>
              <w:jc w:val="both"/>
            </w:pPr>
            <w:r>
              <w:t>Rychle rostoucí technologické podniky typu start-up a</w:t>
            </w:r>
            <w:r w:rsidR="00294A4D">
              <w:t> </w:t>
            </w:r>
            <w:r>
              <w:t>spin-off.</w:t>
            </w:r>
          </w:p>
        </w:tc>
      </w:tr>
      <w:tr w:rsidR="00AF162D" w:rsidRPr="00EF053F" w14:paraId="2B61447D" w14:textId="77777777" w:rsidTr="00294A4D">
        <w:trPr>
          <w:trHeight w:val="300"/>
        </w:trPr>
        <w:tc>
          <w:tcPr>
            <w:tcW w:w="2175" w:type="dxa"/>
          </w:tcPr>
          <w:p w14:paraId="2E2BA17B" w14:textId="5BA29234" w:rsidR="00AF162D" w:rsidRPr="00EF053F" w:rsidRDefault="00AF162D" w:rsidP="00E40C44">
            <w:pPr>
              <w:spacing w:after="120"/>
            </w:pPr>
            <w:r w:rsidRPr="00EF053F">
              <w:t>Souhrnné náklady realizace financované z</w:t>
            </w:r>
            <w:r w:rsidR="00294A4D">
              <w:t> </w:t>
            </w:r>
            <w:r w:rsidRPr="00EF053F">
              <w:t>RRF za celé období</w:t>
            </w:r>
          </w:p>
        </w:tc>
        <w:tc>
          <w:tcPr>
            <w:tcW w:w="7453" w:type="dxa"/>
          </w:tcPr>
          <w:p w14:paraId="5ADEAB5F" w14:textId="20996F77" w:rsidR="00AF162D" w:rsidRPr="00EF053F" w:rsidRDefault="00AF162D" w:rsidP="00E40C44">
            <w:pPr>
              <w:spacing w:after="120"/>
              <w:jc w:val="both"/>
            </w:pPr>
            <w:r>
              <w:t>Investice potřebná pro naplnění výše uvedeného cíle počítá s</w:t>
            </w:r>
            <w:r w:rsidR="00294A4D">
              <w:t> </w:t>
            </w:r>
            <w:r>
              <w:t xml:space="preserve">náklady </w:t>
            </w:r>
            <w:r w:rsidR="003B74AE">
              <w:t>1 9</w:t>
            </w:r>
            <w:r>
              <w:t>00 mil. Kč v</w:t>
            </w:r>
            <w:r w:rsidR="00294A4D">
              <w:t> </w:t>
            </w:r>
            <w:r>
              <w:t>období 2023-2025.</w:t>
            </w:r>
          </w:p>
        </w:tc>
      </w:tr>
      <w:tr w:rsidR="00AF162D" w:rsidRPr="00EF053F" w14:paraId="6C26DF50" w14:textId="77777777" w:rsidTr="00294A4D">
        <w:trPr>
          <w:trHeight w:val="300"/>
        </w:trPr>
        <w:tc>
          <w:tcPr>
            <w:tcW w:w="2175" w:type="dxa"/>
          </w:tcPr>
          <w:p w14:paraId="4D8D353E" w14:textId="77777777" w:rsidR="00AF162D" w:rsidRPr="00EF053F" w:rsidRDefault="00AF162D" w:rsidP="00E40C44">
            <w:pPr>
              <w:spacing w:after="120"/>
            </w:pPr>
            <w:r w:rsidRPr="00EF053F">
              <w:t>Dodržování pravidel státní podpory</w:t>
            </w:r>
          </w:p>
        </w:tc>
        <w:tc>
          <w:tcPr>
            <w:tcW w:w="7453" w:type="dxa"/>
          </w:tcPr>
          <w:p w14:paraId="3D407074" w14:textId="4C4EA10C" w:rsidR="00AF162D" w:rsidRPr="00EF053F" w:rsidRDefault="00AF162D" w:rsidP="00E40C44">
            <w:pPr>
              <w:spacing w:after="120"/>
              <w:jc w:val="both"/>
              <w:rPr>
                <w:i/>
                <w:iCs/>
                <w:color w:val="2196FF"/>
              </w:rPr>
            </w:pPr>
            <w:r w:rsidRPr="00EF053F">
              <w:t>Veškerá veřejná podpora bude projednána a</w:t>
            </w:r>
            <w:r w:rsidR="00294A4D">
              <w:t> </w:t>
            </w:r>
            <w:r w:rsidRPr="00EF053F">
              <w:t>popřípadě notifikována v</w:t>
            </w:r>
            <w:r w:rsidR="00294A4D">
              <w:t> </w:t>
            </w:r>
            <w:r w:rsidRPr="00EF053F">
              <w:t>závislosti na konkrétních projektech a</w:t>
            </w:r>
            <w:r w:rsidR="00294A4D">
              <w:t> </w:t>
            </w:r>
            <w:r w:rsidRPr="00EF053F">
              <w:t>změnách dočasného rámce a</w:t>
            </w:r>
            <w:r w:rsidR="00294A4D">
              <w:t> </w:t>
            </w:r>
            <w:r w:rsidRPr="00EF053F">
              <w:t>dalších pravidel v</w:t>
            </w:r>
            <w:r w:rsidR="00294A4D">
              <w:t> </w:t>
            </w:r>
            <w:r w:rsidRPr="00EF053F">
              <w:t>souvislosti s</w:t>
            </w:r>
            <w:r w:rsidR="00294A4D">
              <w:t> </w:t>
            </w:r>
            <w:r w:rsidRPr="00EF053F">
              <w:t xml:space="preserve">implementací RRF/NPO. </w:t>
            </w:r>
            <w:r w:rsidR="00840EE1" w:rsidRPr="00EF053F">
              <w:t xml:space="preserve">Předpokládá se poskytnutí </w:t>
            </w:r>
            <w:r w:rsidR="006B39BE" w:rsidRPr="00EF053F">
              <w:t>dle Sdělení Komise - Pokynů k</w:t>
            </w:r>
            <w:r w:rsidR="00294A4D">
              <w:t> </w:t>
            </w:r>
            <w:r w:rsidR="006B39BE" w:rsidRPr="00EF053F">
              <w:t>státní podpoře investic v</w:t>
            </w:r>
            <w:r w:rsidR="00294A4D">
              <w:t> </w:t>
            </w:r>
            <w:r w:rsidR="006B39BE" w:rsidRPr="00EF053F">
              <w:t>rámci rizikového financování, popř. v</w:t>
            </w:r>
            <w:r w:rsidR="00294A4D">
              <w:t> </w:t>
            </w:r>
            <w:r w:rsidR="006B39BE" w:rsidRPr="00EF053F">
              <w:t>souladu s</w:t>
            </w:r>
            <w:r w:rsidR="00294A4D">
              <w:t> </w:t>
            </w:r>
            <w:r w:rsidRPr="00EF053F">
              <w:t>nařízení</w:t>
            </w:r>
            <w:r w:rsidR="00840EE1" w:rsidRPr="00EF053F">
              <w:t>m</w:t>
            </w:r>
            <w:r w:rsidRPr="00EF053F">
              <w:t xml:space="preserve"> č. 1407/2013</w:t>
            </w:r>
            <w:r w:rsidR="006B39BE" w:rsidRPr="00EF053F">
              <w:t xml:space="preserve"> </w:t>
            </w:r>
            <w:r w:rsidRPr="00EF053F">
              <w:t>GBER</w:t>
            </w:r>
            <w:r w:rsidR="006B39BE" w:rsidRPr="00EF053F">
              <w:t>.</w:t>
            </w:r>
          </w:p>
        </w:tc>
      </w:tr>
      <w:tr w:rsidR="00AF162D" w:rsidRPr="00EF053F" w14:paraId="71CEDD1A" w14:textId="77777777" w:rsidTr="00294A4D">
        <w:trPr>
          <w:trHeight w:val="300"/>
        </w:trPr>
        <w:tc>
          <w:tcPr>
            <w:tcW w:w="2175" w:type="dxa"/>
          </w:tcPr>
          <w:p w14:paraId="2A5203B7" w14:textId="77777777" w:rsidR="00AF162D" w:rsidRPr="00EF053F" w:rsidRDefault="00AF162D" w:rsidP="00E40C44">
            <w:pPr>
              <w:spacing w:after="120"/>
            </w:pPr>
            <w:r w:rsidRPr="00EF053F">
              <w:t>Uveďte dobu implementace</w:t>
            </w:r>
          </w:p>
        </w:tc>
        <w:tc>
          <w:tcPr>
            <w:tcW w:w="7453" w:type="dxa"/>
          </w:tcPr>
          <w:p w14:paraId="27653C81" w14:textId="5C8A297B" w:rsidR="00AF162D" w:rsidRPr="00EF053F" w:rsidRDefault="00AF162D" w:rsidP="1814CC1A">
            <w:pPr>
              <w:spacing w:after="120"/>
              <w:jc w:val="both"/>
              <w:rPr>
                <w:i/>
                <w:iCs/>
                <w:color w:val="2196FF"/>
              </w:rPr>
            </w:pPr>
            <w:r>
              <w:t>Plánovaná doba realizace je 2023-2025.</w:t>
            </w:r>
          </w:p>
        </w:tc>
      </w:tr>
    </w:tbl>
    <w:p w14:paraId="00000217" w14:textId="78DA4728" w:rsidR="007D49E4" w:rsidRPr="00EF053F" w:rsidRDefault="007D49E4" w:rsidP="00AF162D"/>
    <w:sectPr w:rsidR="007D49E4" w:rsidRPr="00EF05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440" w:left="108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3ED90" w14:textId="77777777" w:rsidR="00BC5377" w:rsidRDefault="00BC5377">
      <w:pPr>
        <w:spacing w:after="0" w:line="240" w:lineRule="auto"/>
      </w:pPr>
      <w:r>
        <w:separator/>
      </w:r>
    </w:p>
  </w:endnote>
  <w:endnote w:type="continuationSeparator" w:id="0">
    <w:p w14:paraId="100B355C" w14:textId="77777777" w:rsidR="00BC5377" w:rsidRDefault="00BC5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D" w14:textId="77777777" w:rsidR="00F82851" w:rsidRDefault="00F828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701BD" w14:textId="437E7724" w:rsidR="00F82851" w:rsidRDefault="00F82851" w:rsidP="229268F3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19</w:t>
    </w:r>
    <w:r>
      <w:fldChar w:fldCharType="end"/>
    </w:r>
  </w:p>
  <w:p w14:paraId="0000021C" w14:textId="77777777" w:rsidR="00F82851" w:rsidRDefault="00F828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E" w14:textId="77777777" w:rsidR="00F82851" w:rsidRDefault="00F828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740181" w14:textId="77777777" w:rsidR="00BC5377" w:rsidRDefault="00BC5377">
      <w:pPr>
        <w:spacing w:after="0" w:line="240" w:lineRule="auto"/>
      </w:pPr>
      <w:r>
        <w:separator/>
      </w:r>
    </w:p>
  </w:footnote>
  <w:footnote w:type="continuationSeparator" w:id="0">
    <w:p w14:paraId="393F63EE" w14:textId="77777777" w:rsidR="00BC5377" w:rsidRDefault="00BC5377">
      <w:pPr>
        <w:spacing w:after="0" w:line="240" w:lineRule="auto"/>
      </w:pPr>
      <w:r>
        <w:continuationSeparator/>
      </w:r>
    </w:p>
  </w:footnote>
  <w:footnote w:id="1">
    <w:p w14:paraId="0549232B" w14:textId="039E699F" w:rsidR="001059BB" w:rsidRDefault="001059BB">
      <w:pPr>
        <w:pStyle w:val="Textpoznpodarou"/>
      </w:pPr>
      <w:r>
        <w:rPr>
          <w:rStyle w:val="Znakapoznpodarou"/>
        </w:rPr>
        <w:footnoteRef/>
      </w:r>
      <w:r w:rsidRPr="00D93000">
        <w:rPr>
          <w:sz w:val="16"/>
          <w:szCs w:val="16"/>
        </w:rPr>
        <w:t xml:space="preserve"> Zejm. pokles </w:t>
      </w:r>
      <w:r w:rsidR="00D93000" w:rsidRPr="00D93000">
        <w:rPr>
          <w:sz w:val="16"/>
          <w:szCs w:val="16"/>
        </w:rPr>
        <w:t>vzniku nových fondů rizikového kapitálu v EU – zatímco v</w:t>
      </w:r>
      <w:r w:rsidR="00DA6D59">
        <w:rPr>
          <w:sz w:val="16"/>
          <w:szCs w:val="16"/>
        </w:rPr>
        <w:t xml:space="preserve"> prvním pololetí roku </w:t>
      </w:r>
      <w:r w:rsidR="00D93000" w:rsidRPr="00D93000">
        <w:rPr>
          <w:sz w:val="16"/>
          <w:szCs w:val="16"/>
        </w:rPr>
        <w:t>202</w:t>
      </w:r>
      <w:r w:rsidR="00DA6D59">
        <w:rPr>
          <w:sz w:val="16"/>
          <w:szCs w:val="16"/>
        </w:rPr>
        <w:t>1</w:t>
      </w:r>
      <w:r w:rsidR="00D93000" w:rsidRPr="00D93000">
        <w:rPr>
          <w:sz w:val="16"/>
          <w:szCs w:val="16"/>
        </w:rPr>
        <w:t xml:space="preserve"> jich bylo zafinancováno </w:t>
      </w:r>
      <w:r w:rsidR="00DA6D59">
        <w:rPr>
          <w:sz w:val="16"/>
          <w:szCs w:val="16"/>
        </w:rPr>
        <w:t xml:space="preserve">158, ve stejném období roku 2022 jen 119 a </w:t>
      </w:r>
      <w:r w:rsidR="00D93000" w:rsidRPr="00D93000">
        <w:rPr>
          <w:sz w:val="16"/>
          <w:szCs w:val="16"/>
        </w:rPr>
        <w:t xml:space="preserve">v roce 2023 dosud jen </w:t>
      </w:r>
      <w:r w:rsidR="00DA6D59">
        <w:rPr>
          <w:sz w:val="16"/>
          <w:szCs w:val="16"/>
        </w:rPr>
        <w:t>40</w:t>
      </w:r>
      <w:r w:rsidR="00D93000" w:rsidRPr="00D93000">
        <w:rPr>
          <w:sz w:val="16"/>
          <w:szCs w:val="16"/>
        </w:rPr>
        <w:t xml:space="preserve"> (zdroj: sifted.com).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B" w14:textId="0B7A19A4" w:rsidR="00F82851" w:rsidRDefault="00F828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6364D4A" wp14:editId="521BF96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3" name="Textové pole 3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F83FEE" w14:textId="30B95C70" w:rsidR="00F82851" w:rsidRPr="00CB6237" w:rsidRDefault="00F82851">
                          <w:pPr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CB6237">
                            <w:rPr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a="http://schemas.openxmlformats.org/drawingml/2006/main">
          <w:pict>
            <v:shapetype id="_x0000_t202" coordsize="21600,21600" o:spt="202" path="m,l,21600r21600,l21600,xe" w14:anchorId="66364D4A">
              <v:stroke joinstyle="miter"/>
              <v:path gradientshapeok="t" o:connecttype="rect"/>
            </v:shapetype>
            <v:shape id="Textové pole 3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C8BQIAABQ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">
              <v:textbox style="mso-fit-shape-to-text:t" inset="5pt,0,0,0">
                <w:txbxContent>
                  <w:p w:rsidRPr="00CB6237" w:rsidR="00F82851" w:rsidRDefault="00F82851" w14:paraId="4AF83FEE" w14:textId="30B95C70">
                    <w:pPr>
                      <w:rPr>
                        <w:color w:val="000000"/>
                        <w:sz w:val="20"/>
                        <w:szCs w:val="20"/>
                      </w:rPr>
                    </w:pPr>
                    <w:r w:rsidRPr="00CB6237">
                      <w:rPr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A" w14:textId="04BDFAB5" w:rsidR="00F82851" w:rsidRDefault="00F828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19" w14:textId="2E8059B1" w:rsidR="00F82851" w:rsidRDefault="00F8285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CFDB49E" wp14:editId="597C16C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1" name="Textové pole 1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3BB409" w14:textId="3776893F" w:rsidR="00F82851" w:rsidRPr="00CB6237" w:rsidRDefault="00F82851">
                          <w:pPr>
                            <w:rPr>
                              <w:color w:val="000000"/>
                              <w:sz w:val="20"/>
                              <w:szCs w:val="20"/>
                            </w:rPr>
                          </w:pPr>
                          <w:r w:rsidRPr="00CB6237">
                            <w:rPr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a="http://schemas.openxmlformats.org/drawingml/2006/main">
          <w:pict>
            <v:shapetype id="_x0000_t202" coordsize="21600,21600" o:spt="202" path="m,l,21600r21600,l21600,xe" w14:anchorId="0CFDB49E">
              <v:stroke joinstyle="miter"/>
              <v:path gradientshapeok="t" o:connecttype="rect"/>
            </v:shapetype>
            <v:shape id="Textové pole 1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alt="Veřejně přístupné informace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">
              <v:textbox style="mso-fit-shape-to-text:t" inset="5pt,0,0,0">
                <w:txbxContent>
                  <w:p w:rsidRPr="00CB6237" w:rsidR="00F82851" w:rsidRDefault="00F82851" w14:paraId="323BB409" w14:textId="3776893F">
                    <w:pPr>
                      <w:rPr>
                        <w:color w:val="000000"/>
                        <w:sz w:val="20"/>
                        <w:szCs w:val="20"/>
                      </w:rPr>
                    </w:pPr>
                    <w:r w:rsidRPr="00CB6237">
                      <w:rPr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8357A"/>
    <w:multiLevelType w:val="hybridMultilevel"/>
    <w:tmpl w:val="78501300"/>
    <w:lvl w:ilvl="0" w:tplc="6304F780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ABF67CD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5279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C62E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828F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723B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3E45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AE4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478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F554A"/>
    <w:multiLevelType w:val="hybridMultilevel"/>
    <w:tmpl w:val="9FA27C26"/>
    <w:lvl w:ilvl="0" w:tplc="1BDAE3B6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7E9E05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C23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4422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06FF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309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04BF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089E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9262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F49C0"/>
    <w:multiLevelType w:val="multilevel"/>
    <w:tmpl w:val="1D84ABB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0C862000"/>
    <w:multiLevelType w:val="multilevel"/>
    <w:tmpl w:val="953A6F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D971771"/>
    <w:multiLevelType w:val="multilevel"/>
    <w:tmpl w:val="DC623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44C4F7C"/>
    <w:multiLevelType w:val="hybridMultilevel"/>
    <w:tmpl w:val="13AAA47A"/>
    <w:lvl w:ilvl="0" w:tplc="490A5F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005E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783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A1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8D6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6859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B08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8E57C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5ECF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BC7352"/>
    <w:multiLevelType w:val="multilevel"/>
    <w:tmpl w:val="E8C2FB10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71FD6"/>
    <w:multiLevelType w:val="multilevel"/>
    <w:tmpl w:val="26563BE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1EF0FFF"/>
    <w:multiLevelType w:val="multilevel"/>
    <w:tmpl w:val="C20825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4324E24"/>
    <w:multiLevelType w:val="multilevel"/>
    <w:tmpl w:val="053C3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BF2DCB"/>
    <w:multiLevelType w:val="multilevel"/>
    <w:tmpl w:val="E084D5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BC4273A"/>
    <w:multiLevelType w:val="multilevel"/>
    <w:tmpl w:val="314CA77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3B47640B"/>
    <w:multiLevelType w:val="multilevel"/>
    <w:tmpl w:val="9DE4CF68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CE677E3"/>
    <w:multiLevelType w:val="hybridMultilevel"/>
    <w:tmpl w:val="410CF1A6"/>
    <w:lvl w:ilvl="0" w:tplc="0B0AF2EE">
      <w:start w:val="1"/>
      <w:numFmt w:val="decimal"/>
      <w:lvlText w:val="%1."/>
      <w:lvlJc w:val="left"/>
      <w:pPr>
        <w:ind w:left="720" w:hanging="360"/>
      </w:pPr>
    </w:lvl>
    <w:lvl w:ilvl="1" w:tplc="3E8278FC">
      <w:start w:val="1"/>
      <w:numFmt w:val="lowerLetter"/>
      <w:lvlText w:val="%2."/>
      <w:lvlJc w:val="left"/>
      <w:pPr>
        <w:ind w:left="1440" w:hanging="360"/>
      </w:pPr>
    </w:lvl>
    <w:lvl w:ilvl="2" w:tplc="CC54377E">
      <w:start w:val="1"/>
      <w:numFmt w:val="lowerRoman"/>
      <w:lvlText w:val="%3."/>
      <w:lvlJc w:val="right"/>
      <w:pPr>
        <w:ind w:left="2160" w:hanging="180"/>
      </w:pPr>
    </w:lvl>
    <w:lvl w:ilvl="3" w:tplc="3A34529E">
      <w:start w:val="1"/>
      <w:numFmt w:val="decimal"/>
      <w:lvlText w:val="%4."/>
      <w:lvlJc w:val="left"/>
      <w:pPr>
        <w:ind w:left="2880" w:hanging="360"/>
      </w:pPr>
    </w:lvl>
    <w:lvl w:ilvl="4" w:tplc="F23EBBFC">
      <w:start w:val="1"/>
      <w:numFmt w:val="lowerLetter"/>
      <w:lvlText w:val="%5."/>
      <w:lvlJc w:val="left"/>
      <w:pPr>
        <w:ind w:left="3600" w:hanging="360"/>
      </w:pPr>
    </w:lvl>
    <w:lvl w:ilvl="5" w:tplc="2BC227E2">
      <w:start w:val="1"/>
      <w:numFmt w:val="lowerRoman"/>
      <w:lvlText w:val="%6."/>
      <w:lvlJc w:val="right"/>
      <w:pPr>
        <w:ind w:left="4320" w:hanging="180"/>
      </w:pPr>
    </w:lvl>
    <w:lvl w:ilvl="6" w:tplc="6E7E6E46">
      <w:start w:val="1"/>
      <w:numFmt w:val="decimal"/>
      <w:lvlText w:val="%7."/>
      <w:lvlJc w:val="left"/>
      <w:pPr>
        <w:ind w:left="5040" w:hanging="360"/>
      </w:pPr>
    </w:lvl>
    <w:lvl w:ilvl="7" w:tplc="CF7AF0F0">
      <w:start w:val="1"/>
      <w:numFmt w:val="lowerLetter"/>
      <w:lvlText w:val="%8."/>
      <w:lvlJc w:val="left"/>
      <w:pPr>
        <w:ind w:left="5760" w:hanging="360"/>
      </w:pPr>
    </w:lvl>
    <w:lvl w:ilvl="8" w:tplc="BF14E0F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7F3CA0"/>
    <w:multiLevelType w:val="multilevel"/>
    <w:tmpl w:val="0108E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2A90A68"/>
    <w:multiLevelType w:val="multilevel"/>
    <w:tmpl w:val="F4DE6D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714035D"/>
    <w:multiLevelType w:val="hybridMultilevel"/>
    <w:tmpl w:val="6D0CEE02"/>
    <w:lvl w:ilvl="0" w:tplc="59768C3E">
      <w:start w:val="1"/>
      <w:numFmt w:val="decimal"/>
      <w:lvlText w:val="%1."/>
      <w:lvlJc w:val="left"/>
      <w:pPr>
        <w:ind w:left="720" w:hanging="360"/>
      </w:pPr>
    </w:lvl>
    <w:lvl w:ilvl="1" w:tplc="AD4A8CE6">
      <w:start w:val="1"/>
      <w:numFmt w:val="lowerLetter"/>
      <w:lvlText w:val="%2."/>
      <w:lvlJc w:val="left"/>
      <w:pPr>
        <w:ind w:left="1440" w:hanging="360"/>
      </w:pPr>
    </w:lvl>
    <w:lvl w:ilvl="2" w:tplc="D7FC664E">
      <w:start w:val="1"/>
      <w:numFmt w:val="lowerRoman"/>
      <w:lvlText w:val="%3."/>
      <w:lvlJc w:val="right"/>
      <w:pPr>
        <w:ind w:left="2160" w:hanging="180"/>
      </w:pPr>
    </w:lvl>
    <w:lvl w:ilvl="3" w:tplc="59D8217C">
      <w:start w:val="1"/>
      <w:numFmt w:val="decimal"/>
      <w:lvlText w:val="%4."/>
      <w:lvlJc w:val="left"/>
      <w:pPr>
        <w:ind w:left="2880" w:hanging="360"/>
      </w:pPr>
    </w:lvl>
    <w:lvl w:ilvl="4" w:tplc="0FF0D406">
      <w:start w:val="1"/>
      <w:numFmt w:val="lowerLetter"/>
      <w:lvlText w:val="%5."/>
      <w:lvlJc w:val="left"/>
      <w:pPr>
        <w:ind w:left="3600" w:hanging="360"/>
      </w:pPr>
    </w:lvl>
    <w:lvl w:ilvl="5" w:tplc="6F266E82">
      <w:start w:val="1"/>
      <w:numFmt w:val="lowerRoman"/>
      <w:lvlText w:val="%6."/>
      <w:lvlJc w:val="right"/>
      <w:pPr>
        <w:ind w:left="4320" w:hanging="180"/>
      </w:pPr>
    </w:lvl>
    <w:lvl w:ilvl="6" w:tplc="F648E57A">
      <w:start w:val="1"/>
      <w:numFmt w:val="decimal"/>
      <w:lvlText w:val="%7."/>
      <w:lvlJc w:val="left"/>
      <w:pPr>
        <w:ind w:left="5040" w:hanging="360"/>
      </w:pPr>
    </w:lvl>
    <w:lvl w:ilvl="7" w:tplc="F5683740">
      <w:start w:val="1"/>
      <w:numFmt w:val="lowerLetter"/>
      <w:lvlText w:val="%8."/>
      <w:lvlJc w:val="left"/>
      <w:pPr>
        <w:ind w:left="5760" w:hanging="360"/>
      </w:pPr>
    </w:lvl>
    <w:lvl w:ilvl="8" w:tplc="023871F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9737E"/>
    <w:multiLevelType w:val="hybridMultilevel"/>
    <w:tmpl w:val="4B20595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710D75"/>
    <w:multiLevelType w:val="multilevel"/>
    <w:tmpl w:val="C88C44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AF635D2"/>
    <w:multiLevelType w:val="hybridMultilevel"/>
    <w:tmpl w:val="031ED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E3C6C"/>
    <w:multiLevelType w:val="multilevel"/>
    <w:tmpl w:val="977869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77D874FA"/>
    <w:multiLevelType w:val="hybridMultilevel"/>
    <w:tmpl w:val="DB5A9E22"/>
    <w:lvl w:ilvl="0" w:tplc="11CE79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56CC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F001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F05C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6E67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2614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0C39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DA23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86E76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AD1B12"/>
    <w:multiLevelType w:val="multilevel"/>
    <w:tmpl w:val="555E4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EE61B0"/>
    <w:multiLevelType w:val="multilevel"/>
    <w:tmpl w:val="AD4A66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1"/>
  </w:num>
  <w:num w:numId="2">
    <w:abstractNumId w:val="5"/>
  </w:num>
  <w:num w:numId="3">
    <w:abstractNumId w:val="16"/>
  </w:num>
  <w:num w:numId="4">
    <w:abstractNumId w:val="13"/>
  </w:num>
  <w:num w:numId="5">
    <w:abstractNumId w:val="1"/>
  </w:num>
  <w:num w:numId="6">
    <w:abstractNumId w:val="0"/>
  </w:num>
  <w:num w:numId="7">
    <w:abstractNumId w:val="12"/>
  </w:num>
  <w:num w:numId="8">
    <w:abstractNumId w:val="15"/>
  </w:num>
  <w:num w:numId="9">
    <w:abstractNumId w:val="23"/>
  </w:num>
  <w:num w:numId="10">
    <w:abstractNumId w:val="10"/>
  </w:num>
  <w:num w:numId="11">
    <w:abstractNumId w:val="4"/>
  </w:num>
  <w:num w:numId="12">
    <w:abstractNumId w:val="18"/>
  </w:num>
  <w:num w:numId="13">
    <w:abstractNumId w:val="11"/>
  </w:num>
  <w:num w:numId="14">
    <w:abstractNumId w:val="2"/>
  </w:num>
  <w:num w:numId="15">
    <w:abstractNumId w:val="3"/>
  </w:num>
  <w:num w:numId="16">
    <w:abstractNumId w:val="20"/>
  </w:num>
  <w:num w:numId="17">
    <w:abstractNumId w:val="8"/>
  </w:num>
  <w:num w:numId="18">
    <w:abstractNumId w:val="6"/>
  </w:num>
  <w:num w:numId="19">
    <w:abstractNumId w:val="7"/>
  </w:num>
  <w:num w:numId="20">
    <w:abstractNumId w:val="19"/>
  </w:num>
  <w:num w:numId="21">
    <w:abstractNumId w:val="17"/>
  </w:num>
  <w:num w:numId="22">
    <w:abstractNumId w:val="14"/>
  </w:num>
  <w:num w:numId="23">
    <w:abstractNumId w:val="9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E4"/>
    <w:rsid w:val="0004176C"/>
    <w:rsid w:val="000424AA"/>
    <w:rsid w:val="00042529"/>
    <w:rsid w:val="0004312B"/>
    <w:rsid w:val="00054588"/>
    <w:rsid w:val="00054C0F"/>
    <w:rsid w:val="0009283F"/>
    <w:rsid w:val="000A579A"/>
    <w:rsid w:val="000B24C0"/>
    <w:rsid w:val="000D168E"/>
    <w:rsid w:val="000D349A"/>
    <w:rsid w:val="001059BB"/>
    <w:rsid w:val="001222D7"/>
    <w:rsid w:val="00122DDD"/>
    <w:rsid w:val="00136DD0"/>
    <w:rsid w:val="001546C1"/>
    <w:rsid w:val="0017667B"/>
    <w:rsid w:val="00183C82"/>
    <w:rsid w:val="0019309D"/>
    <w:rsid w:val="0019671D"/>
    <w:rsid w:val="001974CC"/>
    <w:rsid w:val="001A234F"/>
    <w:rsid w:val="001C1041"/>
    <w:rsid w:val="001D3CB7"/>
    <w:rsid w:val="001D60C1"/>
    <w:rsid w:val="00205D0D"/>
    <w:rsid w:val="00237B58"/>
    <w:rsid w:val="00243568"/>
    <w:rsid w:val="00245DA6"/>
    <w:rsid w:val="002664A4"/>
    <w:rsid w:val="002739AF"/>
    <w:rsid w:val="00294A4D"/>
    <w:rsid w:val="002A0C82"/>
    <w:rsid w:val="002A6376"/>
    <w:rsid w:val="002B4F36"/>
    <w:rsid w:val="002C662E"/>
    <w:rsid w:val="0031097D"/>
    <w:rsid w:val="003471DC"/>
    <w:rsid w:val="003512F8"/>
    <w:rsid w:val="00361A0C"/>
    <w:rsid w:val="00365999"/>
    <w:rsid w:val="003B5833"/>
    <w:rsid w:val="003B74AE"/>
    <w:rsid w:val="003C5BA7"/>
    <w:rsid w:val="003D5C62"/>
    <w:rsid w:val="003D6504"/>
    <w:rsid w:val="003F6344"/>
    <w:rsid w:val="00430F8B"/>
    <w:rsid w:val="0045092C"/>
    <w:rsid w:val="00454475"/>
    <w:rsid w:val="00456E0B"/>
    <w:rsid w:val="00466612"/>
    <w:rsid w:val="00474F69"/>
    <w:rsid w:val="004834F5"/>
    <w:rsid w:val="00484671"/>
    <w:rsid w:val="00494CAD"/>
    <w:rsid w:val="00523079"/>
    <w:rsid w:val="0053195C"/>
    <w:rsid w:val="00567530"/>
    <w:rsid w:val="005C63B0"/>
    <w:rsid w:val="005D59D0"/>
    <w:rsid w:val="005F4D09"/>
    <w:rsid w:val="00603083"/>
    <w:rsid w:val="00623093"/>
    <w:rsid w:val="006A10D7"/>
    <w:rsid w:val="006B311E"/>
    <w:rsid w:val="006B39BE"/>
    <w:rsid w:val="006F6788"/>
    <w:rsid w:val="007022F7"/>
    <w:rsid w:val="00717BCD"/>
    <w:rsid w:val="007653DD"/>
    <w:rsid w:val="007A4BFB"/>
    <w:rsid w:val="007A5CD4"/>
    <w:rsid w:val="007D4313"/>
    <w:rsid w:val="007D49E4"/>
    <w:rsid w:val="007E27EE"/>
    <w:rsid w:val="0083189E"/>
    <w:rsid w:val="00840EE1"/>
    <w:rsid w:val="00845819"/>
    <w:rsid w:val="0087105F"/>
    <w:rsid w:val="008922B2"/>
    <w:rsid w:val="009048D3"/>
    <w:rsid w:val="00932F15"/>
    <w:rsid w:val="009413EB"/>
    <w:rsid w:val="00941537"/>
    <w:rsid w:val="00942708"/>
    <w:rsid w:val="0097007C"/>
    <w:rsid w:val="0097375C"/>
    <w:rsid w:val="00983AC6"/>
    <w:rsid w:val="009A4E40"/>
    <w:rsid w:val="009F668C"/>
    <w:rsid w:val="00A127B6"/>
    <w:rsid w:val="00A17AC8"/>
    <w:rsid w:val="00A37B2E"/>
    <w:rsid w:val="00A51492"/>
    <w:rsid w:val="00A52833"/>
    <w:rsid w:val="00A63654"/>
    <w:rsid w:val="00A67E3E"/>
    <w:rsid w:val="00A7078D"/>
    <w:rsid w:val="00A71FCD"/>
    <w:rsid w:val="00A81D30"/>
    <w:rsid w:val="00A837BD"/>
    <w:rsid w:val="00A87523"/>
    <w:rsid w:val="00AA6EFF"/>
    <w:rsid w:val="00AB51BB"/>
    <w:rsid w:val="00AC6059"/>
    <w:rsid w:val="00AE3565"/>
    <w:rsid w:val="00AEE749"/>
    <w:rsid w:val="00AF162D"/>
    <w:rsid w:val="00AF73AF"/>
    <w:rsid w:val="00B72E20"/>
    <w:rsid w:val="00B8553B"/>
    <w:rsid w:val="00B93517"/>
    <w:rsid w:val="00BA47DA"/>
    <w:rsid w:val="00BA7332"/>
    <w:rsid w:val="00BC5377"/>
    <w:rsid w:val="00BE2D38"/>
    <w:rsid w:val="00BE2FF4"/>
    <w:rsid w:val="00BE74BF"/>
    <w:rsid w:val="00BF6540"/>
    <w:rsid w:val="00C2416A"/>
    <w:rsid w:val="00C50A44"/>
    <w:rsid w:val="00C52F98"/>
    <w:rsid w:val="00C54206"/>
    <w:rsid w:val="00CB6237"/>
    <w:rsid w:val="00CE7CEC"/>
    <w:rsid w:val="00D0554D"/>
    <w:rsid w:val="00D06AB8"/>
    <w:rsid w:val="00D93000"/>
    <w:rsid w:val="00DA6D59"/>
    <w:rsid w:val="00DB1F14"/>
    <w:rsid w:val="00DD0E46"/>
    <w:rsid w:val="00DD147A"/>
    <w:rsid w:val="00DD4C89"/>
    <w:rsid w:val="00DF0BBB"/>
    <w:rsid w:val="00E060E0"/>
    <w:rsid w:val="00E2142F"/>
    <w:rsid w:val="00E73097"/>
    <w:rsid w:val="00E8748F"/>
    <w:rsid w:val="00EB5AC6"/>
    <w:rsid w:val="00EF053F"/>
    <w:rsid w:val="00EFCD2C"/>
    <w:rsid w:val="00F32653"/>
    <w:rsid w:val="00F46A79"/>
    <w:rsid w:val="00F7144E"/>
    <w:rsid w:val="00F82851"/>
    <w:rsid w:val="00FB1BDD"/>
    <w:rsid w:val="00FB767F"/>
    <w:rsid w:val="00FC5FED"/>
    <w:rsid w:val="00FE3BBA"/>
    <w:rsid w:val="014D5E14"/>
    <w:rsid w:val="01C8D4CC"/>
    <w:rsid w:val="01FC8A63"/>
    <w:rsid w:val="023DB05E"/>
    <w:rsid w:val="026F4D21"/>
    <w:rsid w:val="0278C8E3"/>
    <w:rsid w:val="027E72A2"/>
    <w:rsid w:val="035593E3"/>
    <w:rsid w:val="03EC5C35"/>
    <w:rsid w:val="0494BC49"/>
    <w:rsid w:val="04B2B8DD"/>
    <w:rsid w:val="05B9EAC2"/>
    <w:rsid w:val="06147736"/>
    <w:rsid w:val="0644C5F9"/>
    <w:rsid w:val="06C63D54"/>
    <w:rsid w:val="0802B1B1"/>
    <w:rsid w:val="08E76F77"/>
    <w:rsid w:val="0923BD46"/>
    <w:rsid w:val="0957DFE5"/>
    <w:rsid w:val="0A49D0B0"/>
    <w:rsid w:val="0AF6020A"/>
    <w:rsid w:val="0C363DF2"/>
    <w:rsid w:val="0CAA0E2D"/>
    <w:rsid w:val="0D09B489"/>
    <w:rsid w:val="0D4359F1"/>
    <w:rsid w:val="0D53CB25"/>
    <w:rsid w:val="0DC202B5"/>
    <w:rsid w:val="0EE11EE4"/>
    <w:rsid w:val="0EE9883D"/>
    <w:rsid w:val="0EF61130"/>
    <w:rsid w:val="0FB7C3A6"/>
    <w:rsid w:val="1016B59F"/>
    <w:rsid w:val="101CD4EF"/>
    <w:rsid w:val="1110A8A1"/>
    <w:rsid w:val="112F1496"/>
    <w:rsid w:val="118F5248"/>
    <w:rsid w:val="11B05BBD"/>
    <w:rsid w:val="11D39BB4"/>
    <w:rsid w:val="1319950A"/>
    <w:rsid w:val="13203099"/>
    <w:rsid w:val="1369D8E4"/>
    <w:rsid w:val="13B3CA10"/>
    <w:rsid w:val="13D907DE"/>
    <w:rsid w:val="13E5FDDE"/>
    <w:rsid w:val="1418C2B8"/>
    <w:rsid w:val="142E4359"/>
    <w:rsid w:val="144A377A"/>
    <w:rsid w:val="145329E3"/>
    <w:rsid w:val="15257256"/>
    <w:rsid w:val="155254F9"/>
    <w:rsid w:val="1598C0C1"/>
    <w:rsid w:val="159A21B6"/>
    <w:rsid w:val="15BBCF4F"/>
    <w:rsid w:val="16419614"/>
    <w:rsid w:val="1666E123"/>
    <w:rsid w:val="16AD69FF"/>
    <w:rsid w:val="17579FB0"/>
    <w:rsid w:val="1770C80D"/>
    <w:rsid w:val="1781D972"/>
    <w:rsid w:val="17F5E8AC"/>
    <w:rsid w:val="1814CC1A"/>
    <w:rsid w:val="181C4A53"/>
    <w:rsid w:val="18EA2938"/>
    <w:rsid w:val="191564DB"/>
    <w:rsid w:val="19422489"/>
    <w:rsid w:val="19E3A918"/>
    <w:rsid w:val="1A23A2C7"/>
    <w:rsid w:val="1A3CD658"/>
    <w:rsid w:val="1A8F4072"/>
    <w:rsid w:val="1B0254A9"/>
    <w:rsid w:val="1B22402C"/>
    <w:rsid w:val="1B7037E0"/>
    <w:rsid w:val="1C7F7FE5"/>
    <w:rsid w:val="1C942B09"/>
    <w:rsid w:val="1CA0ED40"/>
    <w:rsid w:val="1CBFB85B"/>
    <w:rsid w:val="1CFDBBFA"/>
    <w:rsid w:val="1D28168E"/>
    <w:rsid w:val="1D5B8C40"/>
    <w:rsid w:val="1D7CBC02"/>
    <w:rsid w:val="1EC8BAB4"/>
    <w:rsid w:val="1EC92024"/>
    <w:rsid w:val="1ECED4E5"/>
    <w:rsid w:val="1EE36DBA"/>
    <w:rsid w:val="1F29D8F5"/>
    <w:rsid w:val="1F67152F"/>
    <w:rsid w:val="1FE6C1D2"/>
    <w:rsid w:val="203EA7B1"/>
    <w:rsid w:val="20AF95CB"/>
    <w:rsid w:val="20B7F770"/>
    <w:rsid w:val="218D82D2"/>
    <w:rsid w:val="22001951"/>
    <w:rsid w:val="2250ACBE"/>
    <w:rsid w:val="229268F3"/>
    <w:rsid w:val="245655B4"/>
    <w:rsid w:val="2460C071"/>
    <w:rsid w:val="25A8B76E"/>
    <w:rsid w:val="263B6387"/>
    <w:rsid w:val="26D50842"/>
    <w:rsid w:val="26F93918"/>
    <w:rsid w:val="27953BDC"/>
    <w:rsid w:val="27C25F7F"/>
    <w:rsid w:val="285B713E"/>
    <w:rsid w:val="29404EC6"/>
    <w:rsid w:val="29DCD323"/>
    <w:rsid w:val="29E813A2"/>
    <w:rsid w:val="2AAD6BDA"/>
    <w:rsid w:val="2B932E34"/>
    <w:rsid w:val="2BAD21A9"/>
    <w:rsid w:val="2BD42C94"/>
    <w:rsid w:val="2C02979D"/>
    <w:rsid w:val="2CE1DBBA"/>
    <w:rsid w:val="2CEC3581"/>
    <w:rsid w:val="2D5D16AE"/>
    <w:rsid w:val="2DAAB25B"/>
    <w:rsid w:val="2E15CD8C"/>
    <w:rsid w:val="2E5F4735"/>
    <w:rsid w:val="2EB0635E"/>
    <w:rsid w:val="2FB72B21"/>
    <w:rsid w:val="2FF83B76"/>
    <w:rsid w:val="305845E8"/>
    <w:rsid w:val="30807DC6"/>
    <w:rsid w:val="30D64812"/>
    <w:rsid w:val="31260D76"/>
    <w:rsid w:val="31C0E9CE"/>
    <w:rsid w:val="3243E3AD"/>
    <w:rsid w:val="3289B93F"/>
    <w:rsid w:val="32C1EB7D"/>
    <w:rsid w:val="32F67264"/>
    <w:rsid w:val="333B4E06"/>
    <w:rsid w:val="33448631"/>
    <w:rsid w:val="3467C446"/>
    <w:rsid w:val="347F7DF5"/>
    <w:rsid w:val="34A786C8"/>
    <w:rsid w:val="351B376E"/>
    <w:rsid w:val="353E4F5F"/>
    <w:rsid w:val="355D06B5"/>
    <w:rsid w:val="35BDB1C6"/>
    <w:rsid w:val="35C38F2C"/>
    <w:rsid w:val="35D708A2"/>
    <w:rsid w:val="35E6F529"/>
    <w:rsid w:val="363BF4F4"/>
    <w:rsid w:val="36646B11"/>
    <w:rsid w:val="368DEC78"/>
    <w:rsid w:val="36C8BA59"/>
    <w:rsid w:val="372208BB"/>
    <w:rsid w:val="37D022FC"/>
    <w:rsid w:val="383A6716"/>
    <w:rsid w:val="385E81DA"/>
    <w:rsid w:val="38957E0F"/>
    <w:rsid w:val="38F55288"/>
    <w:rsid w:val="397561E3"/>
    <w:rsid w:val="39812D14"/>
    <w:rsid w:val="39B9E9E1"/>
    <w:rsid w:val="39C8FF05"/>
    <w:rsid w:val="39F561F1"/>
    <w:rsid w:val="3A17DD72"/>
    <w:rsid w:val="3A3EBD6A"/>
    <w:rsid w:val="3AC218F5"/>
    <w:rsid w:val="3AF2AF2D"/>
    <w:rsid w:val="3AFE294C"/>
    <w:rsid w:val="3B7FA7D1"/>
    <w:rsid w:val="3C581A07"/>
    <w:rsid w:val="3CB59B84"/>
    <w:rsid w:val="3D0D9465"/>
    <w:rsid w:val="3D43FD68"/>
    <w:rsid w:val="3DD6E93E"/>
    <w:rsid w:val="3DE4BAE3"/>
    <w:rsid w:val="3EFC1473"/>
    <w:rsid w:val="3F4FE127"/>
    <w:rsid w:val="3F73D1CA"/>
    <w:rsid w:val="3FF49279"/>
    <w:rsid w:val="406E0265"/>
    <w:rsid w:val="425DB39F"/>
    <w:rsid w:val="433EDF11"/>
    <w:rsid w:val="43EBF486"/>
    <w:rsid w:val="440058DC"/>
    <w:rsid w:val="444E6CEE"/>
    <w:rsid w:val="44B084D2"/>
    <w:rsid w:val="44FE0395"/>
    <w:rsid w:val="453DB632"/>
    <w:rsid w:val="4570E379"/>
    <w:rsid w:val="45BAAD33"/>
    <w:rsid w:val="45CABA8A"/>
    <w:rsid w:val="460CEFF9"/>
    <w:rsid w:val="4617CC0E"/>
    <w:rsid w:val="4684D1B3"/>
    <w:rsid w:val="46E0C2C9"/>
    <w:rsid w:val="4749C6AD"/>
    <w:rsid w:val="476E0E08"/>
    <w:rsid w:val="476E301B"/>
    <w:rsid w:val="480835FC"/>
    <w:rsid w:val="481CE047"/>
    <w:rsid w:val="49113AB2"/>
    <w:rsid w:val="4915E882"/>
    <w:rsid w:val="49170DB5"/>
    <w:rsid w:val="49465AF7"/>
    <w:rsid w:val="496A0C9C"/>
    <w:rsid w:val="496CCC31"/>
    <w:rsid w:val="49725D69"/>
    <w:rsid w:val="4A18638B"/>
    <w:rsid w:val="4A4C97B8"/>
    <w:rsid w:val="4A6F35F9"/>
    <w:rsid w:val="4AA51CF6"/>
    <w:rsid w:val="4B61C9D2"/>
    <w:rsid w:val="4BFF526B"/>
    <w:rsid w:val="4C057A42"/>
    <w:rsid w:val="4CBFFF76"/>
    <w:rsid w:val="4DFD3CBA"/>
    <w:rsid w:val="4E0929B1"/>
    <w:rsid w:val="4E48DA46"/>
    <w:rsid w:val="4EAC0756"/>
    <w:rsid w:val="4ED685D5"/>
    <w:rsid w:val="4F215F39"/>
    <w:rsid w:val="4F2361F2"/>
    <w:rsid w:val="4F5B9FB3"/>
    <w:rsid w:val="4FC938A1"/>
    <w:rsid w:val="5030D852"/>
    <w:rsid w:val="50581AA9"/>
    <w:rsid w:val="505F2A04"/>
    <w:rsid w:val="5064F59A"/>
    <w:rsid w:val="50FEF497"/>
    <w:rsid w:val="5132A5D0"/>
    <w:rsid w:val="516A6228"/>
    <w:rsid w:val="51D1E5A0"/>
    <w:rsid w:val="51E8EC07"/>
    <w:rsid w:val="5225A09C"/>
    <w:rsid w:val="5258FFFB"/>
    <w:rsid w:val="526DFAC8"/>
    <w:rsid w:val="52C63E98"/>
    <w:rsid w:val="530BA714"/>
    <w:rsid w:val="53A296E9"/>
    <w:rsid w:val="53F4D05C"/>
    <w:rsid w:val="5400E178"/>
    <w:rsid w:val="5458B520"/>
    <w:rsid w:val="547DBC3C"/>
    <w:rsid w:val="548DB210"/>
    <w:rsid w:val="54905E57"/>
    <w:rsid w:val="54ABCC8E"/>
    <w:rsid w:val="54BB3150"/>
    <w:rsid w:val="54F27B9B"/>
    <w:rsid w:val="54FB634F"/>
    <w:rsid w:val="55960DA0"/>
    <w:rsid w:val="55A348C9"/>
    <w:rsid w:val="560A941C"/>
    <w:rsid w:val="56133D7B"/>
    <w:rsid w:val="56590A47"/>
    <w:rsid w:val="5680908A"/>
    <w:rsid w:val="5687485D"/>
    <w:rsid w:val="56B1D13C"/>
    <w:rsid w:val="5715DDE8"/>
    <w:rsid w:val="5716DF8D"/>
    <w:rsid w:val="5769965D"/>
    <w:rsid w:val="57A538A2"/>
    <w:rsid w:val="57BA4A0C"/>
    <w:rsid w:val="58142D43"/>
    <w:rsid w:val="5886C982"/>
    <w:rsid w:val="58E46D48"/>
    <w:rsid w:val="597B6817"/>
    <w:rsid w:val="59A23EBE"/>
    <w:rsid w:val="59BE3113"/>
    <w:rsid w:val="59CF9880"/>
    <w:rsid w:val="5AE6135D"/>
    <w:rsid w:val="5B25BCD2"/>
    <w:rsid w:val="5B65093B"/>
    <w:rsid w:val="5B9549E6"/>
    <w:rsid w:val="5B996457"/>
    <w:rsid w:val="5BB5E4E6"/>
    <w:rsid w:val="5CEB559A"/>
    <w:rsid w:val="5CFE9EB2"/>
    <w:rsid w:val="5D311A47"/>
    <w:rsid w:val="5DEF4B8A"/>
    <w:rsid w:val="5E568AD0"/>
    <w:rsid w:val="5F696138"/>
    <w:rsid w:val="600208A6"/>
    <w:rsid w:val="605F6B2B"/>
    <w:rsid w:val="60A0F464"/>
    <w:rsid w:val="60FC88CD"/>
    <w:rsid w:val="6117E6D1"/>
    <w:rsid w:val="61769D07"/>
    <w:rsid w:val="617CC709"/>
    <w:rsid w:val="6189C974"/>
    <w:rsid w:val="6231E639"/>
    <w:rsid w:val="637DA43E"/>
    <w:rsid w:val="646E0B45"/>
    <w:rsid w:val="648776D4"/>
    <w:rsid w:val="649C7606"/>
    <w:rsid w:val="64B467CB"/>
    <w:rsid w:val="64BDA2DF"/>
    <w:rsid w:val="64D942A0"/>
    <w:rsid w:val="6502BBA3"/>
    <w:rsid w:val="657F9DF1"/>
    <w:rsid w:val="6582195C"/>
    <w:rsid w:val="65AEB20D"/>
    <w:rsid w:val="65D99BAC"/>
    <w:rsid w:val="6629D7BC"/>
    <w:rsid w:val="6642FEF3"/>
    <w:rsid w:val="673A7A48"/>
    <w:rsid w:val="67E3881E"/>
    <w:rsid w:val="67E8DC0F"/>
    <w:rsid w:val="68438324"/>
    <w:rsid w:val="68736847"/>
    <w:rsid w:val="68EC526A"/>
    <w:rsid w:val="69088FFA"/>
    <w:rsid w:val="696110B8"/>
    <w:rsid w:val="69CBA0ED"/>
    <w:rsid w:val="69E1062E"/>
    <w:rsid w:val="6A4AE3E1"/>
    <w:rsid w:val="6A5AB915"/>
    <w:rsid w:val="6A69DB16"/>
    <w:rsid w:val="6B0424AD"/>
    <w:rsid w:val="6B1F45B5"/>
    <w:rsid w:val="6B23A94F"/>
    <w:rsid w:val="6BECDDDF"/>
    <w:rsid w:val="6C385ADF"/>
    <w:rsid w:val="6C9FF50E"/>
    <w:rsid w:val="6CF7F0D0"/>
    <w:rsid w:val="6D6A1FA7"/>
    <w:rsid w:val="6D9B5582"/>
    <w:rsid w:val="6DD0AD3F"/>
    <w:rsid w:val="6DD42B40"/>
    <w:rsid w:val="6E051FB4"/>
    <w:rsid w:val="6E0DB787"/>
    <w:rsid w:val="6E1AB731"/>
    <w:rsid w:val="6E3BC56F"/>
    <w:rsid w:val="6EC02CF7"/>
    <w:rsid w:val="6F25B24B"/>
    <w:rsid w:val="6F7A4A1C"/>
    <w:rsid w:val="6FEA345B"/>
    <w:rsid w:val="701D8310"/>
    <w:rsid w:val="708B5A1A"/>
    <w:rsid w:val="70D27B16"/>
    <w:rsid w:val="71C35906"/>
    <w:rsid w:val="71EC1E02"/>
    <w:rsid w:val="725E7250"/>
    <w:rsid w:val="726B5BEC"/>
    <w:rsid w:val="728F11BF"/>
    <w:rsid w:val="72A64961"/>
    <w:rsid w:val="7316F1B4"/>
    <w:rsid w:val="732E77F8"/>
    <w:rsid w:val="73311F60"/>
    <w:rsid w:val="7401EBE6"/>
    <w:rsid w:val="7419FDB8"/>
    <w:rsid w:val="749668D4"/>
    <w:rsid w:val="74BF2A84"/>
    <w:rsid w:val="74CCEFC1"/>
    <w:rsid w:val="74D26E77"/>
    <w:rsid w:val="751A060C"/>
    <w:rsid w:val="752A3DDA"/>
    <w:rsid w:val="752B45C4"/>
    <w:rsid w:val="75310D98"/>
    <w:rsid w:val="7561C32A"/>
    <w:rsid w:val="75C4E67A"/>
    <w:rsid w:val="75F676B7"/>
    <w:rsid w:val="77A60360"/>
    <w:rsid w:val="77E504BD"/>
    <w:rsid w:val="7867D773"/>
    <w:rsid w:val="7999B7D5"/>
    <w:rsid w:val="79AA8D31"/>
    <w:rsid w:val="79B9200F"/>
    <w:rsid w:val="7ABF558D"/>
    <w:rsid w:val="7ADDA422"/>
    <w:rsid w:val="7B623E67"/>
    <w:rsid w:val="7B942973"/>
    <w:rsid w:val="7BC4B7C2"/>
    <w:rsid w:val="7BD157A5"/>
    <w:rsid w:val="7BF7833C"/>
    <w:rsid w:val="7C63724D"/>
    <w:rsid w:val="7CA9A841"/>
    <w:rsid w:val="7CCEBE5A"/>
    <w:rsid w:val="7CDCC442"/>
    <w:rsid w:val="7D05E766"/>
    <w:rsid w:val="7DDB3A7D"/>
    <w:rsid w:val="7E1B314E"/>
    <w:rsid w:val="7EB50248"/>
    <w:rsid w:val="7EC1729F"/>
    <w:rsid w:val="7EDE5C64"/>
    <w:rsid w:val="7F0E0185"/>
    <w:rsid w:val="7F70E346"/>
    <w:rsid w:val="7FB11545"/>
    <w:rsid w:val="7FE85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3035"/>
  <w15:docId w15:val="{40C2F387-BABD-4EDA-9190-23C4C1507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93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160" w:after="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80" w:after="0"/>
      <w:outlineLvl w:val="1"/>
    </w:pPr>
    <w:rPr>
      <w:b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2"/>
    </w:pPr>
    <w:rPr>
      <w:b/>
      <w:sz w:val="24"/>
      <w:szCs w:val="24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40" w:after="0"/>
      <w:outlineLvl w:val="5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uiPriority w:val="10"/>
    <w:qFormat/>
    <w:pPr>
      <w:keepNext/>
      <w:keepLines/>
      <w:spacing w:after="0" w:line="240" w:lineRule="auto"/>
    </w:pPr>
    <w:rPr>
      <w:sz w:val="48"/>
      <w:szCs w:val="48"/>
    </w:rPr>
  </w:style>
  <w:style w:type="paragraph" w:styleId="Podnadpis">
    <w:name w:val="Subtitle"/>
    <w:basedOn w:val="Normln"/>
    <w:next w:val="Normln"/>
    <w:uiPriority w:val="11"/>
    <w:qFormat/>
    <w:pPr>
      <w:pBdr>
        <w:top w:val="nil"/>
        <w:left w:val="nil"/>
        <w:bottom w:val="nil"/>
        <w:right w:val="nil"/>
        <w:between w:val="nil"/>
      </w:pBdr>
    </w:pPr>
    <w:rPr>
      <w:color w:val="595959"/>
      <w:sz w:val="28"/>
      <w:szCs w:val="28"/>
    </w:rPr>
  </w:style>
  <w:style w:type="table" w:customStyle="1" w:styleId="a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a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b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c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d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e">
    <w:basedOn w:val="Normlntabulka"/>
    <w:pPr>
      <w:spacing w:after="0" w:line="240" w:lineRule="auto"/>
    </w:pPr>
    <w:tblPr>
      <w:tblStyleRowBandSize w:val="1"/>
      <w:tblStyleColBandSize w:val="1"/>
    </w:tblPr>
  </w:style>
  <w:style w:type="table" w:customStyle="1" w:styleId="af">
    <w:basedOn w:val="Normlntabulka"/>
    <w:pPr>
      <w:spacing w:after="0" w:line="240" w:lineRule="auto"/>
    </w:pPr>
    <w:tblPr>
      <w:tblStyleRowBandSize w:val="1"/>
      <w:tblStyleColBandSize w:val="1"/>
    </w:tblPr>
  </w:style>
  <w:style w:type="character" w:styleId="Odkaznakoment">
    <w:name w:val="annotation reference"/>
    <w:basedOn w:val="Standardnpsmoodstavce"/>
    <w:uiPriority w:val="99"/>
    <w:semiHidden/>
    <w:unhideWhenUsed/>
    <w:rsid w:val="006030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30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30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30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308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3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3083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5092C"/>
    <w:pPr>
      <w:spacing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07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07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7007C"/>
    <w:rPr>
      <w:vertAlign w:val="superscript"/>
    </w:rPr>
  </w:style>
  <w:style w:type="paragraph" w:styleId="Normlnweb">
    <w:name w:val="Normal (Web)"/>
    <w:basedOn w:val="Normln"/>
    <w:uiPriority w:val="99"/>
    <w:unhideWhenUsed/>
    <w:rsid w:val="00973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Odrka">
    <w:name w:val="Odrážka"/>
    <w:basedOn w:val="Normln"/>
    <w:link w:val="OdrkaChar"/>
    <w:qFormat/>
    <w:rsid w:val="7D05E766"/>
    <w:pPr>
      <w:ind w:left="720" w:hanging="360"/>
      <w:contextualSpacing/>
      <w:jc w:val="both"/>
    </w:pPr>
    <w:rPr>
      <w:color w:val="000000" w:themeColor="text1"/>
      <w:sz w:val="20"/>
      <w:szCs w:val="20"/>
    </w:rPr>
  </w:style>
  <w:style w:type="character" w:customStyle="1" w:styleId="OdrkaChar">
    <w:name w:val="Odrážka Char"/>
    <w:basedOn w:val="Standardnpsmoodstavce"/>
    <w:link w:val="Odrka"/>
    <w:rsid w:val="7D05E766"/>
    <w:rPr>
      <w:color w:val="000000" w:themeColor="text1"/>
      <w:sz w:val="20"/>
      <w:szCs w:val="20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patChar">
    <w:name w:val="Zápatí Char"/>
    <w:basedOn w:val="Standardnpsmoodstavce"/>
    <w:link w:val="Zpat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Revize">
    <w:name w:val="Revision"/>
    <w:hidden/>
    <w:uiPriority w:val="99"/>
    <w:semiHidden/>
    <w:rsid w:val="003B74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6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544cef-d40f-40e0-9fb2-ea3e47b346f0">
      <Terms xmlns="http://schemas.microsoft.com/office/infopath/2007/PartnerControls"/>
    </lcf76f155ced4ddcb4097134ff3c332f>
    <TaxCatchAll xmlns="b4346392-9490-4ec2-979c-afa8507021a9" xsi:nil="true"/>
    <SharedWithUsers xmlns="b4346392-9490-4ec2-979c-afa8507021a9">
      <UserInfo>
        <DisplayName>Klesla Jan</DisplayName>
        <AccountId>205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7AC3D038E8784E9C16E0921B8D5155" ma:contentTypeVersion="15" ma:contentTypeDescription="Vytvoří nový dokument" ma:contentTypeScope="" ma:versionID="00d78ad4826458ef1624f2d93d9153c5">
  <xsd:schema xmlns:xsd="http://www.w3.org/2001/XMLSchema" xmlns:xs="http://www.w3.org/2001/XMLSchema" xmlns:p="http://schemas.microsoft.com/office/2006/metadata/properties" xmlns:ns2="11544cef-d40f-40e0-9fb2-ea3e47b346f0" xmlns:ns3="b4346392-9490-4ec2-979c-afa8507021a9" targetNamespace="http://schemas.microsoft.com/office/2006/metadata/properties" ma:root="true" ma:fieldsID="7f79c3da929e12af0a74d4f77ed7b1e5" ns2:_="" ns3:_="">
    <xsd:import namespace="11544cef-d40f-40e0-9fb2-ea3e47b346f0"/>
    <xsd:import namespace="b4346392-9490-4ec2-979c-afa850702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44cef-d40f-40e0-9fb2-ea3e47b34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4dd7ddbe-1f86-4eaf-800e-08e792b06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346392-9490-4ec2-979c-afa8507021a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70caa18-f488-432e-906b-9ca052482661}" ma:internalName="TaxCatchAll" ma:showField="CatchAllData" ma:web="b4346392-9490-4ec2-979c-afa850702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098AFE0-C569-4D56-9AFD-B9F8DCC6D0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BE88E-AFF6-4FF0-B646-D77AA858482B}">
  <ds:schemaRefs>
    <ds:schemaRef ds:uri="http://schemas.microsoft.com/office/2006/metadata/properties"/>
    <ds:schemaRef ds:uri="http://schemas.microsoft.com/office/infopath/2007/PartnerControls"/>
    <ds:schemaRef ds:uri="11544cef-d40f-40e0-9fb2-ea3e47b346f0"/>
    <ds:schemaRef ds:uri="b4346392-9490-4ec2-979c-afa8507021a9"/>
  </ds:schemaRefs>
</ds:datastoreItem>
</file>

<file path=customXml/itemProps3.xml><?xml version="1.0" encoding="utf-8"?>
<ds:datastoreItem xmlns:ds="http://schemas.openxmlformats.org/officeDocument/2006/customXml" ds:itemID="{0D631B32-4B6C-4852-BF22-961C9095B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544cef-d40f-40e0-9fb2-ea3e47b346f0"/>
    <ds:schemaRef ds:uri="b4346392-9490-4ec2-979c-afa8507021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725942-32AD-4C5C-B22D-066A269E6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55A26B57.dotm</Template>
  <TotalTime>3</TotalTime>
  <Pages>3</Pages>
  <Words>1049</Words>
  <Characters>6191</Characters>
  <Application>Microsoft Office Word</Application>
  <DocSecurity>0</DocSecurity>
  <Lines>51</Lines>
  <Paragraphs>14</Paragraphs>
  <ScaleCrop>false</ScaleCrop>
  <Company>Ministerstvo průmyslu a obchodu</Company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Všetečka Daniel</dc:creator>
  <cp:lastModifiedBy>Bubenková Monika</cp:lastModifiedBy>
  <cp:revision>10</cp:revision>
  <dcterms:created xsi:type="dcterms:W3CDTF">2023-06-28T04:57:00Z</dcterms:created>
  <dcterms:modified xsi:type="dcterms:W3CDTF">2023-11-22T07:10:00Z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0x010100787AC3D038E8784E9C16E0921B8D5155</vt:lpwstr>
  </property>
  <property fmtid="{D5CDD505-2E9C-101B-9397-08002B2CF9AE}" pid="3" name="ClassificationContentMarkingHeaderShapeIds">
    <vt:lpwstr>1,3,4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8b1b3805-f150-44c8-a15d-a6d132d9fbfb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2021-05-14T07:55:27Z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  <property fmtid="{D5CDD505-2E9C-101B-9397-08002B2CF9AE}" pid="13" name="MediaServiceImageTags">
    <vt:lpwstr/>
  </property>
</Properties>
</file>