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E09E4F" w14:textId="38B671E5" w:rsidR="002C20CF" w:rsidRPr="00DF78BE" w:rsidRDefault="00695BAB" w:rsidP="569F9CD4">
      <w:pPr>
        <w:pStyle w:val="K-Nadpis1"/>
        <w:spacing w:line="240" w:lineRule="auto"/>
        <w:rPr>
          <w:rFonts w:asciiTheme="minorHAnsi" w:eastAsiaTheme="minorEastAsia" w:hAnsiTheme="minorHAnsi" w:cstheme="minorHAnsi"/>
          <w:sz w:val="28"/>
          <w:szCs w:val="28"/>
        </w:rPr>
      </w:pPr>
      <w:bookmarkStart w:id="0" w:name="_GoBack"/>
      <w:bookmarkEnd w:id="0"/>
      <w:r>
        <w:rPr>
          <w:rFonts w:asciiTheme="minorHAnsi" w:eastAsiaTheme="minorEastAsia" w:hAnsiTheme="minorHAnsi" w:cstheme="minorHAnsi"/>
          <w:sz w:val="28"/>
          <w:szCs w:val="28"/>
        </w:rPr>
        <w:t>7.2</w:t>
      </w:r>
      <w:r w:rsidR="004829E1" w:rsidRPr="00DF78BE">
        <w:rPr>
          <w:rFonts w:asciiTheme="minorHAnsi" w:eastAsiaTheme="minorEastAsia" w:hAnsiTheme="minorHAnsi" w:cstheme="minorHAnsi"/>
          <w:sz w:val="28"/>
          <w:szCs w:val="28"/>
        </w:rPr>
        <w:t xml:space="preserve"> </w:t>
      </w:r>
      <w:r w:rsidR="00665CD2">
        <w:rPr>
          <w:rFonts w:asciiTheme="minorHAnsi" w:eastAsiaTheme="minorEastAsia" w:hAnsiTheme="minorHAnsi" w:cstheme="minorHAnsi"/>
          <w:sz w:val="28"/>
          <w:szCs w:val="28"/>
        </w:rPr>
        <w:t>Podpora dece</w:t>
      </w:r>
      <w:r w:rsidR="008B3962">
        <w:rPr>
          <w:rFonts w:asciiTheme="minorHAnsi" w:eastAsiaTheme="minorEastAsia" w:hAnsiTheme="minorHAnsi" w:cstheme="minorHAnsi"/>
          <w:sz w:val="28"/>
          <w:szCs w:val="28"/>
        </w:rPr>
        <w:t xml:space="preserve">ntralizace </w:t>
      </w:r>
      <w:r w:rsidR="007357C9">
        <w:rPr>
          <w:rFonts w:asciiTheme="minorHAnsi" w:eastAsiaTheme="minorEastAsia" w:hAnsiTheme="minorHAnsi" w:cstheme="minorHAnsi"/>
          <w:sz w:val="28"/>
          <w:szCs w:val="28"/>
        </w:rPr>
        <w:t xml:space="preserve">a digitalizace </w:t>
      </w:r>
      <w:r w:rsidR="008B3962">
        <w:rPr>
          <w:rFonts w:asciiTheme="minorHAnsi" w:eastAsiaTheme="minorEastAsia" w:hAnsiTheme="minorHAnsi" w:cstheme="minorHAnsi"/>
          <w:sz w:val="28"/>
          <w:szCs w:val="28"/>
        </w:rPr>
        <w:t>energetiky</w:t>
      </w:r>
      <w:r w:rsidR="69BA4E22" w:rsidRPr="00DF78BE">
        <w:rPr>
          <w:rFonts w:asciiTheme="minorHAnsi" w:eastAsiaTheme="minorEastAsia" w:hAnsiTheme="minorHAnsi" w:cstheme="minorHAnsi"/>
          <w:sz w:val="28"/>
          <w:szCs w:val="28"/>
        </w:rPr>
        <w:t xml:space="preserve"> </w:t>
      </w:r>
    </w:p>
    <w:p w14:paraId="56A3D2B3" w14:textId="2EE4CDE9" w:rsidR="002C20CF" w:rsidRDefault="2306B366" w:rsidP="569F9CD4">
      <w:pPr>
        <w:pStyle w:val="Nadpis2"/>
        <w:spacing w:line="240" w:lineRule="auto"/>
        <w:rPr>
          <w:rStyle w:val="K-Nadpis2Char"/>
          <w:rFonts w:asciiTheme="minorHAnsi" w:eastAsiaTheme="minorEastAsia" w:hAnsiTheme="minorHAnsi" w:cstheme="minorHAnsi"/>
          <w:b/>
          <w:bCs/>
          <w:sz w:val="22"/>
          <w:szCs w:val="22"/>
        </w:rPr>
      </w:pPr>
      <w:r w:rsidRPr="00E646BB">
        <w:rPr>
          <w:rStyle w:val="K-Nadpis2Char"/>
          <w:rFonts w:asciiTheme="minorHAnsi" w:eastAsiaTheme="minorEastAsia" w:hAnsiTheme="minorHAnsi" w:cstheme="minorHAnsi"/>
          <w:b/>
          <w:bCs/>
          <w:sz w:val="22"/>
          <w:szCs w:val="22"/>
        </w:rPr>
        <w:t xml:space="preserve">1. </w:t>
      </w:r>
      <w:r w:rsidR="6149D8CA" w:rsidRPr="00E646BB">
        <w:rPr>
          <w:rStyle w:val="K-Nadpis2Char"/>
          <w:rFonts w:asciiTheme="minorHAnsi" w:eastAsiaTheme="minorEastAsia" w:hAnsiTheme="minorHAnsi" w:cstheme="minorHAnsi"/>
          <w:b/>
          <w:bCs/>
          <w:sz w:val="22"/>
          <w:szCs w:val="22"/>
        </w:rPr>
        <w:t>Popis</w:t>
      </w:r>
      <w:r w:rsidRPr="00E646BB">
        <w:rPr>
          <w:rStyle w:val="K-Nadpis2Char"/>
          <w:rFonts w:asciiTheme="minorHAnsi" w:eastAsiaTheme="minorEastAsia" w:hAnsiTheme="minorHAnsi" w:cstheme="minorHAnsi"/>
          <w:b/>
          <w:bCs/>
          <w:sz w:val="22"/>
          <w:szCs w:val="22"/>
        </w:rPr>
        <w:t xml:space="preserve"> </w:t>
      </w:r>
      <w:r w:rsidR="6149D8CA" w:rsidRPr="00E646BB">
        <w:rPr>
          <w:rStyle w:val="K-Nadpis2Char"/>
          <w:rFonts w:asciiTheme="minorHAnsi" w:eastAsiaTheme="minorEastAsia" w:hAnsiTheme="minorHAnsi" w:cstheme="minorHAnsi"/>
          <w:b/>
          <w:bCs/>
          <w:sz w:val="22"/>
          <w:szCs w:val="22"/>
        </w:rPr>
        <w:t>komponenty</w:t>
      </w:r>
    </w:p>
    <w:p w14:paraId="1ABC26C8" w14:textId="77777777" w:rsidR="00E646BB" w:rsidRPr="00E646BB" w:rsidRDefault="00E646BB" w:rsidP="00E646BB"/>
    <w:tbl>
      <w:tblPr>
        <w:tblStyle w:val="Mkatabulky"/>
        <w:tblW w:w="9629" w:type="dxa"/>
        <w:tblLayout w:type="fixed"/>
        <w:tblLook w:val="04A0" w:firstRow="1" w:lastRow="0" w:firstColumn="1" w:lastColumn="0" w:noHBand="0" w:noVBand="1"/>
      </w:tblPr>
      <w:tblGrid>
        <w:gridCol w:w="9629"/>
      </w:tblGrid>
      <w:tr w:rsidR="66062307" w:rsidRPr="00E646BB" w14:paraId="16D8C4D0" w14:textId="77777777" w:rsidTr="1EDC8A2A">
        <w:tc>
          <w:tcPr>
            <w:tcW w:w="9629" w:type="dxa"/>
            <w:tcBorders>
              <w:top w:val="single" w:sz="8" w:space="0" w:color="auto"/>
              <w:left w:val="single" w:sz="8" w:space="0" w:color="auto"/>
              <w:bottom w:val="single" w:sz="8" w:space="0" w:color="auto"/>
              <w:right w:val="single" w:sz="8" w:space="0" w:color="auto"/>
            </w:tcBorders>
          </w:tcPr>
          <w:p w14:paraId="65D6F3F1" w14:textId="77777777" w:rsidR="205FD1D0" w:rsidRPr="00E646BB" w:rsidRDefault="00206827" w:rsidP="569F9CD4">
            <w:pPr>
              <w:spacing w:line="240" w:lineRule="auto"/>
              <w:jc w:val="both"/>
              <w:rPr>
                <w:rStyle w:val="K-TabulkaChar"/>
                <w:rFonts w:asciiTheme="minorHAnsi" w:eastAsiaTheme="minorEastAsia" w:hAnsiTheme="minorHAnsi" w:cstheme="minorHAnsi"/>
                <w:sz w:val="22"/>
                <w:szCs w:val="22"/>
              </w:rPr>
            </w:pPr>
            <w:r w:rsidRPr="00E646BB">
              <w:rPr>
                <w:rStyle w:val="K-TabulkaChar"/>
                <w:rFonts w:asciiTheme="minorHAnsi" w:eastAsiaTheme="minorEastAsia" w:hAnsiTheme="minorHAnsi" w:cstheme="minorHAnsi"/>
                <w:sz w:val="22"/>
                <w:szCs w:val="22"/>
              </w:rPr>
              <w:t>Transformace</w:t>
            </w:r>
            <w:r w:rsidR="00644ACC" w:rsidRPr="00E646BB">
              <w:rPr>
                <w:rStyle w:val="K-TabulkaChar"/>
                <w:rFonts w:asciiTheme="minorHAnsi" w:eastAsiaTheme="minorEastAsia" w:hAnsiTheme="minorHAnsi" w:cstheme="minorHAnsi"/>
                <w:sz w:val="22"/>
                <w:szCs w:val="22"/>
              </w:rPr>
              <w:t xml:space="preserve"> </w:t>
            </w:r>
            <w:r w:rsidR="00C53A93" w:rsidRPr="00E646BB">
              <w:rPr>
                <w:rStyle w:val="K-TabulkaChar"/>
                <w:rFonts w:asciiTheme="minorHAnsi" w:eastAsiaTheme="minorEastAsia" w:hAnsiTheme="minorHAnsi" w:cstheme="minorHAnsi"/>
                <w:sz w:val="22"/>
                <w:szCs w:val="22"/>
              </w:rPr>
              <w:t>vnitřního</w:t>
            </w:r>
            <w:r w:rsidR="00644ACC" w:rsidRPr="00E646BB">
              <w:rPr>
                <w:rStyle w:val="K-TabulkaChar"/>
                <w:rFonts w:asciiTheme="minorHAnsi" w:eastAsiaTheme="minorEastAsia" w:hAnsiTheme="minorHAnsi" w:cstheme="minorHAnsi"/>
                <w:sz w:val="22"/>
                <w:szCs w:val="22"/>
              </w:rPr>
              <w:t xml:space="preserve"> trhu s</w:t>
            </w:r>
            <w:r w:rsidR="001319CE" w:rsidRPr="00E646BB">
              <w:rPr>
                <w:rStyle w:val="K-TabulkaChar"/>
                <w:rFonts w:asciiTheme="minorHAnsi" w:eastAsiaTheme="minorEastAsia" w:hAnsiTheme="minorHAnsi" w:cstheme="minorHAnsi"/>
                <w:sz w:val="22"/>
                <w:szCs w:val="22"/>
              </w:rPr>
              <w:t> </w:t>
            </w:r>
            <w:r w:rsidR="00644ACC" w:rsidRPr="00E646BB">
              <w:rPr>
                <w:rStyle w:val="K-TabulkaChar"/>
                <w:rFonts w:asciiTheme="minorHAnsi" w:eastAsiaTheme="minorEastAsia" w:hAnsiTheme="minorHAnsi" w:cstheme="minorHAnsi"/>
                <w:sz w:val="22"/>
                <w:szCs w:val="22"/>
              </w:rPr>
              <w:t>elekt</w:t>
            </w:r>
            <w:r w:rsidR="00C53A93" w:rsidRPr="00E646BB">
              <w:rPr>
                <w:rStyle w:val="K-TabulkaChar"/>
                <w:rFonts w:asciiTheme="minorHAnsi" w:eastAsiaTheme="minorEastAsia" w:hAnsiTheme="minorHAnsi" w:cstheme="minorHAnsi"/>
                <w:sz w:val="22"/>
                <w:szCs w:val="22"/>
              </w:rPr>
              <w:t>ř</w:t>
            </w:r>
            <w:r w:rsidR="00644ACC" w:rsidRPr="00E646BB">
              <w:rPr>
                <w:rStyle w:val="K-TabulkaChar"/>
                <w:rFonts w:asciiTheme="minorHAnsi" w:eastAsiaTheme="minorEastAsia" w:hAnsiTheme="minorHAnsi" w:cstheme="minorHAnsi"/>
                <w:sz w:val="22"/>
                <w:szCs w:val="22"/>
              </w:rPr>
              <w:t>inou</w:t>
            </w:r>
            <w:r w:rsidR="001319CE" w:rsidRPr="00E646BB">
              <w:rPr>
                <w:rStyle w:val="K-TabulkaChar"/>
                <w:rFonts w:asciiTheme="minorHAnsi" w:eastAsiaTheme="minorEastAsia" w:hAnsiTheme="minorHAnsi" w:cstheme="minorHAnsi"/>
                <w:sz w:val="22"/>
                <w:szCs w:val="22"/>
              </w:rPr>
              <w:t xml:space="preserve"> </w:t>
            </w:r>
            <w:r w:rsidR="00B43E56" w:rsidRPr="00E646BB">
              <w:rPr>
                <w:rStyle w:val="K-TabulkaChar"/>
                <w:rFonts w:asciiTheme="minorHAnsi" w:eastAsiaTheme="minorEastAsia" w:hAnsiTheme="minorHAnsi" w:cstheme="minorHAnsi"/>
                <w:sz w:val="22"/>
                <w:szCs w:val="22"/>
              </w:rPr>
              <w:t xml:space="preserve">směrem k decentrální a digitální </w:t>
            </w:r>
            <w:r w:rsidR="00054D9A" w:rsidRPr="00E646BB">
              <w:rPr>
                <w:rStyle w:val="K-TabulkaChar"/>
                <w:rFonts w:asciiTheme="minorHAnsi" w:eastAsiaTheme="minorEastAsia" w:hAnsiTheme="minorHAnsi" w:cstheme="minorHAnsi"/>
                <w:sz w:val="22"/>
                <w:szCs w:val="22"/>
              </w:rPr>
              <w:t>energetice</w:t>
            </w:r>
            <w:r w:rsidR="00632718" w:rsidRPr="00E646BB">
              <w:rPr>
                <w:rStyle w:val="K-TabulkaChar"/>
                <w:rFonts w:asciiTheme="minorHAnsi" w:eastAsiaTheme="minorEastAsia" w:hAnsiTheme="minorHAnsi" w:cstheme="minorHAnsi"/>
                <w:sz w:val="22"/>
                <w:szCs w:val="22"/>
              </w:rPr>
              <w:t xml:space="preserve"> </w:t>
            </w:r>
          </w:p>
          <w:p w14:paraId="0259595E" w14:textId="77777777" w:rsidR="66062307" w:rsidRPr="00E646BB" w:rsidRDefault="66062307" w:rsidP="569F9CD4">
            <w:pPr>
              <w:pStyle w:val="Default"/>
              <w:spacing w:after="120"/>
              <w:jc w:val="both"/>
              <w:rPr>
                <w:rStyle w:val="K-TextChar"/>
                <w:rFonts w:asciiTheme="minorHAnsi" w:eastAsiaTheme="minorEastAsia" w:hAnsiTheme="minorHAnsi" w:cstheme="minorHAnsi"/>
                <w:sz w:val="22"/>
                <w:szCs w:val="22"/>
              </w:rPr>
            </w:pPr>
            <w:r w:rsidRPr="00E646BB">
              <w:rPr>
                <w:rFonts w:asciiTheme="minorHAnsi" w:eastAsiaTheme="minorEastAsia" w:hAnsiTheme="minorHAnsi" w:cstheme="minorHAnsi"/>
                <w:b/>
                <w:bCs/>
                <w:color w:val="000000" w:themeColor="text1"/>
                <w:sz w:val="22"/>
                <w:szCs w:val="22"/>
              </w:rPr>
              <w:t xml:space="preserve">Oblast politiky: </w:t>
            </w:r>
            <w:r w:rsidR="751B02B8" w:rsidRPr="00E646BB">
              <w:rPr>
                <w:rStyle w:val="K-TextChar"/>
                <w:rFonts w:asciiTheme="minorHAnsi" w:eastAsiaTheme="minorEastAsia" w:hAnsiTheme="minorHAnsi" w:cstheme="minorHAnsi"/>
                <w:sz w:val="22"/>
                <w:szCs w:val="22"/>
              </w:rPr>
              <w:t>energetická politika, klimatická politika, podpora obnovitelných zdrojů energie</w:t>
            </w:r>
            <w:r w:rsidR="00644ACC" w:rsidRPr="00E646BB">
              <w:rPr>
                <w:rStyle w:val="K-TextChar"/>
                <w:rFonts w:asciiTheme="minorHAnsi" w:eastAsiaTheme="minorEastAsia" w:hAnsiTheme="minorHAnsi" w:cstheme="minorHAnsi"/>
                <w:sz w:val="22"/>
                <w:szCs w:val="22"/>
              </w:rPr>
              <w:t>, decentraliz</w:t>
            </w:r>
            <w:r w:rsidR="00C53A93" w:rsidRPr="00E646BB">
              <w:rPr>
                <w:rStyle w:val="K-TextChar"/>
                <w:rFonts w:asciiTheme="minorHAnsi" w:eastAsiaTheme="minorEastAsia" w:hAnsiTheme="minorHAnsi" w:cstheme="minorHAnsi"/>
                <w:sz w:val="22"/>
                <w:szCs w:val="22"/>
              </w:rPr>
              <w:t>a</w:t>
            </w:r>
            <w:r w:rsidR="00644ACC" w:rsidRPr="00E646BB">
              <w:rPr>
                <w:rStyle w:val="K-TextChar"/>
                <w:rFonts w:asciiTheme="minorHAnsi" w:eastAsiaTheme="minorEastAsia" w:hAnsiTheme="minorHAnsi" w:cstheme="minorHAnsi"/>
                <w:sz w:val="22"/>
                <w:szCs w:val="22"/>
              </w:rPr>
              <w:t>c</w:t>
            </w:r>
            <w:r w:rsidR="00C53A93" w:rsidRPr="00E646BB">
              <w:rPr>
                <w:rStyle w:val="K-TextChar"/>
                <w:rFonts w:asciiTheme="minorHAnsi" w:eastAsiaTheme="minorEastAsia" w:hAnsiTheme="minorHAnsi" w:cstheme="minorHAnsi"/>
                <w:sz w:val="22"/>
                <w:szCs w:val="22"/>
              </w:rPr>
              <w:t>e</w:t>
            </w:r>
            <w:r w:rsidR="00644ACC" w:rsidRPr="00E646BB">
              <w:rPr>
                <w:rStyle w:val="K-TextChar"/>
                <w:rFonts w:asciiTheme="minorHAnsi" w:eastAsiaTheme="minorEastAsia" w:hAnsiTheme="minorHAnsi" w:cstheme="minorHAnsi"/>
                <w:sz w:val="22"/>
                <w:szCs w:val="22"/>
              </w:rPr>
              <w:t xml:space="preserve"> a </w:t>
            </w:r>
            <w:r w:rsidR="00C53A93" w:rsidRPr="00E646BB">
              <w:rPr>
                <w:rStyle w:val="K-TextChar"/>
                <w:rFonts w:asciiTheme="minorHAnsi" w:eastAsiaTheme="minorEastAsia" w:hAnsiTheme="minorHAnsi" w:cstheme="minorHAnsi"/>
                <w:sz w:val="22"/>
                <w:szCs w:val="22"/>
              </w:rPr>
              <w:t>digitalizace</w:t>
            </w:r>
            <w:r w:rsidR="00644ACC" w:rsidRPr="00E646BB">
              <w:rPr>
                <w:rStyle w:val="K-TextChar"/>
                <w:rFonts w:asciiTheme="minorHAnsi" w:eastAsiaTheme="minorEastAsia" w:hAnsiTheme="minorHAnsi" w:cstheme="minorHAnsi"/>
                <w:sz w:val="22"/>
                <w:szCs w:val="22"/>
              </w:rPr>
              <w:t xml:space="preserve"> energetiky</w:t>
            </w:r>
          </w:p>
          <w:p w14:paraId="38C62572" w14:textId="77777777" w:rsidR="66062307" w:rsidRPr="00E646BB" w:rsidRDefault="66062307" w:rsidP="569F9CD4">
            <w:pPr>
              <w:spacing w:line="240" w:lineRule="auto"/>
              <w:jc w:val="both"/>
              <w:rPr>
                <w:rFonts w:eastAsiaTheme="minorEastAsia" w:cstheme="minorHAnsi"/>
                <w:b/>
                <w:bCs/>
              </w:rPr>
            </w:pPr>
            <w:r w:rsidRPr="00E646BB">
              <w:rPr>
                <w:rFonts w:eastAsiaTheme="minorEastAsia" w:cstheme="minorHAnsi"/>
                <w:b/>
                <w:bCs/>
              </w:rPr>
              <w:t xml:space="preserve">Cíl: </w:t>
            </w:r>
          </w:p>
          <w:p w14:paraId="24974608" w14:textId="63D26B84" w:rsidR="00644ACC" w:rsidRPr="00E646BB" w:rsidRDefault="6F1A9F1C" w:rsidP="569F9CD4">
            <w:pPr>
              <w:pStyle w:val="Default"/>
              <w:spacing w:after="120"/>
              <w:jc w:val="both"/>
              <w:rPr>
                <w:rFonts w:asciiTheme="minorHAnsi" w:eastAsiaTheme="minorEastAsia" w:hAnsiTheme="minorHAnsi" w:cstheme="minorHAnsi"/>
                <w:color w:val="auto"/>
                <w:sz w:val="22"/>
                <w:szCs w:val="22"/>
              </w:rPr>
            </w:pPr>
            <w:r w:rsidRPr="00E646BB">
              <w:rPr>
                <w:rFonts w:asciiTheme="minorHAnsi" w:eastAsiaTheme="minorEastAsia" w:hAnsiTheme="minorHAnsi" w:cstheme="minorHAnsi"/>
                <w:color w:val="auto"/>
                <w:sz w:val="22"/>
                <w:szCs w:val="22"/>
              </w:rPr>
              <w:t xml:space="preserve">Hlavním </w:t>
            </w:r>
            <w:r w:rsidR="00A157C7" w:rsidRPr="00E646BB">
              <w:rPr>
                <w:rFonts w:asciiTheme="minorHAnsi" w:eastAsiaTheme="minorEastAsia" w:hAnsiTheme="minorHAnsi" w:cstheme="minorHAnsi"/>
                <w:color w:val="auto"/>
                <w:sz w:val="22"/>
                <w:szCs w:val="22"/>
              </w:rPr>
              <w:t xml:space="preserve">obecným </w:t>
            </w:r>
            <w:r w:rsidRPr="00E646BB">
              <w:rPr>
                <w:rFonts w:asciiTheme="minorHAnsi" w:eastAsiaTheme="minorEastAsia" w:hAnsiTheme="minorHAnsi" w:cstheme="minorHAnsi"/>
                <w:color w:val="auto"/>
                <w:sz w:val="22"/>
                <w:szCs w:val="22"/>
              </w:rPr>
              <w:t xml:space="preserve">cílem komponenty je </w:t>
            </w:r>
            <w:r w:rsidR="00D37D3C" w:rsidRPr="00E646BB">
              <w:rPr>
                <w:rFonts w:asciiTheme="minorHAnsi" w:eastAsiaTheme="minorEastAsia" w:hAnsiTheme="minorHAnsi" w:cstheme="minorHAnsi"/>
                <w:color w:val="auto"/>
                <w:sz w:val="22"/>
                <w:szCs w:val="22"/>
              </w:rPr>
              <w:t>zabezpečit</w:t>
            </w:r>
            <w:r w:rsidR="00644ACC" w:rsidRPr="00E646BB">
              <w:rPr>
                <w:rFonts w:asciiTheme="minorHAnsi" w:eastAsiaTheme="minorEastAsia" w:hAnsiTheme="minorHAnsi" w:cstheme="minorHAnsi"/>
                <w:color w:val="auto"/>
                <w:sz w:val="22"/>
                <w:szCs w:val="22"/>
              </w:rPr>
              <w:t xml:space="preserve"> </w:t>
            </w:r>
            <w:r w:rsidR="00D37D3C" w:rsidRPr="00E646BB">
              <w:rPr>
                <w:rFonts w:asciiTheme="minorHAnsi" w:eastAsiaTheme="minorEastAsia" w:hAnsiTheme="minorHAnsi" w:cstheme="minorHAnsi"/>
                <w:color w:val="auto"/>
                <w:sz w:val="22"/>
                <w:szCs w:val="22"/>
              </w:rPr>
              <w:t>úspěšnou</w:t>
            </w:r>
            <w:r w:rsidR="00644ACC" w:rsidRPr="00E646BB">
              <w:rPr>
                <w:rFonts w:asciiTheme="minorHAnsi" w:eastAsiaTheme="minorEastAsia" w:hAnsiTheme="minorHAnsi" w:cstheme="minorHAnsi"/>
                <w:color w:val="auto"/>
                <w:sz w:val="22"/>
                <w:szCs w:val="22"/>
              </w:rPr>
              <w:t xml:space="preserve"> </w:t>
            </w:r>
            <w:r w:rsidR="00D37D3C" w:rsidRPr="00E646BB">
              <w:rPr>
                <w:rFonts w:asciiTheme="minorHAnsi" w:eastAsiaTheme="minorEastAsia" w:hAnsiTheme="minorHAnsi" w:cstheme="minorHAnsi"/>
                <w:color w:val="auto"/>
                <w:sz w:val="22"/>
                <w:szCs w:val="22"/>
              </w:rPr>
              <w:t>realizaci</w:t>
            </w:r>
            <w:r w:rsidR="00644ACC" w:rsidRPr="00E646BB">
              <w:rPr>
                <w:rFonts w:asciiTheme="minorHAnsi" w:eastAsiaTheme="minorEastAsia" w:hAnsiTheme="minorHAnsi" w:cstheme="minorHAnsi"/>
                <w:color w:val="auto"/>
                <w:sz w:val="22"/>
                <w:szCs w:val="22"/>
              </w:rPr>
              <w:t xml:space="preserve"> </w:t>
            </w:r>
            <w:r w:rsidR="00D37D3C" w:rsidRPr="00E646BB">
              <w:rPr>
                <w:rFonts w:asciiTheme="minorHAnsi" w:eastAsiaTheme="minorEastAsia" w:hAnsiTheme="minorHAnsi" w:cstheme="minorHAnsi"/>
                <w:color w:val="auto"/>
                <w:sz w:val="22"/>
                <w:szCs w:val="22"/>
              </w:rPr>
              <w:t>transformac</w:t>
            </w:r>
            <w:r w:rsidR="00071449" w:rsidRPr="00E646BB">
              <w:rPr>
                <w:rFonts w:asciiTheme="minorHAnsi" w:eastAsiaTheme="minorEastAsia" w:hAnsiTheme="minorHAnsi" w:cstheme="minorHAnsi"/>
                <w:color w:val="auto"/>
                <w:sz w:val="22"/>
                <w:szCs w:val="22"/>
              </w:rPr>
              <w:t>e</w:t>
            </w:r>
            <w:r w:rsidR="00644ACC" w:rsidRPr="00E646BB">
              <w:rPr>
                <w:rFonts w:asciiTheme="minorHAnsi" w:eastAsiaTheme="minorEastAsia" w:hAnsiTheme="minorHAnsi" w:cstheme="minorHAnsi"/>
                <w:color w:val="auto"/>
                <w:sz w:val="22"/>
                <w:szCs w:val="22"/>
              </w:rPr>
              <w:t xml:space="preserve"> v</w:t>
            </w:r>
            <w:r w:rsidR="00E50620" w:rsidRPr="00E646BB">
              <w:rPr>
                <w:rFonts w:asciiTheme="minorHAnsi" w:eastAsiaTheme="minorEastAsia" w:hAnsiTheme="minorHAnsi" w:cstheme="minorHAnsi"/>
                <w:color w:val="auto"/>
                <w:sz w:val="22"/>
                <w:szCs w:val="22"/>
              </w:rPr>
              <w:t>nitřního</w:t>
            </w:r>
            <w:r w:rsidR="00644ACC" w:rsidRPr="00E646BB">
              <w:rPr>
                <w:rFonts w:asciiTheme="minorHAnsi" w:eastAsiaTheme="minorEastAsia" w:hAnsiTheme="minorHAnsi" w:cstheme="minorHAnsi"/>
                <w:color w:val="auto"/>
                <w:sz w:val="22"/>
                <w:szCs w:val="22"/>
              </w:rPr>
              <w:t xml:space="preserve"> trhu s elektřinou v Česk</w:t>
            </w:r>
            <w:r w:rsidR="00E50620" w:rsidRPr="00E646BB">
              <w:rPr>
                <w:rFonts w:asciiTheme="minorHAnsi" w:eastAsiaTheme="minorEastAsia" w:hAnsiTheme="minorHAnsi" w:cstheme="minorHAnsi"/>
                <w:color w:val="auto"/>
                <w:sz w:val="22"/>
                <w:szCs w:val="22"/>
              </w:rPr>
              <w:t>é</w:t>
            </w:r>
            <w:r w:rsidR="00644ACC" w:rsidRPr="00E646BB">
              <w:rPr>
                <w:rFonts w:asciiTheme="minorHAnsi" w:eastAsiaTheme="minorEastAsia" w:hAnsiTheme="minorHAnsi" w:cstheme="minorHAnsi"/>
                <w:color w:val="auto"/>
                <w:sz w:val="22"/>
                <w:szCs w:val="22"/>
              </w:rPr>
              <w:t xml:space="preserve"> republi</w:t>
            </w:r>
            <w:r w:rsidR="00E50620" w:rsidRPr="00E646BB">
              <w:rPr>
                <w:rFonts w:asciiTheme="minorHAnsi" w:eastAsiaTheme="minorEastAsia" w:hAnsiTheme="minorHAnsi" w:cstheme="minorHAnsi"/>
                <w:color w:val="auto"/>
                <w:sz w:val="22"/>
                <w:szCs w:val="22"/>
              </w:rPr>
              <w:t>c</w:t>
            </w:r>
            <w:r w:rsidR="00644ACC" w:rsidRPr="00E646BB">
              <w:rPr>
                <w:rFonts w:asciiTheme="minorHAnsi" w:eastAsiaTheme="minorEastAsia" w:hAnsiTheme="minorHAnsi" w:cstheme="minorHAnsi"/>
                <w:color w:val="auto"/>
                <w:sz w:val="22"/>
                <w:szCs w:val="22"/>
              </w:rPr>
              <w:t xml:space="preserve">e, </w:t>
            </w:r>
            <w:r w:rsidR="00211ED5" w:rsidRPr="00E646BB">
              <w:rPr>
                <w:rFonts w:asciiTheme="minorHAnsi" w:eastAsiaTheme="minorEastAsia" w:hAnsiTheme="minorHAnsi" w:cstheme="minorHAnsi"/>
                <w:color w:val="auto"/>
                <w:sz w:val="22"/>
                <w:szCs w:val="22"/>
              </w:rPr>
              <w:t xml:space="preserve">v souladu s </w:t>
            </w:r>
            <w:r w:rsidR="00647A5B" w:rsidRPr="00E646BB">
              <w:rPr>
                <w:rFonts w:asciiTheme="minorHAnsi" w:eastAsiaTheme="minorEastAsia" w:hAnsiTheme="minorHAnsi" w:cstheme="minorHAnsi"/>
                <w:color w:val="auto"/>
                <w:sz w:val="22"/>
                <w:szCs w:val="22"/>
              </w:rPr>
              <w:t>balí</w:t>
            </w:r>
            <w:r w:rsidR="00BE4F5A" w:rsidRPr="00E646BB">
              <w:rPr>
                <w:rFonts w:asciiTheme="minorHAnsi" w:eastAsiaTheme="minorEastAsia" w:hAnsiTheme="minorHAnsi" w:cstheme="minorHAnsi"/>
                <w:color w:val="auto"/>
                <w:sz w:val="22"/>
                <w:szCs w:val="22"/>
              </w:rPr>
              <w:t>č</w:t>
            </w:r>
            <w:r w:rsidR="00647A5B" w:rsidRPr="00E646BB">
              <w:rPr>
                <w:rFonts w:asciiTheme="minorHAnsi" w:eastAsiaTheme="minorEastAsia" w:hAnsiTheme="minorHAnsi" w:cstheme="minorHAnsi"/>
                <w:color w:val="auto"/>
                <w:sz w:val="22"/>
                <w:szCs w:val="22"/>
              </w:rPr>
              <w:t>k</w:t>
            </w:r>
            <w:r w:rsidR="00BE4F5A" w:rsidRPr="00E646BB">
              <w:rPr>
                <w:rFonts w:asciiTheme="minorHAnsi" w:eastAsiaTheme="minorEastAsia" w:hAnsiTheme="minorHAnsi" w:cstheme="minorHAnsi"/>
                <w:color w:val="auto"/>
                <w:sz w:val="22"/>
                <w:szCs w:val="22"/>
              </w:rPr>
              <w:t>e</w:t>
            </w:r>
            <w:r w:rsidR="00647A5B" w:rsidRPr="00E646BB">
              <w:rPr>
                <w:rFonts w:asciiTheme="minorHAnsi" w:eastAsiaTheme="minorEastAsia" w:hAnsiTheme="minorHAnsi" w:cstheme="minorHAnsi"/>
                <w:color w:val="auto"/>
                <w:sz w:val="22"/>
                <w:szCs w:val="22"/>
              </w:rPr>
              <w:t>m Čistá energi</w:t>
            </w:r>
            <w:r w:rsidR="00BE4F5A" w:rsidRPr="00E646BB">
              <w:rPr>
                <w:rFonts w:asciiTheme="minorHAnsi" w:eastAsiaTheme="minorEastAsia" w:hAnsiTheme="minorHAnsi" w:cstheme="minorHAnsi"/>
                <w:color w:val="auto"/>
                <w:sz w:val="22"/>
                <w:szCs w:val="22"/>
              </w:rPr>
              <w:t>e</w:t>
            </w:r>
            <w:r w:rsidR="00647A5B" w:rsidRPr="00E646BB">
              <w:rPr>
                <w:rFonts w:asciiTheme="minorHAnsi" w:eastAsiaTheme="minorEastAsia" w:hAnsiTheme="minorHAnsi" w:cstheme="minorHAnsi"/>
                <w:color w:val="auto"/>
                <w:sz w:val="22"/>
                <w:szCs w:val="22"/>
              </w:rPr>
              <w:t xml:space="preserve"> pr</w:t>
            </w:r>
            <w:r w:rsidR="00BE4F5A" w:rsidRPr="00E646BB">
              <w:rPr>
                <w:rFonts w:asciiTheme="minorHAnsi" w:eastAsiaTheme="minorEastAsia" w:hAnsiTheme="minorHAnsi" w:cstheme="minorHAnsi"/>
                <w:color w:val="auto"/>
                <w:sz w:val="22"/>
                <w:szCs w:val="22"/>
              </w:rPr>
              <w:t>o</w:t>
            </w:r>
            <w:r w:rsidR="00647A5B" w:rsidRPr="00E646BB">
              <w:rPr>
                <w:rFonts w:asciiTheme="minorHAnsi" w:eastAsiaTheme="minorEastAsia" w:hAnsiTheme="minorHAnsi" w:cstheme="minorHAnsi"/>
                <w:color w:val="auto"/>
                <w:sz w:val="22"/>
                <w:szCs w:val="22"/>
              </w:rPr>
              <w:t xml:space="preserve"> všech</w:t>
            </w:r>
            <w:r w:rsidR="00BE4F5A" w:rsidRPr="00E646BB">
              <w:rPr>
                <w:rFonts w:asciiTheme="minorHAnsi" w:eastAsiaTheme="minorEastAsia" w:hAnsiTheme="minorHAnsi" w:cstheme="minorHAnsi"/>
                <w:color w:val="auto"/>
                <w:sz w:val="22"/>
                <w:szCs w:val="22"/>
              </w:rPr>
              <w:t>ny</w:t>
            </w:r>
            <w:r w:rsidR="00647A5B" w:rsidRPr="00E646BB">
              <w:rPr>
                <w:rFonts w:asciiTheme="minorHAnsi" w:eastAsiaTheme="minorEastAsia" w:hAnsiTheme="minorHAnsi" w:cstheme="minorHAnsi"/>
                <w:color w:val="auto"/>
                <w:sz w:val="22"/>
                <w:szCs w:val="22"/>
              </w:rPr>
              <w:t xml:space="preserve"> E</w:t>
            </w:r>
            <w:r w:rsidR="00BE4F5A" w:rsidRPr="00E646BB">
              <w:rPr>
                <w:rFonts w:asciiTheme="minorHAnsi" w:eastAsiaTheme="minorEastAsia" w:hAnsiTheme="minorHAnsi" w:cstheme="minorHAnsi"/>
                <w:color w:val="auto"/>
                <w:sz w:val="22"/>
                <w:szCs w:val="22"/>
              </w:rPr>
              <w:t>v</w:t>
            </w:r>
            <w:r w:rsidR="00647A5B" w:rsidRPr="00E646BB">
              <w:rPr>
                <w:rFonts w:asciiTheme="minorHAnsi" w:eastAsiaTheme="minorEastAsia" w:hAnsiTheme="minorHAnsi" w:cstheme="minorHAnsi"/>
                <w:color w:val="auto"/>
                <w:sz w:val="22"/>
                <w:szCs w:val="22"/>
              </w:rPr>
              <w:t>r</w:t>
            </w:r>
            <w:r w:rsidR="00BE4F5A" w:rsidRPr="00E646BB">
              <w:rPr>
                <w:rFonts w:asciiTheme="minorHAnsi" w:eastAsiaTheme="minorEastAsia" w:hAnsiTheme="minorHAnsi" w:cstheme="minorHAnsi"/>
                <w:color w:val="auto"/>
                <w:sz w:val="22"/>
                <w:szCs w:val="22"/>
              </w:rPr>
              <w:t>o</w:t>
            </w:r>
            <w:r w:rsidR="00647A5B" w:rsidRPr="00E646BB">
              <w:rPr>
                <w:rFonts w:asciiTheme="minorHAnsi" w:eastAsiaTheme="minorEastAsia" w:hAnsiTheme="minorHAnsi" w:cstheme="minorHAnsi"/>
                <w:color w:val="auto"/>
                <w:sz w:val="22"/>
                <w:szCs w:val="22"/>
              </w:rPr>
              <w:t>pan</w:t>
            </w:r>
            <w:r w:rsidR="00D51188" w:rsidRPr="00E646BB">
              <w:rPr>
                <w:rFonts w:asciiTheme="minorHAnsi" w:eastAsiaTheme="minorEastAsia" w:hAnsiTheme="minorHAnsi" w:cstheme="minorHAnsi"/>
                <w:color w:val="auto"/>
                <w:sz w:val="22"/>
                <w:szCs w:val="22"/>
              </w:rPr>
              <w:t>y</w:t>
            </w:r>
            <w:r w:rsidR="00647A5B" w:rsidRPr="00E646BB">
              <w:rPr>
                <w:rFonts w:asciiTheme="minorHAnsi" w:eastAsiaTheme="minorEastAsia" w:hAnsiTheme="minorHAnsi" w:cstheme="minorHAnsi"/>
                <w:color w:val="auto"/>
                <w:sz w:val="22"/>
                <w:szCs w:val="22"/>
              </w:rPr>
              <w:t xml:space="preserve"> (Clean Energy Package, </w:t>
            </w:r>
            <w:r w:rsidR="00D51188" w:rsidRPr="00E646BB">
              <w:rPr>
                <w:rFonts w:asciiTheme="minorHAnsi" w:eastAsiaTheme="minorEastAsia" w:hAnsiTheme="minorHAnsi" w:cstheme="minorHAnsi"/>
                <w:color w:val="auto"/>
                <w:sz w:val="22"/>
                <w:szCs w:val="22"/>
              </w:rPr>
              <w:t>dále</w:t>
            </w:r>
            <w:r w:rsidR="00647A5B" w:rsidRPr="00E646BB">
              <w:rPr>
                <w:rFonts w:asciiTheme="minorHAnsi" w:eastAsiaTheme="minorEastAsia" w:hAnsiTheme="minorHAnsi" w:cstheme="minorHAnsi"/>
                <w:color w:val="auto"/>
                <w:sz w:val="22"/>
                <w:szCs w:val="22"/>
              </w:rPr>
              <w:t xml:space="preserve"> </w:t>
            </w:r>
            <w:r w:rsidR="00627305" w:rsidRPr="00E646BB">
              <w:rPr>
                <w:rFonts w:asciiTheme="minorHAnsi" w:eastAsiaTheme="minorEastAsia" w:hAnsiTheme="minorHAnsi" w:cstheme="minorHAnsi"/>
                <w:color w:val="auto"/>
                <w:sz w:val="22"/>
                <w:szCs w:val="22"/>
              </w:rPr>
              <w:t>též</w:t>
            </w:r>
            <w:r w:rsidR="00647A5B" w:rsidRPr="00E646BB">
              <w:rPr>
                <w:rFonts w:asciiTheme="minorHAnsi" w:eastAsiaTheme="minorEastAsia" w:hAnsiTheme="minorHAnsi" w:cstheme="minorHAnsi"/>
                <w:color w:val="auto"/>
                <w:sz w:val="22"/>
                <w:szCs w:val="22"/>
              </w:rPr>
              <w:t xml:space="preserve"> </w:t>
            </w:r>
            <w:r w:rsidR="00D51188" w:rsidRPr="00E646BB">
              <w:rPr>
                <w:rFonts w:asciiTheme="minorHAnsi" w:eastAsiaTheme="minorEastAsia" w:hAnsiTheme="minorHAnsi" w:cstheme="minorHAnsi"/>
                <w:color w:val="auto"/>
                <w:sz w:val="22"/>
                <w:szCs w:val="22"/>
              </w:rPr>
              <w:t>j</w:t>
            </w:r>
            <w:r w:rsidR="00647A5B" w:rsidRPr="00E646BB">
              <w:rPr>
                <w:rFonts w:asciiTheme="minorHAnsi" w:eastAsiaTheme="minorEastAsia" w:hAnsiTheme="minorHAnsi" w:cstheme="minorHAnsi"/>
                <w:color w:val="auto"/>
                <w:sz w:val="22"/>
                <w:szCs w:val="22"/>
              </w:rPr>
              <w:t>ako „CEP“)</w:t>
            </w:r>
            <w:r w:rsidR="00F65FB6" w:rsidRPr="00E646BB">
              <w:rPr>
                <w:rFonts w:asciiTheme="minorHAnsi" w:eastAsiaTheme="minorEastAsia" w:hAnsiTheme="minorHAnsi" w:cstheme="minorHAnsi"/>
                <w:color w:val="auto"/>
                <w:sz w:val="22"/>
                <w:szCs w:val="22"/>
              </w:rPr>
              <w:t xml:space="preserve"> a to zejména zajistit datové výměny až do času blízkého reálnému mezi účastníky trhu vyplývající </w:t>
            </w:r>
            <w:proofErr w:type="gramStart"/>
            <w:r w:rsidR="00F65FB6" w:rsidRPr="00E646BB">
              <w:rPr>
                <w:rFonts w:asciiTheme="minorHAnsi" w:eastAsiaTheme="minorEastAsia" w:hAnsiTheme="minorHAnsi" w:cstheme="minorHAnsi"/>
                <w:color w:val="auto"/>
                <w:sz w:val="22"/>
                <w:szCs w:val="22"/>
              </w:rPr>
              <w:t>z  s</w:t>
            </w:r>
            <w:proofErr w:type="gramEnd"/>
            <w:r w:rsidR="00F65FB6" w:rsidRPr="00E646BB">
              <w:rPr>
                <w:rFonts w:asciiTheme="minorHAnsi" w:eastAsiaTheme="minorEastAsia" w:hAnsiTheme="minorHAnsi" w:cstheme="minorHAnsi"/>
                <w:color w:val="auto"/>
                <w:sz w:val="22"/>
                <w:szCs w:val="22"/>
              </w:rPr>
              <w:t> decentralizace výroby (rozvoj Obnovitelných zdrojů, akumulace  a agregace a řízení flexibility) a rozvoje multilaterálních obchodních vztahů (energetická společenství)</w:t>
            </w:r>
            <w:r w:rsidR="004561DC" w:rsidRPr="00E646BB">
              <w:rPr>
                <w:rFonts w:asciiTheme="minorHAnsi" w:eastAsiaTheme="minorEastAsia" w:hAnsiTheme="minorHAnsi" w:cstheme="minorHAnsi"/>
                <w:color w:val="auto"/>
                <w:sz w:val="22"/>
                <w:szCs w:val="22"/>
              </w:rPr>
              <w:t xml:space="preserve">. </w:t>
            </w:r>
            <w:r w:rsidR="00986080" w:rsidRPr="00E646BB">
              <w:rPr>
                <w:rFonts w:asciiTheme="minorHAnsi" w:eastAsiaTheme="minorEastAsia" w:hAnsiTheme="minorHAnsi" w:cstheme="minorHAnsi"/>
                <w:color w:val="auto"/>
                <w:sz w:val="22"/>
                <w:szCs w:val="22"/>
              </w:rPr>
              <w:t xml:space="preserve">V rámci transpozice evropské legislativy spolu s přechodem na dekarbonizovanou energetiku je nezbytné umožnit nové činnosti na trhu s energiemi, které podpoří přechod na obnovitelné zdroje energií prostřednictvím akumulace elektřiny, využitím flexibility, a to jak na velkoobchodní úrovni, tak i na úrovni aktivních zákazníků. </w:t>
            </w:r>
            <w:r w:rsidR="0084431A" w:rsidRPr="00E646BB">
              <w:rPr>
                <w:rFonts w:asciiTheme="minorHAnsi" w:eastAsiaTheme="minorEastAsia" w:hAnsiTheme="minorHAnsi" w:cstheme="minorHAnsi"/>
                <w:color w:val="auto"/>
                <w:sz w:val="22"/>
                <w:szCs w:val="22"/>
              </w:rPr>
              <w:t xml:space="preserve">Nová legislativa tak umožní </w:t>
            </w:r>
            <w:r w:rsidR="00986080" w:rsidRPr="00E646BB">
              <w:rPr>
                <w:rFonts w:asciiTheme="minorHAnsi" w:eastAsiaTheme="minorEastAsia" w:hAnsiTheme="minorHAnsi" w:cstheme="minorHAnsi"/>
                <w:color w:val="auto"/>
                <w:sz w:val="22"/>
                <w:szCs w:val="22"/>
              </w:rPr>
              <w:t>aktivním zákazníkům</w:t>
            </w:r>
            <w:r w:rsidR="0084431A" w:rsidRPr="00E646BB">
              <w:rPr>
                <w:rFonts w:asciiTheme="minorHAnsi" w:eastAsiaTheme="minorEastAsia" w:hAnsiTheme="minorHAnsi" w:cstheme="minorHAnsi"/>
                <w:color w:val="auto"/>
                <w:sz w:val="22"/>
                <w:szCs w:val="22"/>
              </w:rPr>
              <w:t xml:space="preserve"> poskytovat svou flexibilitu na trhu,</w:t>
            </w:r>
            <w:r w:rsidR="000E6112" w:rsidRPr="00E646BB">
              <w:rPr>
                <w:rFonts w:asciiTheme="minorHAnsi" w:eastAsiaTheme="minorEastAsia" w:hAnsiTheme="minorHAnsi" w:cstheme="minorHAnsi"/>
                <w:color w:val="auto"/>
                <w:sz w:val="22"/>
                <w:szCs w:val="22"/>
              </w:rPr>
              <w:t xml:space="preserve"> vyrábět a sdílet energii,</w:t>
            </w:r>
            <w:r w:rsidR="0084431A" w:rsidRPr="00E646BB">
              <w:rPr>
                <w:rFonts w:asciiTheme="minorHAnsi" w:eastAsiaTheme="minorEastAsia" w:hAnsiTheme="minorHAnsi" w:cstheme="minorHAnsi"/>
                <w:color w:val="auto"/>
                <w:sz w:val="22"/>
                <w:szCs w:val="22"/>
              </w:rPr>
              <w:t xml:space="preserve"> </w:t>
            </w:r>
            <w:r w:rsidR="005E10F0" w:rsidRPr="00E646BB">
              <w:rPr>
                <w:rFonts w:asciiTheme="minorHAnsi" w:eastAsiaTheme="minorEastAsia" w:hAnsiTheme="minorHAnsi" w:cstheme="minorHAnsi"/>
                <w:color w:val="auto"/>
                <w:sz w:val="22"/>
                <w:szCs w:val="22"/>
              </w:rPr>
              <w:t>umožní</w:t>
            </w:r>
            <w:r w:rsidR="0084431A" w:rsidRPr="00E646BB">
              <w:rPr>
                <w:rFonts w:asciiTheme="minorHAnsi" w:eastAsiaTheme="minorEastAsia" w:hAnsiTheme="minorHAnsi" w:cstheme="minorHAnsi"/>
                <w:color w:val="auto"/>
                <w:sz w:val="22"/>
                <w:szCs w:val="22"/>
              </w:rPr>
              <w:t xml:space="preserve"> agregac</w:t>
            </w:r>
            <w:r w:rsidR="005E10F0" w:rsidRPr="00E646BB">
              <w:rPr>
                <w:rFonts w:asciiTheme="minorHAnsi" w:eastAsiaTheme="minorEastAsia" w:hAnsiTheme="minorHAnsi" w:cstheme="minorHAnsi"/>
                <w:color w:val="auto"/>
                <w:sz w:val="22"/>
                <w:szCs w:val="22"/>
              </w:rPr>
              <w:t>i a</w:t>
            </w:r>
            <w:r w:rsidR="0084431A" w:rsidRPr="00E646BB">
              <w:rPr>
                <w:rFonts w:asciiTheme="minorHAnsi" w:eastAsiaTheme="minorEastAsia" w:hAnsiTheme="minorHAnsi" w:cstheme="minorHAnsi"/>
                <w:color w:val="auto"/>
                <w:sz w:val="22"/>
                <w:szCs w:val="22"/>
              </w:rPr>
              <w:t xml:space="preserve"> poskytov</w:t>
            </w:r>
            <w:r w:rsidR="005E10F0" w:rsidRPr="00E646BB">
              <w:rPr>
                <w:rFonts w:asciiTheme="minorHAnsi" w:eastAsiaTheme="minorEastAsia" w:hAnsiTheme="minorHAnsi" w:cstheme="minorHAnsi"/>
                <w:color w:val="auto"/>
                <w:sz w:val="22"/>
                <w:szCs w:val="22"/>
              </w:rPr>
              <w:t>ání</w:t>
            </w:r>
            <w:r w:rsidR="0084431A" w:rsidRPr="00E646BB">
              <w:rPr>
                <w:rFonts w:asciiTheme="minorHAnsi" w:eastAsiaTheme="minorEastAsia" w:hAnsiTheme="minorHAnsi" w:cstheme="minorHAnsi"/>
                <w:color w:val="auto"/>
                <w:sz w:val="22"/>
                <w:szCs w:val="22"/>
              </w:rPr>
              <w:t xml:space="preserve"> flexibility, </w:t>
            </w:r>
            <w:r w:rsidR="000E6112" w:rsidRPr="00E646BB">
              <w:rPr>
                <w:rFonts w:asciiTheme="minorHAnsi" w:eastAsiaTheme="minorEastAsia" w:hAnsiTheme="minorHAnsi" w:cstheme="minorHAnsi"/>
                <w:color w:val="auto"/>
                <w:sz w:val="22"/>
                <w:szCs w:val="22"/>
              </w:rPr>
              <w:t xml:space="preserve">a </w:t>
            </w:r>
            <w:r w:rsidR="003456B8" w:rsidRPr="00E646BB">
              <w:rPr>
                <w:rFonts w:asciiTheme="minorHAnsi" w:eastAsiaTheme="minorEastAsia" w:hAnsiTheme="minorHAnsi" w:cstheme="minorHAnsi"/>
                <w:color w:val="auto"/>
                <w:sz w:val="22"/>
                <w:szCs w:val="22"/>
              </w:rPr>
              <w:t>rovněž umožní</w:t>
            </w:r>
            <w:r w:rsidR="000E6112" w:rsidRPr="00E646BB">
              <w:rPr>
                <w:rFonts w:asciiTheme="minorHAnsi" w:eastAsiaTheme="minorEastAsia" w:hAnsiTheme="minorHAnsi" w:cstheme="minorHAnsi"/>
                <w:color w:val="auto"/>
                <w:sz w:val="22"/>
                <w:szCs w:val="22"/>
              </w:rPr>
              <w:t xml:space="preserve"> vznik</w:t>
            </w:r>
            <w:r w:rsidR="0084431A" w:rsidRPr="00E646BB">
              <w:rPr>
                <w:rFonts w:asciiTheme="minorHAnsi" w:eastAsiaTheme="minorEastAsia" w:hAnsiTheme="minorHAnsi" w:cstheme="minorHAnsi"/>
                <w:color w:val="auto"/>
                <w:sz w:val="22"/>
                <w:szCs w:val="22"/>
              </w:rPr>
              <w:t xml:space="preserve"> energetick</w:t>
            </w:r>
            <w:r w:rsidR="000E6112" w:rsidRPr="00E646BB">
              <w:rPr>
                <w:rFonts w:asciiTheme="minorHAnsi" w:eastAsiaTheme="minorEastAsia" w:hAnsiTheme="minorHAnsi" w:cstheme="minorHAnsi"/>
                <w:color w:val="auto"/>
                <w:sz w:val="22"/>
                <w:szCs w:val="22"/>
              </w:rPr>
              <w:t>ých</w:t>
            </w:r>
            <w:r w:rsidR="0084431A" w:rsidRPr="00E646BB">
              <w:rPr>
                <w:rFonts w:asciiTheme="minorHAnsi" w:eastAsiaTheme="minorEastAsia" w:hAnsiTheme="minorHAnsi" w:cstheme="minorHAnsi"/>
                <w:color w:val="auto"/>
                <w:sz w:val="22"/>
                <w:szCs w:val="22"/>
              </w:rPr>
              <w:t xml:space="preserve"> společenství. Aby bylo možné tyto činnosti na elektroener</w:t>
            </w:r>
            <w:r w:rsidR="0002226F" w:rsidRPr="00E646BB">
              <w:rPr>
                <w:rFonts w:asciiTheme="minorHAnsi" w:eastAsiaTheme="minorEastAsia" w:hAnsiTheme="minorHAnsi" w:cstheme="minorHAnsi"/>
                <w:color w:val="auto"/>
                <w:sz w:val="22"/>
                <w:szCs w:val="22"/>
              </w:rPr>
              <w:t>g</w:t>
            </w:r>
            <w:r w:rsidR="0084431A" w:rsidRPr="00E646BB">
              <w:rPr>
                <w:rFonts w:asciiTheme="minorHAnsi" w:eastAsiaTheme="minorEastAsia" w:hAnsiTheme="minorHAnsi" w:cstheme="minorHAnsi"/>
                <w:color w:val="auto"/>
                <w:sz w:val="22"/>
                <w:szCs w:val="22"/>
              </w:rPr>
              <w:t xml:space="preserve">etickém trhu realizovat a rozvíjet bez souběžného ohrožení bezpečnosti a spolehlivosti soustavy, je třeba zpracovávat v téměř reálném čase velké objemy dat. Pro tyto účely je třeba vytvořit </w:t>
            </w:r>
            <w:r w:rsidR="00A157C7" w:rsidRPr="00E646BB">
              <w:rPr>
                <w:rFonts w:asciiTheme="minorHAnsi" w:eastAsiaTheme="minorEastAsia" w:hAnsiTheme="minorHAnsi" w:cstheme="minorHAnsi"/>
                <w:color w:val="auto"/>
                <w:sz w:val="22"/>
                <w:szCs w:val="22"/>
              </w:rPr>
              <w:t>E</w:t>
            </w:r>
            <w:r w:rsidR="0084431A" w:rsidRPr="00E646BB">
              <w:rPr>
                <w:rFonts w:asciiTheme="minorHAnsi" w:eastAsiaTheme="minorEastAsia" w:hAnsiTheme="minorHAnsi" w:cstheme="minorHAnsi"/>
                <w:color w:val="auto"/>
                <w:sz w:val="22"/>
                <w:szCs w:val="22"/>
              </w:rPr>
              <w:t>lektroenergetické datové centrum</w:t>
            </w:r>
            <w:r w:rsidR="00A157C7" w:rsidRPr="00E646BB">
              <w:rPr>
                <w:rFonts w:asciiTheme="minorHAnsi" w:eastAsiaTheme="minorEastAsia" w:hAnsiTheme="minorHAnsi" w:cstheme="minorHAnsi"/>
                <w:color w:val="auto"/>
                <w:sz w:val="22"/>
                <w:szCs w:val="22"/>
              </w:rPr>
              <w:t xml:space="preserve"> (EDC)</w:t>
            </w:r>
            <w:r w:rsidR="0084431A" w:rsidRPr="00E646BB">
              <w:rPr>
                <w:rFonts w:asciiTheme="minorHAnsi" w:eastAsiaTheme="minorEastAsia" w:hAnsiTheme="minorHAnsi" w:cstheme="minorHAnsi"/>
                <w:color w:val="auto"/>
                <w:sz w:val="22"/>
                <w:szCs w:val="22"/>
              </w:rPr>
              <w:t xml:space="preserve">, které zajistí přenos dat mezi jednotlivými aktéry trhu a umožní rozvoj nových činností v energetice, které mohou významně přispět </w:t>
            </w:r>
            <w:r w:rsidR="00F86D4B" w:rsidRPr="00E646BB">
              <w:rPr>
                <w:rFonts w:asciiTheme="minorHAnsi" w:eastAsiaTheme="minorEastAsia" w:hAnsiTheme="minorHAnsi" w:cstheme="minorHAnsi"/>
                <w:color w:val="auto"/>
                <w:sz w:val="22"/>
                <w:szCs w:val="22"/>
              </w:rPr>
              <w:t>jak energetické bezpečnosti a transformaci ČR, tak snížení nákladů na energie pro odběratele</w:t>
            </w:r>
            <w:r w:rsidR="0084431A" w:rsidRPr="00E646BB">
              <w:rPr>
                <w:rFonts w:asciiTheme="minorHAnsi" w:eastAsiaTheme="minorEastAsia" w:hAnsiTheme="minorHAnsi" w:cstheme="minorHAnsi"/>
                <w:color w:val="auto"/>
                <w:sz w:val="22"/>
                <w:szCs w:val="22"/>
              </w:rPr>
              <w:t>.</w:t>
            </w:r>
          </w:p>
          <w:p w14:paraId="5A66738D" w14:textId="77A99911" w:rsidR="00A157C7" w:rsidRPr="00E646BB" w:rsidRDefault="00A157C7" w:rsidP="1EDC8A2A">
            <w:pPr>
              <w:pStyle w:val="Default"/>
              <w:spacing w:after="120"/>
              <w:jc w:val="both"/>
              <w:rPr>
                <w:rFonts w:asciiTheme="minorHAnsi" w:eastAsiaTheme="minorEastAsia" w:hAnsiTheme="minorHAnsi" w:cstheme="minorBidi"/>
                <w:color w:val="auto"/>
                <w:sz w:val="22"/>
                <w:szCs w:val="22"/>
              </w:rPr>
            </w:pPr>
            <w:r w:rsidRPr="1EDC8A2A">
              <w:rPr>
                <w:rFonts w:asciiTheme="minorHAnsi" w:eastAsiaTheme="minorEastAsia" w:hAnsiTheme="minorHAnsi" w:cstheme="minorBidi"/>
                <w:color w:val="auto"/>
                <w:sz w:val="22"/>
                <w:szCs w:val="22"/>
              </w:rPr>
              <w:t>Hlavním specifickým cílem komponenty je úplná funkčnost Elektroenergetického datového centra</w:t>
            </w:r>
            <w:r w:rsidR="33E0D33A" w:rsidRPr="1EDC8A2A">
              <w:rPr>
                <w:rFonts w:asciiTheme="minorHAnsi" w:eastAsiaTheme="minorEastAsia" w:hAnsiTheme="minorHAnsi" w:cstheme="minorBidi"/>
                <w:color w:val="auto"/>
                <w:sz w:val="22"/>
                <w:szCs w:val="22"/>
              </w:rPr>
              <w:t>.</w:t>
            </w:r>
          </w:p>
          <w:p w14:paraId="712D01CF" w14:textId="7D437B8C" w:rsidR="33E0D33A" w:rsidRDefault="33E0D33A" w:rsidP="1EDC8A2A">
            <w:pPr>
              <w:pStyle w:val="Default"/>
              <w:spacing w:after="120"/>
              <w:jc w:val="both"/>
              <w:rPr>
                <w:rFonts w:asciiTheme="minorHAnsi" w:eastAsiaTheme="minorEastAsia" w:hAnsiTheme="minorHAnsi" w:cstheme="minorBidi"/>
                <w:color w:val="auto"/>
                <w:sz w:val="22"/>
                <w:szCs w:val="22"/>
              </w:rPr>
            </w:pPr>
            <w:r w:rsidRPr="1EDC8A2A">
              <w:rPr>
                <w:rFonts w:asciiTheme="minorHAnsi" w:eastAsiaTheme="minorEastAsia" w:hAnsiTheme="minorHAnsi" w:cstheme="minorBidi"/>
                <w:color w:val="auto"/>
                <w:sz w:val="22"/>
                <w:szCs w:val="22"/>
              </w:rPr>
              <w:t xml:space="preserve">Podle návrhu novely energetického zákona LEX OZE II bude EDC akciovou společností založenou provozovatelem přenosové soustavy (ČEPS, a.s.) a třemi provozovateli regionální distribuční soustavy (ČEZ Distribuce, a.s., PREdistribuce, a.s. a </w:t>
            </w:r>
            <w:proofErr w:type="gramStart"/>
            <w:r w:rsidRPr="1EDC8A2A">
              <w:rPr>
                <w:rFonts w:asciiTheme="minorHAnsi" w:eastAsiaTheme="minorEastAsia" w:hAnsiTheme="minorHAnsi" w:cstheme="minorBidi"/>
                <w:color w:val="auto"/>
                <w:sz w:val="22"/>
                <w:szCs w:val="22"/>
              </w:rPr>
              <w:t>EG.D</w:t>
            </w:r>
            <w:proofErr w:type="gramEnd"/>
            <w:r w:rsidRPr="1EDC8A2A">
              <w:rPr>
                <w:rFonts w:asciiTheme="minorHAnsi" w:eastAsiaTheme="minorEastAsia" w:hAnsiTheme="minorHAnsi" w:cstheme="minorBidi"/>
                <w:color w:val="auto"/>
                <w:sz w:val="22"/>
                <w:szCs w:val="22"/>
              </w:rPr>
              <w:t>, a.s.). Datové centrum bude regulovaným účastníkem trhu a jeho cenovou regulaci bude provádět Energetický regulační úřad. Česká republika bude zastoupena v dozorčí radě EDC.  V první fázi (po nabytí účinnosti LEX OZE II) bude EDC zajišťovat datové výměny v oblasti sdílení elektřiny. Plně funkční EDC (QI/2026) bude zajišťovat datové výměny také v oblasti ukládání elektřiny, agregace, flexibility a datové výměny pro řízení elektrizační soustavy.</w:t>
            </w:r>
          </w:p>
          <w:p w14:paraId="6AB108E0" w14:textId="6073F789" w:rsidR="1EDC8A2A" w:rsidRDefault="1EDC8A2A" w:rsidP="1EDC8A2A">
            <w:pPr>
              <w:pStyle w:val="Default"/>
              <w:spacing w:after="120"/>
              <w:jc w:val="both"/>
              <w:rPr>
                <w:rFonts w:asciiTheme="minorHAnsi" w:eastAsiaTheme="minorEastAsia" w:hAnsiTheme="minorHAnsi" w:cstheme="minorBidi"/>
                <w:color w:val="auto"/>
                <w:sz w:val="22"/>
                <w:szCs w:val="22"/>
              </w:rPr>
            </w:pPr>
          </w:p>
          <w:p w14:paraId="276BCF7A" w14:textId="77777777" w:rsidR="66062307" w:rsidRPr="00E646BB" w:rsidRDefault="66062307" w:rsidP="569F9CD4">
            <w:pPr>
              <w:spacing w:line="240" w:lineRule="auto"/>
              <w:jc w:val="both"/>
              <w:rPr>
                <w:rFonts w:eastAsiaTheme="minorEastAsia" w:cstheme="minorHAnsi"/>
                <w:b/>
                <w:bCs/>
              </w:rPr>
            </w:pPr>
            <w:r w:rsidRPr="00E646BB">
              <w:rPr>
                <w:rFonts w:eastAsiaTheme="minorEastAsia" w:cstheme="minorHAnsi"/>
                <w:b/>
                <w:bCs/>
              </w:rPr>
              <w:t xml:space="preserve">Reformy a investice: </w:t>
            </w:r>
          </w:p>
          <w:p w14:paraId="6E033A55" w14:textId="6108E4E7" w:rsidR="0AD192B0" w:rsidRPr="00E646BB" w:rsidRDefault="0AD192B0" w:rsidP="00954882">
            <w:pPr>
              <w:pStyle w:val="Default"/>
              <w:spacing w:after="120"/>
              <w:jc w:val="both"/>
              <w:rPr>
                <w:rStyle w:val="K-TextChar"/>
                <w:rFonts w:asciiTheme="minorHAnsi" w:eastAsiaTheme="minorEastAsia" w:hAnsiTheme="minorHAnsi" w:cstheme="minorHAnsi"/>
                <w:bCs/>
                <w:sz w:val="22"/>
                <w:szCs w:val="22"/>
              </w:rPr>
            </w:pPr>
            <w:r w:rsidRPr="00E646BB">
              <w:rPr>
                <w:rStyle w:val="K-TextChar"/>
                <w:rFonts w:asciiTheme="minorHAnsi" w:eastAsiaTheme="minorEastAsia" w:hAnsiTheme="minorHAnsi" w:cstheme="minorHAnsi"/>
                <w:sz w:val="22"/>
                <w:szCs w:val="22"/>
              </w:rPr>
              <w:t xml:space="preserve">Komponenta </w:t>
            </w:r>
            <w:r w:rsidR="00EA307F" w:rsidRPr="00E646BB">
              <w:rPr>
                <w:rStyle w:val="K-TextChar"/>
                <w:rFonts w:asciiTheme="minorHAnsi" w:eastAsiaTheme="minorEastAsia" w:hAnsiTheme="minorHAnsi" w:cstheme="minorHAnsi"/>
                <w:sz w:val="22"/>
                <w:szCs w:val="22"/>
              </w:rPr>
              <w:t>zahrnuje</w:t>
            </w:r>
            <w:r w:rsidRPr="00E646BB">
              <w:rPr>
                <w:rStyle w:val="K-TextChar"/>
                <w:rFonts w:asciiTheme="minorHAnsi" w:eastAsiaTheme="minorEastAsia" w:hAnsiTheme="minorHAnsi" w:cstheme="minorHAnsi"/>
                <w:sz w:val="22"/>
                <w:szCs w:val="22"/>
              </w:rPr>
              <w:t xml:space="preserve"> </w:t>
            </w:r>
            <w:r w:rsidR="00A157C7" w:rsidRPr="00E646BB">
              <w:rPr>
                <w:rStyle w:val="K-TextChar"/>
                <w:rFonts w:asciiTheme="minorHAnsi" w:eastAsiaTheme="minorEastAsia" w:hAnsiTheme="minorHAnsi" w:cstheme="minorHAnsi"/>
                <w:sz w:val="22"/>
                <w:szCs w:val="22"/>
              </w:rPr>
              <w:t>zřízení E</w:t>
            </w:r>
            <w:r w:rsidR="00885213" w:rsidRPr="00E646BB">
              <w:rPr>
                <w:rStyle w:val="K-TextChar"/>
                <w:rFonts w:asciiTheme="minorHAnsi" w:eastAsiaTheme="minorEastAsia" w:hAnsiTheme="minorHAnsi" w:cstheme="minorHAnsi"/>
                <w:sz w:val="22"/>
                <w:szCs w:val="22"/>
              </w:rPr>
              <w:t>lektroenergetického datového centra</w:t>
            </w:r>
            <w:r w:rsidR="00A157C7" w:rsidRPr="00E646BB">
              <w:rPr>
                <w:rStyle w:val="K-TextChar"/>
                <w:rFonts w:asciiTheme="minorHAnsi" w:eastAsiaTheme="minorEastAsia" w:hAnsiTheme="minorHAnsi" w:cstheme="minorHAnsi"/>
                <w:sz w:val="22"/>
                <w:szCs w:val="22"/>
              </w:rPr>
              <w:t>.</w:t>
            </w:r>
            <w:r w:rsidRPr="00E646BB">
              <w:rPr>
                <w:rStyle w:val="K-TextChar"/>
                <w:rFonts w:asciiTheme="minorHAnsi" w:eastAsiaTheme="minorEastAsia" w:hAnsiTheme="minorHAnsi" w:cstheme="minorHAnsi"/>
                <w:sz w:val="22"/>
                <w:szCs w:val="22"/>
              </w:rPr>
              <w:t xml:space="preserve"> </w:t>
            </w:r>
          </w:p>
          <w:p w14:paraId="0CE1C5DE" w14:textId="77777777" w:rsidR="66062307" w:rsidRPr="00E646BB" w:rsidRDefault="66062307" w:rsidP="569F9CD4">
            <w:pPr>
              <w:spacing w:after="0" w:line="240" w:lineRule="auto"/>
              <w:jc w:val="both"/>
              <w:rPr>
                <w:rFonts w:eastAsiaTheme="minorEastAsia" w:cstheme="minorHAnsi"/>
                <w:b/>
                <w:bCs/>
              </w:rPr>
            </w:pPr>
            <w:r w:rsidRPr="00E646BB">
              <w:rPr>
                <w:rFonts w:eastAsiaTheme="minorEastAsia" w:cstheme="minorHAnsi"/>
                <w:b/>
                <w:bCs/>
              </w:rPr>
              <w:t xml:space="preserve">Odhadované náklady: </w:t>
            </w:r>
          </w:p>
          <w:p w14:paraId="4C709A35" w14:textId="77777777" w:rsidR="37865E57" w:rsidRPr="00E646BB" w:rsidRDefault="00F65FB6" w:rsidP="569F9CD4">
            <w:pPr>
              <w:pStyle w:val="Default"/>
              <w:spacing w:after="120"/>
              <w:jc w:val="both"/>
              <w:rPr>
                <w:rStyle w:val="K-TextChar"/>
                <w:rFonts w:asciiTheme="minorHAnsi" w:eastAsiaTheme="minorEastAsia" w:hAnsiTheme="minorHAnsi" w:cstheme="minorHAnsi"/>
                <w:sz w:val="22"/>
                <w:szCs w:val="22"/>
              </w:rPr>
            </w:pPr>
            <w:r w:rsidRPr="00E646BB">
              <w:rPr>
                <w:rStyle w:val="K-TextChar"/>
                <w:rFonts w:asciiTheme="minorHAnsi" w:eastAsiaTheme="minorEastAsia" w:hAnsiTheme="minorHAnsi" w:cstheme="minorHAnsi"/>
                <w:sz w:val="22"/>
                <w:szCs w:val="22"/>
              </w:rPr>
              <w:t>1</w:t>
            </w:r>
            <w:r w:rsidR="37865E57" w:rsidRPr="00E646BB">
              <w:rPr>
                <w:rStyle w:val="K-TextChar"/>
                <w:rFonts w:asciiTheme="minorHAnsi" w:eastAsiaTheme="minorEastAsia" w:hAnsiTheme="minorHAnsi" w:cstheme="minorHAnsi"/>
                <w:sz w:val="22"/>
                <w:szCs w:val="22"/>
              </w:rPr>
              <w:t xml:space="preserve"> mld. Kč</w:t>
            </w:r>
          </w:p>
        </w:tc>
      </w:tr>
    </w:tbl>
    <w:p w14:paraId="15032613" w14:textId="77777777" w:rsidR="66062307" w:rsidRPr="00E646BB" w:rsidRDefault="66062307" w:rsidP="569F9CD4">
      <w:pPr>
        <w:spacing w:line="240" w:lineRule="auto"/>
        <w:rPr>
          <w:rFonts w:eastAsiaTheme="minorEastAsia" w:cstheme="minorHAnsi"/>
        </w:rPr>
      </w:pPr>
    </w:p>
    <w:p w14:paraId="34D85775" w14:textId="77777777" w:rsidR="0015052B" w:rsidRPr="00E646BB" w:rsidRDefault="4D7B98E9" w:rsidP="569F9CD4">
      <w:pPr>
        <w:pStyle w:val="K-Nadpis3"/>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Detail</w:t>
      </w:r>
      <w:r w:rsidR="4B9AE8CC" w:rsidRPr="00E646BB">
        <w:rPr>
          <w:rFonts w:asciiTheme="minorHAnsi" w:eastAsiaTheme="minorEastAsia" w:hAnsiTheme="minorHAnsi" w:cstheme="minorHAnsi"/>
          <w:sz w:val="22"/>
          <w:szCs w:val="22"/>
        </w:rPr>
        <w:t xml:space="preserve"> komponenty</w:t>
      </w:r>
    </w:p>
    <w:p w14:paraId="6A9FF1F4" w14:textId="77777777" w:rsidR="005F1D63" w:rsidRPr="00E646BB" w:rsidRDefault="4B9AE8CC" w:rsidP="569F9CD4">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Komponenta bude naplněna realizací investičníh</w:t>
      </w:r>
      <w:r w:rsidR="007A6E43" w:rsidRPr="00E646BB">
        <w:rPr>
          <w:rFonts w:asciiTheme="minorHAnsi" w:eastAsiaTheme="minorEastAsia" w:hAnsiTheme="minorHAnsi" w:cstheme="minorHAnsi"/>
          <w:sz w:val="22"/>
          <w:szCs w:val="22"/>
        </w:rPr>
        <w:t>o</w:t>
      </w:r>
      <w:r w:rsidRPr="00E646BB">
        <w:rPr>
          <w:rFonts w:asciiTheme="minorHAnsi" w:eastAsiaTheme="minorEastAsia" w:hAnsiTheme="minorHAnsi" w:cstheme="minorHAnsi"/>
          <w:sz w:val="22"/>
          <w:szCs w:val="22"/>
        </w:rPr>
        <w:t xml:space="preserve"> projekt</w:t>
      </w:r>
      <w:r w:rsidR="007A6E43" w:rsidRPr="00E646BB">
        <w:rPr>
          <w:rFonts w:asciiTheme="minorHAnsi" w:eastAsiaTheme="minorEastAsia" w:hAnsiTheme="minorHAnsi" w:cstheme="minorHAnsi"/>
          <w:sz w:val="22"/>
          <w:szCs w:val="22"/>
        </w:rPr>
        <w:t xml:space="preserve">u </w:t>
      </w:r>
      <w:r w:rsidR="007A6E43" w:rsidRPr="00E646BB">
        <w:rPr>
          <w:rStyle w:val="K-TextChar"/>
          <w:rFonts w:asciiTheme="minorHAnsi" w:eastAsiaTheme="minorEastAsia" w:hAnsiTheme="minorHAnsi" w:cstheme="minorHAnsi"/>
          <w:sz w:val="22"/>
          <w:szCs w:val="22"/>
        </w:rPr>
        <w:t xml:space="preserve">tvorby, realizace a implementace </w:t>
      </w:r>
      <w:r w:rsidR="00B779F9" w:rsidRPr="00E646BB">
        <w:rPr>
          <w:rStyle w:val="K-TextChar"/>
          <w:rFonts w:asciiTheme="minorHAnsi" w:eastAsiaTheme="minorEastAsia" w:hAnsiTheme="minorHAnsi" w:cstheme="minorHAnsi"/>
          <w:sz w:val="22"/>
          <w:szCs w:val="22"/>
        </w:rPr>
        <w:t>E</w:t>
      </w:r>
      <w:r w:rsidR="007A6E43" w:rsidRPr="00E646BB">
        <w:rPr>
          <w:rStyle w:val="K-TextChar"/>
          <w:rFonts w:asciiTheme="minorHAnsi" w:eastAsiaTheme="minorEastAsia" w:hAnsiTheme="minorHAnsi" w:cstheme="minorHAnsi"/>
          <w:sz w:val="22"/>
          <w:szCs w:val="22"/>
        </w:rPr>
        <w:t>lektroenergetického datového centra</w:t>
      </w:r>
      <w:r w:rsidRPr="00E646BB">
        <w:rPr>
          <w:rFonts w:asciiTheme="minorHAnsi" w:eastAsiaTheme="minorEastAsia" w:hAnsiTheme="minorHAnsi" w:cstheme="minorHAnsi"/>
          <w:sz w:val="22"/>
          <w:szCs w:val="22"/>
        </w:rPr>
        <w:t xml:space="preserve">. </w:t>
      </w:r>
      <w:r w:rsidR="3CB7D30D" w:rsidRPr="00E646BB">
        <w:rPr>
          <w:rFonts w:asciiTheme="minorHAnsi" w:eastAsiaTheme="minorEastAsia" w:hAnsiTheme="minorHAnsi" w:cstheme="minorHAnsi"/>
          <w:sz w:val="22"/>
          <w:szCs w:val="22"/>
        </w:rPr>
        <w:t xml:space="preserve">Hlavním cílem komponenty </w:t>
      </w:r>
      <w:r w:rsidR="00BF0F25" w:rsidRPr="00E646BB">
        <w:rPr>
          <w:rFonts w:asciiTheme="minorHAnsi" w:eastAsiaTheme="minorEastAsia" w:hAnsiTheme="minorHAnsi" w:cstheme="minorHAnsi"/>
          <w:sz w:val="22"/>
          <w:szCs w:val="22"/>
        </w:rPr>
        <w:t xml:space="preserve">je </w:t>
      </w:r>
      <w:r w:rsidR="005165BA" w:rsidRPr="00E646BB">
        <w:rPr>
          <w:rFonts w:asciiTheme="minorHAnsi" w:eastAsiaTheme="minorEastAsia" w:hAnsiTheme="minorHAnsi" w:cstheme="minorHAnsi"/>
          <w:sz w:val="22"/>
          <w:szCs w:val="22"/>
        </w:rPr>
        <w:t>umožnit úspěšnou a efektivní transformaci trhu s energiemi v České republice</w:t>
      </w:r>
      <w:r w:rsidR="00F65FB6" w:rsidRPr="00E646BB">
        <w:rPr>
          <w:rFonts w:asciiTheme="minorHAnsi" w:eastAsiaTheme="minorEastAsia" w:hAnsiTheme="minorHAnsi" w:cstheme="minorHAnsi"/>
          <w:sz w:val="22"/>
          <w:szCs w:val="22"/>
        </w:rPr>
        <w:t xml:space="preserve"> a zajistit datové výměny mezi provozovateli sítí a významnými účastníky trhu s cílem podpořit rozvoj agregace flexibility a energetických společenství a současně zajistit prostředí pro bezpečný a spolehlivý provoz energetické soustavy a spolupráci mezi provozovateli sítí (přenosové a distribučních)</w:t>
      </w:r>
      <w:r w:rsidR="005165BA" w:rsidRPr="00E646BB">
        <w:rPr>
          <w:rFonts w:asciiTheme="minorHAnsi" w:eastAsiaTheme="minorEastAsia" w:hAnsiTheme="minorHAnsi" w:cstheme="minorHAnsi"/>
          <w:sz w:val="22"/>
          <w:szCs w:val="22"/>
        </w:rPr>
        <w:t xml:space="preserve">. Budoucí podoba českého energetického trhu je </w:t>
      </w:r>
      <w:r w:rsidR="009F194E" w:rsidRPr="00E646BB">
        <w:rPr>
          <w:rFonts w:asciiTheme="minorHAnsi" w:eastAsiaTheme="minorEastAsia" w:hAnsiTheme="minorHAnsi" w:cstheme="minorHAnsi"/>
          <w:sz w:val="22"/>
          <w:szCs w:val="22"/>
        </w:rPr>
        <w:t>determinována</w:t>
      </w:r>
      <w:r w:rsidR="005165BA" w:rsidRPr="00E646BB">
        <w:rPr>
          <w:rFonts w:asciiTheme="minorHAnsi" w:eastAsiaTheme="minorEastAsia" w:hAnsiTheme="minorHAnsi" w:cstheme="minorHAnsi"/>
          <w:sz w:val="22"/>
          <w:szCs w:val="22"/>
        </w:rPr>
        <w:t xml:space="preserve"> změnami </w:t>
      </w:r>
      <w:r w:rsidR="005165BA" w:rsidRPr="00E646BB">
        <w:rPr>
          <w:rFonts w:asciiTheme="minorHAnsi" w:eastAsiaTheme="minorEastAsia" w:hAnsiTheme="minorHAnsi" w:cstheme="minorHAnsi"/>
          <w:sz w:val="22"/>
          <w:szCs w:val="22"/>
        </w:rPr>
        <w:lastRenderedPageBreak/>
        <w:t xml:space="preserve">energetického mixu, který reflektuje intenzivní dekarbonizační snahy a cíle </w:t>
      </w:r>
      <w:r w:rsidR="00023BA8" w:rsidRPr="00E646BB">
        <w:rPr>
          <w:rFonts w:asciiTheme="minorHAnsi" w:eastAsiaTheme="minorEastAsia" w:hAnsiTheme="minorHAnsi" w:cstheme="minorHAnsi"/>
          <w:sz w:val="22"/>
          <w:szCs w:val="22"/>
        </w:rPr>
        <w:t xml:space="preserve">v oblasti obnovitelných zdrojů </w:t>
      </w:r>
      <w:r w:rsidR="005165BA" w:rsidRPr="00E646BB">
        <w:rPr>
          <w:rFonts w:asciiTheme="minorHAnsi" w:eastAsiaTheme="minorEastAsia" w:hAnsiTheme="minorHAnsi" w:cstheme="minorHAnsi"/>
          <w:sz w:val="22"/>
          <w:szCs w:val="22"/>
        </w:rPr>
        <w:t xml:space="preserve">na evropské úrovni. </w:t>
      </w:r>
    </w:p>
    <w:p w14:paraId="1511FE4D" w14:textId="77777777" w:rsidR="008F5987" w:rsidRPr="00E646BB" w:rsidRDefault="000C1774" w:rsidP="3C4AC61A">
      <w:pPr>
        <w:pStyle w:val="K-Text"/>
        <w:spacing w:line="240" w:lineRule="auto"/>
        <w:rPr>
          <w:rFonts w:asciiTheme="minorHAnsi" w:eastAsiaTheme="minorEastAsia" w:hAnsiTheme="minorHAnsi" w:cstheme="minorBidi"/>
          <w:sz w:val="22"/>
          <w:szCs w:val="22"/>
        </w:rPr>
      </w:pPr>
      <w:r w:rsidRPr="3C4AC61A">
        <w:rPr>
          <w:rFonts w:asciiTheme="minorHAnsi" w:eastAsiaTheme="minorEastAsia" w:hAnsiTheme="minorHAnsi" w:cstheme="minorBidi"/>
          <w:sz w:val="22"/>
          <w:szCs w:val="22"/>
        </w:rPr>
        <w:t xml:space="preserve">Současné geopolitické dění ve východní Evropě má za následek urychlení snah o snížení závislosti na dodávkách fosilních energetických surovin, potřebných nejen pro výrobu elektřiny, z politicky nestabilních a nedemokratických států. </w:t>
      </w:r>
      <w:r w:rsidR="002109F0" w:rsidRPr="3C4AC61A">
        <w:rPr>
          <w:rFonts w:asciiTheme="minorHAnsi" w:eastAsiaTheme="minorEastAsia" w:hAnsiTheme="minorHAnsi" w:cstheme="minorBidi"/>
          <w:sz w:val="22"/>
          <w:szCs w:val="22"/>
        </w:rPr>
        <w:t>E</w:t>
      </w:r>
      <w:r w:rsidR="005165BA" w:rsidRPr="3C4AC61A">
        <w:rPr>
          <w:rFonts w:asciiTheme="minorHAnsi" w:eastAsiaTheme="minorEastAsia" w:hAnsiTheme="minorHAnsi" w:cstheme="minorBidi"/>
          <w:sz w:val="22"/>
          <w:szCs w:val="22"/>
        </w:rPr>
        <w:t xml:space="preserve">vropská legislativa i nové návrhy jejích úprav stále více směřují jednotlivé země EU </w:t>
      </w:r>
      <w:r w:rsidR="00E67030" w:rsidRPr="3C4AC61A">
        <w:rPr>
          <w:rFonts w:asciiTheme="minorHAnsi" w:eastAsiaTheme="minorEastAsia" w:hAnsiTheme="minorHAnsi" w:cstheme="minorBidi"/>
          <w:sz w:val="22"/>
          <w:szCs w:val="22"/>
        </w:rPr>
        <w:t xml:space="preserve">k dekarbonizaci </w:t>
      </w:r>
      <w:r w:rsidR="00401E9D" w:rsidRPr="3C4AC61A">
        <w:rPr>
          <w:rFonts w:asciiTheme="minorHAnsi" w:eastAsiaTheme="minorEastAsia" w:hAnsiTheme="minorHAnsi" w:cstheme="minorBidi"/>
          <w:sz w:val="22"/>
          <w:szCs w:val="22"/>
        </w:rPr>
        <w:t xml:space="preserve">ekonomiky a využití decentrální výroby a </w:t>
      </w:r>
      <w:r w:rsidR="00DA18CE" w:rsidRPr="3C4AC61A">
        <w:rPr>
          <w:rFonts w:asciiTheme="minorHAnsi" w:eastAsiaTheme="minorEastAsia" w:hAnsiTheme="minorHAnsi" w:cstheme="minorBidi"/>
          <w:sz w:val="22"/>
          <w:szCs w:val="22"/>
        </w:rPr>
        <w:t>řízení spotřeby zelené energie</w:t>
      </w:r>
      <w:r w:rsidR="005165BA" w:rsidRPr="3C4AC61A">
        <w:rPr>
          <w:rFonts w:asciiTheme="minorHAnsi" w:eastAsiaTheme="minorEastAsia" w:hAnsiTheme="minorHAnsi" w:cstheme="minorBidi"/>
          <w:sz w:val="22"/>
          <w:szCs w:val="22"/>
        </w:rPr>
        <w:t>. Tyto změny se projevují i</w:t>
      </w:r>
      <w:r w:rsidR="0022436D" w:rsidRPr="3C4AC61A">
        <w:rPr>
          <w:rFonts w:asciiTheme="minorHAnsi" w:eastAsiaTheme="minorEastAsia" w:hAnsiTheme="minorHAnsi" w:cstheme="minorBidi"/>
          <w:sz w:val="22"/>
          <w:szCs w:val="22"/>
        </w:rPr>
        <w:t xml:space="preserve"> </w:t>
      </w:r>
      <w:r w:rsidR="005165BA" w:rsidRPr="3C4AC61A">
        <w:rPr>
          <w:rFonts w:asciiTheme="minorHAnsi" w:eastAsiaTheme="minorEastAsia" w:hAnsiTheme="minorHAnsi" w:cstheme="minorBidi"/>
          <w:sz w:val="22"/>
          <w:szCs w:val="22"/>
        </w:rPr>
        <w:t>v národních klimatických a energetických plánech, plánech obnovy a dalších strategických dokumentech, které odrážejí požadavky EU na dekarbonizaci jak energetiky, tak i průmyslu.</w:t>
      </w:r>
      <w:r w:rsidR="000203DD" w:rsidRPr="3C4AC61A">
        <w:rPr>
          <w:rFonts w:asciiTheme="minorHAnsi" w:eastAsiaTheme="minorEastAsia" w:hAnsiTheme="minorHAnsi" w:cstheme="minorBidi"/>
          <w:sz w:val="22"/>
          <w:szCs w:val="22"/>
        </w:rPr>
        <w:t xml:space="preserve"> </w:t>
      </w:r>
      <w:r w:rsidR="000A068C" w:rsidRPr="3C4AC61A">
        <w:rPr>
          <w:rFonts w:asciiTheme="minorHAnsi" w:eastAsiaTheme="minorEastAsia" w:hAnsiTheme="minorHAnsi" w:cstheme="minorBidi"/>
          <w:sz w:val="22"/>
          <w:szCs w:val="22"/>
        </w:rPr>
        <w:t>Jedinou možností České republiky</w:t>
      </w:r>
      <w:r w:rsidR="008B71E5" w:rsidRPr="3C4AC61A">
        <w:rPr>
          <w:rFonts w:asciiTheme="minorHAnsi" w:eastAsiaTheme="minorEastAsia" w:hAnsiTheme="minorHAnsi" w:cstheme="minorBidi"/>
          <w:sz w:val="22"/>
          <w:szCs w:val="22"/>
        </w:rPr>
        <w:t>, jak se vypořádat s aktuální geopolitickou situací a naplnit</w:t>
      </w:r>
      <w:r w:rsidR="002319C5" w:rsidRPr="3C4AC61A">
        <w:rPr>
          <w:rFonts w:asciiTheme="minorHAnsi" w:eastAsiaTheme="minorEastAsia" w:hAnsiTheme="minorHAnsi" w:cstheme="minorBidi"/>
          <w:sz w:val="22"/>
          <w:szCs w:val="22"/>
        </w:rPr>
        <w:t xml:space="preserve"> společný postup EU</w:t>
      </w:r>
      <w:r w:rsidR="00BA28DA" w:rsidRPr="3C4AC61A">
        <w:rPr>
          <w:rFonts w:asciiTheme="minorHAnsi" w:eastAsiaTheme="minorEastAsia" w:hAnsiTheme="minorHAnsi" w:cstheme="minorBidi"/>
          <w:sz w:val="22"/>
          <w:szCs w:val="22"/>
        </w:rPr>
        <w:t xml:space="preserve">, je </w:t>
      </w:r>
      <w:r w:rsidR="00E346F4" w:rsidRPr="3C4AC61A">
        <w:rPr>
          <w:rFonts w:asciiTheme="minorHAnsi" w:eastAsiaTheme="minorEastAsia" w:hAnsiTheme="minorHAnsi" w:cstheme="minorBidi"/>
          <w:sz w:val="22"/>
          <w:szCs w:val="22"/>
        </w:rPr>
        <w:t>výrazně urychlit předpokládaný postup decentralizace energetiky</w:t>
      </w:r>
      <w:r w:rsidR="00997F21" w:rsidRPr="3C4AC61A">
        <w:rPr>
          <w:rFonts w:asciiTheme="minorHAnsi" w:eastAsiaTheme="minorEastAsia" w:hAnsiTheme="minorHAnsi" w:cstheme="minorBidi"/>
          <w:sz w:val="22"/>
          <w:szCs w:val="22"/>
        </w:rPr>
        <w:t xml:space="preserve"> a</w:t>
      </w:r>
      <w:r w:rsidR="00025FDB" w:rsidRPr="3C4AC61A">
        <w:rPr>
          <w:rFonts w:asciiTheme="minorHAnsi" w:eastAsiaTheme="minorEastAsia" w:hAnsiTheme="minorHAnsi" w:cstheme="minorBidi"/>
          <w:sz w:val="22"/>
          <w:szCs w:val="22"/>
        </w:rPr>
        <w:t xml:space="preserve"> </w:t>
      </w:r>
      <w:r w:rsidR="00CB1DE5" w:rsidRPr="3C4AC61A">
        <w:rPr>
          <w:rFonts w:asciiTheme="minorHAnsi" w:eastAsiaTheme="minorEastAsia" w:hAnsiTheme="minorHAnsi" w:cstheme="minorBidi"/>
          <w:sz w:val="22"/>
          <w:szCs w:val="22"/>
        </w:rPr>
        <w:t>celo</w:t>
      </w:r>
      <w:r w:rsidR="00025FDB" w:rsidRPr="3C4AC61A">
        <w:rPr>
          <w:rFonts w:asciiTheme="minorHAnsi" w:eastAsiaTheme="minorEastAsia" w:hAnsiTheme="minorHAnsi" w:cstheme="minorBidi"/>
          <w:sz w:val="22"/>
          <w:szCs w:val="22"/>
        </w:rPr>
        <w:t>evropské</w:t>
      </w:r>
      <w:r w:rsidR="00997F21" w:rsidRPr="3C4AC61A">
        <w:rPr>
          <w:rFonts w:asciiTheme="minorHAnsi" w:eastAsiaTheme="minorEastAsia" w:hAnsiTheme="minorHAnsi" w:cstheme="minorBidi"/>
          <w:sz w:val="22"/>
          <w:szCs w:val="22"/>
        </w:rPr>
        <w:t xml:space="preserve"> </w:t>
      </w:r>
      <w:r w:rsidR="00025FDB" w:rsidRPr="3C4AC61A">
        <w:rPr>
          <w:rFonts w:asciiTheme="minorHAnsi" w:eastAsiaTheme="minorEastAsia" w:hAnsiTheme="minorHAnsi" w:cstheme="minorBidi"/>
          <w:sz w:val="22"/>
          <w:szCs w:val="22"/>
        </w:rPr>
        <w:t>politiky propojování sektorů elektroenergetiky a plynárenství.</w:t>
      </w:r>
    </w:p>
    <w:p w14:paraId="6E558F96" w14:textId="77777777" w:rsidR="00741A4B" w:rsidRPr="00E646BB" w:rsidRDefault="00A3773E" w:rsidP="3C4AC61A">
      <w:pPr>
        <w:pStyle w:val="EYBulletedList1"/>
        <w:numPr>
          <w:ilvl w:val="0"/>
          <w:numId w:val="17"/>
        </w:numPr>
        <w:rPr>
          <w:sz w:val="22"/>
          <w:szCs w:val="22"/>
          <w:lang w:val="cs-CZ"/>
        </w:rPr>
      </w:pPr>
      <w:r w:rsidRPr="3C4AC61A">
        <w:rPr>
          <w:sz w:val="22"/>
          <w:szCs w:val="22"/>
          <w:lang w:val="cs-CZ"/>
        </w:rPr>
        <w:t xml:space="preserve">Hlavní oblasti, které v budoucnu ovlivní vývoj energetického trhu: </w:t>
      </w:r>
    </w:p>
    <w:p w14:paraId="63724F7F" w14:textId="77777777" w:rsidR="00701687" w:rsidRPr="00E646BB" w:rsidRDefault="00A3773E" w:rsidP="3C4AC61A">
      <w:pPr>
        <w:pStyle w:val="EYBulletedList1"/>
        <w:numPr>
          <w:ilvl w:val="0"/>
          <w:numId w:val="17"/>
        </w:numPr>
        <w:rPr>
          <w:sz w:val="22"/>
          <w:szCs w:val="22"/>
          <w:lang w:val="cs-CZ"/>
        </w:rPr>
      </w:pPr>
      <w:r w:rsidRPr="3C4AC61A">
        <w:rPr>
          <w:sz w:val="22"/>
          <w:szCs w:val="22"/>
          <w:lang w:val="cs-CZ"/>
        </w:rPr>
        <w:t>Legislativa</w:t>
      </w:r>
      <w:r w:rsidR="00701687" w:rsidRPr="3C4AC61A">
        <w:rPr>
          <w:sz w:val="22"/>
          <w:szCs w:val="22"/>
          <w:lang w:val="cs-CZ"/>
        </w:rPr>
        <w:t xml:space="preserve"> a regulačn</w:t>
      </w:r>
      <w:r w:rsidR="00CF3E22" w:rsidRPr="3C4AC61A">
        <w:rPr>
          <w:sz w:val="22"/>
          <w:szCs w:val="22"/>
          <w:lang w:val="cs-CZ"/>
        </w:rPr>
        <w:t>í</w:t>
      </w:r>
      <w:r w:rsidR="00701687" w:rsidRPr="3C4AC61A">
        <w:rPr>
          <w:sz w:val="22"/>
          <w:szCs w:val="22"/>
          <w:lang w:val="cs-CZ"/>
        </w:rPr>
        <w:t xml:space="preserve"> rámec</w:t>
      </w:r>
    </w:p>
    <w:p w14:paraId="3360AB75" w14:textId="77777777" w:rsidR="00CF3E22" w:rsidRPr="00E646BB" w:rsidRDefault="00CF3E22" w:rsidP="3C4AC61A">
      <w:pPr>
        <w:pStyle w:val="EYBulletedList2"/>
        <w:numPr>
          <w:ilvl w:val="1"/>
          <w:numId w:val="17"/>
        </w:numPr>
        <w:rPr>
          <w:sz w:val="22"/>
          <w:szCs w:val="22"/>
          <w:lang w:val="cs-CZ"/>
        </w:rPr>
      </w:pPr>
      <w:r w:rsidRPr="3C4AC61A">
        <w:rPr>
          <w:sz w:val="22"/>
          <w:szCs w:val="22"/>
          <w:lang w:val="cs-CZ"/>
        </w:rPr>
        <w:t>Balíček EU opatření pod názvem „Čistá energie pro všechny Evropany” (Clean Energy for all Europeans Package – dále jen „CEP“), známý také jako zimní balíček</w:t>
      </w:r>
    </w:p>
    <w:p w14:paraId="1E9E65B2" w14:textId="798FBAD6" w:rsidR="00CF3E22" w:rsidRPr="00E646BB" w:rsidRDefault="00CF3E22" w:rsidP="3C4AC61A">
      <w:pPr>
        <w:pStyle w:val="EYBulletedList2"/>
        <w:numPr>
          <w:ilvl w:val="1"/>
          <w:numId w:val="17"/>
        </w:numPr>
        <w:rPr>
          <w:sz w:val="22"/>
          <w:szCs w:val="22"/>
          <w:lang w:val="cs-CZ"/>
        </w:rPr>
      </w:pPr>
      <w:r w:rsidRPr="3C4AC61A">
        <w:rPr>
          <w:sz w:val="22"/>
          <w:szCs w:val="22"/>
          <w:lang w:val="cs-CZ"/>
        </w:rPr>
        <w:t>Revize stávající evropské legislativy v oblasti energetiky a dekarbonizace pod názvem „Fit for 55“</w:t>
      </w:r>
    </w:p>
    <w:p w14:paraId="19FF9809" w14:textId="0985B03C" w:rsidR="00441B49" w:rsidRPr="00E646BB" w:rsidRDefault="00441B49" w:rsidP="3C4AC61A">
      <w:pPr>
        <w:pStyle w:val="EYBulletedList2"/>
        <w:numPr>
          <w:ilvl w:val="1"/>
          <w:numId w:val="17"/>
        </w:numPr>
        <w:rPr>
          <w:sz w:val="22"/>
          <w:szCs w:val="22"/>
          <w:lang w:val="cs-CZ"/>
        </w:rPr>
      </w:pPr>
      <w:r w:rsidRPr="3C4AC61A">
        <w:rPr>
          <w:sz w:val="22"/>
          <w:szCs w:val="22"/>
          <w:lang w:val="cs-CZ"/>
        </w:rPr>
        <w:t>Balíček EU k revizi trhu s elektřinou (Návrh nařízení Evropského parlamentu a Rady, kterým se mění nařízení Evropského parlamentu a Rady (EU) 2019/943, nařízení Evropského parlamentu a Rady (EU) 2019/942 a směrnice (EU) 2018/2001 a směrnice (EU) 2019/944 s cílem zlepšit uspořádání trhu s elektřinou v EU)</w:t>
      </w:r>
    </w:p>
    <w:p w14:paraId="3DB02E5D" w14:textId="77777777" w:rsidR="00E8675A" w:rsidRPr="00E646BB" w:rsidRDefault="001E7B02" w:rsidP="3C4AC61A">
      <w:pPr>
        <w:pStyle w:val="EYBulletedList2"/>
        <w:numPr>
          <w:ilvl w:val="1"/>
          <w:numId w:val="17"/>
        </w:numPr>
        <w:rPr>
          <w:sz w:val="22"/>
          <w:szCs w:val="22"/>
          <w:lang w:val="cs-CZ"/>
        </w:rPr>
      </w:pPr>
      <w:r w:rsidRPr="3C4AC61A">
        <w:rPr>
          <w:sz w:val="22"/>
          <w:szCs w:val="22"/>
          <w:lang w:val="cs-CZ"/>
        </w:rPr>
        <w:t>Evropský plán „REPowerEU“</w:t>
      </w:r>
    </w:p>
    <w:p w14:paraId="2AEF7151" w14:textId="77777777" w:rsidR="00701687" w:rsidRPr="00E646BB" w:rsidRDefault="00CF3E22" w:rsidP="3C4AC61A">
      <w:pPr>
        <w:pStyle w:val="EYBulletedList2"/>
        <w:numPr>
          <w:ilvl w:val="1"/>
          <w:numId w:val="17"/>
        </w:numPr>
        <w:rPr>
          <w:sz w:val="22"/>
          <w:szCs w:val="22"/>
          <w:lang w:val="cs-CZ"/>
        </w:rPr>
      </w:pPr>
      <w:r w:rsidRPr="3C4AC61A">
        <w:rPr>
          <w:sz w:val="22"/>
          <w:szCs w:val="22"/>
          <w:lang w:val="cs-CZ"/>
        </w:rPr>
        <w:t>Síťové kodexy</w:t>
      </w:r>
    </w:p>
    <w:p w14:paraId="3EDAE780" w14:textId="77777777" w:rsidR="00701687" w:rsidRPr="00E646BB" w:rsidRDefault="00701687" w:rsidP="3C4AC61A">
      <w:pPr>
        <w:pStyle w:val="EYBulletedList3"/>
        <w:numPr>
          <w:ilvl w:val="2"/>
          <w:numId w:val="17"/>
        </w:numPr>
        <w:rPr>
          <w:sz w:val="22"/>
          <w:szCs w:val="22"/>
          <w:lang w:val="cs-CZ"/>
        </w:rPr>
      </w:pPr>
      <w:r w:rsidRPr="3C4AC61A">
        <w:rPr>
          <w:sz w:val="22"/>
          <w:szCs w:val="22"/>
          <w:lang w:val="cs-CZ"/>
        </w:rPr>
        <w:t xml:space="preserve">EB GL – </w:t>
      </w:r>
      <w:r w:rsidR="00552F5F" w:rsidRPr="3C4AC61A">
        <w:rPr>
          <w:sz w:val="22"/>
          <w:szCs w:val="22"/>
          <w:lang w:val="cs-CZ"/>
        </w:rPr>
        <w:t>nařízení Komise (EU) 2017/2195 ze dne 23. listopadu 2017, kterým se stanoví pokyny pro zajištění rovnováhy v elektrizační soustavě</w:t>
      </w:r>
    </w:p>
    <w:p w14:paraId="6EEFE061" w14:textId="77777777" w:rsidR="00701687" w:rsidRPr="00E646BB" w:rsidRDefault="00701687" w:rsidP="3C4AC61A">
      <w:pPr>
        <w:pStyle w:val="EYBulletedList3"/>
        <w:numPr>
          <w:ilvl w:val="2"/>
          <w:numId w:val="17"/>
        </w:numPr>
        <w:rPr>
          <w:sz w:val="22"/>
          <w:szCs w:val="22"/>
          <w:lang w:val="cs-CZ"/>
        </w:rPr>
      </w:pPr>
      <w:r w:rsidRPr="3C4AC61A">
        <w:rPr>
          <w:sz w:val="22"/>
          <w:szCs w:val="22"/>
          <w:lang w:val="cs-CZ"/>
        </w:rPr>
        <w:t xml:space="preserve">SO GL – </w:t>
      </w:r>
      <w:r w:rsidR="007D56A7" w:rsidRPr="3C4AC61A">
        <w:rPr>
          <w:sz w:val="22"/>
          <w:szCs w:val="22"/>
          <w:lang w:val="cs-CZ"/>
        </w:rPr>
        <w:t>nařízení Komise (EU) 2017/1485 ze dne 2. srpna 2017, kterým se stanoví pokyny pro provoz elektrizační přenosové soustavy</w:t>
      </w:r>
    </w:p>
    <w:p w14:paraId="037FE300" w14:textId="77777777" w:rsidR="00701687" w:rsidRPr="00E646BB" w:rsidRDefault="00701687" w:rsidP="3C4AC61A">
      <w:pPr>
        <w:pStyle w:val="EYBulletedList2"/>
        <w:numPr>
          <w:ilvl w:val="1"/>
          <w:numId w:val="17"/>
        </w:numPr>
        <w:rPr>
          <w:sz w:val="22"/>
          <w:szCs w:val="22"/>
          <w:lang w:val="cs-CZ"/>
        </w:rPr>
      </w:pPr>
      <w:r w:rsidRPr="3C4AC61A">
        <w:rPr>
          <w:sz w:val="22"/>
          <w:szCs w:val="22"/>
          <w:lang w:val="cs-CZ"/>
        </w:rPr>
        <w:t>Ochrana spot</w:t>
      </w:r>
      <w:r w:rsidR="007D56A7" w:rsidRPr="3C4AC61A">
        <w:rPr>
          <w:sz w:val="22"/>
          <w:szCs w:val="22"/>
          <w:lang w:val="cs-CZ"/>
        </w:rPr>
        <w:t>ř</w:t>
      </w:r>
      <w:r w:rsidRPr="3C4AC61A">
        <w:rPr>
          <w:sz w:val="22"/>
          <w:szCs w:val="22"/>
          <w:lang w:val="cs-CZ"/>
        </w:rPr>
        <w:t>ebite</w:t>
      </w:r>
      <w:r w:rsidR="007D56A7" w:rsidRPr="3C4AC61A">
        <w:rPr>
          <w:sz w:val="22"/>
          <w:szCs w:val="22"/>
          <w:lang w:val="cs-CZ"/>
        </w:rPr>
        <w:t>l</w:t>
      </w:r>
      <w:r w:rsidRPr="3C4AC61A">
        <w:rPr>
          <w:sz w:val="22"/>
          <w:szCs w:val="22"/>
          <w:lang w:val="cs-CZ"/>
        </w:rPr>
        <w:t>ských dát</w:t>
      </w:r>
    </w:p>
    <w:p w14:paraId="5C3430EB" w14:textId="77777777" w:rsidR="00701687" w:rsidRPr="00E646BB" w:rsidRDefault="00701687" w:rsidP="3C4AC61A">
      <w:pPr>
        <w:pStyle w:val="EYBulletedList2"/>
        <w:numPr>
          <w:ilvl w:val="1"/>
          <w:numId w:val="0"/>
        </w:numPr>
        <w:ind w:left="576"/>
        <w:rPr>
          <w:sz w:val="22"/>
          <w:szCs w:val="22"/>
          <w:lang w:val="cs-CZ"/>
        </w:rPr>
      </w:pPr>
    </w:p>
    <w:p w14:paraId="594590DE" w14:textId="77777777" w:rsidR="00701687" w:rsidRPr="00E646BB" w:rsidRDefault="00701687" w:rsidP="3C4AC61A">
      <w:pPr>
        <w:pStyle w:val="EYBulletedList1"/>
        <w:numPr>
          <w:ilvl w:val="0"/>
          <w:numId w:val="17"/>
        </w:numPr>
        <w:rPr>
          <w:sz w:val="22"/>
          <w:szCs w:val="22"/>
          <w:lang w:val="cs-CZ"/>
        </w:rPr>
      </w:pPr>
      <w:r w:rsidRPr="3C4AC61A">
        <w:rPr>
          <w:sz w:val="22"/>
          <w:szCs w:val="22"/>
          <w:lang w:val="cs-CZ"/>
        </w:rPr>
        <w:t>Dekarboniz</w:t>
      </w:r>
      <w:r w:rsidR="007D56A7" w:rsidRPr="3C4AC61A">
        <w:rPr>
          <w:sz w:val="22"/>
          <w:szCs w:val="22"/>
          <w:lang w:val="cs-CZ"/>
        </w:rPr>
        <w:t>a</w:t>
      </w:r>
      <w:r w:rsidRPr="3C4AC61A">
        <w:rPr>
          <w:sz w:val="22"/>
          <w:szCs w:val="22"/>
          <w:lang w:val="cs-CZ"/>
        </w:rPr>
        <w:t>c</w:t>
      </w:r>
      <w:r w:rsidR="007D56A7" w:rsidRPr="3C4AC61A">
        <w:rPr>
          <w:sz w:val="22"/>
          <w:szCs w:val="22"/>
          <w:lang w:val="cs-CZ"/>
        </w:rPr>
        <w:t>e</w:t>
      </w:r>
      <w:r w:rsidRPr="3C4AC61A">
        <w:rPr>
          <w:sz w:val="22"/>
          <w:szCs w:val="22"/>
          <w:lang w:val="cs-CZ"/>
        </w:rPr>
        <w:t xml:space="preserve"> a výrobn</w:t>
      </w:r>
      <w:r w:rsidR="007D56A7" w:rsidRPr="3C4AC61A">
        <w:rPr>
          <w:sz w:val="22"/>
          <w:szCs w:val="22"/>
          <w:lang w:val="cs-CZ"/>
        </w:rPr>
        <w:t>í</w:t>
      </w:r>
      <w:r w:rsidRPr="3C4AC61A">
        <w:rPr>
          <w:sz w:val="22"/>
          <w:szCs w:val="22"/>
          <w:lang w:val="cs-CZ"/>
        </w:rPr>
        <w:t xml:space="preserve"> mix</w:t>
      </w:r>
    </w:p>
    <w:p w14:paraId="5CD38B42" w14:textId="77777777" w:rsidR="00701687" w:rsidRPr="00E646BB" w:rsidRDefault="00701687" w:rsidP="3C4AC61A">
      <w:pPr>
        <w:pStyle w:val="EYBulletedList2"/>
        <w:numPr>
          <w:ilvl w:val="1"/>
          <w:numId w:val="17"/>
        </w:numPr>
        <w:rPr>
          <w:sz w:val="22"/>
          <w:szCs w:val="22"/>
          <w:lang w:val="cs-CZ"/>
        </w:rPr>
      </w:pPr>
      <w:r w:rsidRPr="3C4AC61A">
        <w:rPr>
          <w:sz w:val="22"/>
          <w:szCs w:val="22"/>
          <w:lang w:val="cs-CZ"/>
        </w:rPr>
        <w:t>Zm</w:t>
      </w:r>
      <w:r w:rsidR="007D56A7" w:rsidRPr="3C4AC61A">
        <w:rPr>
          <w:sz w:val="22"/>
          <w:szCs w:val="22"/>
          <w:lang w:val="cs-CZ"/>
        </w:rPr>
        <w:t>ě</w:t>
      </w:r>
      <w:r w:rsidRPr="3C4AC61A">
        <w:rPr>
          <w:sz w:val="22"/>
          <w:szCs w:val="22"/>
          <w:lang w:val="cs-CZ"/>
        </w:rPr>
        <w:t xml:space="preserve">na zdrojového mixu v </w:t>
      </w:r>
      <w:r w:rsidR="007D56A7" w:rsidRPr="3C4AC61A">
        <w:rPr>
          <w:sz w:val="22"/>
          <w:szCs w:val="22"/>
          <w:lang w:val="cs-CZ"/>
        </w:rPr>
        <w:t>souvislosti</w:t>
      </w:r>
      <w:r w:rsidRPr="3C4AC61A">
        <w:rPr>
          <w:sz w:val="22"/>
          <w:szCs w:val="22"/>
          <w:lang w:val="cs-CZ"/>
        </w:rPr>
        <w:t xml:space="preserve"> s </w:t>
      </w:r>
      <w:r w:rsidR="007D56A7" w:rsidRPr="3C4AC61A">
        <w:rPr>
          <w:sz w:val="22"/>
          <w:szCs w:val="22"/>
          <w:lang w:val="cs-CZ"/>
        </w:rPr>
        <w:t>decentralizací</w:t>
      </w:r>
      <w:r w:rsidRPr="3C4AC61A">
        <w:rPr>
          <w:sz w:val="22"/>
          <w:szCs w:val="22"/>
          <w:lang w:val="cs-CZ"/>
        </w:rPr>
        <w:t xml:space="preserve"> výroby a rozvoj </w:t>
      </w:r>
      <w:r w:rsidR="007D56A7" w:rsidRPr="3C4AC61A">
        <w:rPr>
          <w:sz w:val="22"/>
          <w:szCs w:val="22"/>
          <w:lang w:val="cs-CZ"/>
        </w:rPr>
        <w:t>technologií</w:t>
      </w:r>
      <w:r w:rsidRPr="3C4AC61A">
        <w:rPr>
          <w:sz w:val="22"/>
          <w:szCs w:val="22"/>
          <w:lang w:val="cs-CZ"/>
        </w:rPr>
        <w:t xml:space="preserve">, </w:t>
      </w:r>
      <w:r w:rsidR="007D56A7" w:rsidRPr="3C4AC61A">
        <w:rPr>
          <w:sz w:val="22"/>
          <w:szCs w:val="22"/>
          <w:lang w:val="cs-CZ"/>
        </w:rPr>
        <w:t>které</w:t>
      </w:r>
      <w:r w:rsidRPr="3C4AC61A">
        <w:rPr>
          <w:sz w:val="22"/>
          <w:szCs w:val="22"/>
          <w:lang w:val="cs-CZ"/>
        </w:rPr>
        <w:t xml:space="preserve"> </w:t>
      </w:r>
      <w:r w:rsidR="007D56A7" w:rsidRPr="3C4AC61A">
        <w:rPr>
          <w:sz w:val="22"/>
          <w:szCs w:val="22"/>
          <w:lang w:val="cs-CZ"/>
        </w:rPr>
        <w:t>integrují</w:t>
      </w:r>
      <w:r w:rsidRPr="3C4AC61A">
        <w:rPr>
          <w:sz w:val="22"/>
          <w:szCs w:val="22"/>
          <w:lang w:val="cs-CZ"/>
        </w:rPr>
        <w:t xml:space="preserve"> </w:t>
      </w:r>
      <w:r w:rsidR="007D56A7" w:rsidRPr="3C4AC61A">
        <w:rPr>
          <w:sz w:val="22"/>
          <w:szCs w:val="22"/>
          <w:lang w:val="cs-CZ"/>
        </w:rPr>
        <w:t>spotřebu</w:t>
      </w:r>
      <w:r w:rsidRPr="3C4AC61A">
        <w:rPr>
          <w:sz w:val="22"/>
          <w:szCs w:val="22"/>
          <w:lang w:val="cs-CZ"/>
        </w:rPr>
        <w:t xml:space="preserve"> a výrobu </w:t>
      </w:r>
    </w:p>
    <w:p w14:paraId="3A92516C" w14:textId="77777777" w:rsidR="00701687" w:rsidRPr="00E646BB" w:rsidRDefault="00701687" w:rsidP="3C4AC61A">
      <w:pPr>
        <w:pStyle w:val="EYBulletedList2"/>
        <w:numPr>
          <w:ilvl w:val="1"/>
          <w:numId w:val="17"/>
        </w:numPr>
        <w:rPr>
          <w:sz w:val="22"/>
          <w:szCs w:val="22"/>
          <w:lang w:val="cs-CZ"/>
        </w:rPr>
      </w:pPr>
      <w:r w:rsidRPr="3C4AC61A">
        <w:rPr>
          <w:sz w:val="22"/>
          <w:szCs w:val="22"/>
          <w:lang w:val="cs-CZ"/>
        </w:rPr>
        <w:t xml:space="preserve">Rozvoj </w:t>
      </w:r>
      <w:r w:rsidR="007D56A7" w:rsidRPr="3C4AC61A">
        <w:rPr>
          <w:sz w:val="22"/>
          <w:szCs w:val="22"/>
          <w:lang w:val="cs-CZ"/>
        </w:rPr>
        <w:t>obnovitelných</w:t>
      </w:r>
      <w:r w:rsidRPr="3C4AC61A">
        <w:rPr>
          <w:sz w:val="22"/>
          <w:szCs w:val="22"/>
          <w:lang w:val="cs-CZ"/>
        </w:rPr>
        <w:t xml:space="preserve"> zdroj</w:t>
      </w:r>
      <w:r w:rsidR="007D56A7" w:rsidRPr="3C4AC61A">
        <w:rPr>
          <w:sz w:val="22"/>
          <w:szCs w:val="22"/>
          <w:lang w:val="cs-CZ"/>
        </w:rPr>
        <w:t>ů</w:t>
      </w:r>
      <w:r w:rsidRPr="3C4AC61A">
        <w:rPr>
          <w:sz w:val="22"/>
          <w:szCs w:val="22"/>
          <w:lang w:val="cs-CZ"/>
        </w:rPr>
        <w:t xml:space="preserve"> energie a </w:t>
      </w:r>
      <w:r w:rsidR="007D56A7" w:rsidRPr="3C4AC61A">
        <w:rPr>
          <w:sz w:val="22"/>
          <w:szCs w:val="22"/>
          <w:lang w:val="cs-CZ"/>
        </w:rPr>
        <w:t>odstavováni</w:t>
      </w:r>
      <w:r w:rsidRPr="3C4AC61A">
        <w:rPr>
          <w:sz w:val="22"/>
          <w:szCs w:val="22"/>
          <w:lang w:val="cs-CZ"/>
        </w:rPr>
        <w:t xml:space="preserve"> </w:t>
      </w:r>
      <w:r w:rsidR="007D56A7" w:rsidRPr="3C4AC61A">
        <w:rPr>
          <w:sz w:val="22"/>
          <w:szCs w:val="22"/>
          <w:lang w:val="cs-CZ"/>
        </w:rPr>
        <w:t>velkých</w:t>
      </w:r>
      <w:r w:rsidRPr="3C4AC61A">
        <w:rPr>
          <w:sz w:val="22"/>
          <w:szCs w:val="22"/>
          <w:lang w:val="cs-CZ"/>
        </w:rPr>
        <w:t xml:space="preserve"> </w:t>
      </w:r>
      <w:r w:rsidR="007D56A7" w:rsidRPr="3C4AC61A">
        <w:rPr>
          <w:sz w:val="22"/>
          <w:szCs w:val="22"/>
          <w:lang w:val="cs-CZ"/>
        </w:rPr>
        <w:t>stabilních</w:t>
      </w:r>
      <w:r w:rsidRPr="3C4AC61A">
        <w:rPr>
          <w:sz w:val="22"/>
          <w:szCs w:val="22"/>
          <w:lang w:val="cs-CZ"/>
        </w:rPr>
        <w:t xml:space="preserve"> zdroj</w:t>
      </w:r>
      <w:r w:rsidR="007D56A7" w:rsidRPr="3C4AC61A">
        <w:rPr>
          <w:sz w:val="22"/>
          <w:szCs w:val="22"/>
          <w:lang w:val="cs-CZ"/>
        </w:rPr>
        <w:t>ů</w:t>
      </w:r>
    </w:p>
    <w:p w14:paraId="1A4A6C09" w14:textId="77777777" w:rsidR="00701687" w:rsidRPr="00E646BB" w:rsidRDefault="007D56A7" w:rsidP="3C4AC61A">
      <w:pPr>
        <w:pStyle w:val="EYBulletedList2"/>
        <w:numPr>
          <w:ilvl w:val="1"/>
          <w:numId w:val="17"/>
        </w:numPr>
        <w:rPr>
          <w:sz w:val="22"/>
          <w:szCs w:val="22"/>
          <w:lang w:val="cs-CZ"/>
        </w:rPr>
      </w:pPr>
      <w:r w:rsidRPr="3C4AC61A">
        <w:rPr>
          <w:sz w:val="22"/>
          <w:szCs w:val="22"/>
          <w:lang w:val="cs-CZ"/>
        </w:rPr>
        <w:t>Potřeba</w:t>
      </w:r>
      <w:r w:rsidR="00701687" w:rsidRPr="3C4AC61A">
        <w:rPr>
          <w:sz w:val="22"/>
          <w:szCs w:val="22"/>
          <w:lang w:val="cs-CZ"/>
        </w:rPr>
        <w:t xml:space="preserve"> </w:t>
      </w:r>
      <w:r w:rsidRPr="3C4AC61A">
        <w:rPr>
          <w:sz w:val="22"/>
          <w:szCs w:val="22"/>
          <w:lang w:val="cs-CZ"/>
        </w:rPr>
        <w:t>akumulace</w:t>
      </w:r>
      <w:r w:rsidR="00701687" w:rsidRPr="3C4AC61A">
        <w:rPr>
          <w:sz w:val="22"/>
          <w:szCs w:val="22"/>
          <w:lang w:val="cs-CZ"/>
        </w:rPr>
        <w:t xml:space="preserve"> </w:t>
      </w:r>
      <w:r w:rsidRPr="3C4AC61A">
        <w:rPr>
          <w:sz w:val="22"/>
          <w:szCs w:val="22"/>
          <w:lang w:val="cs-CZ"/>
        </w:rPr>
        <w:t>elektřiny</w:t>
      </w:r>
      <w:r w:rsidR="00645F25" w:rsidRPr="3C4AC61A">
        <w:rPr>
          <w:sz w:val="22"/>
          <w:szCs w:val="22"/>
          <w:lang w:val="cs-CZ"/>
        </w:rPr>
        <w:t xml:space="preserve"> a flexibility na trhu</w:t>
      </w:r>
    </w:p>
    <w:p w14:paraId="341F59E8" w14:textId="77777777" w:rsidR="00701687" w:rsidRPr="00E646BB" w:rsidRDefault="00701687" w:rsidP="3C4AC61A">
      <w:pPr>
        <w:pStyle w:val="EYBulletedList2"/>
        <w:numPr>
          <w:ilvl w:val="1"/>
          <w:numId w:val="0"/>
        </w:numPr>
        <w:ind w:left="576"/>
        <w:rPr>
          <w:sz w:val="22"/>
          <w:szCs w:val="22"/>
          <w:lang w:val="cs-CZ"/>
        </w:rPr>
      </w:pPr>
    </w:p>
    <w:p w14:paraId="31C8DB72" w14:textId="77777777" w:rsidR="00701687" w:rsidRPr="00E646BB" w:rsidRDefault="00701687" w:rsidP="3C4AC61A">
      <w:pPr>
        <w:pStyle w:val="EYBulletedList1"/>
        <w:numPr>
          <w:ilvl w:val="0"/>
          <w:numId w:val="17"/>
        </w:numPr>
        <w:rPr>
          <w:sz w:val="22"/>
          <w:szCs w:val="22"/>
          <w:lang w:val="cs-CZ"/>
        </w:rPr>
      </w:pPr>
      <w:r w:rsidRPr="3C4AC61A">
        <w:rPr>
          <w:sz w:val="22"/>
          <w:szCs w:val="22"/>
          <w:lang w:val="cs-CZ"/>
        </w:rPr>
        <w:t xml:space="preserve">Technologický a technický pokrok </w:t>
      </w:r>
    </w:p>
    <w:p w14:paraId="019766CE" w14:textId="77777777" w:rsidR="00701687" w:rsidRPr="00E646BB" w:rsidRDefault="007D56A7" w:rsidP="3C4AC61A">
      <w:pPr>
        <w:pStyle w:val="EYBulletedList2"/>
        <w:numPr>
          <w:ilvl w:val="1"/>
          <w:numId w:val="17"/>
        </w:numPr>
        <w:rPr>
          <w:sz w:val="22"/>
          <w:szCs w:val="22"/>
          <w:lang w:val="cs-CZ"/>
        </w:rPr>
      </w:pPr>
      <w:r w:rsidRPr="3C4AC61A">
        <w:rPr>
          <w:sz w:val="22"/>
          <w:szCs w:val="22"/>
          <w:lang w:val="cs-CZ"/>
        </w:rPr>
        <w:t>Zvýšeni</w:t>
      </w:r>
      <w:r w:rsidR="00701687" w:rsidRPr="3C4AC61A">
        <w:rPr>
          <w:sz w:val="22"/>
          <w:szCs w:val="22"/>
          <w:lang w:val="cs-CZ"/>
        </w:rPr>
        <w:t xml:space="preserve"> dynamiky </w:t>
      </w:r>
      <w:r w:rsidRPr="3C4AC61A">
        <w:rPr>
          <w:sz w:val="22"/>
          <w:szCs w:val="22"/>
          <w:lang w:val="cs-CZ"/>
        </w:rPr>
        <w:t>celé</w:t>
      </w:r>
      <w:r w:rsidR="00701687" w:rsidRPr="3C4AC61A">
        <w:rPr>
          <w:sz w:val="22"/>
          <w:szCs w:val="22"/>
          <w:lang w:val="cs-CZ"/>
        </w:rPr>
        <w:t xml:space="preserve"> s</w:t>
      </w:r>
      <w:r w:rsidRPr="3C4AC61A">
        <w:rPr>
          <w:sz w:val="22"/>
          <w:szCs w:val="22"/>
          <w:lang w:val="cs-CZ"/>
        </w:rPr>
        <w:t>ítě</w:t>
      </w:r>
      <w:r w:rsidR="00701687" w:rsidRPr="3C4AC61A">
        <w:rPr>
          <w:sz w:val="22"/>
          <w:szCs w:val="22"/>
          <w:lang w:val="cs-CZ"/>
        </w:rPr>
        <w:t xml:space="preserve"> – </w:t>
      </w:r>
      <w:r w:rsidR="00B779F9" w:rsidRPr="3C4AC61A">
        <w:rPr>
          <w:sz w:val="22"/>
          <w:szCs w:val="22"/>
          <w:lang w:val="cs-CZ"/>
        </w:rPr>
        <w:t>chytré měření</w:t>
      </w:r>
      <w:r w:rsidR="005F33F5" w:rsidRPr="3C4AC61A">
        <w:rPr>
          <w:sz w:val="22"/>
          <w:szCs w:val="22"/>
          <w:lang w:val="cs-CZ"/>
        </w:rPr>
        <w:t>, obchodování v 15min.</w:t>
      </w:r>
      <w:r w:rsidR="00E23895" w:rsidRPr="3C4AC61A">
        <w:rPr>
          <w:sz w:val="22"/>
          <w:szCs w:val="22"/>
          <w:lang w:val="cs-CZ"/>
        </w:rPr>
        <w:t xml:space="preserve"> </w:t>
      </w:r>
      <w:r w:rsidR="005F33F5" w:rsidRPr="3C4AC61A">
        <w:rPr>
          <w:sz w:val="22"/>
          <w:szCs w:val="22"/>
          <w:lang w:val="cs-CZ"/>
        </w:rPr>
        <w:t xml:space="preserve">intervalech a </w:t>
      </w:r>
      <w:r w:rsidR="003E1654" w:rsidRPr="3C4AC61A">
        <w:rPr>
          <w:sz w:val="22"/>
          <w:szCs w:val="22"/>
          <w:lang w:val="cs-CZ"/>
        </w:rPr>
        <w:t>integrace nových zařízení</w:t>
      </w:r>
    </w:p>
    <w:p w14:paraId="284F9DC4" w14:textId="77777777" w:rsidR="00701687" w:rsidRPr="00E646BB" w:rsidRDefault="00701687" w:rsidP="3C4AC61A">
      <w:pPr>
        <w:pStyle w:val="EYBulletedList2"/>
        <w:numPr>
          <w:ilvl w:val="1"/>
          <w:numId w:val="17"/>
        </w:numPr>
        <w:rPr>
          <w:sz w:val="22"/>
          <w:szCs w:val="22"/>
          <w:lang w:val="cs-CZ"/>
        </w:rPr>
      </w:pPr>
      <w:r w:rsidRPr="3C4AC61A">
        <w:rPr>
          <w:sz w:val="22"/>
          <w:szCs w:val="22"/>
          <w:lang w:val="cs-CZ"/>
        </w:rPr>
        <w:t>Rozvoj automatizovaných systém</w:t>
      </w:r>
      <w:r w:rsidR="00B50A59" w:rsidRPr="3C4AC61A">
        <w:rPr>
          <w:sz w:val="22"/>
          <w:szCs w:val="22"/>
          <w:lang w:val="cs-CZ"/>
        </w:rPr>
        <w:t>ů</w:t>
      </w:r>
      <w:r w:rsidRPr="3C4AC61A">
        <w:rPr>
          <w:sz w:val="22"/>
          <w:szCs w:val="22"/>
          <w:lang w:val="cs-CZ"/>
        </w:rPr>
        <w:t xml:space="preserve"> dispečerského </w:t>
      </w:r>
      <w:r w:rsidR="00B50A59" w:rsidRPr="3C4AC61A">
        <w:rPr>
          <w:sz w:val="22"/>
          <w:szCs w:val="22"/>
          <w:lang w:val="cs-CZ"/>
        </w:rPr>
        <w:t>řízení</w:t>
      </w:r>
    </w:p>
    <w:p w14:paraId="11643323" w14:textId="77777777" w:rsidR="00701687" w:rsidRPr="00E646BB" w:rsidRDefault="00B50A59" w:rsidP="3C4AC61A">
      <w:pPr>
        <w:pStyle w:val="EYBulletedList2"/>
        <w:numPr>
          <w:ilvl w:val="1"/>
          <w:numId w:val="17"/>
        </w:numPr>
        <w:rPr>
          <w:sz w:val="22"/>
          <w:szCs w:val="22"/>
          <w:lang w:val="cs-CZ"/>
        </w:rPr>
      </w:pPr>
      <w:r w:rsidRPr="3C4AC61A">
        <w:rPr>
          <w:sz w:val="22"/>
          <w:szCs w:val="22"/>
          <w:lang w:val="cs-CZ"/>
        </w:rPr>
        <w:t>Telekomunikační</w:t>
      </w:r>
      <w:r w:rsidR="00701687" w:rsidRPr="3C4AC61A">
        <w:rPr>
          <w:sz w:val="22"/>
          <w:szCs w:val="22"/>
          <w:lang w:val="cs-CZ"/>
        </w:rPr>
        <w:t xml:space="preserve"> </w:t>
      </w:r>
      <w:r w:rsidRPr="3C4AC61A">
        <w:rPr>
          <w:sz w:val="22"/>
          <w:szCs w:val="22"/>
          <w:lang w:val="cs-CZ"/>
        </w:rPr>
        <w:t>infrastruktura</w:t>
      </w:r>
      <w:r w:rsidR="00701687" w:rsidRPr="3C4AC61A">
        <w:rPr>
          <w:sz w:val="22"/>
          <w:szCs w:val="22"/>
          <w:lang w:val="cs-CZ"/>
        </w:rPr>
        <w:t xml:space="preserve"> (5G)</w:t>
      </w:r>
    </w:p>
    <w:p w14:paraId="4C0A76E8" w14:textId="77777777" w:rsidR="00701687" w:rsidRPr="00E646BB" w:rsidRDefault="00701687" w:rsidP="3C4AC61A">
      <w:pPr>
        <w:pStyle w:val="EYBulletedList2"/>
        <w:numPr>
          <w:ilvl w:val="1"/>
          <w:numId w:val="17"/>
        </w:numPr>
        <w:rPr>
          <w:sz w:val="22"/>
          <w:szCs w:val="22"/>
          <w:lang w:val="cs-CZ"/>
        </w:rPr>
      </w:pPr>
      <w:r w:rsidRPr="3C4AC61A">
        <w:rPr>
          <w:sz w:val="22"/>
          <w:szCs w:val="22"/>
          <w:lang w:val="cs-CZ"/>
        </w:rPr>
        <w:t>Elektromobilita (V2G)</w:t>
      </w:r>
    </w:p>
    <w:p w14:paraId="4880726B" w14:textId="77777777" w:rsidR="004C490E" w:rsidRPr="00E646BB" w:rsidRDefault="004C490E" w:rsidP="3C4AC61A">
      <w:pPr>
        <w:pStyle w:val="K-Text"/>
        <w:spacing w:line="240" w:lineRule="auto"/>
        <w:rPr>
          <w:rFonts w:asciiTheme="minorHAnsi" w:eastAsiaTheme="minorEastAsia" w:hAnsiTheme="minorHAnsi" w:cstheme="minorBidi"/>
          <w:sz w:val="22"/>
          <w:szCs w:val="22"/>
        </w:rPr>
      </w:pPr>
    </w:p>
    <w:p w14:paraId="02B243A6" w14:textId="63A3402C" w:rsidR="004F1158" w:rsidRPr="00E646BB" w:rsidRDefault="004F1158" w:rsidP="3C4AC61A">
      <w:pPr>
        <w:pStyle w:val="K-Text"/>
        <w:spacing w:line="240" w:lineRule="auto"/>
        <w:rPr>
          <w:rFonts w:asciiTheme="minorHAnsi" w:eastAsiaTheme="minorEastAsia" w:hAnsiTheme="minorHAnsi" w:cstheme="minorBidi"/>
          <w:sz w:val="22"/>
          <w:szCs w:val="22"/>
        </w:rPr>
      </w:pPr>
      <w:r w:rsidRPr="3C4AC61A">
        <w:rPr>
          <w:rFonts w:asciiTheme="minorHAnsi" w:eastAsiaTheme="minorEastAsia" w:hAnsiTheme="minorHAnsi" w:cstheme="minorBidi"/>
          <w:sz w:val="22"/>
          <w:szCs w:val="22"/>
        </w:rPr>
        <w:t>V rámci komponenty bude pr</w:t>
      </w:r>
      <w:r w:rsidR="00C44AA9" w:rsidRPr="3C4AC61A">
        <w:rPr>
          <w:rFonts w:asciiTheme="minorHAnsi" w:eastAsiaTheme="minorEastAsia" w:hAnsiTheme="minorHAnsi" w:cstheme="minorBidi"/>
          <w:sz w:val="22"/>
          <w:szCs w:val="22"/>
        </w:rPr>
        <w:t>o</w:t>
      </w:r>
      <w:r w:rsidRPr="3C4AC61A">
        <w:rPr>
          <w:rFonts w:asciiTheme="minorHAnsi" w:eastAsiaTheme="minorEastAsia" w:hAnsiTheme="minorHAnsi" w:cstheme="minorBidi"/>
          <w:sz w:val="22"/>
          <w:szCs w:val="22"/>
        </w:rPr>
        <w:t xml:space="preserve">to </w:t>
      </w:r>
      <w:r w:rsidR="00BD3C20" w:rsidRPr="3C4AC61A">
        <w:rPr>
          <w:rFonts w:asciiTheme="minorHAnsi" w:eastAsiaTheme="minorEastAsia" w:hAnsiTheme="minorHAnsi" w:cstheme="minorBidi"/>
          <w:sz w:val="22"/>
          <w:szCs w:val="22"/>
        </w:rPr>
        <w:t xml:space="preserve">nutno se </w:t>
      </w:r>
      <w:r w:rsidR="001D2656" w:rsidRPr="3C4AC61A">
        <w:rPr>
          <w:rFonts w:asciiTheme="minorHAnsi" w:eastAsiaTheme="minorEastAsia" w:hAnsiTheme="minorHAnsi" w:cstheme="minorBidi"/>
          <w:sz w:val="22"/>
          <w:szCs w:val="22"/>
        </w:rPr>
        <w:t xml:space="preserve">především </w:t>
      </w:r>
      <w:r w:rsidRPr="3C4AC61A">
        <w:rPr>
          <w:rFonts w:asciiTheme="minorHAnsi" w:eastAsiaTheme="minorEastAsia" w:hAnsiTheme="minorHAnsi" w:cstheme="minorBidi"/>
          <w:sz w:val="22"/>
          <w:szCs w:val="22"/>
        </w:rPr>
        <w:t>zam</w:t>
      </w:r>
      <w:r w:rsidR="00C44AA9" w:rsidRPr="3C4AC61A">
        <w:rPr>
          <w:rFonts w:asciiTheme="minorHAnsi" w:eastAsiaTheme="minorEastAsia" w:hAnsiTheme="minorHAnsi" w:cstheme="minorBidi"/>
          <w:sz w:val="22"/>
          <w:szCs w:val="22"/>
        </w:rPr>
        <w:t>ěř</w:t>
      </w:r>
      <w:r w:rsidR="00BD3C20" w:rsidRPr="3C4AC61A">
        <w:rPr>
          <w:rFonts w:asciiTheme="minorHAnsi" w:eastAsiaTheme="minorEastAsia" w:hAnsiTheme="minorHAnsi" w:cstheme="minorBidi"/>
          <w:sz w:val="22"/>
          <w:szCs w:val="22"/>
        </w:rPr>
        <w:t>it</w:t>
      </w:r>
      <w:r w:rsidRPr="3C4AC61A">
        <w:rPr>
          <w:rFonts w:asciiTheme="minorHAnsi" w:eastAsiaTheme="minorEastAsia" w:hAnsiTheme="minorHAnsi" w:cstheme="minorBidi"/>
          <w:sz w:val="22"/>
          <w:szCs w:val="22"/>
        </w:rPr>
        <w:t xml:space="preserve"> na podporu projekt</w:t>
      </w:r>
      <w:r w:rsidR="00F65FB6" w:rsidRPr="3C4AC61A">
        <w:rPr>
          <w:rFonts w:asciiTheme="minorHAnsi" w:eastAsiaTheme="minorEastAsia" w:hAnsiTheme="minorHAnsi" w:cstheme="minorBidi"/>
          <w:sz w:val="22"/>
          <w:szCs w:val="22"/>
        </w:rPr>
        <w:t>u vzniku E</w:t>
      </w:r>
      <w:r w:rsidR="00E426C8" w:rsidRPr="3C4AC61A">
        <w:rPr>
          <w:rFonts w:asciiTheme="minorHAnsi" w:eastAsiaTheme="minorEastAsia" w:hAnsiTheme="minorHAnsi" w:cstheme="minorBidi"/>
          <w:sz w:val="22"/>
          <w:szCs w:val="22"/>
        </w:rPr>
        <w:t>lektroe</w:t>
      </w:r>
      <w:r w:rsidR="00F65FB6" w:rsidRPr="3C4AC61A">
        <w:rPr>
          <w:rFonts w:asciiTheme="minorHAnsi" w:eastAsiaTheme="minorEastAsia" w:hAnsiTheme="minorHAnsi" w:cstheme="minorBidi"/>
          <w:sz w:val="22"/>
          <w:szCs w:val="22"/>
        </w:rPr>
        <w:t>nergetického datového centra</w:t>
      </w:r>
      <w:r w:rsidRPr="3C4AC61A">
        <w:rPr>
          <w:rFonts w:asciiTheme="minorHAnsi" w:eastAsiaTheme="minorEastAsia" w:hAnsiTheme="minorHAnsi" w:cstheme="minorBidi"/>
          <w:sz w:val="22"/>
          <w:szCs w:val="22"/>
        </w:rPr>
        <w:t>, kt</w:t>
      </w:r>
      <w:r w:rsidR="00C44AA9" w:rsidRPr="3C4AC61A">
        <w:rPr>
          <w:rFonts w:asciiTheme="minorHAnsi" w:eastAsiaTheme="minorEastAsia" w:hAnsiTheme="minorHAnsi" w:cstheme="minorBidi"/>
          <w:sz w:val="22"/>
          <w:szCs w:val="22"/>
        </w:rPr>
        <w:t>e</w:t>
      </w:r>
      <w:r w:rsidRPr="3C4AC61A">
        <w:rPr>
          <w:rFonts w:asciiTheme="minorHAnsi" w:eastAsiaTheme="minorEastAsia" w:hAnsiTheme="minorHAnsi" w:cstheme="minorBidi"/>
          <w:sz w:val="22"/>
          <w:szCs w:val="22"/>
        </w:rPr>
        <w:t xml:space="preserve">ré </w:t>
      </w:r>
      <w:r w:rsidR="00F4624D" w:rsidRPr="3C4AC61A">
        <w:rPr>
          <w:rFonts w:asciiTheme="minorHAnsi" w:eastAsiaTheme="minorEastAsia" w:hAnsiTheme="minorHAnsi" w:cstheme="minorBidi"/>
          <w:sz w:val="22"/>
          <w:szCs w:val="22"/>
        </w:rPr>
        <w:t>přímo podpoří a</w:t>
      </w:r>
      <w:r w:rsidR="00C44AA9" w:rsidRPr="3C4AC61A">
        <w:rPr>
          <w:rFonts w:asciiTheme="minorHAnsi" w:eastAsiaTheme="minorEastAsia" w:hAnsiTheme="minorHAnsi" w:cstheme="minorBidi"/>
          <w:sz w:val="22"/>
          <w:szCs w:val="22"/>
        </w:rPr>
        <w:t xml:space="preserve"> </w:t>
      </w:r>
      <w:r w:rsidR="00012DB3" w:rsidRPr="3C4AC61A">
        <w:rPr>
          <w:rFonts w:asciiTheme="minorHAnsi" w:eastAsiaTheme="minorEastAsia" w:hAnsiTheme="minorHAnsi" w:cstheme="minorBidi"/>
          <w:sz w:val="22"/>
          <w:szCs w:val="22"/>
        </w:rPr>
        <w:t>zajistí</w:t>
      </w:r>
      <w:r w:rsidR="00C44AA9" w:rsidRPr="3C4AC61A">
        <w:rPr>
          <w:rFonts w:asciiTheme="minorHAnsi" w:eastAsiaTheme="minorEastAsia" w:hAnsiTheme="minorHAnsi" w:cstheme="minorBidi"/>
          <w:sz w:val="22"/>
          <w:szCs w:val="22"/>
        </w:rPr>
        <w:t xml:space="preserve"> koordinac</w:t>
      </w:r>
      <w:r w:rsidR="00BD3C20" w:rsidRPr="3C4AC61A">
        <w:rPr>
          <w:rFonts w:asciiTheme="minorHAnsi" w:eastAsiaTheme="minorEastAsia" w:hAnsiTheme="minorHAnsi" w:cstheme="minorBidi"/>
          <w:sz w:val="22"/>
          <w:szCs w:val="22"/>
        </w:rPr>
        <w:t>i</w:t>
      </w:r>
      <w:r w:rsidR="00C44AA9" w:rsidRPr="3C4AC61A">
        <w:rPr>
          <w:rFonts w:asciiTheme="minorHAnsi" w:eastAsiaTheme="minorEastAsia" w:hAnsiTheme="minorHAnsi" w:cstheme="minorBidi"/>
          <w:sz w:val="22"/>
          <w:szCs w:val="22"/>
        </w:rPr>
        <w:t xml:space="preserve"> mezi provozovateli distribučních soustav, provozovatelem přenosové soustavy, výrobními zdroji a spotřebou </w:t>
      </w:r>
      <w:r w:rsidR="009A4D79" w:rsidRPr="3C4AC61A">
        <w:rPr>
          <w:rFonts w:asciiTheme="minorHAnsi" w:eastAsiaTheme="minorEastAsia" w:hAnsiTheme="minorHAnsi" w:cstheme="minorBidi"/>
          <w:sz w:val="22"/>
          <w:szCs w:val="22"/>
        </w:rPr>
        <w:t>v</w:t>
      </w:r>
      <w:r w:rsidR="00C44AA9" w:rsidRPr="3C4AC61A">
        <w:rPr>
          <w:rFonts w:asciiTheme="minorHAnsi" w:eastAsiaTheme="minorEastAsia" w:hAnsiTheme="minorHAnsi" w:cstheme="minorBidi"/>
          <w:sz w:val="22"/>
          <w:szCs w:val="22"/>
        </w:rPr>
        <w:t xml:space="preserve"> reáln</w:t>
      </w:r>
      <w:r w:rsidR="009A4D79" w:rsidRPr="3C4AC61A">
        <w:rPr>
          <w:rFonts w:asciiTheme="minorHAnsi" w:eastAsiaTheme="minorEastAsia" w:hAnsiTheme="minorHAnsi" w:cstheme="minorBidi"/>
          <w:sz w:val="22"/>
          <w:szCs w:val="22"/>
        </w:rPr>
        <w:t>em</w:t>
      </w:r>
      <w:r w:rsidR="00C44AA9" w:rsidRPr="3C4AC61A">
        <w:rPr>
          <w:rFonts w:asciiTheme="minorHAnsi" w:eastAsiaTheme="minorEastAsia" w:hAnsiTheme="minorHAnsi" w:cstheme="minorBidi"/>
          <w:sz w:val="22"/>
          <w:szCs w:val="22"/>
        </w:rPr>
        <w:t xml:space="preserve"> čas</w:t>
      </w:r>
      <w:r w:rsidR="003D574B" w:rsidRPr="3C4AC61A">
        <w:rPr>
          <w:rFonts w:asciiTheme="minorHAnsi" w:eastAsiaTheme="minorEastAsia" w:hAnsiTheme="minorHAnsi" w:cstheme="minorBidi"/>
          <w:sz w:val="22"/>
          <w:szCs w:val="22"/>
        </w:rPr>
        <w:t>e</w:t>
      </w:r>
      <w:r w:rsidR="00F65FB6" w:rsidRPr="3C4AC61A">
        <w:rPr>
          <w:rFonts w:asciiTheme="minorHAnsi" w:eastAsiaTheme="minorEastAsia" w:hAnsiTheme="minorHAnsi" w:cstheme="minorBidi"/>
          <w:sz w:val="22"/>
          <w:szCs w:val="22"/>
        </w:rPr>
        <w:t>, včetně participace agregátorů</w:t>
      </w:r>
      <w:r w:rsidR="009A4D79" w:rsidRPr="3C4AC61A">
        <w:rPr>
          <w:rFonts w:asciiTheme="minorHAnsi" w:eastAsiaTheme="minorEastAsia" w:hAnsiTheme="minorHAnsi" w:cstheme="minorBidi"/>
          <w:sz w:val="22"/>
          <w:szCs w:val="22"/>
        </w:rPr>
        <w:t>, přičemž</w:t>
      </w:r>
      <w:r w:rsidR="00C44AA9" w:rsidRPr="3C4AC61A">
        <w:rPr>
          <w:rFonts w:asciiTheme="minorHAnsi" w:eastAsiaTheme="minorEastAsia" w:hAnsiTheme="minorHAnsi" w:cstheme="minorBidi"/>
          <w:sz w:val="22"/>
          <w:szCs w:val="22"/>
        </w:rPr>
        <w:t xml:space="preserve"> bude nezbytné na jednom centrálním místě shromáždit průběhová data </w:t>
      </w:r>
      <w:r w:rsidR="00183DEC" w:rsidRPr="3C4AC61A">
        <w:rPr>
          <w:rFonts w:asciiTheme="minorHAnsi" w:eastAsiaTheme="minorEastAsia" w:hAnsiTheme="minorHAnsi" w:cstheme="minorBidi"/>
          <w:sz w:val="22"/>
          <w:szCs w:val="22"/>
        </w:rPr>
        <w:t>všech</w:t>
      </w:r>
      <w:r w:rsidR="00013CDF" w:rsidRPr="3C4AC61A">
        <w:rPr>
          <w:rFonts w:asciiTheme="minorHAnsi" w:eastAsiaTheme="minorEastAsia" w:hAnsiTheme="minorHAnsi" w:cstheme="minorBidi"/>
          <w:sz w:val="22"/>
          <w:szCs w:val="22"/>
        </w:rPr>
        <w:t xml:space="preserve"> výše uvedených </w:t>
      </w:r>
      <w:r w:rsidR="006D13AC" w:rsidRPr="3C4AC61A">
        <w:rPr>
          <w:rFonts w:asciiTheme="minorHAnsi" w:eastAsiaTheme="minorEastAsia" w:hAnsiTheme="minorHAnsi" w:cstheme="minorBidi"/>
          <w:sz w:val="22"/>
          <w:szCs w:val="22"/>
        </w:rPr>
        <w:t>zařízení</w:t>
      </w:r>
      <w:r w:rsidR="00C44AA9" w:rsidRPr="3C4AC61A">
        <w:rPr>
          <w:rFonts w:asciiTheme="minorHAnsi" w:eastAsiaTheme="minorEastAsia" w:hAnsiTheme="minorHAnsi" w:cstheme="minorBidi"/>
          <w:sz w:val="22"/>
          <w:szCs w:val="22"/>
        </w:rPr>
        <w:t xml:space="preserve"> </w:t>
      </w:r>
      <w:r w:rsidR="008A5D8C" w:rsidRPr="3C4AC61A">
        <w:rPr>
          <w:rFonts w:asciiTheme="minorHAnsi" w:eastAsiaTheme="minorEastAsia" w:hAnsiTheme="minorHAnsi" w:cstheme="minorBidi"/>
          <w:sz w:val="22"/>
          <w:szCs w:val="22"/>
        </w:rPr>
        <w:t xml:space="preserve">a zpracovávat </w:t>
      </w:r>
      <w:r w:rsidR="00C44AA9" w:rsidRPr="3C4AC61A">
        <w:rPr>
          <w:rFonts w:asciiTheme="minorHAnsi" w:eastAsiaTheme="minorEastAsia" w:hAnsiTheme="minorHAnsi" w:cstheme="minorBidi"/>
          <w:sz w:val="22"/>
          <w:szCs w:val="22"/>
        </w:rPr>
        <w:t xml:space="preserve">průběžné predikce </w:t>
      </w:r>
      <w:r w:rsidR="00C94E25" w:rsidRPr="3C4AC61A">
        <w:rPr>
          <w:rFonts w:asciiTheme="minorHAnsi" w:eastAsiaTheme="minorEastAsia" w:hAnsiTheme="minorHAnsi" w:cstheme="minorBidi"/>
          <w:sz w:val="22"/>
          <w:szCs w:val="22"/>
        </w:rPr>
        <w:t xml:space="preserve">chodu soustavy </w:t>
      </w:r>
      <w:r w:rsidR="00C44AA9" w:rsidRPr="3C4AC61A">
        <w:rPr>
          <w:rFonts w:asciiTheme="minorHAnsi" w:eastAsiaTheme="minorEastAsia" w:hAnsiTheme="minorHAnsi" w:cstheme="minorBidi"/>
          <w:sz w:val="22"/>
          <w:szCs w:val="22"/>
        </w:rPr>
        <w:t>a provádět optim</w:t>
      </w:r>
      <w:r w:rsidR="00FA74AA" w:rsidRPr="3C4AC61A">
        <w:rPr>
          <w:rFonts w:asciiTheme="minorHAnsi" w:eastAsiaTheme="minorEastAsia" w:hAnsiTheme="minorHAnsi" w:cstheme="minorBidi"/>
          <w:sz w:val="22"/>
          <w:szCs w:val="22"/>
        </w:rPr>
        <w:t>al</w:t>
      </w:r>
      <w:r w:rsidR="00C94E25" w:rsidRPr="3C4AC61A">
        <w:rPr>
          <w:rFonts w:asciiTheme="minorHAnsi" w:eastAsiaTheme="minorEastAsia" w:hAnsiTheme="minorHAnsi" w:cstheme="minorBidi"/>
          <w:sz w:val="22"/>
          <w:szCs w:val="22"/>
        </w:rPr>
        <w:t>izaci</w:t>
      </w:r>
      <w:r w:rsidR="00C44AA9" w:rsidRPr="3C4AC61A">
        <w:rPr>
          <w:rFonts w:asciiTheme="minorHAnsi" w:eastAsiaTheme="minorEastAsia" w:hAnsiTheme="minorHAnsi" w:cstheme="minorBidi"/>
          <w:sz w:val="22"/>
          <w:szCs w:val="22"/>
        </w:rPr>
        <w:t xml:space="preserve"> </w:t>
      </w:r>
      <w:r w:rsidR="001773FA" w:rsidRPr="3C4AC61A">
        <w:rPr>
          <w:rFonts w:asciiTheme="minorHAnsi" w:eastAsiaTheme="minorEastAsia" w:hAnsiTheme="minorHAnsi" w:cstheme="minorBidi"/>
          <w:sz w:val="22"/>
          <w:szCs w:val="22"/>
        </w:rPr>
        <w:t>využití decentrální výroby, flexibility v síti a veškerých forem akumulace</w:t>
      </w:r>
      <w:r w:rsidR="00C44AA9" w:rsidRPr="3C4AC61A">
        <w:rPr>
          <w:rFonts w:asciiTheme="minorHAnsi" w:eastAsiaTheme="minorEastAsia" w:hAnsiTheme="minorHAnsi" w:cstheme="minorBidi"/>
          <w:sz w:val="22"/>
          <w:szCs w:val="22"/>
        </w:rPr>
        <w:t xml:space="preserve">. </w:t>
      </w:r>
      <w:r w:rsidR="00FE4FA1" w:rsidRPr="3C4AC61A">
        <w:rPr>
          <w:rFonts w:asciiTheme="minorHAnsi" w:eastAsiaTheme="minorEastAsia" w:hAnsiTheme="minorHAnsi" w:cstheme="minorBidi"/>
          <w:sz w:val="22"/>
          <w:szCs w:val="22"/>
        </w:rPr>
        <w:t>Uvedená data</w:t>
      </w:r>
      <w:r w:rsidR="00C44AA9" w:rsidRPr="3C4AC61A">
        <w:rPr>
          <w:rFonts w:asciiTheme="minorHAnsi" w:eastAsiaTheme="minorEastAsia" w:hAnsiTheme="minorHAnsi" w:cstheme="minorBidi"/>
          <w:sz w:val="22"/>
          <w:szCs w:val="22"/>
        </w:rPr>
        <w:t xml:space="preserve"> </w:t>
      </w:r>
      <w:r w:rsidR="00FE4FA1" w:rsidRPr="3C4AC61A">
        <w:rPr>
          <w:rFonts w:asciiTheme="minorHAnsi" w:eastAsiaTheme="minorEastAsia" w:hAnsiTheme="minorHAnsi" w:cstheme="minorBidi"/>
          <w:sz w:val="22"/>
          <w:szCs w:val="22"/>
        </w:rPr>
        <w:t>budou</w:t>
      </w:r>
      <w:r w:rsidR="00C44AA9" w:rsidRPr="3C4AC61A">
        <w:rPr>
          <w:rFonts w:asciiTheme="minorHAnsi" w:eastAsiaTheme="minorEastAsia" w:hAnsiTheme="minorHAnsi" w:cstheme="minorBidi"/>
          <w:sz w:val="22"/>
          <w:szCs w:val="22"/>
        </w:rPr>
        <w:t xml:space="preserve"> v reálném čase pro potřeby všech </w:t>
      </w:r>
      <w:r w:rsidR="00F65FB6" w:rsidRPr="3C4AC61A">
        <w:rPr>
          <w:rFonts w:asciiTheme="minorHAnsi" w:eastAsiaTheme="minorEastAsia" w:hAnsiTheme="minorHAnsi" w:cstheme="minorBidi"/>
          <w:sz w:val="22"/>
          <w:szCs w:val="22"/>
        </w:rPr>
        <w:t xml:space="preserve">relevantních </w:t>
      </w:r>
      <w:r w:rsidR="00C44AA9" w:rsidRPr="3C4AC61A">
        <w:rPr>
          <w:rFonts w:asciiTheme="minorHAnsi" w:eastAsiaTheme="minorEastAsia" w:hAnsiTheme="minorHAnsi" w:cstheme="minorBidi"/>
          <w:sz w:val="22"/>
          <w:szCs w:val="22"/>
        </w:rPr>
        <w:t>účastníků trhu s</w:t>
      </w:r>
      <w:r w:rsidR="00F65FB6" w:rsidRPr="3C4AC61A">
        <w:rPr>
          <w:rFonts w:asciiTheme="minorHAnsi" w:eastAsiaTheme="minorEastAsia" w:hAnsiTheme="minorHAnsi" w:cstheme="minorBidi"/>
          <w:sz w:val="22"/>
          <w:szCs w:val="22"/>
        </w:rPr>
        <w:t> </w:t>
      </w:r>
      <w:r w:rsidR="00C44AA9" w:rsidRPr="3C4AC61A">
        <w:rPr>
          <w:rFonts w:asciiTheme="minorHAnsi" w:eastAsiaTheme="minorEastAsia" w:hAnsiTheme="minorHAnsi" w:cstheme="minorBidi"/>
          <w:sz w:val="22"/>
          <w:szCs w:val="22"/>
        </w:rPr>
        <w:t>elektřinou</w:t>
      </w:r>
      <w:r w:rsidR="00F65FB6" w:rsidRPr="3C4AC61A">
        <w:rPr>
          <w:rFonts w:asciiTheme="minorHAnsi" w:eastAsiaTheme="minorEastAsia" w:hAnsiTheme="minorHAnsi" w:cstheme="minorBidi"/>
          <w:sz w:val="22"/>
          <w:szCs w:val="22"/>
        </w:rPr>
        <w:t xml:space="preserve"> a státní správy</w:t>
      </w:r>
      <w:r w:rsidR="00C02D46" w:rsidRPr="3C4AC61A">
        <w:rPr>
          <w:rFonts w:asciiTheme="minorHAnsi" w:eastAsiaTheme="minorEastAsia" w:hAnsiTheme="minorHAnsi" w:cstheme="minorBidi"/>
          <w:sz w:val="22"/>
          <w:szCs w:val="22"/>
        </w:rPr>
        <w:t>.</w:t>
      </w:r>
    </w:p>
    <w:p w14:paraId="0BD9E371" w14:textId="77777777" w:rsidR="00736C36" w:rsidRPr="00E646BB" w:rsidRDefault="00736C36" w:rsidP="569F9CD4">
      <w:pPr>
        <w:pStyle w:val="K-Text"/>
        <w:spacing w:line="240" w:lineRule="auto"/>
        <w:rPr>
          <w:rFonts w:asciiTheme="minorHAnsi" w:eastAsiaTheme="minorEastAsia" w:hAnsiTheme="minorHAnsi" w:cstheme="minorHAnsi"/>
          <w:sz w:val="22"/>
          <w:szCs w:val="22"/>
        </w:rPr>
      </w:pPr>
    </w:p>
    <w:p w14:paraId="40F71901" w14:textId="270BE7A1" w:rsidR="002C20CF" w:rsidRPr="00E646BB" w:rsidRDefault="2306B366" w:rsidP="569F9CD4">
      <w:pPr>
        <w:pStyle w:val="Nadpis2"/>
        <w:spacing w:line="240" w:lineRule="auto"/>
        <w:rPr>
          <w:rStyle w:val="K-Nadpis2Char"/>
          <w:rFonts w:asciiTheme="minorHAnsi" w:eastAsiaTheme="minorEastAsia" w:hAnsiTheme="minorHAnsi" w:cstheme="minorHAnsi"/>
          <w:b/>
          <w:bCs/>
          <w:sz w:val="22"/>
          <w:szCs w:val="22"/>
        </w:rPr>
      </w:pPr>
      <w:r w:rsidRPr="00E646BB">
        <w:rPr>
          <w:rFonts w:asciiTheme="minorHAnsi" w:eastAsiaTheme="minorEastAsia" w:hAnsiTheme="minorHAnsi" w:cstheme="minorHAnsi"/>
          <w:sz w:val="22"/>
          <w:szCs w:val="22"/>
        </w:rPr>
        <w:t xml:space="preserve">2. </w:t>
      </w:r>
      <w:r w:rsidR="6149D8CA" w:rsidRPr="00E646BB">
        <w:rPr>
          <w:rStyle w:val="K-Nadpis2Char"/>
          <w:rFonts w:asciiTheme="minorHAnsi" w:eastAsiaTheme="minorEastAsia" w:hAnsiTheme="minorHAnsi" w:cstheme="minorHAnsi"/>
          <w:b/>
          <w:bCs/>
          <w:sz w:val="22"/>
          <w:szCs w:val="22"/>
        </w:rPr>
        <w:t>Hlavní výzvy a cíle</w:t>
      </w:r>
    </w:p>
    <w:p w14:paraId="0EC1DCF0" w14:textId="77777777" w:rsidR="005860C5" w:rsidRPr="00E646BB" w:rsidRDefault="005860C5" w:rsidP="005860C5"/>
    <w:p w14:paraId="6287199D" w14:textId="77777777" w:rsidR="002C20CF" w:rsidRPr="00E646BB" w:rsidRDefault="2306B366" w:rsidP="569F9CD4">
      <w:pPr>
        <w:pStyle w:val="Default"/>
        <w:spacing w:after="120"/>
        <w:jc w:val="both"/>
        <w:rPr>
          <w:rFonts w:asciiTheme="minorHAnsi" w:eastAsiaTheme="minorEastAsia" w:hAnsiTheme="minorHAnsi" w:cstheme="minorHAnsi"/>
          <w:b/>
          <w:bCs/>
          <w:sz w:val="22"/>
          <w:szCs w:val="22"/>
        </w:rPr>
      </w:pPr>
      <w:r w:rsidRPr="00E646BB">
        <w:rPr>
          <w:rStyle w:val="K-Nadpis3Char"/>
          <w:rFonts w:asciiTheme="minorHAnsi" w:eastAsiaTheme="minorEastAsia" w:hAnsiTheme="minorHAnsi" w:cstheme="minorHAnsi"/>
          <w:sz w:val="22"/>
          <w:szCs w:val="22"/>
        </w:rPr>
        <w:t xml:space="preserve">a) </w:t>
      </w:r>
      <w:r w:rsidR="6149D8CA" w:rsidRPr="00E646BB">
        <w:rPr>
          <w:rStyle w:val="K-Nadpis3Char"/>
          <w:rFonts w:asciiTheme="minorHAnsi" w:eastAsiaTheme="minorEastAsia" w:hAnsiTheme="minorHAnsi" w:cstheme="minorHAnsi"/>
          <w:sz w:val="22"/>
          <w:szCs w:val="22"/>
        </w:rPr>
        <w:t>Hlavní výzvy</w:t>
      </w:r>
    </w:p>
    <w:p w14:paraId="73EE79EB" w14:textId="77777777" w:rsidR="00CC7AF1" w:rsidRPr="00E646BB" w:rsidRDefault="003E0354" w:rsidP="569F9CD4">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Vzhledem k</w:t>
      </w:r>
      <w:r w:rsidR="00AE4F90" w:rsidRPr="00E646BB">
        <w:rPr>
          <w:rFonts w:asciiTheme="minorHAnsi" w:eastAsiaTheme="minorEastAsia" w:hAnsiTheme="minorHAnsi" w:cstheme="minorHAnsi"/>
          <w:sz w:val="22"/>
          <w:szCs w:val="22"/>
        </w:rPr>
        <w:t> tomu, že e</w:t>
      </w:r>
      <w:r w:rsidR="6C49629F" w:rsidRPr="00E646BB">
        <w:rPr>
          <w:rFonts w:asciiTheme="minorHAnsi" w:eastAsiaTheme="minorEastAsia" w:hAnsiTheme="minorHAnsi" w:cstheme="minorHAnsi"/>
          <w:sz w:val="22"/>
          <w:szCs w:val="22"/>
        </w:rPr>
        <w:t xml:space="preserve">nergetika ČR je stále založena </w:t>
      </w:r>
      <w:r w:rsidR="00AE4F90" w:rsidRPr="00E646BB">
        <w:rPr>
          <w:rFonts w:asciiTheme="minorHAnsi" w:eastAsiaTheme="minorEastAsia" w:hAnsiTheme="minorHAnsi" w:cstheme="minorHAnsi"/>
          <w:sz w:val="22"/>
          <w:szCs w:val="22"/>
        </w:rPr>
        <w:t xml:space="preserve">na využití centrálních </w:t>
      </w:r>
      <w:r w:rsidR="6C49629F" w:rsidRPr="00E646BB">
        <w:rPr>
          <w:rFonts w:asciiTheme="minorHAnsi" w:eastAsiaTheme="minorEastAsia" w:hAnsiTheme="minorHAnsi" w:cstheme="minorHAnsi"/>
          <w:sz w:val="22"/>
          <w:szCs w:val="22"/>
        </w:rPr>
        <w:t xml:space="preserve">fosilních </w:t>
      </w:r>
      <w:r w:rsidR="00AE4F90" w:rsidRPr="00E646BB">
        <w:rPr>
          <w:rFonts w:asciiTheme="minorHAnsi" w:eastAsiaTheme="minorEastAsia" w:hAnsiTheme="minorHAnsi" w:cstheme="minorHAnsi"/>
          <w:sz w:val="22"/>
          <w:szCs w:val="22"/>
        </w:rPr>
        <w:t>zdrojů</w:t>
      </w:r>
      <w:r w:rsidR="6C49629F" w:rsidRPr="00E646BB">
        <w:rPr>
          <w:rFonts w:asciiTheme="minorHAnsi" w:eastAsiaTheme="minorEastAsia" w:hAnsiTheme="minorHAnsi" w:cstheme="minorHAnsi"/>
          <w:sz w:val="22"/>
          <w:szCs w:val="22"/>
        </w:rPr>
        <w:t>,</w:t>
      </w:r>
      <w:r w:rsidR="6C49629F" w:rsidRPr="00E646BB" w:rsidDel="00AE4F90">
        <w:rPr>
          <w:rFonts w:asciiTheme="minorHAnsi" w:eastAsiaTheme="minorEastAsia" w:hAnsiTheme="minorHAnsi" w:cstheme="minorHAnsi"/>
          <w:sz w:val="22"/>
          <w:szCs w:val="22"/>
        </w:rPr>
        <w:t xml:space="preserve"> </w:t>
      </w:r>
      <w:r w:rsidR="6C49629F" w:rsidRPr="00E646BB">
        <w:rPr>
          <w:rFonts w:asciiTheme="minorHAnsi" w:eastAsiaTheme="minorEastAsia" w:hAnsiTheme="minorHAnsi" w:cstheme="minorHAnsi"/>
          <w:sz w:val="22"/>
          <w:szCs w:val="22"/>
        </w:rPr>
        <w:t xml:space="preserve">je </w:t>
      </w:r>
      <w:r w:rsidR="00AE4F90" w:rsidRPr="00E646BB">
        <w:rPr>
          <w:rFonts w:asciiTheme="minorHAnsi" w:eastAsiaTheme="minorEastAsia" w:hAnsiTheme="minorHAnsi" w:cstheme="minorHAnsi"/>
          <w:sz w:val="22"/>
          <w:szCs w:val="22"/>
        </w:rPr>
        <w:t xml:space="preserve">největší výzvou </w:t>
      </w:r>
      <w:r w:rsidR="6C49629F" w:rsidRPr="00E646BB">
        <w:rPr>
          <w:rFonts w:asciiTheme="minorHAnsi" w:eastAsiaTheme="minorEastAsia" w:hAnsiTheme="minorHAnsi" w:cstheme="minorHAnsi"/>
          <w:sz w:val="22"/>
          <w:szCs w:val="22"/>
        </w:rPr>
        <w:t xml:space="preserve">transformace energetiky </w:t>
      </w:r>
      <w:r w:rsidR="009C24DF" w:rsidRPr="00E646BB">
        <w:rPr>
          <w:rFonts w:asciiTheme="minorHAnsi" w:eastAsiaTheme="minorEastAsia" w:hAnsiTheme="minorHAnsi" w:cstheme="minorHAnsi"/>
          <w:sz w:val="22"/>
          <w:szCs w:val="22"/>
        </w:rPr>
        <w:t xml:space="preserve">její </w:t>
      </w:r>
      <w:r w:rsidR="6C49629F" w:rsidRPr="00E646BB">
        <w:rPr>
          <w:rFonts w:asciiTheme="minorHAnsi" w:eastAsiaTheme="minorEastAsia" w:hAnsiTheme="minorHAnsi" w:cstheme="minorHAnsi"/>
          <w:sz w:val="22"/>
          <w:szCs w:val="22"/>
        </w:rPr>
        <w:t xml:space="preserve">přechod na bezemisní zdroje </w:t>
      </w:r>
      <w:r w:rsidR="00580DD6" w:rsidRPr="00E646BB">
        <w:rPr>
          <w:rFonts w:asciiTheme="minorHAnsi" w:eastAsiaTheme="minorEastAsia" w:hAnsiTheme="minorHAnsi" w:cstheme="minorHAnsi"/>
          <w:sz w:val="22"/>
          <w:szCs w:val="22"/>
        </w:rPr>
        <w:t>při současném zachování stability soustavy</w:t>
      </w:r>
      <w:r w:rsidR="00133487" w:rsidRPr="00E646BB">
        <w:rPr>
          <w:rFonts w:asciiTheme="minorHAnsi" w:eastAsiaTheme="minorEastAsia" w:hAnsiTheme="minorHAnsi" w:cstheme="minorHAnsi"/>
          <w:sz w:val="22"/>
          <w:szCs w:val="22"/>
        </w:rPr>
        <w:t xml:space="preserve">. </w:t>
      </w:r>
      <w:r w:rsidR="6C49629F" w:rsidRPr="00E646BB">
        <w:rPr>
          <w:rFonts w:asciiTheme="minorHAnsi" w:eastAsiaTheme="minorEastAsia" w:hAnsiTheme="minorHAnsi" w:cstheme="minorHAnsi"/>
          <w:sz w:val="22"/>
          <w:szCs w:val="22"/>
        </w:rPr>
        <w:t xml:space="preserve"> </w:t>
      </w:r>
    </w:p>
    <w:p w14:paraId="1EC81D11" w14:textId="77777777" w:rsidR="00991D6F" w:rsidRPr="00E646BB" w:rsidRDefault="000A7B21" w:rsidP="00FB1A40">
      <w:pPr>
        <w:pStyle w:val="00Body"/>
        <w:spacing w:line="240" w:lineRule="auto"/>
        <w:jc w:val="both"/>
        <w:rPr>
          <w:rFonts w:asciiTheme="minorHAnsi" w:eastAsiaTheme="minorEastAsia" w:hAnsiTheme="minorHAnsi" w:cstheme="minorHAnsi"/>
          <w:szCs w:val="22"/>
          <w:lang w:val="cs-CZ"/>
        </w:rPr>
      </w:pPr>
      <w:r w:rsidRPr="00E646BB">
        <w:rPr>
          <w:rFonts w:asciiTheme="minorHAnsi" w:eastAsiaTheme="minorEastAsia" w:hAnsiTheme="minorHAnsi" w:cstheme="minorHAnsi"/>
          <w:szCs w:val="22"/>
          <w:lang w:val="cs-CZ"/>
        </w:rPr>
        <w:t xml:space="preserve">Pro očekávaný rozvoj OZE bude nezbytné </w:t>
      </w:r>
      <w:r w:rsidR="00F65FB6" w:rsidRPr="00E646BB">
        <w:rPr>
          <w:rFonts w:asciiTheme="minorHAnsi" w:eastAsiaTheme="minorEastAsia" w:hAnsiTheme="minorHAnsi" w:cstheme="minorHAnsi"/>
          <w:szCs w:val="22"/>
          <w:lang w:val="cs-CZ"/>
        </w:rPr>
        <w:t xml:space="preserve">zajistit </w:t>
      </w:r>
      <w:r w:rsidR="007D6988" w:rsidRPr="00E646BB">
        <w:rPr>
          <w:rFonts w:asciiTheme="minorHAnsi" w:eastAsiaTheme="minorEastAsia" w:hAnsiTheme="minorHAnsi" w:cstheme="minorHAnsi"/>
          <w:szCs w:val="22"/>
          <w:lang w:val="cs-CZ"/>
        </w:rPr>
        <w:t>dostatečnou</w:t>
      </w:r>
      <w:r w:rsidRPr="00E646BB">
        <w:rPr>
          <w:rFonts w:asciiTheme="minorHAnsi" w:eastAsiaTheme="minorEastAsia" w:hAnsiTheme="minorHAnsi" w:cstheme="minorHAnsi"/>
          <w:szCs w:val="22"/>
          <w:lang w:val="cs-CZ"/>
        </w:rPr>
        <w:t xml:space="preserve"> propustnost soustavy, respektive </w:t>
      </w:r>
      <w:r w:rsidR="007D6988" w:rsidRPr="00E646BB">
        <w:rPr>
          <w:rFonts w:asciiTheme="minorHAnsi" w:eastAsiaTheme="minorEastAsia" w:hAnsiTheme="minorHAnsi" w:cstheme="minorHAnsi"/>
          <w:szCs w:val="22"/>
          <w:lang w:val="cs-CZ"/>
        </w:rPr>
        <w:t xml:space="preserve">využívat </w:t>
      </w:r>
      <w:r w:rsidRPr="00E646BB">
        <w:rPr>
          <w:rFonts w:asciiTheme="minorHAnsi" w:eastAsiaTheme="minorEastAsia" w:hAnsiTheme="minorHAnsi" w:cstheme="minorHAnsi"/>
          <w:szCs w:val="22"/>
          <w:lang w:val="cs-CZ"/>
        </w:rPr>
        <w:t>její flexibilitu</w:t>
      </w:r>
      <w:r w:rsidR="00F65FB6" w:rsidRPr="00E646BB">
        <w:rPr>
          <w:rFonts w:asciiTheme="minorHAnsi" w:eastAsiaTheme="minorEastAsia" w:hAnsiTheme="minorHAnsi" w:cstheme="minorHAnsi"/>
          <w:szCs w:val="22"/>
          <w:lang w:val="cs-CZ"/>
        </w:rPr>
        <w:t xml:space="preserve"> a spolu s rozvojem kapacit sítí optimalizovat i jejich využití</w:t>
      </w:r>
      <w:r w:rsidRPr="00E646BB">
        <w:rPr>
          <w:rFonts w:asciiTheme="minorHAnsi" w:eastAsiaTheme="minorEastAsia" w:hAnsiTheme="minorHAnsi" w:cstheme="minorHAnsi"/>
          <w:szCs w:val="22"/>
          <w:lang w:val="cs-CZ"/>
        </w:rPr>
        <w:t xml:space="preserve">. Aby se předešlo ohrožení stability celé soustavy spojeného s nárůstem objemu intermitentních zdrojů </w:t>
      </w:r>
      <w:r w:rsidR="001805A8" w:rsidRPr="00E646BB">
        <w:rPr>
          <w:rFonts w:asciiTheme="minorHAnsi" w:eastAsiaTheme="minorEastAsia" w:hAnsiTheme="minorHAnsi" w:cstheme="minorHAnsi"/>
          <w:szCs w:val="22"/>
          <w:lang w:val="cs-CZ"/>
        </w:rPr>
        <w:t>nebo flexibility</w:t>
      </w:r>
      <w:r w:rsidRPr="00E646BB">
        <w:rPr>
          <w:rFonts w:asciiTheme="minorHAnsi" w:eastAsiaTheme="minorEastAsia" w:hAnsiTheme="minorHAnsi" w:cstheme="minorHAnsi"/>
          <w:szCs w:val="22"/>
          <w:lang w:val="cs-CZ"/>
        </w:rPr>
        <w:t xml:space="preserve">, </w:t>
      </w:r>
      <w:r w:rsidR="000D6D87" w:rsidRPr="00E646BB">
        <w:rPr>
          <w:rFonts w:asciiTheme="minorHAnsi" w:eastAsiaTheme="minorEastAsia" w:hAnsiTheme="minorHAnsi" w:cstheme="minorHAnsi"/>
          <w:szCs w:val="22"/>
          <w:lang w:val="cs-CZ"/>
        </w:rPr>
        <w:t>využívá</w:t>
      </w:r>
      <w:r w:rsidRPr="00E646BB">
        <w:rPr>
          <w:rFonts w:asciiTheme="minorHAnsi" w:eastAsiaTheme="minorEastAsia" w:hAnsiTheme="minorHAnsi" w:cstheme="minorHAnsi"/>
          <w:szCs w:val="22"/>
          <w:lang w:val="cs-CZ"/>
        </w:rPr>
        <w:t xml:space="preserve"> provozovatel přenosové soustavy </w:t>
      </w:r>
      <w:r w:rsidR="003B6973" w:rsidRPr="00E646BB">
        <w:rPr>
          <w:rFonts w:asciiTheme="minorHAnsi" w:eastAsiaTheme="minorEastAsia" w:hAnsiTheme="minorHAnsi" w:cstheme="minorHAnsi"/>
          <w:szCs w:val="22"/>
          <w:lang w:val="cs-CZ"/>
        </w:rPr>
        <w:t>(ČEPS)</w:t>
      </w:r>
      <w:r w:rsidR="00F65FB6" w:rsidRPr="00E646BB">
        <w:rPr>
          <w:rFonts w:asciiTheme="minorHAnsi" w:eastAsiaTheme="minorEastAsia" w:hAnsiTheme="minorHAnsi" w:cstheme="minorHAnsi"/>
          <w:szCs w:val="22"/>
          <w:lang w:val="cs-CZ"/>
        </w:rPr>
        <w:t xml:space="preserve"> </w:t>
      </w:r>
      <w:r w:rsidRPr="00E646BB">
        <w:rPr>
          <w:rFonts w:asciiTheme="minorHAnsi" w:eastAsiaTheme="minorEastAsia" w:hAnsiTheme="minorHAnsi" w:cstheme="minorHAnsi"/>
          <w:szCs w:val="22"/>
          <w:lang w:val="cs-CZ"/>
        </w:rPr>
        <w:t>pomocí podpůrných služeb</w:t>
      </w:r>
      <w:r w:rsidR="00CB2F87" w:rsidRPr="00E646BB">
        <w:rPr>
          <w:rFonts w:asciiTheme="minorHAnsi" w:eastAsiaTheme="minorEastAsia" w:hAnsiTheme="minorHAnsi" w:cstheme="minorHAnsi"/>
          <w:szCs w:val="22"/>
          <w:lang w:val="cs-CZ"/>
        </w:rPr>
        <w:t>, jejichž výkon je dnes téměř výhradně zajišťován</w:t>
      </w:r>
      <w:r w:rsidRPr="00E646BB">
        <w:rPr>
          <w:rFonts w:asciiTheme="minorHAnsi" w:eastAsiaTheme="minorEastAsia" w:hAnsiTheme="minorHAnsi" w:cstheme="minorHAnsi"/>
          <w:szCs w:val="22"/>
          <w:lang w:val="cs-CZ"/>
        </w:rPr>
        <w:t xml:space="preserve"> zdroj</w:t>
      </w:r>
      <w:r w:rsidR="00CB2F87" w:rsidRPr="00E646BB">
        <w:rPr>
          <w:rFonts w:asciiTheme="minorHAnsi" w:eastAsiaTheme="minorEastAsia" w:hAnsiTheme="minorHAnsi" w:cstheme="minorHAnsi"/>
          <w:szCs w:val="22"/>
          <w:lang w:val="cs-CZ"/>
        </w:rPr>
        <w:t>i</w:t>
      </w:r>
      <w:r w:rsidRPr="00E646BB">
        <w:rPr>
          <w:rFonts w:asciiTheme="minorHAnsi" w:eastAsiaTheme="minorEastAsia" w:hAnsiTheme="minorHAnsi" w:cstheme="minorHAnsi"/>
          <w:szCs w:val="22"/>
          <w:lang w:val="cs-CZ"/>
        </w:rPr>
        <w:t xml:space="preserve"> na fosilní paliva</w:t>
      </w:r>
      <w:r w:rsidR="007517E3" w:rsidRPr="00E646BB">
        <w:rPr>
          <w:rFonts w:asciiTheme="minorHAnsi" w:eastAsiaTheme="minorEastAsia" w:hAnsiTheme="minorHAnsi" w:cstheme="minorHAnsi"/>
          <w:szCs w:val="22"/>
          <w:lang w:val="cs-CZ"/>
        </w:rPr>
        <w:t xml:space="preserve"> (</w:t>
      </w:r>
      <w:r w:rsidRPr="00E646BB">
        <w:rPr>
          <w:rFonts w:asciiTheme="minorHAnsi" w:eastAsiaTheme="minorEastAsia" w:hAnsiTheme="minorHAnsi" w:cstheme="minorHAnsi"/>
          <w:szCs w:val="22"/>
          <w:lang w:val="cs-CZ"/>
        </w:rPr>
        <w:t>využívání jaderných elektráren je z pohledu poskytování PpS velmi omezené</w:t>
      </w:r>
      <w:r w:rsidR="007517E3" w:rsidRPr="00E646BB">
        <w:rPr>
          <w:rFonts w:asciiTheme="minorHAnsi" w:eastAsiaTheme="minorEastAsia" w:hAnsiTheme="minorHAnsi" w:cstheme="minorHAnsi"/>
          <w:szCs w:val="22"/>
          <w:lang w:val="cs-CZ"/>
        </w:rPr>
        <w:t>)</w:t>
      </w:r>
      <w:r w:rsidRPr="00E646BB">
        <w:rPr>
          <w:rFonts w:asciiTheme="minorHAnsi" w:eastAsiaTheme="minorEastAsia" w:hAnsiTheme="minorHAnsi" w:cstheme="minorHAnsi"/>
          <w:szCs w:val="22"/>
          <w:lang w:val="cs-CZ"/>
        </w:rPr>
        <w:t xml:space="preserve">. </w:t>
      </w:r>
      <w:r w:rsidR="0049577B" w:rsidRPr="00E646BB">
        <w:rPr>
          <w:rFonts w:asciiTheme="minorHAnsi" w:eastAsiaTheme="minorEastAsia" w:hAnsiTheme="minorHAnsi" w:cstheme="minorHAnsi"/>
          <w:szCs w:val="22"/>
          <w:lang w:val="cs-CZ"/>
        </w:rPr>
        <w:t xml:space="preserve">Je proto kritickým zájmem ČR zajistit dostatečně rychlou náhradu konvenčních zdrojů </w:t>
      </w:r>
      <w:r w:rsidRPr="00E646BB">
        <w:rPr>
          <w:rFonts w:asciiTheme="minorHAnsi" w:eastAsiaTheme="minorEastAsia" w:hAnsiTheme="minorHAnsi" w:cstheme="minorHAnsi"/>
          <w:szCs w:val="22"/>
          <w:lang w:val="cs-CZ"/>
        </w:rPr>
        <w:t>agregac</w:t>
      </w:r>
      <w:r w:rsidR="00850054" w:rsidRPr="00E646BB">
        <w:rPr>
          <w:rFonts w:asciiTheme="minorHAnsi" w:eastAsiaTheme="minorEastAsia" w:hAnsiTheme="minorHAnsi" w:cstheme="minorHAnsi"/>
          <w:szCs w:val="22"/>
          <w:lang w:val="cs-CZ"/>
        </w:rPr>
        <w:t>í</w:t>
      </w:r>
      <w:r w:rsidRPr="00E646BB">
        <w:rPr>
          <w:rFonts w:asciiTheme="minorHAnsi" w:eastAsiaTheme="minorEastAsia" w:hAnsiTheme="minorHAnsi" w:cstheme="minorHAnsi"/>
          <w:szCs w:val="22"/>
          <w:lang w:val="cs-CZ"/>
        </w:rPr>
        <w:t xml:space="preserve"> flexibility, přičemž právě zapojení do služeb výkonové rovnováhy </w:t>
      </w:r>
      <w:r w:rsidR="00C73879" w:rsidRPr="00E646BB">
        <w:rPr>
          <w:rFonts w:asciiTheme="minorHAnsi" w:eastAsiaTheme="minorEastAsia" w:hAnsiTheme="minorHAnsi" w:cstheme="minorHAnsi"/>
          <w:szCs w:val="22"/>
          <w:lang w:val="cs-CZ"/>
        </w:rPr>
        <w:t xml:space="preserve">ČEPS </w:t>
      </w:r>
      <w:r w:rsidRPr="00E646BB">
        <w:rPr>
          <w:rFonts w:asciiTheme="minorHAnsi" w:eastAsiaTheme="minorEastAsia" w:hAnsiTheme="minorHAnsi" w:cstheme="minorHAnsi"/>
          <w:szCs w:val="22"/>
          <w:lang w:val="cs-CZ"/>
        </w:rPr>
        <w:t xml:space="preserve">je jednou z hlavních možností zhodnocení flexibility. </w:t>
      </w:r>
    </w:p>
    <w:p w14:paraId="7E0FCFD7" w14:textId="77777777" w:rsidR="00FB1A40" w:rsidRPr="00E646BB" w:rsidRDefault="000A7B21" w:rsidP="00FB1A40">
      <w:pPr>
        <w:pStyle w:val="00Body"/>
        <w:spacing w:line="240" w:lineRule="auto"/>
        <w:jc w:val="both"/>
        <w:rPr>
          <w:rFonts w:asciiTheme="minorHAnsi" w:eastAsiaTheme="minorEastAsia" w:hAnsiTheme="minorHAnsi" w:cstheme="minorHAnsi"/>
          <w:szCs w:val="22"/>
          <w:lang w:val="cs-CZ"/>
        </w:rPr>
      </w:pPr>
      <w:r w:rsidRPr="00E646BB">
        <w:rPr>
          <w:rFonts w:asciiTheme="minorHAnsi" w:eastAsiaTheme="minorEastAsia" w:hAnsiTheme="minorHAnsi" w:cstheme="minorHAnsi"/>
          <w:szCs w:val="22"/>
          <w:lang w:val="cs-CZ"/>
        </w:rPr>
        <w:t xml:space="preserve">Na druhé straně přechod k dekarbonizované energetice je v současnosti motivován také vojenskou agresí Ruska vůči Ukrajině a </w:t>
      </w:r>
      <w:r w:rsidR="00581FB8" w:rsidRPr="00E646BB">
        <w:rPr>
          <w:rFonts w:asciiTheme="minorHAnsi" w:eastAsiaTheme="minorEastAsia" w:hAnsiTheme="minorHAnsi" w:cstheme="minorHAnsi"/>
          <w:szCs w:val="22"/>
          <w:lang w:val="cs-CZ"/>
        </w:rPr>
        <w:t>souvisejícím růstem</w:t>
      </w:r>
      <w:r w:rsidRPr="00E646BB">
        <w:rPr>
          <w:rFonts w:asciiTheme="minorHAnsi" w:eastAsiaTheme="minorEastAsia" w:hAnsiTheme="minorHAnsi" w:cstheme="minorHAnsi"/>
          <w:szCs w:val="22"/>
          <w:lang w:val="cs-CZ"/>
        </w:rPr>
        <w:t xml:space="preserve"> cen fosilních paliv. Právě rozvoj koncept</w:t>
      </w:r>
      <w:r w:rsidR="001D28BA" w:rsidRPr="00E646BB">
        <w:rPr>
          <w:rFonts w:asciiTheme="minorHAnsi" w:eastAsiaTheme="minorEastAsia" w:hAnsiTheme="minorHAnsi" w:cstheme="minorHAnsi"/>
          <w:szCs w:val="22"/>
          <w:lang w:val="cs-CZ"/>
        </w:rPr>
        <w:t>ů</w:t>
      </w:r>
      <w:r w:rsidRPr="00E646BB">
        <w:rPr>
          <w:rFonts w:asciiTheme="minorHAnsi" w:eastAsiaTheme="minorEastAsia" w:hAnsiTheme="minorHAnsi" w:cstheme="minorHAnsi"/>
          <w:szCs w:val="22"/>
          <w:lang w:val="cs-CZ"/>
        </w:rPr>
        <w:t xml:space="preserve"> aktivních odběratelů, energetických společenství a možnosti sdílení nebo uskladňování elektřiny může podpořit snížení nákladů na energie na úrovni domácností</w:t>
      </w:r>
      <w:r w:rsidR="0051102F" w:rsidRPr="00E646BB">
        <w:rPr>
          <w:rFonts w:asciiTheme="minorHAnsi" w:eastAsiaTheme="minorEastAsia" w:hAnsiTheme="minorHAnsi" w:cstheme="minorHAnsi"/>
          <w:szCs w:val="22"/>
          <w:lang w:val="cs-CZ"/>
        </w:rPr>
        <w:t>.</w:t>
      </w:r>
      <w:r w:rsidR="00FB1A40" w:rsidRPr="00E646BB">
        <w:rPr>
          <w:rFonts w:asciiTheme="minorHAnsi" w:eastAsiaTheme="minorEastAsia" w:hAnsiTheme="minorHAnsi" w:cstheme="minorHAnsi"/>
          <w:noProof/>
          <w:szCs w:val="22"/>
          <w:lang w:val="cs-CZ"/>
        </w:rPr>
        <w:t xml:space="preserve"> </w:t>
      </w:r>
    </w:p>
    <w:p w14:paraId="3FA573ED" w14:textId="77777777" w:rsidR="00FB1A40" w:rsidRPr="00E646BB" w:rsidDel="00FB1A40" w:rsidRDefault="00FB1A40" w:rsidP="00FB1A40">
      <w:pPr>
        <w:pStyle w:val="00Body"/>
        <w:spacing w:line="240" w:lineRule="auto"/>
        <w:jc w:val="both"/>
        <w:rPr>
          <w:rFonts w:asciiTheme="minorHAnsi" w:eastAsiaTheme="minorEastAsia" w:hAnsiTheme="minorHAnsi" w:cstheme="minorHAnsi"/>
          <w:noProof/>
          <w:szCs w:val="22"/>
          <w:lang w:val="cs-CZ"/>
        </w:rPr>
      </w:pPr>
      <w:r w:rsidRPr="00E646BB">
        <w:rPr>
          <w:rFonts w:asciiTheme="minorHAnsi" w:eastAsiaTheme="minorEastAsia" w:hAnsiTheme="minorHAnsi" w:cstheme="minorHAnsi"/>
          <w:noProof/>
          <w:szCs w:val="22"/>
          <w:lang w:val="cs-CZ"/>
        </w:rPr>
        <w:t xml:space="preserve">Přechod na nízkouhlíkové hospodářství zapadá do celkového kontextu obnovy ekonomiky. Proces </w:t>
      </w:r>
      <w:r w:rsidR="006E1ADF" w:rsidRPr="00E646BB">
        <w:rPr>
          <w:rFonts w:asciiTheme="minorHAnsi" w:eastAsiaTheme="minorEastAsia" w:hAnsiTheme="minorHAnsi" w:cstheme="minorHAnsi"/>
          <w:noProof/>
          <w:szCs w:val="22"/>
          <w:lang w:val="cs-CZ"/>
        </w:rPr>
        <w:t>transformace</w:t>
      </w:r>
      <w:r w:rsidRPr="00E646BB">
        <w:rPr>
          <w:rFonts w:asciiTheme="minorHAnsi" w:eastAsiaTheme="minorEastAsia" w:hAnsiTheme="minorHAnsi" w:cstheme="minorHAnsi"/>
          <w:noProof/>
          <w:szCs w:val="22"/>
          <w:lang w:val="cs-CZ"/>
        </w:rPr>
        <w:t xml:space="preserve"> </w:t>
      </w:r>
      <w:r w:rsidR="000C2A5C" w:rsidRPr="00E646BB">
        <w:rPr>
          <w:rFonts w:asciiTheme="minorHAnsi" w:eastAsiaTheme="minorEastAsia" w:hAnsiTheme="minorHAnsi" w:cstheme="minorHAnsi"/>
          <w:noProof/>
          <w:szCs w:val="22"/>
          <w:lang w:val="cs-CZ"/>
        </w:rPr>
        <w:t>hospodářství členského státu</w:t>
      </w:r>
      <w:r w:rsidRPr="00E646BB">
        <w:rPr>
          <w:rFonts w:asciiTheme="minorHAnsi" w:eastAsiaTheme="minorEastAsia" w:hAnsiTheme="minorHAnsi" w:cstheme="minorHAnsi"/>
          <w:noProof/>
          <w:szCs w:val="22"/>
          <w:lang w:val="cs-CZ"/>
        </w:rPr>
        <w:t xml:space="preserve"> je </w:t>
      </w:r>
      <w:r w:rsidR="004D7C1D" w:rsidRPr="00E646BB">
        <w:rPr>
          <w:rFonts w:asciiTheme="minorHAnsi" w:eastAsiaTheme="minorEastAsia" w:hAnsiTheme="minorHAnsi" w:cstheme="minorHAnsi"/>
          <w:noProof/>
          <w:szCs w:val="22"/>
          <w:lang w:val="cs-CZ"/>
        </w:rPr>
        <w:t>nutné</w:t>
      </w:r>
      <w:r w:rsidRPr="00E646BB">
        <w:rPr>
          <w:rFonts w:asciiTheme="minorHAnsi" w:eastAsiaTheme="minorEastAsia" w:hAnsiTheme="minorHAnsi" w:cstheme="minorHAnsi"/>
          <w:noProof/>
          <w:szCs w:val="22"/>
          <w:lang w:val="cs-CZ"/>
        </w:rPr>
        <w:t xml:space="preserve"> vnímat jako </w:t>
      </w:r>
      <w:r w:rsidR="004D7C1D" w:rsidRPr="00E646BB">
        <w:rPr>
          <w:rFonts w:asciiTheme="minorHAnsi" w:eastAsiaTheme="minorEastAsia" w:hAnsiTheme="minorHAnsi" w:cstheme="minorHAnsi"/>
          <w:noProof/>
          <w:szCs w:val="22"/>
          <w:lang w:val="cs-CZ"/>
        </w:rPr>
        <w:t xml:space="preserve">propojený s </w:t>
      </w:r>
      <w:r w:rsidRPr="00E646BB">
        <w:rPr>
          <w:rFonts w:asciiTheme="minorHAnsi" w:eastAsiaTheme="minorEastAsia" w:hAnsiTheme="minorHAnsi" w:cstheme="minorHAnsi"/>
          <w:noProof/>
          <w:szCs w:val="22"/>
          <w:lang w:val="cs-CZ"/>
        </w:rPr>
        <w:t>transformac</w:t>
      </w:r>
      <w:r w:rsidR="004D7C1D" w:rsidRPr="00E646BB">
        <w:rPr>
          <w:rFonts w:asciiTheme="minorHAnsi" w:eastAsiaTheme="minorEastAsia" w:hAnsiTheme="minorHAnsi" w:cstheme="minorHAnsi"/>
          <w:noProof/>
          <w:szCs w:val="22"/>
          <w:lang w:val="cs-CZ"/>
        </w:rPr>
        <w:t>í</w:t>
      </w:r>
      <w:r w:rsidRPr="00E646BB">
        <w:rPr>
          <w:rFonts w:asciiTheme="minorHAnsi" w:eastAsiaTheme="minorEastAsia" w:hAnsiTheme="minorHAnsi" w:cstheme="minorHAnsi"/>
          <w:noProof/>
          <w:szCs w:val="22"/>
          <w:lang w:val="cs-CZ"/>
        </w:rPr>
        <w:t xml:space="preserve"> energetického sektoru</w:t>
      </w:r>
      <w:r w:rsidRPr="00E646BB" w:rsidDel="004D7C1D">
        <w:rPr>
          <w:rFonts w:asciiTheme="minorHAnsi" w:eastAsiaTheme="minorEastAsia" w:hAnsiTheme="minorHAnsi" w:cstheme="minorHAnsi"/>
          <w:noProof/>
          <w:szCs w:val="22"/>
          <w:lang w:val="cs-CZ"/>
        </w:rPr>
        <w:t xml:space="preserve">, </w:t>
      </w:r>
      <w:r w:rsidR="00532333" w:rsidRPr="00E646BB">
        <w:rPr>
          <w:rFonts w:asciiTheme="minorHAnsi" w:eastAsiaTheme="minorEastAsia" w:hAnsiTheme="minorHAnsi" w:cstheme="minorHAnsi"/>
          <w:noProof/>
          <w:szCs w:val="22"/>
          <w:lang w:val="cs-CZ"/>
        </w:rPr>
        <w:t xml:space="preserve">kterého musí být dosaženo </w:t>
      </w:r>
      <w:r w:rsidR="006D47DF" w:rsidRPr="00E646BB">
        <w:rPr>
          <w:rFonts w:asciiTheme="minorHAnsi" w:eastAsiaTheme="minorEastAsia" w:hAnsiTheme="minorHAnsi" w:cstheme="minorHAnsi"/>
          <w:noProof/>
          <w:szCs w:val="22"/>
          <w:lang w:val="cs-CZ"/>
        </w:rPr>
        <w:t xml:space="preserve">sociálně </w:t>
      </w:r>
      <w:r w:rsidR="002657D9" w:rsidRPr="00E646BB">
        <w:rPr>
          <w:rFonts w:asciiTheme="minorHAnsi" w:eastAsiaTheme="minorEastAsia" w:hAnsiTheme="minorHAnsi" w:cstheme="minorHAnsi"/>
          <w:noProof/>
          <w:szCs w:val="22"/>
          <w:lang w:val="cs-CZ"/>
        </w:rPr>
        <w:t>přijatelným</w:t>
      </w:r>
      <w:r w:rsidR="006D47DF" w:rsidRPr="00E646BB">
        <w:rPr>
          <w:rFonts w:asciiTheme="minorHAnsi" w:eastAsiaTheme="minorEastAsia" w:hAnsiTheme="minorHAnsi" w:cstheme="minorHAnsi"/>
          <w:noProof/>
          <w:szCs w:val="22"/>
          <w:lang w:val="cs-CZ"/>
        </w:rPr>
        <w:t xml:space="preserve"> způsobem</w:t>
      </w:r>
      <w:r w:rsidRPr="00E646BB" w:rsidDel="002657D9">
        <w:rPr>
          <w:rFonts w:asciiTheme="minorHAnsi" w:eastAsiaTheme="minorEastAsia" w:hAnsiTheme="minorHAnsi" w:cstheme="minorHAnsi"/>
          <w:noProof/>
          <w:szCs w:val="22"/>
          <w:lang w:val="cs-CZ"/>
        </w:rPr>
        <w:t xml:space="preserve">. </w:t>
      </w:r>
      <w:r w:rsidRPr="00E646BB">
        <w:rPr>
          <w:rFonts w:asciiTheme="minorHAnsi" w:eastAsiaTheme="minorEastAsia" w:hAnsiTheme="minorHAnsi" w:cstheme="minorHAnsi"/>
          <w:noProof/>
          <w:szCs w:val="22"/>
          <w:lang w:val="cs-CZ"/>
        </w:rPr>
        <w:t>Komponenta reflektuje uvedená doporučení</w:t>
      </w:r>
      <w:r w:rsidR="004254B2" w:rsidRPr="00E646BB">
        <w:rPr>
          <w:rFonts w:asciiTheme="minorHAnsi" w:eastAsiaTheme="minorEastAsia" w:hAnsiTheme="minorHAnsi" w:cstheme="minorHAnsi"/>
          <w:noProof/>
          <w:szCs w:val="22"/>
          <w:lang w:val="cs-CZ"/>
        </w:rPr>
        <w:t xml:space="preserve"> a hlediska</w:t>
      </w:r>
      <w:r w:rsidR="003B57CD" w:rsidRPr="00E646BB">
        <w:rPr>
          <w:rFonts w:asciiTheme="minorHAnsi" w:eastAsiaTheme="minorEastAsia" w:hAnsiTheme="minorHAnsi" w:cstheme="minorHAnsi"/>
          <w:noProof/>
          <w:szCs w:val="22"/>
          <w:lang w:val="cs-CZ"/>
        </w:rPr>
        <w:t>.</w:t>
      </w:r>
    </w:p>
    <w:p w14:paraId="495D18A6" w14:textId="77777777" w:rsidR="002C20CF" w:rsidRPr="00E646BB" w:rsidRDefault="2306B366" w:rsidP="569F9CD4">
      <w:pPr>
        <w:pStyle w:val="K-Nadpis3"/>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b) </w:t>
      </w:r>
      <w:r w:rsidR="6149D8CA" w:rsidRPr="00E646BB">
        <w:rPr>
          <w:rFonts w:asciiTheme="minorHAnsi" w:eastAsiaTheme="minorEastAsia" w:hAnsiTheme="minorHAnsi" w:cstheme="minorHAnsi"/>
          <w:sz w:val="22"/>
          <w:szCs w:val="22"/>
        </w:rPr>
        <w:t>Cíle</w:t>
      </w:r>
      <w:r w:rsidRPr="00E646BB">
        <w:rPr>
          <w:rFonts w:asciiTheme="minorHAnsi" w:eastAsiaTheme="minorEastAsia" w:hAnsiTheme="minorHAnsi" w:cstheme="minorHAnsi"/>
          <w:sz w:val="22"/>
          <w:szCs w:val="22"/>
        </w:rPr>
        <w:t xml:space="preserve"> </w:t>
      </w:r>
    </w:p>
    <w:p w14:paraId="13877212" w14:textId="08E1C5AF" w:rsidR="00071A19" w:rsidRPr="00E646BB" w:rsidRDefault="00071A19" w:rsidP="00071A19">
      <w:pPr>
        <w:pStyle w:val="00Body"/>
        <w:spacing w:line="240" w:lineRule="auto"/>
        <w:jc w:val="both"/>
        <w:rPr>
          <w:rFonts w:asciiTheme="minorHAnsi" w:eastAsiaTheme="minorEastAsia" w:hAnsiTheme="minorHAnsi" w:cstheme="minorHAnsi"/>
          <w:noProof/>
          <w:szCs w:val="22"/>
          <w:lang w:val="cs-CZ"/>
        </w:rPr>
      </w:pPr>
      <w:r w:rsidRPr="00E646BB">
        <w:rPr>
          <w:rFonts w:asciiTheme="minorHAnsi" w:eastAsiaTheme="minorEastAsia" w:hAnsiTheme="minorHAnsi" w:cstheme="minorHAnsi"/>
          <w:noProof/>
          <w:szCs w:val="22"/>
          <w:lang w:val="cs-CZ"/>
        </w:rPr>
        <w:t>Cílem projektu je</w:t>
      </w:r>
      <w:r w:rsidR="00581A02" w:rsidRPr="00E646BB">
        <w:rPr>
          <w:rFonts w:asciiTheme="minorHAnsi" w:eastAsiaTheme="minorEastAsia" w:hAnsiTheme="minorHAnsi" w:cstheme="minorHAnsi"/>
          <w:noProof/>
          <w:szCs w:val="22"/>
          <w:lang w:val="cs-CZ"/>
        </w:rPr>
        <w:t>,</w:t>
      </w:r>
      <w:r w:rsidRPr="00E646BB">
        <w:rPr>
          <w:rFonts w:asciiTheme="minorHAnsi" w:eastAsiaTheme="minorEastAsia" w:hAnsiTheme="minorHAnsi" w:cstheme="minorHAnsi"/>
          <w:noProof/>
          <w:szCs w:val="22"/>
          <w:lang w:val="cs-CZ"/>
        </w:rPr>
        <w:t xml:space="preserve"> v reakci na výše uvedené</w:t>
      </w:r>
      <w:r w:rsidR="00C82955" w:rsidRPr="00E646BB">
        <w:rPr>
          <w:rFonts w:asciiTheme="minorHAnsi" w:eastAsiaTheme="minorEastAsia" w:hAnsiTheme="minorHAnsi" w:cstheme="minorHAnsi"/>
          <w:noProof/>
          <w:szCs w:val="22"/>
          <w:lang w:val="cs-CZ"/>
        </w:rPr>
        <w:t xml:space="preserve"> vybudování </w:t>
      </w:r>
      <w:r w:rsidR="00441B49" w:rsidRPr="00E646BB">
        <w:rPr>
          <w:rFonts w:asciiTheme="minorHAnsi" w:eastAsiaTheme="minorEastAsia" w:hAnsiTheme="minorHAnsi" w:cstheme="minorHAnsi"/>
          <w:noProof/>
          <w:szCs w:val="22"/>
          <w:lang w:val="cs-CZ"/>
        </w:rPr>
        <w:t>Elektroe</w:t>
      </w:r>
      <w:r w:rsidRPr="00E646BB">
        <w:rPr>
          <w:rFonts w:asciiTheme="minorHAnsi" w:eastAsiaTheme="minorEastAsia" w:hAnsiTheme="minorHAnsi" w:cstheme="minorHAnsi"/>
          <w:noProof/>
          <w:szCs w:val="22"/>
          <w:lang w:val="cs-CZ"/>
        </w:rPr>
        <w:t>nergetického datového centra</w:t>
      </w:r>
      <w:r w:rsidR="00C82955" w:rsidRPr="00E646BB">
        <w:rPr>
          <w:rFonts w:asciiTheme="minorHAnsi" w:eastAsiaTheme="minorEastAsia" w:hAnsiTheme="minorHAnsi" w:cstheme="minorHAnsi"/>
          <w:noProof/>
          <w:szCs w:val="22"/>
          <w:lang w:val="cs-CZ"/>
        </w:rPr>
        <w:t xml:space="preserve"> tedy tržní instituce vybavené robustním informačním systémem zajišťujícím uvedené datové výměny mezi účastníky trhu až do času blízkého reálnému</w:t>
      </w:r>
      <w:r w:rsidRPr="00E646BB">
        <w:rPr>
          <w:rFonts w:asciiTheme="minorHAnsi" w:eastAsiaTheme="minorEastAsia" w:hAnsiTheme="minorHAnsi" w:cstheme="minorHAnsi"/>
          <w:noProof/>
          <w:szCs w:val="22"/>
          <w:lang w:val="cs-CZ"/>
        </w:rPr>
        <w:t>, jehož úlohou bude zajištění koordinace, výměny a sdílení informací týkajících se přípravy provozu, predikce výkonové bilance elektrizační soustavy, koordinace aktivace flexibility včetně řízení propustnosti sítě, evidence a výměn</w:t>
      </w:r>
      <w:r w:rsidR="00B5146F" w:rsidRPr="00E646BB">
        <w:rPr>
          <w:rFonts w:asciiTheme="minorHAnsi" w:eastAsiaTheme="minorEastAsia" w:hAnsiTheme="minorHAnsi" w:cstheme="minorHAnsi"/>
          <w:noProof/>
          <w:szCs w:val="22"/>
          <w:lang w:val="cs-CZ"/>
        </w:rPr>
        <w:t>a</w:t>
      </w:r>
      <w:r w:rsidRPr="00E646BB">
        <w:rPr>
          <w:rFonts w:asciiTheme="minorHAnsi" w:eastAsiaTheme="minorEastAsia" w:hAnsiTheme="minorHAnsi" w:cstheme="minorHAnsi"/>
          <w:noProof/>
          <w:szCs w:val="22"/>
          <w:lang w:val="cs-CZ"/>
        </w:rPr>
        <w:t xml:space="preserve"> dat měření (včetně podružných a doplňkových) a technických kmenových dat pro oblast elektroenergetiky. </w:t>
      </w:r>
      <w:r w:rsidR="00B5146F" w:rsidRPr="00E646BB">
        <w:rPr>
          <w:rFonts w:asciiTheme="minorHAnsi" w:eastAsiaTheme="minorEastAsia" w:hAnsiTheme="minorHAnsi" w:cstheme="minorHAnsi"/>
          <w:noProof/>
          <w:szCs w:val="22"/>
          <w:lang w:val="cs-CZ"/>
        </w:rPr>
        <w:t xml:space="preserve">Předpokládá se, že </w:t>
      </w:r>
      <w:r w:rsidRPr="00E646BB">
        <w:rPr>
          <w:rFonts w:asciiTheme="minorHAnsi" w:eastAsiaTheme="minorEastAsia" w:hAnsiTheme="minorHAnsi" w:cstheme="minorHAnsi"/>
          <w:noProof/>
          <w:szCs w:val="22"/>
          <w:lang w:val="cs-CZ"/>
        </w:rPr>
        <w:t xml:space="preserve">nový </w:t>
      </w:r>
      <w:r w:rsidR="00C82955" w:rsidRPr="00E646BB">
        <w:rPr>
          <w:rFonts w:asciiTheme="minorHAnsi" w:eastAsiaTheme="minorEastAsia" w:hAnsiTheme="minorHAnsi" w:cstheme="minorHAnsi"/>
          <w:noProof/>
          <w:szCs w:val="22"/>
          <w:lang w:val="cs-CZ"/>
        </w:rPr>
        <w:t xml:space="preserve">nezávislý </w:t>
      </w:r>
      <w:r w:rsidRPr="00E646BB">
        <w:rPr>
          <w:rFonts w:asciiTheme="minorHAnsi" w:eastAsiaTheme="minorEastAsia" w:hAnsiTheme="minorHAnsi" w:cstheme="minorHAnsi"/>
          <w:noProof/>
          <w:szCs w:val="22"/>
          <w:lang w:val="cs-CZ"/>
        </w:rPr>
        <w:t>subjekt (ve formě akciové společnosti) společně založí provozovatel přenosové soustavy</w:t>
      </w:r>
      <w:r w:rsidR="00441B49" w:rsidRPr="00E646BB">
        <w:rPr>
          <w:rFonts w:asciiTheme="minorHAnsi" w:eastAsiaTheme="minorEastAsia" w:hAnsiTheme="minorHAnsi" w:cstheme="minorHAnsi"/>
          <w:noProof/>
          <w:szCs w:val="22"/>
          <w:lang w:val="cs-CZ"/>
        </w:rPr>
        <w:t xml:space="preserve"> (ČEPS, a.s.)</w:t>
      </w:r>
      <w:r w:rsidRPr="00E646BB">
        <w:rPr>
          <w:rFonts w:asciiTheme="minorHAnsi" w:eastAsiaTheme="minorEastAsia" w:hAnsiTheme="minorHAnsi" w:cstheme="minorHAnsi"/>
          <w:noProof/>
          <w:szCs w:val="22"/>
          <w:lang w:val="cs-CZ"/>
        </w:rPr>
        <w:t xml:space="preserve"> a provozovatelé regionálních distribučních soustav</w:t>
      </w:r>
      <w:r w:rsidR="00B779F9" w:rsidRPr="00E646BB">
        <w:rPr>
          <w:rFonts w:asciiTheme="minorHAnsi" w:eastAsiaTheme="minorEastAsia" w:hAnsiTheme="minorHAnsi" w:cstheme="minorHAnsi"/>
          <w:noProof/>
          <w:szCs w:val="22"/>
          <w:lang w:val="cs-CZ"/>
        </w:rPr>
        <w:t xml:space="preserve"> (ČEZ Distribice, a.s.; PREdistribuce,a.s. a EG.D, a.s.)</w:t>
      </w:r>
      <w:r w:rsidRPr="00E646BB">
        <w:rPr>
          <w:rFonts w:asciiTheme="minorHAnsi" w:eastAsiaTheme="minorEastAsia" w:hAnsiTheme="minorHAnsi" w:cstheme="minorHAnsi"/>
          <w:noProof/>
          <w:szCs w:val="22"/>
          <w:lang w:val="cs-CZ"/>
        </w:rPr>
        <w:t>, kteří jsou podle</w:t>
      </w:r>
      <w:r w:rsidR="00A7123B" w:rsidRPr="00E646BB">
        <w:rPr>
          <w:rFonts w:asciiTheme="minorHAnsi" w:eastAsiaTheme="minorEastAsia" w:hAnsiTheme="minorHAnsi" w:cstheme="minorHAnsi"/>
          <w:noProof/>
          <w:szCs w:val="22"/>
          <w:lang w:val="cs-CZ"/>
        </w:rPr>
        <w:t xml:space="preserve"> energetického</w:t>
      </w:r>
      <w:r w:rsidRPr="00E646BB">
        <w:rPr>
          <w:rFonts w:asciiTheme="minorHAnsi" w:eastAsiaTheme="minorEastAsia" w:hAnsiTheme="minorHAnsi" w:cstheme="minorHAnsi"/>
          <w:noProof/>
          <w:szCs w:val="22"/>
          <w:lang w:val="cs-CZ"/>
        </w:rPr>
        <w:t xml:space="preserve"> zákona za spolehlivost provozu odpovědni. </w:t>
      </w:r>
      <w:r w:rsidR="00A7123B" w:rsidRPr="00E646BB">
        <w:rPr>
          <w:rFonts w:asciiTheme="minorHAnsi" w:eastAsiaTheme="minorEastAsia" w:hAnsiTheme="minorHAnsi" w:cstheme="minorHAnsi"/>
          <w:noProof/>
          <w:szCs w:val="22"/>
          <w:lang w:val="cs-CZ"/>
        </w:rPr>
        <w:t>Energetické datové centr</w:t>
      </w:r>
      <w:r w:rsidR="005B1DE7" w:rsidRPr="00E646BB">
        <w:rPr>
          <w:rFonts w:asciiTheme="minorHAnsi" w:eastAsiaTheme="minorEastAsia" w:hAnsiTheme="minorHAnsi" w:cstheme="minorHAnsi"/>
          <w:noProof/>
          <w:szCs w:val="22"/>
          <w:lang w:val="cs-CZ"/>
        </w:rPr>
        <w:t>um</w:t>
      </w:r>
      <w:r w:rsidRPr="00E646BB">
        <w:rPr>
          <w:rFonts w:asciiTheme="minorHAnsi" w:eastAsiaTheme="minorEastAsia" w:hAnsiTheme="minorHAnsi" w:cstheme="minorHAnsi"/>
          <w:noProof/>
          <w:szCs w:val="22"/>
          <w:lang w:val="cs-CZ"/>
        </w:rPr>
        <w:t xml:space="preserve"> by zajišťoval</w:t>
      </w:r>
      <w:r w:rsidR="005B1DE7" w:rsidRPr="00E646BB">
        <w:rPr>
          <w:rFonts w:asciiTheme="minorHAnsi" w:eastAsiaTheme="minorEastAsia" w:hAnsiTheme="minorHAnsi" w:cstheme="minorHAnsi"/>
          <w:noProof/>
          <w:szCs w:val="22"/>
          <w:lang w:val="cs-CZ"/>
        </w:rPr>
        <w:t>o</w:t>
      </w:r>
      <w:r w:rsidRPr="00E646BB">
        <w:rPr>
          <w:rFonts w:asciiTheme="minorHAnsi" w:eastAsiaTheme="minorEastAsia" w:hAnsiTheme="minorHAnsi" w:cstheme="minorHAnsi"/>
          <w:noProof/>
          <w:szCs w:val="22"/>
          <w:lang w:val="cs-CZ"/>
        </w:rPr>
        <w:t xml:space="preserve"> vývoj, nasazení, provoz a rozvoj informačního systému sloužícího k výše uvedeným úkolům včetně zajištění kybernetické bezpečnosti odpovídající součásti kritické informační infrastruktury</w:t>
      </w:r>
      <w:r w:rsidR="00441B49" w:rsidRPr="00E646BB">
        <w:rPr>
          <w:rFonts w:asciiTheme="minorHAnsi" w:eastAsiaTheme="minorEastAsia" w:hAnsiTheme="minorHAnsi" w:cstheme="minorHAnsi"/>
          <w:noProof/>
          <w:szCs w:val="22"/>
          <w:lang w:val="cs-CZ"/>
        </w:rPr>
        <w:t>, pokud bude její součástí</w:t>
      </w:r>
      <w:r w:rsidRPr="00E646BB">
        <w:rPr>
          <w:rFonts w:asciiTheme="minorHAnsi" w:eastAsiaTheme="minorEastAsia" w:hAnsiTheme="minorHAnsi" w:cstheme="minorHAnsi"/>
          <w:noProof/>
          <w:szCs w:val="22"/>
          <w:lang w:val="cs-CZ"/>
        </w:rPr>
        <w:t>.</w:t>
      </w:r>
    </w:p>
    <w:p w14:paraId="4E2FE73E" w14:textId="58697B0D" w:rsidR="005B1DE7" w:rsidRPr="00E646BB" w:rsidRDefault="00C12100" w:rsidP="00071A19">
      <w:pPr>
        <w:pStyle w:val="00Body"/>
        <w:spacing w:line="240" w:lineRule="auto"/>
        <w:jc w:val="both"/>
        <w:rPr>
          <w:rFonts w:asciiTheme="minorHAnsi" w:eastAsiaTheme="minorEastAsia" w:hAnsiTheme="minorHAnsi" w:cstheme="minorHAnsi"/>
          <w:noProof/>
          <w:szCs w:val="22"/>
          <w:lang w:val="cs-CZ"/>
        </w:rPr>
      </w:pPr>
      <w:r w:rsidRPr="00E646BB">
        <w:rPr>
          <w:rFonts w:asciiTheme="minorHAnsi" w:eastAsiaTheme="minorEastAsia" w:hAnsiTheme="minorHAnsi" w:cstheme="minorHAnsi"/>
          <w:noProof/>
          <w:szCs w:val="22"/>
          <w:lang w:val="cs-CZ"/>
        </w:rPr>
        <w:t>Rozsah č</w:t>
      </w:r>
      <w:r w:rsidR="005B1DE7" w:rsidRPr="00E646BB">
        <w:rPr>
          <w:rFonts w:asciiTheme="minorHAnsi" w:eastAsiaTheme="minorEastAsia" w:hAnsiTheme="minorHAnsi" w:cstheme="minorHAnsi"/>
          <w:noProof/>
          <w:szCs w:val="22"/>
          <w:lang w:val="cs-CZ"/>
        </w:rPr>
        <w:t>innost</w:t>
      </w:r>
      <w:r w:rsidRPr="00E646BB">
        <w:rPr>
          <w:rFonts w:asciiTheme="minorHAnsi" w:eastAsiaTheme="minorEastAsia" w:hAnsiTheme="minorHAnsi" w:cstheme="minorHAnsi"/>
          <w:noProof/>
          <w:szCs w:val="22"/>
          <w:lang w:val="cs-CZ"/>
        </w:rPr>
        <w:t>i</w:t>
      </w:r>
      <w:r w:rsidR="005B1DE7" w:rsidRPr="00E646BB">
        <w:rPr>
          <w:rFonts w:asciiTheme="minorHAnsi" w:eastAsiaTheme="minorEastAsia" w:hAnsiTheme="minorHAnsi" w:cstheme="minorHAnsi"/>
          <w:noProof/>
          <w:szCs w:val="22"/>
          <w:lang w:val="cs-CZ"/>
        </w:rPr>
        <w:t xml:space="preserve"> </w:t>
      </w:r>
      <w:r w:rsidR="00441B49" w:rsidRPr="00E646BB">
        <w:rPr>
          <w:rFonts w:asciiTheme="minorHAnsi" w:eastAsiaTheme="minorEastAsia" w:hAnsiTheme="minorHAnsi" w:cstheme="minorHAnsi"/>
          <w:noProof/>
          <w:szCs w:val="22"/>
          <w:lang w:val="cs-CZ"/>
        </w:rPr>
        <w:t>Elektroe</w:t>
      </w:r>
      <w:r w:rsidR="005B1DE7" w:rsidRPr="00E646BB">
        <w:rPr>
          <w:rFonts w:asciiTheme="minorHAnsi" w:eastAsiaTheme="minorEastAsia" w:hAnsiTheme="minorHAnsi" w:cstheme="minorHAnsi"/>
          <w:noProof/>
          <w:szCs w:val="22"/>
          <w:lang w:val="cs-CZ"/>
        </w:rPr>
        <w:t>nergetického datového centra</w:t>
      </w:r>
      <w:r w:rsidRPr="00E646BB">
        <w:rPr>
          <w:rFonts w:asciiTheme="minorHAnsi" w:eastAsiaTheme="minorEastAsia" w:hAnsiTheme="minorHAnsi" w:cstheme="minorHAnsi"/>
          <w:noProof/>
          <w:szCs w:val="22"/>
          <w:lang w:val="cs-CZ"/>
        </w:rPr>
        <w:t xml:space="preserve"> b</w:t>
      </w:r>
      <w:r w:rsidR="00C82955" w:rsidRPr="00E646BB">
        <w:rPr>
          <w:rFonts w:asciiTheme="minorHAnsi" w:eastAsiaTheme="minorEastAsia" w:hAnsiTheme="minorHAnsi" w:cstheme="minorHAnsi"/>
          <w:noProof/>
          <w:szCs w:val="22"/>
          <w:lang w:val="cs-CZ"/>
        </w:rPr>
        <w:t>ude</w:t>
      </w:r>
      <w:r w:rsidRPr="00E646BB">
        <w:rPr>
          <w:rFonts w:asciiTheme="minorHAnsi" w:eastAsiaTheme="minorEastAsia" w:hAnsiTheme="minorHAnsi" w:cstheme="minorHAnsi"/>
          <w:noProof/>
          <w:szCs w:val="22"/>
          <w:lang w:val="cs-CZ"/>
        </w:rPr>
        <w:t xml:space="preserve"> vymezen energetickým zákonem a </w:t>
      </w:r>
      <w:r w:rsidR="00C82955" w:rsidRPr="00E646BB">
        <w:rPr>
          <w:rFonts w:asciiTheme="minorHAnsi" w:eastAsiaTheme="minorEastAsia" w:hAnsiTheme="minorHAnsi" w:cstheme="minorHAnsi"/>
          <w:noProof/>
          <w:szCs w:val="22"/>
          <w:lang w:val="cs-CZ"/>
        </w:rPr>
        <w:t>jeho</w:t>
      </w:r>
      <w:r w:rsidRPr="00E646BB">
        <w:rPr>
          <w:rFonts w:asciiTheme="minorHAnsi" w:eastAsiaTheme="minorEastAsia" w:hAnsiTheme="minorHAnsi" w:cstheme="minorHAnsi"/>
          <w:noProof/>
          <w:szCs w:val="22"/>
          <w:lang w:val="cs-CZ"/>
        </w:rPr>
        <w:t xml:space="preserve"> činnost </w:t>
      </w:r>
      <w:r w:rsidR="00C82955" w:rsidRPr="00E646BB">
        <w:rPr>
          <w:rFonts w:asciiTheme="minorHAnsi" w:eastAsiaTheme="minorEastAsia" w:hAnsiTheme="minorHAnsi" w:cstheme="minorHAnsi"/>
          <w:noProof/>
          <w:szCs w:val="22"/>
          <w:lang w:val="cs-CZ"/>
        </w:rPr>
        <w:t>bude</w:t>
      </w:r>
      <w:r w:rsidRPr="00E646BB">
        <w:rPr>
          <w:rFonts w:asciiTheme="minorHAnsi" w:eastAsiaTheme="minorEastAsia" w:hAnsiTheme="minorHAnsi" w:cstheme="minorHAnsi"/>
          <w:noProof/>
          <w:szCs w:val="22"/>
          <w:lang w:val="cs-CZ"/>
        </w:rPr>
        <w:t xml:space="preserve"> reg</w:t>
      </w:r>
      <w:r w:rsidR="00951AE7" w:rsidRPr="00E646BB">
        <w:rPr>
          <w:rFonts w:asciiTheme="minorHAnsi" w:eastAsiaTheme="minorEastAsia" w:hAnsiTheme="minorHAnsi" w:cstheme="minorHAnsi"/>
          <w:noProof/>
          <w:szCs w:val="22"/>
          <w:lang w:val="cs-CZ"/>
        </w:rPr>
        <w:t xml:space="preserve">ulována Energetickým regulačním úřadem. </w:t>
      </w:r>
      <w:r w:rsidR="00DF6D91" w:rsidRPr="00E646BB">
        <w:rPr>
          <w:rFonts w:asciiTheme="minorHAnsi" w:eastAsiaTheme="minorEastAsia" w:hAnsiTheme="minorHAnsi" w:cstheme="minorHAnsi"/>
          <w:noProof/>
          <w:szCs w:val="22"/>
          <w:lang w:val="cs-CZ"/>
        </w:rPr>
        <w:t>Elektroenergetické datové centrum bude mít  výlučnou licenci na provoz vyhrazenou jednomu subjektu.</w:t>
      </w:r>
    </w:p>
    <w:p w14:paraId="1EC71309" w14:textId="77777777" w:rsidR="00270919" w:rsidRPr="00E646BB" w:rsidRDefault="00071A19" w:rsidP="00DA0898">
      <w:pPr>
        <w:pStyle w:val="00Body"/>
        <w:spacing w:line="240" w:lineRule="auto"/>
        <w:jc w:val="both"/>
        <w:rPr>
          <w:rFonts w:asciiTheme="minorHAnsi" w:eastAsiaTheme="minorEastAsia" w:hAnsiTheme="minorHAnsi" w:cstheme="minorHAnsi"/>
          <w:noProof/>
          <w:szCs w:val="22"/>
          <w:lang w:val="cs-CZ"/>
        </w:rPr>
      </w:pPr>
      <w:r w:rsidRPr="00E646BB">
        <w:rPr>
          <w:rFonts w:asciiTheme="minorHAnsi" w:eastAsiaTheme="minorEastAsia" w:hAnsiTheme="minorHAnsi" w:cstheme="minorHAnsi"/>
          <w:noProof/>
          <w:szCs w:val="22"/>
          <w:lang w:val="cs-CZ"/>
        </w:rPr>
        <w:t xml:space="preserve">Záměr projektu navazuje na činnost a závěry pracovní skupiny </w:t>
      </w:r>
      <w:r w:rsidR="00D54968" w:rsidRPr="00E646BB">
        <w:rPr>
          <w:rFonts w:asciiTheme="minorHAnsi" w:eastAsiaTheme="minorEastAsia" w:hAnsiTheme="minorHAnsi" w:cstheme="minorHAnsi"/>
          <w:noProof/>
          <w:szCs w:val="22"/>
          <w:lang w:val="cs-CZ"/>
        </w:rPr>
        <w:t>Národního akčního plánu pro chytré sítě (</w:t>
      </w:r>
      <w:r w:rsidRPr="00E646BB">
        <w:rPr>
          <w:rFonts w:asciiTheme="minorHAnsi" w:eastAsiaTheme="minorEastAsia" w:hAnsiTheme="minorHAnsi" w:cstheme="minorHAnsi"/>
          <w:noProof/>
          <w:szCs w:val="22"/>
          <w:lang w:val="cs-CZ"/>
        </w:rPr>
        <w:t>NAP SG</w:t>
      </w:r>
      <w:r w:rsidR="00D54968" w:rsidRPr="00E646BB">
        <w:rPr>
          <w:rFonts w:asciiTheme="minorHAnsi" w:eastAsiaTheme="minorEastAsia" w:hAnsiTheme="minorHAnsi" w:cstheme="minorHAnsi"/>
          <w:noProof/>
          <w:szCs w:val="22"/>
          <w:lang w:val="cs-CZ"/>
        </w:rPr>
        <w:t>)</w:t>
      </w:r>
      <w:r w:rsidR="001857BE" w:rsidRPr="00E646BB">
        <w:rPr>
          <w:rFonts w:asciiTheme="minorHAnsi" w:eastAsiaTheme="minorEastAsia" w:hAnsiTheme="minorHAnsi" w:cstheme="minorHAnsi"/>
          <w:noProof/>
          <w:szCs w:val="22"/>
          <w:lang w:val="cs-CZ"/>
        </w:rPr>
        <w:t>,</w:t>
      </w:r>
      <w:r w:rsidRPr="00E646BB">
        <w:rPr>
          <w:rFonts w:asciiTheme="minorHAnsi" w:eastAsiaTheme="minorEastAsia" w:hAnsiTheme="minorHAnsi" w:cstheme="minorHAnsi"/>
          <w:noProof/>
          <w:szCs w:val="22"/>
          <w:lang w:val="cs-CZ"/>
        </w:rPr>
        <w:t xml:space="preserve"> ZL č. 23. </w:t>
      </w:r>
    </w:p>
    <w:p w14:paraId="56320E1E" w14:textId="77777777" w:rsidR="007A2737" w:rsidRPr="00E646BB" w:rsidRDefault="145B8F61" w:rsidP="569F9CD4">
      <w:pPr>
        <w:pStyle w:val="K-Nadpis3"/>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c) </w:t>
      </w:r>
      <w:r w:rsidR="23D5AF74" w:rsidRPr="00E646BB">
        <w:rPr>
          <w:rFonts w:asciiTheme="minorHAnsi" w:eastAsiaTheme="minorEastAsia" w:hAnsiTheme="minorHAnsi" w:cstheme="minorHAnsi"/>
          <w:sz w:val="22"/>
          <w:szCs w:val="22"/>
        </w:rPr>
        <w:t>Národní strategický kontext</w:t>
      </w:r>
    </w:p>
    <w:p w14:paraId="59548A89" w14:textId="77777777" w:rsidR="008F5987" w:rsidRPr="00E646BB" w:rsidRDefault="73B6A5BD" w:rsidP="569F9CD4">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Národní strategie</w:t>
      </w:r>
    </w:p>
    <w:p w14:paraId="1B538A5B" w14:textId="14962E84" w:rsidR="00E31020" w:rsidRPr="00E646BB" w:rsidRDefault="008E2A30" w:rsidP="569F9CD4">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Státní energetická koncepce z roku 2015 ne</w:t>
      </w:r>
      <w:r w:rsidR="00EE0043" w:rsidRPr="00E646BB">
        <w:rPr>
          <w:rFonts w:asciiTheme="minorHAnsi" w:eastAsiaTheme="minorEastAsia" w:hAnsiTheme="minorHAnsi" w:cstheme="minorHAnsi"/>
          <w:i w:val="0"/>
          <w:iCs w:val="0"/>
          <w:color w:val="auto"/>
          <w:sz w:val="22"/>
          <w:szCs w:val="22"/>
        </w:rPr>
        <w:t>reflekt</w:t>
      </w:r>
      <w:r w:rsidR="00035AB3" w:rsidRPr="00E646BB">
        <w:rPr>
          <w:rFonts w:asciiTheme="minorHAnsi" w:eastAsiaTheme="minorEastAsia" w:hAnsiTheme="minorHAnsi" w:cstheme="minorHAnsi"/>
          <w:i w:val="0"/>
          <w:iCs w:val="0"/>
          <w:color w:val="auto"/>
          <w:sz w:val="22"/>
          <w:szCs w:val="22"/>
        </w:rPr>
        <w:t xml:space="preserve">uje </w:t>
      </w:r>
      <w:r w:rsidR="001E1753" w:rsidRPr="00E646BB">
        <w:rPr>
          <w:rFonts w:asciiTheme="minorHAnsi" w:eastAsiaTheme="minorEastAsia" w:hAnsiTheme="minorHAnsi" w:cstheme="minorHAnsi"/>
          <w:i w:val="0"/>
          <w:iCs w:val="0"/>
          <w:color w:val="auto"/>
          <w:sz w:val="22"/>
          <w:szCs w:val="22"/>
        </w:rPr>
        <w:t xml:space="preserve">aktuální požadavky </w:t>
      </w:r>
      <w:r w:rsidR="006A41E3" w:rsidRPr="00E646BB">
        <w:rPr>
          <w:rFonts w:asciiTheme="minorHAnsi" w:eastAsiaTheme="minorEastAsia" w:hAnsiTheme="minorHAnsi" w:cstheme="minorHAnsi"/>
          <w:i w:val="0"/>
          <w:iCs w:val="0"/>
          <w:color w:val="auto"/>
          <w:sz w:val="22"/>
          <w:szCs w:val="22"/>
        </w:rPr>
        <w:t>EU na pravidla vnitřního trhu (z roku 2019)</w:t>
      </w:r>
      <w:r w:rsidR="00822CE2" w:rsidRPr="00E646BB">
        <w:rPr>
          <w:rFonts w:asciiTheme="minorHAnsi" w:eastAsiaTheme="minorEastAsia" w:hAnsiTheme="minorHAnsi" w:cstheme="minorHAnsi"/>
          <w:i w:val="0"/>
          <w:iCs w:val="0"/>
          <w:color w:val="auto"/>
          <w:sz w:val="22"/>
          <w:szCs w:val="22"/>
        </w:rPr>
        <w:t>, ani nyní nevyhnuteln</w:t>
      </w:r>
      <w:r w:rsidR="002E3C57" w:rsidRPr="00E646BB">
        <w:rPr>
          <w:rFonts w:asciiTheme="minorHAnsi" w:eastAsiaTheme="minorEastAsia" w:hAnsiTheme="minorHAnsi" w:cstheme="minorHAnsi"/>
          <w:i w:val="0"/>
          <w:iCs w:val="0"/>
          <w:color w:val="auto"/>
          <w:sz w:val="22"/>
          <w:szCs w:val="22"/>
        </w:rPr>
        <w:t xml:space="preserve">ý požadavek na </w:t>
      </w:r>
      <w:r w:rsidR="007B09BD" w:rsidRPr="00E646BB">
        <w:rPr>
          <w:rFonts w:asciiTheme="minorHAnsi" w:eastAsiaTheme="minorEastAsia" w:hAnsiTheme="minorHAnsi" w:cstheme="minorHAnsi"/>
          <w:i w:val="0"/>
          <w:iCs w:val="0"/>
          <w:color w:val="auto"/>
          <w:sz w:val="22"/>
          <w:szCs w:val="22"/>
        </w:rPr>
        <w:t>urychlený rozvoj OZE</w:t>
      </w:r>
      <w:r w:rsidR="00822CE2" w:rsidRPr="00E646BB">
        <w:rPr>
          <w:rFonts w:asciiTheme="minorHAnsi" w:eastAsiaTheme="minorEastAsia" w:hAnsiTheme="minorHAnsi" w:cstheme="minorHAnsi"/>
          <w:i w:val="0"/>
          <w:iCs w:val="0"/>
          <w:color w:val="auto"/>
          <w:sz w:val="22"/>
          <w:szCs w:val="22"/>
        </w:rPr>
        <w:t xml:space="preserve">. </w:t>
      </w:r>
      <w:r w:rsidR="00DF6D91" w:rsidRPr="00E646BB">
        <w:rPr>
          <w:rFonts w:asciiTheme="minorHAnsi" w:eastAsiaTheme="minorEastAsia" w:hAnsiTheme="minorHAnsi" w:cstheme="minorHAnsi"/>
          <w:i w:val="0"/>
          <w:iCs w:val="0"/>
          <w:color w:val="auto"/>
          <w:sz w:val="22"/>
          <w:szCs w:val="22"/>
        </w:rPr>
        <w:t xml:space="preserve">V roce 2023 proběhne aktualizace Státní energetické koncepce. </w:t>
      </w:r>
      <w:r w:rsidR="73B6A5BD" w:rsidRPr="00E646BB">
        <w:rPr>
          <w:rFonts w:asciiTheme="minorHAnsi" w:eastAsiaTheme="minorEastAsia" w:hAnsiTheme="minorHAnsi" w:cstheme="minorHAnsi"/>
          <w:i w:val="0"/>
          <w:iCs w:val="0"/>
          <w:color w:val="auto"/>
          <w:sz w:val="22"/>
          <w:szCs w:val="22"/>
        </w:rPr>
        <w:t xml:space="preserve">Národní strategie </w:t>
      </w:r>
      <w:r w:rsidR="00AB0546" w:rsidRPr="00E646BB">
        <w:rPr>
          <w:rFonts w:asciiTheme="minorHAnsi" w:eastAsiaTheme="minorEastAsia" w:hAnsiTheme="minorHAnsi" w:cstheme="minorHAnsi"/>
          <w:i w:val="0"/>
          <w:iCs w:val="0"/>
          <w:color w:val="auto"/>
          <w:sz w:val="22"/>
          <w:szCs w:val="22"/>
        </w:rPr>
        <w:t xml:space="preserve">využívání nových technologií </w:t>
      </w:r>
      <w:r w:rsidR="009A7466" w:rsidRPr="00E646BB">
        <w:rPr>
          <w:rFonts w:asciiTheme="minorHAnsi" w:eastAsiaTheme="minorEastAsia" w:hAnsiTheme="minorHAnsi" w:cstheme="minorHAnsi"/>
          <w:i w:val="0"/>
          <w:iCs w:val="0"/>
          <w:color w:val="auto"/>
          <w:sz w:val="22"/>
          <w:szCs w:val="22"/>
        </w:rPr>
        <w:t xml:space="preserve">v energetice </w:t>
      </w:r>
      <w:r w:rsidR="73B6A5BD" w:rsidRPr="00E646BB">
        <w:rPr>
          <w:rFonts w:asciiTheme="minorHAnsi" w:eastAsiaTheme="minorEastAsia" w:hAnsiTheme="minorHAnsi" w:cstheme="minorHAnsi"/>
          <w:i w:val="0"/>
          <w:iCs w:val="0"/>
          <w:color w:val="auto"/>
          <w:sz w:val="22"/>
          <w:szCs w:val="22"/>
        </w:rPr>
        <w:t xml:space="preserve">je detailně popsána v rámci </w:t>
      </w:r>
      <w:r w:rsidR="00AC4F48" w:rsidRPr="00E646BB">
        <w:rPr>
          <w:rFonts w:asciiTheme="minorHAnsi" w:eastAsiaTheme="minorEastAsia" w:hAnsiTheme="minorHAnsi" w:cstheme="minorHAnsi"/>
          <w:i w:val="0"/>
          <w:iCs w:val="0"/>
          <w:color w:val="auto"/>
          <w:sz w:val="22"/>
          <w:szCs w:val="22"/>
        </w:rPr>
        <w:lastRenderedPageBreak/>
        <w:t>NAP SG</w:t>
      </w:r>
      <w:r w:rsidR="00F35AF5" w:rsidRPr="00E646BB">
        <w:rPr>
          <w:rFonts w:asciiTheme="minorHAnsi" w:eastAsiaTheme="minorEastAsia" w:hAnsiTheme="minorHAnsi" w:cstheme="minorHAnsi"/>
          <w:i w:val="0"/>
          <w:iCs w:val="0"/>
          <w:color w:val="auto"/>
          <w:sz w:val="22"/>
          <w:szCs w:val="22"/>
        </w:rPr>
        <w:t xml:space="preserve">, který je jediným strategickým dokumentem, který se </w:t>
      </w:r>
      <w:r w:rsidR="005253F1" w:rsidRPr="00E646BB">
        <w:rPr>
          <w:rFonts w:asciiTheme="minorHAnsi" w:eastAsiaTheme="minorEastAsia" w:hAnsiTheme="minorHAnsi" w:cstheme="minorHAnsi"/>
          <w:i w:val="0"/>
          <w:iCs w:val="0"/>
          <w:color w:val="auto"/>
          <w:sz w:val="22"/>
          <w:szCs w:val="22"/>
        </w:rPr>
        <w:t xml:space="preserve">komplexně </w:t>
      </w:r>
      <w:r w:rsidR="00F35AF5" w:rsidRPr="00E646BB">
        <w:rPr>
          <w:rFonts w:asciiTheme="minorHAnsi" w:eastAsiaTheme="minorEastAsia" w:hAnsiTheme="minorHAnsi" w:cstheme="minorHAnsi"/>
          <w:i w:val="0"/>
          <w:iCs w:val="0"/>
          <w:color w:val="auto"/>
          <w:sz w:val="22"/>
          <w:szCs w:val="22"/>
        </w:rPr>
        <w:t xml:space="preserve">zabýval implementací </w:t>
      </w:r>
      <w:r w:rsidR="005253F1" w:rsidRPr="00E646BB">
        <w:rPr>
          <w:rFonts w:asciiTheme="minorHAnsi" w:eastAsiaTheme="minorEastAsia" w:hAnsiTheme="minorHAnsi" w:cstheme="minorHAnsi"/>
          <w:i w:val="0"/>
          <w:iCs w:val="0"/>
          <w:color w:val="auto"/>
          <w:sz w:val="22"/>
          <w:szCs w:val="22"/>
        </w:rPr>
        <w:t>decentrálně orientované energetiky</w:t>
      </w:r>
      <w:r w:rsidR="00713464" w:rsidRPr="00E646BB">
        <w:rPr>
          <w:rFonts w:asciiTheme="minorHAnsi" w:eastAsiaTheme="minorEastAsia" w:hAnsiTheme="minorHAnsi" w:cstheme="minorHAnsi"/>
          <w:i w:val="0"/>
          <w:iCs w:val="0"/>
          <w:color w:val="auto"/>
          <w:sz w:val="22"/>
          <w:szCs w:val="22"/>
        </w:rPr>
        <w:t xml:space="preserve"> v ČR</w:t>
      </w:r>
      <w:r w:rsidR="73B6A5BD" w:rsidRPr="00E646BB">
        <w:rPr>
          <w:rFonts w:asciiTheme="minorHAnsi" w:eastAsiaTheme="minorEastAsia" w:hAnsiTheme="minorHAnsi" w:cstheme="minorHAnsi"/>
          <w:i w:val="0"/>
          <w:iCs w:val="0"/>
          <w:color w:val="auto"/>
          <w:sz w:val="22"/>
          <w:szCs w:val="22"/>
        </w:rPr>
        <w:t>.</w:t>
      </w:r>
    </w:p>
    <w:p w14:paraId="6EEF7DB4" w14:textId="77777777" w:rsidR="00815814" w:rsidRPr="00E646BB" w:rsidRDefault="00815814" w:rsidP="00567238">
      <w:pPr>
        <w:pStyle w:val="K-TextInfo"/>
        <w:rPr>
          <w:rFonts w:asciiTheme="minorHAnsi" w:eastAsiaTheme="minorEastAsia" w:hAnsiTheme="minorHAnsi" w:cstheme="minorHAnsi"/>
          <w:b/>
          <w:bCs/>
          <w:i w:val="0"/>
          <w:iCs w:val="0"/>
          <w:color w:val="auto"/>
          <w:sz w:val="22"/>
          <w:szCs w:val="22"/>
        </w:rPr>
      </w:pPr>
      <w:r w:rsidRPr="00E646BB">
        <w:rPr>
          <w:rFonts w:asciiTheme="minorHAnsi" w:eastAsiaTheme="minorEastAsia" w:hAnsiTheme="minorHAnsi" w:cstheme="minorHAnsi"/>
          <w:b/>
          <w:bCs/>
          <w:i w:val="0"/>
          <w:iCs w:val="0"/>
          <w:color w:val="auto"/>
          <w:sz w:val="22"/>
          <w:szCs w:val="22"/>
        </w:rPr>
        <w:t>Národní akční plán pro chytré sítě</w:t>
      </w:r>
    </w:p>
    <w:p w14:paraId="74B64884" w14:textId="77777777" w:rsidR="00815814" w:rsidRPr="00E646BB" w:rsidRDefault="00F453CA" w:rsidP="00567238">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NAP SG je k</w:t>
      </w:r>
      <w:r w:rsidR="00815814" w:rsidRPr="00E646BB">
        <w:rPr>
          <w:rFonts w:asciiTheme="minorHAnsi" w:eastAsiaTheme="minorEastAsia" w:hAnsiTheme="minorHAnsi" w:cstheme="minorHAnsi"/>
          <w:i w:val="0"/>
          <w:iCs w:val="0"/>
          <w:color w:val="auto"/>
          <w:sz w:val="22"/>
          <w:szCs w:val="22"/>
        </w:rPr>
        <w:t>líčovým strategickým a plánovacím dokumentem, který obsahuje opatření ke zvýšení flexibility energetického systému, který zpracovává Ministerstvo průmyslu a obchodu na základě úkolu formulovaného ve Státní energetické koncepci ČR z roku 2015. Národní akční plán pro chytré sítě (NAP SG) byl schválen vládou ČR</w:t>
      </w:r>
      <w:r w:rsidR="00DC44E2" w:rsidRPr="00E646BB">
        <w:rPr>
          <w:rFonts w:asciiTheme="minorHAnsi" w:eastAsiaTheme="minorEastAsia" w:hAnsiTheme="minorHAnsi" w:cstheme="minorHAnsi"/>
          <w:i w:val="0"/>
          <w:iCs w:val="0"/>
          <w:color w:val="auto"/>
          <w:sz w:val="22"/>
          <w:szCs w:val="22"/>
        </w:rPr>
        <w:t xml:space="preserve"> </w:t>
      </w:r>
      <w:r w:rsidR="00815814" w:rsidRPr="00E646BB">
        <w:rPr>
          <w:rFonts w:asciiTheme="minorHAnsi" w:eastAsiaTheme="minorEastAsia" w:hAnsiTheme="minorHAnsi" w:cstheme="minorHAnsi"/>
          <w:i w:val="0"/>
          <w:iCs w:val="0"/>
          <w:color w:val="auto"/>
          <w:sz w:val="22"/>
          <w:szCs w:val="22"/>
        </w:rPr>
        <w:t xml:space="preserve">v březnu 2015, a to usnesením vlády ČR č. 149 ze 4. března 2015. </w:t>
      </w:r>
      <w:r w:rsidR="00815814" w:rsidRPr="00E646BB">
        <w:rPr>
          <w:rFonts w:asciiTheme="minorHAnsi" w:eastAsiaTheme="minorEastAsia" w:hAnsiTheme="minorHAnsi" w:cstheme="minorHAnsi"/>
          <w:i w:val="0"/>
          <w:color w:val="auto"/>
          <w:sz w:val="22"/>
          <w:szCs w:val="22"/>
        </w:rPr>
        <w:t>Dne 16 září 2019 pak byla vládou ČR schválena Aktualizace NAP SG, respektive Národní akční plán pro chytré sítě 2019-2030 (NAP SG 2019-2030)</w:t>
      </w:r>
      <w:r w:rsidR="00815814" w:rsidRPr="00E646BB">
        <w:rPr>
          <w:rFonts w:asciiTheme="minorHAnsi" w:eastAsiaTheme="minorEastAsia" w:hAnsiTheme="minorHAnsi" w:cstheme="minorHAnsi"/>
          <w:i w:val="0"/>
          <w:iCs w:val="0"/>
          <w:color w:val="auto"/>
          <w:sz w:val="22"/>
          <w:szCs w:val="22"/>
          <w:vertAlign w:val="superscript"/>
        </w:rPr>
        <w:footnoteReference w:id="2"/>
      </w:r>
      <w:r w:rsidR="00815814" w:rsidRPr="00E646BB">
        <w:rPr>
          <w:rFonts w:asciiTheme="minorHAnsi" w:eastAsiaTheme="minorEastAsia" w:hAnsiTheme="minorHAnsi" w:cstheme="minorHAnsi"/>
          <w:i w:val="0"/>
          <w:iCs w:val="0"/>
          <w:color w:val="auto"/>
          <w:sz w:val="22"/>
          <w:szCs w:val="22"/>
        </w:rPr>
        <w:t xml:space="preserve">. </w:t>
      </w:r>
    </w:p>
    <w:p w14:paraId="1008DFF9" w14:textId="77777777" w:rsidR="00815814" w:rsidRPr="00E646BB" w:rsidRDefault="00815814" w:rsidP="00567238">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Za relevantní oblasti, které spadají do působnosti Aktualizovaného NAP SG</w:t>
      </w:r>
      <w:r w:rsidR="0020468E" w:rsidRPr="00E646BB">
        <w:rPr>
          <w:rFonts w:asciiTheme="minorHAnsi" w:eastAsiaTheme="minorEastAsia" w:hAnsiTheme="minorHAnsi" w:cstheme="minorHAnsi"/>
          <w:i w:val="0"/>
          <w:iCs w:val="0"/>
          <w:color w:val="auto"/>
          <w:sz w:val="22"/>
          <w:szCs w:val="22"/>
        </w:rPr>
        <w:t>,</w:t>
      </w:r>
      <w:r w:rsidRPr="00E646BB">
        <w:rPr>
          <w:rFonts w:asciiTheme="minorHAnsi" w:eastAsiaTheme="minorEastAsia" w:hAnsiTheme="minorHAnsi" w:cstheme="minorHAnsi"/>
          <w:i w:val="0"/>
          <w:iCs w:val="0"/>
          <w:color w:val="auto"/>
          <w:sz w:val="22"/>
          <w:szCs w:val="22"/>
        </w:rPr>
        <w:t xml:space="preserve"> byly identifikovány následující oblasti:</w:t>
      </w:r>
    </w:p>
    <w:p w14:paraId="3F851C36"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Legislativa (legislativa EU – síťová nařízení, zimní legislativní balíček, nové technologie);</w:t>
      </w:r>
    </w:p>
    <w:p w14:paraId="70982BC4"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Využití agregace, flexibility pro elektrizační soustavy (decentralizované zdroje energie, spotřeba);</w:t>
      </w:r>
    </w:p>
    <w:p w14:paraId="18D3EA7A"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Elektromobilita (integrace a využití pro provoz elektrizační soustavy);</w:t>
      </w:r>
    </w:p>
    <w:p w14:paraId="14D70FEF"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Digitalizace a její využití (automatizace, komunikace);</w:t>
      </w:r>
    </w:p>
    <w:p w14:paraId="198AED7D"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Decentralizované zdroje energie (integrace a využití pro provoz elektrizační soustavy);</w:t>
      </w:r>
    </w:p>
    <w:p w14:paraId="01C58797"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Dispečerské řízení (včetně provozního měření);</w:t>
      </w:r>
    </w:p>
    <w:p w14:paraId="11EF61A8" w14:textId="77777777" w:rsidR="00815814" w:rsidRPr="00E646BB" w:rsidRDefault="00815814" w:rsidP="00801641">
      <w:pPr>
        <w:pStyle w:val="Default"/>
        <w:numPr>
          <w:ilvl w:val="0"/>
          <w:numId w:val="11"/>
        </w:numPr>
        <w:spacing w:after="30"/>
        <w:rPr>
          <w:rFonts w:asciiTheme="minorHAnsi" w:hAnsiTheme="minorHAnsi" w:cstheme="minorHAnsi"/>
          <w:sz w:val="22"/>
          <w:szCs w:val="22"/>
        </w:rPr>
      </w:pPr>
      <w:r w:rsidRPr="00E646BB">
        <w:rPr>
          <w:rFonts w:asciiTheme="minorHAnsi" w:hAnsiTheme="minorHAnsi" w:cstheme="minorHAnsi"/>
          <w:sz w:val="22"/>
          <w:szCs w:val="22"/>
        </w:rPr>
        <w:t>Akumulace (integrace a využití pro provoz elektrizační soustavy);</w:t>
      </w:r>
    </w:p>
    <w:p w14:paraId="27822D8C" w14:textId="77777777" w:rsidR="00815814" w:rsidRPr="00E646BB" w:rsidRDefault="00815814" w:rsidP="00801641">
      <w:pPr>
        <w:pStyle w:val="Default"/>
        <w:numPr>
          <w:ilvl w:val="0"/>
          <w:numId w:val="11"/>
        </w:numPr>
        <w:spacing w:after="120"/>
        <w:ind w:left="714" w:hanging="357"/>
        <w:rPr>
          <w:rFonts w:asciiTheme="minorHAnsi" w:hAnsiTheme="minorHAnsi" w:cstheme="minorHAnsi"/>
          <w:sz w:val="22"/>
          <w:szCs w:val="22"/>
        </w:rPr>
      </w:pPr>
      <w:r w:rsidRPr="00E646BB">
        <w:rPr>
          <w:rFonts w:asciiTheme="minorHAnsi" w:hAnsiTheme="minorHAnsi" w:cstheme="minorHAnsi"/>
          <w:sz w:val="22"/>
          <w:szCs w:val="22"/>
        </w:rPr>
        <w:t>Inteligentní měření (AMM).</w:t>
      </w:r>
    </w:p>
    <w:p w14:paraId="481A113A" w14:textId="77777777" w:rsidR="000B5735" w:rsidRPr="00E646BB" w:rsidRDefault="00815814" w:rsidP="00666611">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fldChar w:fldCharType="begin"/>
      </w:r>
      <w:r w:rsidRPr="00E646BB">
        <w:rPr>
          <w:rFonts w:asciiTheme="minorHAnsi" w:eastAsiaTheme="minorEastAsia" w:hAnsiTheme="minorHAnsi" w:cstheme="minorHAnsi"/>
          <w:i w:val="0"/>
          <w:iCs w:val="0"/>
          <w:color w:val="auto"/>
          <w:sz w:val="22"/>
          <w:szCs w:val="22"/>
        </w:rPr>
        <w:instrText xml:space="preserve"> REF _Ref22633122 \h  \* MERGEFORMAT </w:instrText>
      </w:r>
      <w:r w:rsidRPr="00E646BB">
        <w:rPr>
          <w:rFonts w:asciiTheme="minorHAnsi" w:eastAsiaTheme="minorEastAsia" w:hAnsiTheme="minorHAnsi" w:cstheme="minorHAnsi"/>
          <w:i w:val="0"/>
          <w:iCs w:val="0"/>
          <w:color w:val="auto"/>
          <w:sz w:val="22"/>
          <w:szCs w:val="22"/>
        </w:rPr>
      </w:r>
      <w:r w:rsidRPr="00E646BB">
        <w:rPr>
          <w:rFonts w:asciiTheme="minorHAnsi" w:eastAsiaTheme="minorEastAsia" w:hAnsiTheme="minorHAnsi" w:cstheme="minorHAnsi"/>
          <w:i w:val="0"/>
          <w:iCs w:val="0"/>
          <w:color w:val="auto"/>
          <w:sz w:val="22"/>
          <w:szCs w:val="22"/>
        </w:rPr>
        <w:fldChar w:fldCharType="separate"/>
      </w:r>
      <w:r w:rsidRPr="00E646BB">
        <w:rPr>
          <w:rFonts w:asciiTheme="minorHAnsi" w:eastAsiaTheme="minorEastAsia" w:hAnsiTheme="minorHAnsi" w:cstheme="minorHAnsi"/>
          <w:i w:val="0"/>
          <w:iCs w:val="0"/>
          <w:color w:val="auto"/>
          <w:sz w:val="22"/>
          <w:szCs w:val="22"/>
        </w:rPr>
        <w:t xml:space="preserve">Tabulka č. </w:t>
      </w:r>
      <w:r w:rsidRPr="00E646BB">
        <w:rPr>
          <w:rFonts w:asciiTheme="minorHAnsi" w:eastAsiaTheme="minorEastAsia" w:hAnsiTheme="minorHAnsi" w:cstheme="minorHAnsi"/>
          <w:i w:val="0"/>
          <w:iCs w:val="0"/>
          <w:color w:val="auto"/>
          <w:sz w:val="22"/>
          <w:szCs w:val="22"/>
        </w:rPr>
        <w:fldChar w:fldCharType="end"/>
      </w:r>
      <w:r w:rsidR="00817217" w:rsidRPr="00E646BB">
        <w:rPr>
          <w:rFonts w:asciiTheme="minorHAnsi" w:eastAsiaTheme="minorEastAsia" w:hAnsiTheme="minorHAnsi" w:cstheme="minorHAnsi"/>
          <w:i w:val="0"/>
          <w:iCs w:val="0"/>
          <w:color w:val="auto"/>
          <w:sz w:val="22"/>
          <w:szCs w:val="22"/>
        </w:rPr>
        <w:t>1</w:t>
      </w:r>
      <w:r w:rsidRPr="00E646BB">
        <w:rPr>
          <w:rFonts w:asciiTheme="minorHAnsi" w:eastAsiaTheme="minorEastAsia" w:hAnsiTheme="minorHAnsi" w:cstheme="minorHAnsi"/>
          <w:i w:val="0"/>
          <w:iCs w:val="0"/>
          <w:color w:val="auto"/>
          <w:sz w:val="22"/>
          <w:szCs w:val="22"/>
        </w:rPr>
        <w:t xml:space="preserve"> uvádí přehled celkem 20 projektů (opatření/úkolů), které byly sch</w:t>
      </w:r>
      <w:r w:rsidR="002E10A5" w:rsidRPr="00E646BB">
        <w:rPr>
          <w:rFonts w:asciiTheme="minorHAnsi" w:eastAsiaTheme="minorEastAsia" w:hAnsiTheme="minorHAnsi" w:cstheme="minorHAnsi"/>
          <w:i w:val="0"/>
          <w:iCs w:val="0"/>
          <w:color w:val="auto"/>
          <w:sz w:val="22"/>
          <w:szCs w:val="22"/>
        </w:rPr>
        <w:t>v</w:t>
      </w:r>
      <w:r w:rsidRPr="00E646BB">
        <w:rPr>
          <w:rFonts w:asciiTheme="minorHAnsi" w:eastAsiaTheme="minorEastAsia" w:hAnsiTheme="minorHAnsi" w:cstheme="minorHAnsi"/>
          <w:i w:val="0"/>
          <w:iCs w:val="0"/>
          <w:color w:val="auto"/>
          <w:sz w:val="22"/>
          <w:szCs w:val="22"/>
        </w:rPr>
        <w:t xml:space="preserve">áleny v rámci NAP SG 2019-2030, a to v členění na tři hlavní oblasti. </w:t>
      </w:r>
      <w:r w:rsidR="003667FD" w:rsidRPr="00E646BB">
        <w:rPr>
          <w:rFonts w:asciiTheme="minorHAnsi" w:eastAsiaTheme="minorEastAsia" w:hAnsiTheme="minorHAnsi" w:cstheme="minorHAnsi"/>
          <w:i w:val="0"/>
          <w:iCs w:val="0"/>
          <w:color w:val="auto"/>
          <w:sz w:val="22"/>
          <w:szCs w:val="22"/>
        </w:rPr>
        <w:t>Mezi uvedenými projekt</w:t>
      </w:r>
      <w:r w:rsidR="00E30803" w:rsidRPr="00E646BB">
        <w:rPr>
          <w:rFonts w:asciiTheme="minorHAnsi" w:eastAsiaTheme="minorEastAsia" w:hAnsiTheme="minorHAnsi" w:cstheme="minorHAnsi"/>
          <w:i w:val="0"/>
          <w:iCs w:val="0"/>
          <w:color w:val="auto"/>
          <w:sz w:val="22"/>
          <w:szCs w:val="22"/>
        </w:rPr>
        <w:t xml:space="preserve">y jsou mimo jiné zahrnuty </w:t>
      </w:r>
      <w:r w:rsidR="008A05D8" w:rsidRPr="00E646BB">
        <w:rPr>
          <w:rFonts w:asciiTheme="minorHAnsi" w:eastAsiaTheme="minorEastAsia" w:hAnsiTheme="minorHAnsi" w:cstheme="minorHAnsi"/>
          <w:i w:val="0"/>
          <w:iCs w:val="0"/>
          <w:color w:val="auto"/>
          <w:sz w:val="22"/>
          <w:szCs w:val="22"/>
        </w:rPr>
        <w:t>technický a energetický DataHub</w:t>
      </w:r>
      <w:r w:rsidR="00D41496" w:rsidRPr="00E646BB">
        <w:rPr>
          <w:rFonts w:asciiTheme="minorHAnsi" w:eastAsiaTheme="minorEastAsia" w:hAnsiTheme="minorHAnsi" w:cstheme="minorHAnsi"/>
          <w:i w:val="0"/>
          <w:iCs w:val="0"/>
          <w:color w:val="auto"/>
          <w:sz w:val="22"/>
          <w:szCs w:val="22"/>
        </w:rPr>
        <w:t xml:space="preserve">, což jsou oblasti, které by měly být pokryty právě činnosti </w:t>
      </w:r>
      <w:r w:rsidR="000B5735" w:rsidRPr="00E646BB">
        <w:rPr>
          <w:rFonts w:asciiTheme="minorHAnsi" w:eastAsiaTheme="minorEastAsia" w:hAnsiTheme="minorHAnsi" w:cstheme="minorHAnsi"/>
          <w:i w:val="0"/>
          <w:iCs w:val="0"/>
          <w:color w:val="auto"/>
          <w:sz w:val="22"/>
          <w:szCs w:val="22"/>
        </w:rPr>
        <w:t>Elektroenergetického datového centra.</w:t>
      </w:r>
      <w:r w:rsidR="000D2A5B" w:rsidRPr="00E646BB">
        <w:rPr>
          <w:rFonts w:asciiTheme="minorHAnsi" w:eastAsiaTheme="minorEastAsia" w:hAnsiTheme="minorHAnsi" w:cstheme="minorHAnsi"/>
          <w:i w:val="0"/>
          <w:iCs w:val="0"/>
          <w:color w:val="auto"/>
          <w:sz w:val="22"/>
          <w:szCs w:val="22"/>
        </w:rPr>
        <w:t xml:space="preserve"> EDC </w:t>
      </w:r>
      <w:r w:rsidR="005A4223" w:rsidRPr="00E646BB">
        <w:rPr>
          <w:rFonts w:asciiTheme="minorHAnsi" w:eastAsiaTheme="minorEastAsia" w:hAnsiTheme="minorHAnsi" w:cstheme="minorHAnsi"/>
          <w:i w:val="0"/>
          <w:iCs w:val="0"/>
          <w:color w:val="auto"/>
          <w:sz w:val="22"/>
          <w:szCs w:val="22"/>
        </w:rPr>
        <w:t>by</w:t>
      </w:r>
      <w:r w:rsidR="000D2A5B" w:rsidRPr="00E646BB">
        <w:rPr>
          <w:rFonts w:asciiTheme="minorHAnsi" w:eastAsiaTheme="minorEastAsia" w:hAnsiTheme="minorHAnsi" w:cstheme="minorHAnsi"/>
          <w:i w:val="0"/>
          <w:iCs w:val="0"/>
          <w:color w:val="auto"/>
          <w:sz w:val="22"/>
          <w:szCs w:val="22"/>
        </w:rPr>
        <w:t xml:space="preserve"> ovšem </w:t>
      </w:r>
      <w:r w:rsidR="005A4223" w:rsidRPr="00E646BB">
        <w:rPr>
          <w:rFonts w:asciiTheme="minorHAnsi" w:eastAsiaTheme="minorEastAsia" w:hAnsiTheme="minorHAnsi" w:cstheme="minorHAnsi"/>
          <w:i w:val="0"/>
          <w:iCs w:val="0"/>
          <w:color w:val="auto"/>
          <w:sz w:val="22"/>
          <w:szCs w:val="22"/>
        </w:rPr>
        <w:t>mělo</w:t>
      </w:r>
      <w:r w:rsidR="000D2A5B" w:rsidRPr="00E646BB">
        <w:rPr>
          <w:rFonts w:asciiTheme="minorHAnsi" w:eastAsiaTheme="minorEastAsia" w:hAnsiTheme="minorHAnsi" w:cstheme="minorHAnsi"/>
          <w:i w:val="0"/>
          <w:iCs w:val="0"/>
          <w:color w:val="auto"/>
          <w:sz w:val="22"/>
          <w:szCs w:val="22"/>
        </w:rPr>
        <w:t xml:space="preserve"> procesně </w:t>
      </w:r>
      <w:r w:rsidR="00F600F9" w:rsidRPr="00E646BB">
        <w:rPr>
          <w:rFonts w:asciiTheme="minorHAnsi" w:eastAsiaTheme="minorEastAsia" w:hAnsiTheme="minorHAnsi" w:cstheme="minorHAnsi"/>
          <w:i w:val="0"/>
          <w:iCs w:val="0"/>
          <w:color w:val="auto"/>
          <w:sz w:val="22"/>
          <w:szCs w:val="22"/>
        </w:rPr>
        <w:t xml:space="preserve">podporovat většinu oblastí </w:t>
      </w:r>
      <w:r w:rsidR="00B5415C" w:rsidRPr="00E646BB">
        <w:rPr>
          <w:rFonts w:asciiTheme="minorHAnsi" w:eastAsiaTheme="minorEastAsia" w:hAnsiTheme="minorHAnsi" w:cstheme="minorHAnsi"/>
          <w:i w:val="0"/>
          <w:iCs w:val="0"/>
          <w:color w:val="auto"/>
          <w:sz w:val="22"/>
          <w:szCs w:val="22"/>
        </w:rPr>
        <w:t>implementovaných projekty NAP SG.</w:t>
      </w:r>
    </w:p>
    <w:p w14:paraId="2B13AED8" w14:textId="77777777" w:rsidR="00815814" w:rsidRPr="00E646BB" w:rsidRDefault="00815814" w:rsidP="00815814">
      <w:pPr>
        <w:pStyle w:val="Titulek"/>
        <w:keepNext/>
        <w:rPr>
          <w:rFonts w:cstheme="minorHAnsi"/>
          <w:b/>
          <w:i w:val="0"/>
          <w:iCs w:val="0"/>
          <w:color w:val="000000" w:themeColor="text1"/>
          <w:sz w:val="22"/>
          <w:szCs w:val="22"/>
        </w:rPr>
      </w:pPr>
      <w:bookmarkStart w:id="1" w:name="_Ref22633122"/>
      <w:bookmarkStart w:id="2" w:name="_Toc29897948"/>
      <w:r w:rsidRPr="00E646BB">
        <w:rPr>
          <w:rFonts w:cstheme="minorHAnsi"/>
          <w:i w:val="0"/>
          <w:iCs w:val="0"/>
          <w:color w:val="000000" w:themeColor="text1"/>
          <w:sz w:val="22"/>
          <w:szCs w:val="22"/>
        </w:rPr>
        <w:t>Tabulka č.</w:t>
      </w:r>
      <w:bookmarkEnd w:id="1"/>
      <w:r w:rsidR="00A2216C" w:rsidRPr="00E646BB">
        <w:rPr>
          <w:rFonts w:cstheme="minorHAnsi"/>
          <w:i w:val="0"/>
          <w:iCs w:val="0"/>
          <w:color w:val="000000" w:themeColor="text1"/>
          <w:sz w:val="22"/>
          <w:szCs w:val="22"/>
        </w:rPr>
        <w:t xml:space="preserve"> </w:t>
      </w:r>
      <w:r w:rsidR="00817217" w:rsidRPr="00E646BB">
        <w:rPr>
          <w:rFonts w:cstheme="minorHAnsi"/>
          <w:i w:val="0"/>
          <w:iCs w:val="0"/>
          <w:color w:val="000000" w:themeColor="text1"/>
          <w:sz w:val="22"/>
          <w:szCs w:val="22"/>
        </w:rPr>
        <w:t>1</w:t>
      </w:r>
      <w:r w:rsidRPr="00E646BB">
        <w:rPr>
          <w:rFonts w:cstheme="minorHAnsi"/>
          <w:i w:val="0"/>
          <w:iCs w:val="0"/>
          <w:color w:val="000000" w:themeColor="text1"/>
          <w:sz w:val="22"/>
          <w:szCs w:val="22"/>
        </w:rPr>
        <w:t>: Přehled opatření NAP SG 2019-2030 dle jednotlivých oblastí</w:t>
      </w:r>
      <w:bookmarkEnd w:id="2"/>
    </w:p>
    <w:tbl>
      <w:tblPr>
        <w:tblStyle w:val="Mkatabulky"/>
        <w:tblW w:w="976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19"/>
        <w:gridCol w:w="5247"/>
      </w:tblGrid>
      <w:tr w:rsidR="00815814" w:rsidRPr="00E646BB" w14:paraId="0736F29F" w14:textId="77777777" w:rsidTr="00FD2899">
        <w:tc>
          <w:tcPr>
            <w:tcW w:w="4519" w:type="dxa"/>
            <w:tcBorders>
              <w:top w:val="single" w:sz="12" w:space="0" w:color="auto"/>
              <w:bottom w:val="single" w:sz="12" w:space="0" w:color="auto"/>
            </w:tcBorders>
            <w:shd w:val="clear" w:color="auto" w:fill="F2F2F2" w:themeFill="background1" w:themeFillShade="F2"/>
          </w:tcPr>
          <w:p w14:paraId="2D2766F7" w14:textId="77777777" w:rsidR="00815814" w:rsidRPr="00E646BB" w:rsidRDefault="00815814" w:rsidP="00EF7665">
            <w:pPr>
              <w:pStyle w:val="Odstavecseseznamem"/>
              <w:spacing w:before="60" w:after="60" w:line="276" w:lineRule="auto"/>
              <w:ind w:left="0"/>
              <w:contextualSpacing w:val="0"/>
              <w:jc w:val="center"/>
              <w:rPr>
                <w:rFonts w:cstheme="minorHAnsi"/>
                <w:b/>
                <w:noProof/>
              </w:rPr>
            </w:pPr>
            <w:r w:rsidRPr="00E646BB">
              <w:rPr>
                <w:rFonts w:cstheme="minorHAnsi"/>
                <w:b/>
                <w:noProof/>
              </w:rPr>
              <w:t>Oblasti/programy</w:t>
            </w:r>
          </w:p>
        </w:tc>
        <w:tc>
          <w:tcPr>
            <w:tcW w:w="5247" w:type="dxa"/>
            <w:tcBorders>
              <w:top w:val="single" w:sz="12" w:space="0" w:color="auto"/>
              <w:bottom w:val="single" w:sz="12" w:space="0" w:color="auto"/>
            </w:tcBorders>
            <w:shd w:val="clear" w:color="auto" w:fill="F2F2F2" w:themeFill="background1" w:themeFillShade="F2"/>
          </w:tcPr>
          <w:p w14:paraId="5BA5EB0B" w14:textId="77777777" w:rsidR="00815814" w:rsidRPr="00E646BB" w:rsidRDefault="00815814" w:rsidP="00EF7665">
            <w:pPr>
              <w:pStyle w:val="Odstavecseseznamem"/>
              <w:spacing w:before="60" w:after="60" w:line="276" w:lineRule="auto"/>
              <w:ind w:left="0"/>
              <w:contextualSpacing w:val="0"/>
              <w:jc w:val="center"/>
              <w:rPr>
                <w:rFonts w:cstheme="minorHAnsi"/>
                <w:b/>
                <w:noProof/>
              </w:rPr>
            </w:pPr>
            <w:r w:rsidRPr="00E646BB">
              <w:rPr>
                <w:rFonts w:cstheme="minorHAnsi"/>
                <w:b/>
                <w:noProof/>
              </w:rPr>
              <w:t>Projekty (opatření/úkoly)</w:t>
            </w:r>
          </w:p>
        </w:tc>
      </w:tr>
      <w:tr w:rsidR="00815814" w:rsidRPr="00E646BB" w14:paraId="716B7B4F" w14:textId="77777777" w:rsidTr="00FD2899">
        <w:tc>
          <w:tcPr>
            <w:tcW w:w="4519" w:type="dxa"/>
            <w:vMerge w:val="restart"/>
            <w:tcBorders>
              <w:top w:val="single" w:sz="12" w:space="0" w:color="auto"/>
            </w:tcBorders>
            <w:vAlign w:val="center"/>
          </w:tcPr>
          <w:p w14:paraId="62066745" w14:textId="77777777" w:rsidR="00815814" w:rsidRPr="00E646BB" w:rsidRDefault="00815814" w:rsidP="00EF7665">
            <w:pPr>
              <w:pStyle w:val="Odstavecseseznamem"/>
              <w:spacing w:after="120" w:line="276" w:lineRule="auto"/>
              <w:ind w:left="0"/>
              <w:contextualSpacing w:val="0"/>
              <w:rPr>
                <w:rFonts w:cstheme="minorHAnsi"/>
                <w:noProof/>
              </w:rPr>
            </w:pPr>
            <w:r w:rsidRPr="00E646BB">
              <w:rPr>
                <w:rFonts w:cstheme="minorHAnsi"/>
                <w:noProof/>
              </w:rPr>
              <w:t>I - Legislativa, tarifní systém, regulace</w:t>
            </w:r>
          </w:p>
        </w:tc>
        <w:tc>
          <w:tcPr>
            <w:tcW w:w="5247" w:type="dxa"/>
            <w:tcBorders>
              <w:top w:val="single" w:sz="12" w:space="0" w:color="auto"/>
            </w:tcBorders>
          </w:tcPr>
          <w:p w14:paraId="2AB4B409" w14:textId="77777777" w:rsidR="00815814" w:rsidRPr="00E646BB" w:rsidRDefault="00815814" w:rsidP="00EF7665">
            <w:pPr>
              <w:pStyle w:val="Odstavecseseznamem"/>
              <w:spacing w:after="120" w:line="276" w:lineRule="auto"/>
              <w:ind w:left="0"/>
              <w:contextualSpacing w:val="0"/>
              <w:jc w:val="both"/>
              <w:rPr>
                <w:rFonts w:cstheme="minorHAnsi"/>
                <w:noProof/>
              </w:rPr>
            </w:pPr>
            <w:r w:rsidRPr="00E646BB">
              <w:rPr>
                <w:rFonts w:cstheme="minorHAnsi"/>
                <w:noProof/>
              </w:rPr>
              <w:t>Legislativní podpora (podpůný projekt)</w:t>
            </w:r>
          </w:p>
        </w:tc>
      </w:tr>
      <w:tr w:rsidR="00815814" w:rsidRPr="00E646BB" w14:paraId="2FD3B3CB" w14:textId="77777777" w:rsidTr="00FD2899">
        <w:tc>
          <w:tcPr>
            <w:tcW w:w="4519" w:type="dxa"/>
            <w:vMerge/>
          </w:tcPr>
          <w:p w14:paraId="43666ED3"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4BB6687F"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Monitoring a implementace nařízení EC (síťové kodexy) (realizační projekt)</w:t>
            </w:r>
          </w:p>
        </w:tc>
      </w:tr>
      <w:tr w:rsidR="00815814" w:rsidRPr="00E646BB" w14:paraId="2335E80C" w14:textId="77777777" w:rsidTr="00FD2899">
        <w:tc>
          <w:tcPr>
            <w:tcW w:w="4519" w:type="dxa"/>
            <w:vMerge/>
          </w:tcPr>
          <w:p w14:paraId="67A53C8C"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4910C3D7"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Zavedení patnáctiminutového intervalu vyhodnocování odchylek (realizační projekt)</w:t>
            </w:r>
          </w:p>
        </w:tc>
      </w:tr>
      <w:tr w:rsidR="00815814" w:rsidRPr="00E646BB" w14:paraId="541A15E5" w14:textId="77777777" w:rsidTr="00FD2899">
        <w:tc>
          <w:tcPr>
            <w:tcW w:w="4519" w:type="dxa"/>
            <w:vMerge w:val="restart"/>
            <w:vAlign w:val="center"/>
          </w:tcPr>
          <w:p w14:paraId="6613DF23" w14:textId="77777777" w:rsidR="00815814" w:rsidRPr="00E646BB" w:rsidRDefault="00815814" w:rsidP="00EF7665">
            <w:pPr>
              <w:pStyle w:val="Odstavecseseznamem"/>
              <w:spacing w:after="120" w:line="276" w:lineRule="auto"/>
              <w:ind w:left="0"/>
              <w:contextualSpacing w:val="0"/>
              <w:rPr>
                <w:rFonts w:cstheme="minorHAnsi"/>
                <w:noProof/>
              </w:rPr>
            </w:pPr>
            <w:r w:rsidRPr="00E646BB">
              <w:rPr>
                <w:rFonts w:cstheme="minorHAnsi"/>
                <w:noProof/>
              </w:rPr>
              <w:t>II – Využití nových technologií v provozu ES ČR</w:t>
            </w:r>
          </w:p>
        </w:tc>
        <w:tc>
          <w:tcPr>
            <w:tcW w:w="5247" w:type="dxa"/>
          </w:tcPr>
          <w:p w14:paraId="23642632" w14:textId="77777777" w:rsidR="00815814" w:rsidRPr="00E646BB" w:rsidRDefault="00815814" w:rsidP="00EF7665">
            <w:pPr>
              <w:pStyle w:val="Odstavecseseznamem"/>
              <w:spacing w:after="120" w:line="276" w:lineRule="auto"/>
              <w:ind w:left="0"/>
              <w:contextualSpacing w:val="0"/>
              <w:jc w:val="both"/>
              <w:rPr>
                <w:rFonts w:cstheme="minorHAnsi"/>
                <w:noProof/>
              </w:rPr>
            </w:pPr>
            <w:r w:rsidRPr="00E646BB">
              <w:rPr>
                <w:rFonts w:cstheme="minorHAnsi"/>
                <w:noProof/>
              </w:rPr>
              <w:t>Osazení měření kvality elektřiny (realizační projekt)</w:t>
            </w:r>
          </w:p>
        </w:tc>
      </w:tr>
      <w:tr w:rsidR="00815814" w:rsidRPr="00E646BB" w14:paraId="021C6607" w14:textId="77777777" w:rsidTr="00FD2899">
        <w:tc>
          <w:tcPr>
            <w:tcW w:w="4519" w:type="dxa"/>
            <w:vMerge/>
          </w:tcPr>
          <w:p w14:paraId="07C6C1D8"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6F07322A"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Frekvenční odlehčování (realizační projekt)</w:t>
            </w:r>
          </w:p>
        </w:tc>
      </w:tr>
      <w:tr w:rsidR="00815814" w:rsidRPr="00E646BB" w14:paraId="3B9FAE07" w14:textId="77777777" w:rsidTr="00FD2899">
        <w:tc>
          <w:tcPr>
            <w:tcW w:w="4519" w:type="dxa"/>
            <w:vMerge/>
          </w:tcPr>
          <w:p w14:paraId="1682DC42"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35488EEB"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Flexibilita bateriových systémů (0,5 MW a výše) pro poskytování bilančních a ostatních podpůrných služeb (pilotní projekt)</w:t>
            </w:r>
          </w:p>
        </w:tc>
      </w:tr>
      <w:tr w:rsidR="00815814" w:rsidRPr="00E646BB" w14:paraId="4090321B" w14:textId="77777777" w:rsidTr="00FD2899">
        <w:tc>
          <w:tcPr>
            <w:tcW w:w="4519" w:type="dxa"/>
            <w:vMerge/>
          </w:tcPr>
          <w:p w14:paraId="77E42884"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06F35854"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Flexibilita DECE (0,5 MW a výše) pro poskytování bilančních a ostatních podpůrných služeb (pilotní projekt)</w:t>
            </w:r>
          </w:p>
        </w:tc>
      </w:tr>
      <w:tr w:rsidR="00815814" w:rsidRPr="00E646BB" w14:paraId="5DB48AA6" w14:textId="77777777" w:rsidTr="00FD2899">
        <w:tc>
          <w:tcPr>
            <w:tcW w:w="4519" w:type="dxa"/>
            <w:vMerge/>
          </w:tcPr>
          <w:p w14:paraId="76DF1A5C"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6803327B"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Flexibilita velkých spotřebitelů (zapojených do 110 KV) pro poskytování bilančních a ostatních podpůrných služeb (pilotní projekt)</w:t>
            </w:r>
          </w:p>
        </w:tc>
      </w:tr>
      <w:tr w:rsidR="00815814" w:rsidRPr="00E646BB" w14:paraId="769B0994" w14:textId="77777777" w:rsidTr="00FD2899">
        <w:tc>
          <w:tcPr>
            <w:tcW w:w="4519" w:type="dxa"/>
            <w:vMerge/>
          </w:tcPr>
          <w:p w14:paraId="7237E6B5"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659A96E0"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Agregace poskytovatelů flexibility na straně spotřeby (včetně prosumers) zapojených do vn a nn pro poskytování bilančních a ostatních podpůrných služeb (pilotní projekt)</w:t>
            </w:r>
          </w:p>
        </w:tc>
      </w:tr>
      <w:tr w:rsidR="00815814" w:rsidRPr="00E646BB" w14:paraId="0A88D904" w14:textId="77777777" w:rsidTr="00FD2899">
        <w:tc>
          <w:tcPr>
            <w:tcW w:w="4519" w:type="dxa"/>
            <w:vMerge/>
          </w:tcPr>
          <w:p w14:paraId="34CB7CC9"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7D7EF4F8" w14:textId="3D3332D0"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Akumulace, využití akumulace jako součásti instalace FVE v sítích nn (podpů</w:t>
            </w:r>
            <w:r w:rsidR="00DF6D91" w:rsidRPr="00E646BB">
              <w:rPr>
                <w:rFonts w:cstheme="minorHAnsi"/>
              </w:rPr>
              <w:t>r</w:t>
            </w:r>
            <w:r w:rsidRPr="00E646BB">
              <w:rPr>
                <w:rFonts w:cstheme="minorHAnsi"/>
              </w:rPr>
              <w:t>ný projekt)</w:t>
            </w:r>
          </w:p>
        </w:tc>
      </w:tr>
      <w:tr w:rsidR="00815814" w:rsidRPr="00E646BB" w14:paraId="38D643DD" w14:textId="77777777" w:rsidTr="00FD2899">
        <w:tc>
          <w:tcPr>
            <w:tcW w:w="4519" w:type="dxa"/>
            <w:vMerge/>
          </w:tcPr>
          <w:p w14:paraId="3EFA18F0"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1B9B88A8"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Technický DataHUB - Digitalizace provozu ES ČR v budoucích podmínkách (realizační projekt)</w:t>
            </w:r>
          </w:p>
        </w:tc>
      </w:tr>
      <w:tr w:rsidR="00815814" w:rsidRPr="00E646BB" w14:paraId="69ACC991" w14:textId="77777777" w:rsidTr="00FD2899">
        <w:tc>
          <w:tcPr>
            <w:tcW w:w="4519" w:type="dxa"/>
            <w:vMerge/>
          </w:tcPr>
          <w:p w14:paraId="0EF63CEC"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178BCFBA"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Management Q (realizační projekt)</w:t>
            </w:r>
          </w:p>
        </w:tc>
      </w:tr>
      <w:tr w:rsidR="00815814" w:rsidRPr="00E646BB" w14:paraId="482D335D" w14:textId="77777777" w:rsidTr="00FD2899">
        <w:tc>
          <w:tcPr>
            <w:tcW w:w="4519" w:type="dxa"/>
            <w:vMerge w:val="restart"/>
            <w:vAlign w:val="center"/>
          </w:tcPr>
          <w:p w14:paraId="24BDA5F4" w14:textId="77777777" w:rsidR="00815814" w:rsidRPr="00E646BB" w:rsidRDefault="00815814" w:rsidP="00EF7665">
            <w:pPr>
              <w:pStyle w:val="Odstavecseseznamem"/>
              <w:spacing w:after="120" w:line="276" w:lineRule="auto"/>
              <w:ind w:left="0"/>
              <w:contextualSpacing w:val="0"/>
              <w:rPr>
                <w:rFonts w:cstheme="minorHAnsi"/>
                <w:noProof/>
              </w:rPr>
            </w:pPr>
            <w:r w:rsidRPr="00E646BB">
              <w:rPr>
                <w:rFonts w:cstheme="minorHAnsi"/>
                <w:noProof/>
              </w:rPr>
              <w:t>III – Integrace nových technologií do ES</w:t>
            </w:r>
          </w:p>
        </w:tc>
        <w:tc>
          <w:tcPr>
            <w:tcW w:w="5247" w:type="dxa"/>
          </w:tcPr>
          <w:p w14:paraId="1A945929" w14:textId="77777777" w:rsidR="00815814" w:rsidRPr="00E646BB" w:rsidRDefault="00815814" w:rsidP="00EF7665">
            <w:pPr>
              <w:pStyle w:val="Odstavecseseznamem"/>
              <w:spacing w:after="120" w:line="276" w:lineRule="auto"/>
              <w:ind w:left="0"/>
              <w:contextualSpacing w:val="0"/>
              <w:jc w:val="both"/>
              <w:rPr>
                <w:rFonts w:cstheme="minorHAnsi"/>
                <w:noProof/>
              </w:rPr>
            </w:pPr>
            <w:r w:rsidRPr="00E646BB">
              <w:rPr>
                <w:rFonts w:cstheme="minorHAnsi"/>
                <w:noProof/>
              </w:rPr>
              <w:t>Implementace inteligentního měření (realizační projekt)</w:t>
            </w:r>
          </w:p>
        </w:tc>
      </w:tr>
      <w:tr w:rsidR="00815814" w:rsidRPr="00E646BB" w14:paraId="6BA766AD" w14:textId="77777777" w:rsidTr="00FD2899">
        <w:tc>
          <w:tcPr>
            <w:tcW w:w="4519" w:type="dxa"/>
            <w:vMerge/>
          </w:tcPr>
          <w:p w14:paraId="09185CD7"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06AE66B8"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Implementace chytrých stanic na hladině vn (dálkové ovládání, monitoring, signalizace) (realizační projekt)</w:t>
            </w:r>
          </w:p>
        </w:tc>
      </w:tr>
      <w:tr w:rsidR="00815814" w:rsidRPr="00E646BB" w14:paraId="29F392C0" w14:textId="77777777" w:rsidTr="00FD2899">
        <w:tc>
          <w:tcPr>
            <w:tcW w:w="4519" w:type="dxa"/>
            <w:vMerge/>
          </w:tcPr>
          <w:p w14:paraId="101ADFC8"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7207A28B"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Implementace dálkově ovládaných spínacích prvků (DOP) na venkovním vedení vn (realizační projekt)</w:t>
            </w:r>
          </w:p>
        </w:tc>
      </w:tr>
      <w:tr w:rsidR="00815814" w:rsidRPr="00E646BB" w14:paraId="7850753E" w14:textId="77777777" w:rsidTr="00FD2899">
        <w:tc>
          <w:tcPr>
            <w:tcW w:w="4519" w:type="dxa"/>
            <w:vMerge/>
          </w:tcPr>
          <w:p w14:paraId="0051AB18"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581D54F1" w14:textId="70313C36"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Automatizace sítí nn (ASDŘ) (podpů</w:t>
            </w:r>
            <w:r w:rsidR="00DF6D91" w:rsidRPr="00E646BB">
              <w:rPr>
                <w:rFonts w:cstheme="minorHAnsi"/>
              </w:rPr>
              <w:t>r</w:t>
            </w:r>
            <w:r w:rsidRPr="00E646BB">
              <w:rPr>
                <w:rFonts w:cstheme="minorHAnsi"/>
              </w:rPr>
              <w:t>ný projekt)</w:t>
            </w:r>
          </w:p>
        </w:tc>
      </w:tr>
      <w:tr w:rsidR="00815814" w:rsidRPr="00E646BB" w14:paraId="19EF7EF0" w14:textId="77777777" w:rsidTr="00FD2899">
        <w:tc>
          <w:tcPr>
            <w:tcW w:w="4519" w:type="dxa"/>
            <w:vMerge/>
          </w:tcPr>
          <w:p w14:paraId="41AED5FE"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6B543E86"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Integrace elektromobility do DS (pilotní a podpůrný projekt)</w:t>
            </w:r>
          </w:p>
        </w:tc>
      </w:tr>
      <w:tr w:rsidR="00815814" w:rsidRPr="00E646BB" w14:paraId="577DCA2A" w14:textId="77777777" w:rsidTr="00FD2899">
        <w:tc>
          <w:tcPr>
            <w:tcW w:w="4519" w:type="dxa"/>
            <w:vMerge/>
          </w:tcPr>
          <w:p w14:paraId="13E5722A"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645978D7"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Rozvoj a výstavba optické telekomunikační infrastruktury (realizační projekt)</w:t>
            </w:r>
          </w:p>
        </w:tc>
      </w:tr>
      <w:tr w:rsidR="00815814" w:rsidRPr="00E646BB" w14:paraId="2D0B5485" w14:textId="77777777" w:rsidTr="00FD2899">
        <w:tc>
          <w:tcPr>
            <w:tcW w:w="4519" w:type="dxa"/>
            <w:vMerge/>
          </w:tcPr>
          <w:p w14:paraId="0FC182FB"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0DCA82DF" w14:textId="77777777" w:rsidR="00815814" w:rsidRPr="00E646BB" w:rsidRDefault="00815814" w:rsidP="00EF7665">
            <w:pPr>
              <w:pStyle w:val="Odstavecseseznamem"/>
              <w:spacing w:after="120" w:line="276" w:lineRule="auto"/>
              <w:ind w:left="0"/>
              <w:contextualSpacing w:val="0"/>
              <w:jc w:val="both"/>
              <w:rPr>
                <w:rFonts w:cstheme="minorHAnsi"/>
              </w:rPr>
            </w:pPr>
            <w:r w:rsidRPr="00E646BB">
              <w:rPr>
                <w:rFonts w:cstheme="minorHAnsi"/>
              </w:rPr>
              <w:t>Energetický DataHUB – část obchod (realizační projekt)</w:t>
            </w:r>
          </w:p>
        </w:tc>
      </w:tr>
      <w:tr w:rsidR="00815814" w:rsidRPr="00E646BB" w14:paraId="30C2034C" w14:textId="77777777" w:rsidTr="00FD2899">
        <w:tc>
          <w:tcPr>
            <w:tcW w:w="4519" w:type="dxa"/>
            <w:vMerge/>
          </w:tcPr>
          <w:p w14:paraId="26B62BF0" w14:textId="77777777" w:rsidR="00815814" w:rsidRPr="00E646BB" w:rsidRDefault="00815814" w:rsidP="00EF7665">
            <w:pPr>
              <w:pStyle w:val="Odstavecseseznamem"/>
              <w:spacing w:after="120" w:line="276" w:lineRule="auto"/>
              <w:ind w:left="0"/>
              <w:contextualSpacing w:val="0"/>
              <w:jc w:val="both"/>
              <w:rPr>
                <w:rFonts w:cstheme="minorHAnsi"/>
              </w:rPr>
            </w:pPr>
          </w:p>
        </w:tc>
        <w:tc>
          <w:tcPr>
            <w:tcW w:w="5247" w:type="dxa"/>
          </w:tcPr>
          <w:p w14:paraId="35C063D0" w14:textId="2BDFDDFA" w:rsidR="00815814" w:rsidRPr="00E646BB" w:rsidRDefault="00815814" w:rsidP="00EF7665">
            <w:pPr>
              <w:pStyle w:val="Odstavecseseznamem"/>
              <w:spacing w:after="120" w:line="276" w:lineRule="auto"/>
              <w:ind w:left="0"/>
              <w:contextualSpacing w:val="0"/>
              <w:jc w:val="both"/>
              <w:rPr>
                <w:rFonts w:cstheme="minorHAnsi"/>
                <w:noProof/>
              </w:rPr>
            </w:pPr>
            <w:r w:rsidRPr="00E646BB">
              <w:rPr>
                <w:rFonts w:cstheme="minorHAnsi"/>
              </w:rPr>
              <w:t>Využití technologie Power to X pro akumulaci přebytků elektřiny z OZE (podpů</w:t>
            </w:r>
            <w:r w:rsidR="00DF6D91" w:rsidRPr="00E646BB">
              <w:rPr>
                <w:rFonts w:cstheme="minorHAnsi"/>
              </w:rPr>
              <w:t>r</w:t>
            </w:r>
            <w:r w:rsidRPr="00E646BB">
              <w:rPr>
                <w:rFonts w:cstheme="minorHAnsi"/>
              </w:rPr>
              <w:t>ný projekt)</w:t>
            </w:r>
          </w:p>
        </w:tc>
      </w:tr>
    </w:tbl>
    <w:p w14:paraId="1E054132" w14:textId="77777777" w:rsidR="00815814" w:rsidRPr="00E646BB" w:rsidRDefault="00815814" w:rsidP="005860C5">
      <w:pPr>
        <w:pStyle w:val="K-TextInfo"/>
        <w:ind w:left="360"/>
        <w:rPr>
          <w:rFonts w:asciiTheme="minorHAnsi" w:eastAsiaTheme="minorEastAsia" w:hAnsiTheme="minorHAnsi" w:cstheme="minorHAnsi"/>
          <w:i w:val="0"/>
          <w:iCs w:val="0"/>
          <w:color w:val="auto"/>
          <w:sz w:val="22"/>
          <w:szCs w:val="22"/>
        </w:rPr>
      </w:pPr>
    </w:p>
    <w:p w14:paraId="4AA2D2B0" w14:textId="3AED8454" w:rsidR="002C20CF" w:rsidRPr="00E646BB" w:rsidRDefault="2306B366" w:rsidP="569F9CD4">
      <w:pPr>
        <w:pStyle w:val="K-Nadpis2"/>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3. </w:t>
      </w:r>
      <w:r w:rsidR="16E0012A" w:rsidRPr="00E646BB">
        <w:rPr>
          <w:rFonts w:asciiTheme="minorHAnsi" w:eastAsiaTheme="minorEastAsia" w:hAnsiTheme="minorHAnsi" w:cstheme="minorHAnsi"/>
          <w:sz w:val="22"/>
          <w:szCs w:val="22"/>
        </w:rPr>
        <w:t>Popis reforem</w:t>
      </w:r>
      <w:r w:rsidR="49A67FA7" w:rsidRPr="00E646BB">
        <w:rPr>
          <w:rFonts w:asciiTheme="minorHAnsi" w:eastAsiaTheme="minorEastAsia" w:hAnsiTheme="minorHAnsi" w:cstheme="minorHAnsi"/>
          <w:sz w:val="22"/>
          <w:szCs w:val="22"/>
        </w:rPr>
        <w:t xml:space="preserve"> a investic</w:t>
      </w:r>
      <w:r w:rsidR="16E0012A" w:rsidRPr="00E646BB">
        <w:rPr>
          <w:rFonts w:asciiTheme="minorHAnsi" w:eastAsiaTheme="minorEastAsia" w:hAnsiTheme="minorHAnsi" w:cstheme="minorHAnsi"/>
          <w:sz w:val="22"/>
          <w:szCs w:val="22"/>
        </w:rPr>
        <w:t xml:space="preserve"> k</w:t>
      </w:r>
      <w:r w:rsidRPr="00E646BB">
        <w:rPr>
          <w:rFonts w:asciiTheme="minorHAnsi" w:eastAsiaTheme="minorEastAsia" w:hAnsiTheme="minorHAnsi" w:cstheme="minorHAnsi"/>
          <w:sz w:val="22"/>
          <w:szCs w:val="22"/>
        </w:rPr>
        <w:t>omponent</w:t>
      </w:r>
      <w:r w:rsidR="16E0012A" w:rsidRPr="00E646BB">
        <w:rPr>
          <w:rFonts w:asciiTheme="minorHAnsi" w:eastAsiaTheme="minorEastAsia" w:hAnsiTheme="minorHAnsi" w:cstheme="minorHAnsi"/>
          <w:sz w:val="22"/>
          <w:szCs w:val="22"/>
        </w:rPr>
        <w:t>y</w:t>
      </w:r>
      <w:r w:rsidRPr="00E646BB">
        <w:rPr>
          <w:rFonts w:asciiTheme="minorHAnsi" w:eastAsiaTheme="minorEastAsia" w:hAnsiTheme="minorHAnsi" w:cstheme="minorHAnsi"/>
          <w:sz w:val="22"/>
          <w:szCs w:val="22"/>
        </w:rPr>
        <w:t xml:space="preserve"> </w:t>
      </w:r>
    </w:p>
    <w:p w14:paraId="6F3C34FC" w14:textId="6A3F1281" w:rsidR="00386775" w:rsidRPr="00E646BB" w:rsidRDefault="00386775" w:rsidP="00386775">
      <w:pPr>
        <w:pStyle w:val="K-Nadpis3"/>
        <w:rPr>
          <w:rFonts w:asciiTheme="minorHAnsi" w:eastAsiaTheme="minorEastAsia" w:hAnsiTheme="minorHAnsi" w:cstheme="minorHAnsi"/>
          <w:b w:val="0"/>
          <w:sz w:val="22"/>
          <w:szCs w:val="22"/>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386775" w:rsidRPr="00E646BB" w14:paraId="0499176C" w14:textId="77777777" w:rsidTr="3C4AC61A">
        <w:tc>
          <w:tcPr>
            <w:tcW w:w="2405" w:type="dxa"/>
          </w:tcPr>
          <w:p w14:paraId="73C99D7B"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Reforma</w:t>
            </w:r>
          </w:p>
        </w:tc>
        <w:tc>
          <w:tcPr>
            <w:tcW w:w="7223" w:type="dxa"/>
          </w:tcPr>
          <w:p w14:paraId="18AB744B" w14:textId="5C29C1CE" w:rsidR="00386775" w:rsidRPr="00C676BC" w:rsidRDefault="00C676BC" w:rsidP="3C4AC61A">
            <w:pPr>
              <w:pStyle w:val="K-Nadpis3"/>
              <w:spacing w:after="0"/>
              <w:rPr>
                <w:rFonts w:asciiTheme="majorHAnsi" w:eastAsia="Times New Roman" w:hAnsiTheme="majorHAnsi" w:cstheme="majorBidi"/>
                <w:sz w:val="22"/>
                <w:szCs w:val="22"/>
              </w:rPr>
            </w:pPr>
            <w:r w:rsidRPr="3C4AC61A">
              <w:rPr>
                <w:rFonts w:asciiTheme="majorHAnsi" w:eastAsiaTheme="minorEastAsia" w:hAnsiTheme="majorHAnsi" w:cstheme="majorBidi"/>
                <w:sz w:val="22"/>
                <w:szCs w:val="22"/>
              </w:rPr>
              <w:t xml:space="preserve">7.2.1 </w:t>
            </w:r>
            <w:r w:rsidR="42CC4D46" w:rsidRPr="3C4AC61A">
              <w:rPr>
                <w:rFonts w:asciiTheme="majorHAnsi" w:eastAsiaTheme="minorEastAsia" w:hAnsiTheme="majorHAnsi" w:cstheme="majorBidi"/>
                <w:sz w:val="22"/>
                <w:szCs w:val="22"/>
              </w:rPr>
              <w:t>Energetická společenství</w:t>
            </w:r>
          </w:p>
        </w:tc>
      </w:tr>
      <w:tr w:rsidR="00386775" w:rsidRPr="00E646BB" w14:paraId="4992F410" w14:textId="77777777" w:rsidTr="3C4AC61A">
        <w:tc>
          <w:tcPr>
            <w:tcW w:w="2405" w:type="dxa"/>
          </w:tcPr>
          <w:p w14:paraId="00244A3A"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Výzva</w:t>
            </w:r>
          </w:p>
        </w:tc>
        <w:tc>
          <w:tcPr>
            <w:tcW w:w="7223" w:type="dxa"/>
          </w:tcPr>
          <w:p w14:paraId="0B404B32"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E646BB">
              <w:rPr>
                <w:rFonts w:asciiTheme="majorHAnsi" w:eastAsia="Times New Roman" w:hAnsiTheme="majorHAnsi" w:cstheme="majorHAnsi"/>
                <w:color w:val="000000"/>
              </w:rPr>
              <w:t>Aktuální situace na trhu s energií vyžaduje přijmout opatření pro zvýšení energetické soběstačnosti a bezpečnosti České republiky. Je třeba využít potenciál obnovitelné energie a snížit tak závislost na fosilních palivech. Nevyužitý potenciál je možno spatřovat v komunitní energetice a sdílení elektřiny. Je třeba umožnit občanům, obcím a malým podnikatelům zapojit se do komunitní energetiky a snížit jejich závislost na fosilních palivech prostřednictvím lokální výroby energie a jejího sdílení. Je to také nástroj, jak zmírnit dopady extrémně vysokých cen energie na zákazníky.</w:t>
            </w:r>
          </w:p>
          <w:p w14:paraId="3C917284"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E646BB">
              <w:rPr>
                <w:rFonts w:asciiTheme="majorHAnsi" w:eastAsia="Times New Roman" w:hAnsiTheme="majorHAnsi" w:cstheme="majorHAnsi"/>
                <w:color w:val="000000"/>
              </w:rPr>
              <w:t xml:space="preserve">Stávající situace kolem cen energie motivuje mnoho lidí a jejich seskupení k hledání individuálních řešení zajištění si dodávek energie nepocházející z fosilních paliv, které nejsou vázány na obchodování na burzách. Administrativní </w:t>
            </w:r>
            <w:r w:rsidRPr="00E646BB">
              <w:rPr>
                <w:rFonts w:asciiTheme="majorHAnsi" w:eastAsia="Times New Roman" w:hAnsiTheme="majorHAnsi" w:cstheme="majorHAnsi"/>
                <w:color w:val="000000"/>
              </w:rPr>
              <w:lastRenderedPageBreak/>
              <w:t>ukotvení energetických společenství a základních principů jejich působení na trhu s energií usnadní realizaci komunitních energetických projektů.</w:t>
            </w:r>
          </w:p>
          <w:p w14:paraId="32E30065"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E646BB">
              <w:rPr>
                <w:rFonts w:asciiTheme="majorHAnsi" w:eastAsia="Times New Roman" w:hAnsiTheme="majorHAnsi" w:cstheme="majorHAnsi"/>
                <w:color w:val="000000"/>
              </w:rPr>
              <w:t xml:space="preserve">Sdílení elektřiny (a do budoucna také další prvky moderní energetiky jako je agregace, flexibilita, akumulace) vyžadují výměnu dat mezi účastníky trhu a jejich zpracování až do času blízkého reálnému času. Tuto úlohu (a do budoucna také koordinaci, výměnu a sdílení informací týkajících se přípravy provozu, predikce výkonové bilance elektrizační soustavy, koordinace aktivace flexibility, evidence a výměny dat měření včetně technických kmenových dat) bude zajišťovat Elektroenergetické datové centrum. </w:t>
            </w:r>
          </w:p>
        </w:tc>
      </w:tr>
      <w:tr w:rsidR="00386775" w:rsidRPr="00E646BB" w14:paraId="23302D7D" w14:textId="77777777" w:rsidTr="3C4AC61A">
        <w:tc>
          <w:tcPr>
            <w:tcW w:w="2405" w:type="dxa"/>
          </w:tcPr>
          <w:p w14:paraId="25A9EDB2"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lastRenderedPageBreak/>
              <w:t>Cíl</w:t>
            </w:r>
          </w:p>
        </w:tc>
        <w:tc>
          <w:tcPr>
            <w:tcW w:w="7223" w:type="dxa"/>
          </w:tcPr>
          <w:p w14:paraId="54D42E7E" w14:textId="301E8194" w:rsidR="00386775" w:rsidRPr="00E646BB" w:rsidRDefault="095C39F1"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 xml:space="preserve">Cílem reformy je vytvořit regulační rámec, který bude motivovat a usnadňovat rozvoj občanů a komunit využívajících obnovitelné zdroje energie. </w:t>
            </w:r>
          </w:p>
          <w:p w14:paraId="32331D2F" w14:textId="3656F219" w:rsidR="00386775" w:rsidRPr="00E646BB" w:rsidRDefault="095C39F1" w:rsidP="3C4AC61A">
            <w:pPr>
              <w:spacing w:after="0" w:line="240" w:lineRule="auto"/>
              <w:jc w:val="both"/>
            </w:pPr>
            <w:r w:rsidRPr="3C4AC61A">
              <w:rPr>
                <w:rFonts w:asciiTheme="majorHAnsi" w:eastAsia="Times New Roman" w:hAnsiTheme="majorHAnsi" w:cstheme="majorBidi"/>
              </w:rPr>
              <w:t xml:space="preserve">Cílem reformy je zavést pobídky pro rozvoj energetických společenství a podpořit jejich zapojení do činností, jako je kolektivní výroba a spotřeba v rámci energetického společenství. </w:t>
            </w:r>
          </w:p>
          <w:p w14:paraId="7CF02108" w14:textId="5D882EE6" w:rsidR="00386775" w:rsidRPr="00E646BB" w:rsidRDefault="095C39F1" w:rsidP="3C4AC61A">
            <w:pPr>
              <w:spacing w:after="0" w:line="240" w:lineRule="auto"/>
              <w:jc w:val="both"/>
            </w:pPr>
            <w:r w:rsidRPr="3C4AC61A">
              <w:rPr>
                <w:rFonts w:asciiTheme="majorHAnsi" w:eastAsia="Times New Roman" w:hAnsiTheme="majorHAnsi" w:cstheme="majorBidi"/>
              </w:rPr>
              <w:t>Pozměněná pravidla budou uplatňovat zásadu otevřené účasti, nebudou nepřiměřeně omezovat kolektivní vlastní spotřebu a výrobu ani zavádět jakákoli omezení na základě velikosti nebo zeměpisné polohy. Energetickým společenstvím by mělo být umožněno působit také v oblasti vytápění z obnovitelných zdrojů, nejen na trhu s elektřinou.</w:t>
            </w:r>
          </w:p>
        </w:tc>
      </w:tr>
      <w:tr w:rsidR="00386775" w:rsidRPr="00E646BB" w14:paraId="2F59150D" w14:textId="77777777" w:rsidTr="3C4AC61A">
        <w:tc>
          <w:tcPr>
            <w:tcW w:w="2405" w:type="dxa"/>
          </w:tcPr>
          <w:p w14:paraId="0A4DD860"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Název milníků (definování měřitelných výstupů a jejich popis)</w:t>
            </w:r>
          </w:p>
        </w:tc>
        <w:tc>
          <w:tcPr>
            <w:tcW w:w="7223" w:type="dxa"/>
          </w:tcPr>
          <w:p w14:paraId="7C24D8FD" w14:textId="687EB8C3" w:rsidR="00E2114F" w:rsidRDefault="00E2114F" w:rsidP="008E6E97">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Pr>
                <w:rFonts w:asciiTheme="majorHAnsi" w:eastAsia="Times New Roman" w:hAnsiTheme="majorHAnsi" w:cstheme="majorHAnsi"/>
                <w:color w:val="000000"/>
              </w:rPr>
              <w:t>Milníky:</w:t>
            </w:r>
          </w:p>
          <w:p w14:paraId="5C7029C9" w14:textId="77777777" w:rsidR="00E2114F" w:rsidRDefault="00E2114F" w:rsidP="008E6E97">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185BF967" w14:textId="1B335480" w:rsidR="008E6E97" w:rsidRDefault="79A2DF4E" w:rsidP="3C4AC61A">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3C4AC61A">
              <w:rPr>
                <w:rFonts w:asciiTheme="majorHAnsi" w:eastAsia="Times New Roman" w:hAnsiTheme="majorHAnsi" w:cstheme="majorBidi"/>
              </w:rPr>
              <w:t>312 (</w:t>
            </w:r>
            <w:r w:rsidR="00C676BC" w:rsidRPr="3C4AC61A">
              <w:rPr>
                <w:rFonts w:asciiTheme="majorHAnsi" w:eastAsia="Times New Roman" w:hAnsiTheme="majorHAnsi" w:cstheme="majorBidi"/>
              </w:rPr>
              <w:t>7.2.1.1</w:t>
            </w:r>
            <w:r w:rsidR="2724FDDD" w:rsidRPr="3C4AC61A">
              <w:rPr>
                <w:rFonts w:asciiTheme="majorHAnsi" w:eastAsia="Times New Roman" w:hAnsiTheme="majorHAnsi" w:cstheme="majorBidi"/>
              </w:rPr>
              <w:t>)</w:t>
            </w:r>
            <w:r w:rsidR="00C676BC" w:rsidRPr="3C4AC61A">
              <w:rPr>
                <w:rFonts w:asciiTheme="majorHAnsi" w:eastAsia="Times New Roman" w:hAnsiTheme="majorHAnsi" w:cstheme="majorBidi"/>
              </w:rPr>
              <w:t xml:space="preserve"> </w:t>
            </w:r>
            <w:r w:rsidR="008F176C" w:rsidRPr="3C4AC61A">
              <w:rPr>
                <w:rFonts w:asciiTheme="majorHAnsi" w:eastAsia="Times New Roman" w:hAnsiTheme="majorHAnsi" w:cstheme="majorBidi"/>
              </w:rPr>
              <w:t xml:space="preserve">právní rámec energetických společenství </w:t>
            </w:r>
          </w:p>
          <w:p w14:paraId="736FF078" w14:textId="77777777" w:rsidR="00C676BC" w:rsidRDefault="00C676BC" w:rsidP="008E6E97">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4E25DEA6" w14:textId="1AECBF4A" w:rsidR="00C676BC" w:rsidRDefault="359FC7FD" w:rsidP="3C4AC61A">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3C4AC61A">
              <w:rPr>
                <w:rFonts w:asciiTheme="majorHAnsi" w:eastAsia="Times New Roman" w:hAnsiTheme="majorHAnsi" w:cstheme="majorBidi"/>
              </w:rPr>
              <w:t>313 (</w:t>
            </w:r>
            <w:r w:rsidR="00C676BC" w:rsidRPr="3C4AC61A">
              <w:rPr>
                <w:rFonts w:asciiTheme="majorHAnsi" w:eastAsia="Times New Roman" w:hAnsiTheme="majorHAnsi" w:cstheme="majorBidi"/>
              </w:rPr>
              <w:t>7.2.1.2</w:t>
            </w:r>
            <w:r w:rsidR="14F23A96" w:rsidRPr="3C4AC61A">
              <w:rPr>
                <w:rFonts w:asciiTheme="majorHAnsi" w:eastAsia="Times New Roman" w:hAnsiTheme="majorHAnsi" w:cstheme="majorBidi"/>
              </w:rPr>
              <w:t>) zpráva o pokroku v oblasti investic do distribuční soustavy v oblasti měření a fakturace</w:t>
            </w:r>
          </w:p>
          <w:p w14:paraId="48AB8ADA" w14:textId="77FA963F" w:rsidR="00C676BC" w:rsidRDefault="00C676BC" w:rsidP="008E6E97">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0520D050" w14:textId="58718A8C" w:rsidR="00C676BC" w:rsidRDefault="14F23A96" w:rsidP="3C4AC61A">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3C4AC61A">
              <w:rPr>
                <w:rFonts w:asciiTheme="majorHAnsi" w:eastAsia="Times New Roman" w:hAnsiTheme="majorHAnsi" w:cstheme="majorBidi"/>
              </w:rPr>
              <w:t>314 (</w:t>
            </w:r>
            <w:r w:rsidR="00C676BC" w:rsidRPr="3C4AC61A">
              <w:rPr>
                <w:rFonts w:asciiTheme="majorHAnsi" w:eastAsia="Times New Roman" w:hAnsiTheme="majorHAnsi" w:cstheme="majorBidi"/>
              </w:rPr>
              <w:t>7.2.1.3</w:t>
            </w:r>
            <w:r w:rsidR="4D308963" w:rsidRPr="3C4AC61A">
              <w:rPr>
                <w:rFonts w:asciiTheme="majorHAnsi" w:eastAsia="Times New Roman" w:hAnsiTheme="majorHAnsi" w:cstheme="majorBidi"/>
              </w:rPr>
              <w:t xml:space="preserve">) </w:t>
            </w:r>
            <w:r w:rsidR="00E2114F" w:rsidRPr="3C4AC61A">
              <w:rPr>
                <w:rFonts w:asciiTheme="majorHAnsi" w:eastAsia="Times New Roman" w:hAnsiTheme="majorHAnsi" w:cstheme="majorBidi"/>
              </w:rPr>
              <w:t>databáze vzorových dokumentů a podkladů pro založení energetických komunit</w:t>
            </w:r>
          </w:p>
          <w:p w14:paraId="677284AF" w14:textId="1DDB6790" w:rsidR="00C676BC" w:rsidRPr="00E646BB" w:rsidRDefault="00C676BC" w:rsidP="008E6E97">
            <w:pPr>
              <w:pBdr>
                <w:top w:val="nil"/>
                <w:left w:val="nil"/>
                <w:bottom w:val="nil"/>
                <w:right w:val="nil"/>
                <w:between w:val="nil"/>
              </w:pBdr>
              <w:spacing w:after="0" w:line="240" w:lineRule="auto"/>
              <w:jc w:val="both"/>
              <w:rPr>
                <w:rFonts w:asciiTheme="majorHAnsi" w:eastAsia="Times New Roman" w:hAnsiTheme="majorHAnsi" w:cstheme="majorHAnsi"/>
                <w:color w:val="000000"/>
              </w:rPr>
            </w:pPr>
          </w:p>
        </w:tc>
      </w:tr>
      <w:tr w:rsidR="00386775" w:rsidRPr="00E646BB" w14:paraId="41AC6F1B" w14:textId="77777777" w:rsidTr="3C4AC61A">
        <w:tc>
          <w:tcPr>
            <w:tcW w:w="2405" w:type="dxa"/>
          </w:tcPr>
          <w:p w14:paraId="078967A5"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Implementace (popis)</w:t>
            </w:r>
          </w:p>
        </w:tc>
        <w:tc>
          <w:tcPr>
            <w:tcW w:w="7223" w:type="dxa"/>
          </w:tcPr>
          <w:p w14:paraId="3D59E934" w14:textId="18591DA0"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Novela energetického zákona řeší následující oblasti. Novela stanoví definice energetického společen</w:t>
            </w:r>
            <w:r w:rsidR="008F176C">
              <w:rPr>
                <w:rFonts w:asciiTheme="majorHAnsi" w:eastAsia="Times New Roman" w:hAnsiTheme="majorHAnsi" w:cstheme="majorHAnsi"/>
              </w:rPr>
              <w:t>st</w:t>
            </w:r>
            <w:r w:rsidRPr="00E646BB">
              <w:rPr>
                <w:rFonts w:asciiTheme="majorHAnsi" w:eastAsia="Times New Roman" w:hAnsiTheme="majorHAnsi" w:cstheme="majorHAnsi"/>
              </w:rPr>
              <w:t xml:space="preserve">ví a společenství pro obnovitelné zdroje, účel jejich založení, jejich členy a práva a povinnosti. Energetické společenství bude moci elektřinu odebírat, vyrábět, prodávat a sdílet mezi své členy. Energetická společenství bude mít povinnost evidovat se u Energetického regulačního úřadu a svá odběrná místa u Elektroenergetického datového centra. </w:t>
            </w:r>
          </w:p>
          <w:p w14:paraId="3D543593"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 xml:space="preserve">Sdílením energie je poskytování energie z jiného právního důvodu, než je prodej. Sdílet energii budou oprávněni členové energetického společenství navzájem a členové společenství vůči společenství. Sdílet elektřinu budou oprávněni také zákazníci a výrobci s předávacími místy ve stejné budově. </w:t>
            </w:r>
          </w:p>
          <w:p w14:paraId="62981F64"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Výrobce a zákazník budou oprávněni spotřebovávat elektřinu vyrobenou v jimi provozované výrobně elektřiny v jiném svém odběrném místě.</w:t>
            </w:r>
          </w:p>
          <w:p w14:paraId="00F93B1D"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 xml:space="preserve">Výměnu dat pro sdílení elektřiny zajistí Elektroenergetické datové centrum (EDC), jehož zřízení se v novele energetického zákona navrhuje. EDC bude regulovaným subjektem, akciovou společností založenou provozovatelem přenosové soustavy a provozovateli regionálních distribučních soustavy. EDC bude provozovat informační systém sloužící k výměně dat v oblasti sdílení elektřiny a do budoucna také agregace, flexibility, akumulace. </w:t>
            </w:r>
          </w:p>
          <w:p w14:paraId="745D7DB5"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p>
        </w:tc>
      </w:tr>
      <w:tr w:rsidR="00386775" w:rsidRPr="00E646BB" w14:paraId="2BFDED98" w14:textId="77777777" w:rsidTr="3C4AC61A">
        <w:trPr>
          <w:trHeight w:val="70"/>
        </w:trPr>
        <w:tc>
          <w:tcPr>
            <w:tcW w:w="2405" w:type="dxa"/>
          </w:tcPr>
          <w:p w14:paraId="0F2F48D6"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Spolupráce a zapojení zúčastněných stran</w:t>
            </w:r>
          </w:p>
        </w:tc>
        <w:tc>
          <w:tcPr>
            <w:tcW w:w="7223" w:type="dxa"/>
          </w:tcPr>
          <w:p w14:paraId="2409EE0B"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Energetický regulační úřad, OTE, účastníci trhu s elektřinou (provozovatel přenosové soustavy, provozovatelé distribučních soustav, obchodníci, výrobci), Komora OZE, Unie komunitní energetiky</w:t>
            </w:r>
          </w:p>
        </w:tc>
      </w:tr>
      <w:tr w:rsidR="00386775" w:rsidRPr="00E646BB" w14:paraId="56C9C279" w14:textId="77777777" w:rsidTr="3C4AC61A">
        <w:tc>
          <w:tcPr>
            <w:tcW w:w="2405" w:type="dxa"/>
          </w:tcPr>
          <w:p w14:paraId="4790B2A4"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lastRenderedPageBreak/>
              <w:t>Překážky a rizika</w:t>
            </w:r>
          </w:p>
        </w:tc>
        <w:tc>
          <w:tcPr>
            <w:tcW w:w="7223" w:type="dxa"/>
          </w:tcPr>
          <w:p w14:paraId="15220FED"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Délka legislativního procesu</w:t>
            </w:r>
          </w:p>
        </w:tc>
      </w:tr>
      <w:tr w:rsidR="00386775" w:rsidRPr="00E646BB" w14:paraId="44E6146B" w14:textId="77777777" w:rsidTr="3C4AC61A">
        <w:tc>
          <w:tcPr>
            <w:tcW w:w="2405" w:type="dxa"/>
          </w:tcPr>
          <w:p w14:paraId="153691D2"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Cílové skupiny populace a ekonomické subjekty</w:t>
            </w:r>
          </w:p>
        </w:tc>
        <w:tc>
          <w:tcPr>
            <w:tcW w:w="7223" w:type="dxa"/>
          </w:tcPr>
          <w:p w14:paraId="6984F469"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 xml:space="preserve">Energetická společenství a jejich členové. </w:t>
            </w:r>
          </w:p>
          <w:p w14:paraId="2CA15928"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Účastníci trhu s elektřinou</w:t>
            </w:r>
          </w:p>
        </w:tc>
      </w:tr>
      <w:tr w:rsidR="00386775" w:rsidRPr="00E646BB" w14:paraId="112702F0" w14:textId="77777777" w:rsidTr="3C4AC61A">
        <w:tc>
          <w:tcPr>
            <w:tcW w:w="2405" w:type="dxa"/>
          </w:tcPr>
          <w:p w14:paraId="49AA3240"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Souhrnné náklady realizace financované z RRF za celé období</w:t>
            </w:r>
          </w:p>
        </w:tc>
        <w:tc>
          <w:tcPr>
            <w:tcW w:w="7223" w:type="dxa"/>
          </w:tcPr>
          <w:p w14:paraId="215691E0"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Jedná se o legislativní opatření bez dopadů do nákladů</w:t>
            </w:r>
          </w:p>
        </w:tc>
      </w:tr>
      <w:tr w:rsidR="00386775" w:rsidRPr="00E646BB" w14:paraId="1787B317" w14:textId="77777777" w:rsidTr="3C4AC61A">
        <w:tc>
          <w:tcPr>
            <w:tcW w:w="2405" w:type="dxa"/>
          </w:tcPr>
          <w:p w14:paraId="20A86C62"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Dodržování pravidel státní podpory</w:t>
            </w:r>
          </w:p>
        </w:tc>
        <w:tc>
          <w:tcPr>
            <w:tcW w:w="7223" w:type="dxa"/>
          </w:tcPr>
          <w:p w14:paraId="7852B21B" w14:textId="77777777" w:rsidR="00386775" w:rsidRPr="00E646BB" w:rsidRDefault="00386775"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Nerelevantní</w:t>
            </w:r>
          </w:p>
        </w:tc>
      </w:tr>
      <w:tr w:rsidR="00386775" w:rsidRPr="00E646BB" w14:paraId="6F5BF896" w14:textId="77777777" w:rsidTr="3C4AC61A">
        <w:tc>
          <w:tcPr>
            <w:tcW w:w="2405" w:type="dxa"/>
          </w:tcPr>
          <w:p w14:paraId="4BEE47CE" w14:textId="77777777" w:rsidR="00386775" w:rsidRPr="00E646BB" w:rsidRDefault="00386775"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Doba implementace</w:t>
            </w:r>
          </w:p>
        </w:tc>
        <w:tc>
          <w:tcPr>
            <w:tcW w:w="7223" w:type="dxa"/>
          </w:tcPr>
          <w:p w14:paraId="25FEA3CA" w14:textId="06906791" w:rsidR="00E2114F" w:rsidRDefault="00E2114F" w:rsidP="00E2114F">
            <w:pPr>
              <w:pBdr>
                <w:top w:val="nil"/>
                <w:left w:val="nil"/>
                <w:bottom w:val="nil"/>
                <w:right w:val="nil"/>
                <w:between w:val="nil"/>
              </w:pBdr>
              <w:spacing w:after="0" w:line="240" w:lineRule="auto"/>
              <w:jc w:val="both"/>
              <w:rPr>
                <w:rFonts w:asciiTheme="majorHAnsi" w:eastAsia="Times New Roman" w:hAnsiTheme="majorHAnsi" w:cstheme="majorHAnsi"/>
              </w:rPr>
            </w:pPr>
            <w:r>
              <w:rPr>
                <w:rFonts w:asciiTheme="majorHAnsi" w:eastAsia="Times New Roman" w:hAnsiTheme="majorHAnsi" w:cstheme="majorHAnsi"/>
              </w:rPr>
              <w:t>Milníky</w:t>
            </w:r>
          </w:p>
          <w:p w14:paraId="4E70F378" w14:textId="77777777" w:rsidR="00E2114F" w:rsidRDefault="00E2114F" w:rsidP="00E2114F">
            <w:pPr>
              <w:pBdr>
                <w:top w:val="nil"/>
                <w:left w:val="nil"/>
                <w:bottom w:val="nil"/>
                <w:right w:val="nil"/>
                <w:between w:val="nil"/>
              </w:pBdr>
              <w:spacing w:after="0" w:line="240" w:lineRule="auto"/>
              <w:jc w:val="both"/>
              <w:rPr>
                <w:rFonts w:asciiTheme="majorHAnsi" w:eastAsia="Times New Roman" w:hAnsiTheme="majorHAnsi" w:cstheme="majorHAnsi"/>
              </w:rPr>
            </w:pPr>
          </w:p>
          <w:p w14:paraId="5C266B28" w14:textId="203E5450" w:rsidR="00E2114F" w:rsidRDefault="6B27E12D"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312 (7.2.1.1) Q1/2024</w:t>
            </w:r>
          </w:p>
          <w:p w14:paraId="6E866B38" w14:textId="77777777" w:rsidR="00E2114F" w:rsidRDefault="00E2114F"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7EAEFAE2" w14:textId="7F522F2B" w:rsidR="00E2114F" w:rsidRDefault="6B27E12D"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313 (7.2.1.2) Q1/2025</w:t>
            </w:r>
          </w:p>
          <w:p w14:paraId="41388146" w14:textId="77FA963F" w:rsidR="00E2114F" w:rsidRDefault="00E2114F"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03F1AE47" w14:textId="4B00653A" w:rsidR="00E2114F" w:rsidRDefault="6B27E12D"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314 (7.2.1.3) Q1/2026</w:t>
            </w:r>
          </w:p>
          <w:p w14:paraId="411F786E" w14:textId="28168B7B" w:rsidR="00E2114F" w:rsidRPr="00E646BB" w:rsidRDefault="00E2114F" w:rsidP="00E2114F">
            <w:pPr>
              <w:pBdr>
                <w:top w:val="nil"/>
                <w:left w:val="nil"/>
                <w:bottom w:val="nil"/>
                <w:right w:val="nil"/>
                <w:between w:val="nil"/>
              </w:pBdr>
              <w:spacing w:after="0" w:line="240" w:lineRule="auto"/>
              <w:jc w:val="both"/>
              <w:rPr>
                <w:rFonts w:asciiTheme="majorHAnsi" w:eastAsia="Times New Roman" w:hAnsiTheme="majorHAnsi" w:cstheme="majorHAnsi"/>
              </w:rPr>
            </w:pPr>
          </w:p>
        </w:tc>
      </w:tr>
    </w:tbl>
    <w:p w14:paraId="365C9086" w14:textId="50A7788C" w:rsidR="002835C0" w:rsidRPr="00E646BB" w:rsidRDefault="002835C0" w:rsidP="00545834">
      <w:pPr>
        <w:pStyle w:val="K-Nadpis3"/>
        <w:spacing w:before="120"/>
        <w:rPr>
          <w:rFonts w:eastAsiaTheme="minorEastAsia"/>
          <w:b w:val="0"/>
          <w:bCs/>
          <w:sz w:val="22"/>
          <w:szCs w:val="22"/>
        </w:rPr>
      </w:pPr>
    </w:p>
    <w:tbl>
      <w:tblPr>
        <w:tblStyle w:val="Mkatabulky"/>
        <w:tblW w:w="0" w:type="auto"/>
        <w:tblLook w:val="04A0" w:firstRow="1" w:lastRow="0" w:firstColumn="1" w:lastColumn="0" w:noHBand="0" w:noVBand="1"/>
      </w:tblPr>
      <w:tblGrid>
        <w:gridCol w:w="2405"/>
        <w:gridCol w:w="7223"/>
      </w:tblGrid>
      <w:tr w:rsidR="00C676BC" w:rsidRPr="00E646BB" w14:paraId="7E5E591B" w14:textId="77777777" w:rsidTr="3C4AC61A">
        <w:tc>
          <w:tcPr>
            <w:tcW w:w="2405" w:type="dxa"/>
          </w:tcPr>
          <w:p w14:paraId="1C38C03D" w14:textId="36C7F8A7" w:rsidR="00C676BC" w:rsidRPr="00E646BB" w:rsidRDefault="00C676BC" w:rsidP="569F9CD4">
            <w:pPr>
              <w:pStyle w:val="K-Text"/>
              <w:spacing w:line="240" w:lineRule="auto"/>
              <w:jc w:val="left"/>
              <w:rPr>
                <w:rFonts w:asciiTheme="minorHAnsi" w:eastAsiaTheme="minorEastAsia" w:hAnsiTheme="minorHAnsi" w:cstheme="minorHAnsi"/>
                <w:sz w:val="22"/>
                <w:szCs w:val="22"/>
              </w:rPr>
            </w:pPr>
            <w:r>
              <w:rPr>
                <w:rFonts w:asciiTheme="minorHAnsi" w:eastAsiaTheme="minorEastAsia" w:hAnsiTheme="minorHAnsi" w:cstheme="minorHAnsi"/>
                <w:sz w:val="22"/>
                <w:szCs w:val="22"/>
              </w:rPr>
              <w:t>Investice</w:t>
            </w:r>
          </w:p>
        </w:tc>
        <w:tc>
          <w:tcPr>
            <w:tcW w:w="7223" w:type="dxa"/>
          </w:tcPr>
          <w:p w14:paraId="48339816" w14:textId="3034855A" w:rsidR="00C676BC" w:rsidRPr="00C676BC" w:rsidRDefault="00C676BC" w:rsidP="00D015C9">
            <w:pPr>
              <w:pStyle w:val="Default"/>
              <w:spacing w:after="120"/>
              <w:jc w:val="both"/>
              <w:rPr>
                <w:rFonts w:asciiTheme="minorHAnsi" w:eastAsiaTheme="minorEastAsia" w:hAnsiTheme="minorHAnsi" w:cstheme="minorHAnsi"/>
                <w:b/>
                <w:color w:val="auto"/>
                <w:sz w:val="22"/>
                <w:szCs w:val="22"/>
              </w:rPr>
            </w:pPr>
            <w:r w:rsidRPr="00C676BC">
              <w:rPr>
                <w:rFonts w:asciiTheme="minorHAnsi" w:eastAsiaTheme="minorEastAsia" w:hAnsiTheme="minorHAnsi" w:cstheme="minorHAnsi"/>
                <w:b/>
                <w:color w:val="auto"/>
                <w:sz w:val="22"/>
                <w:szCs w:val="22"/>
              </w:rPr>
              <w:t>7.2.2 Elektroenergetické datové centrum (EDC)</w:t>
            </w:r>
          </w:p>
        </w:tc>
      </w:tr>
      <w:tr w:rsidR="0057202C" w:rsidRPr="00E646BB" w14:paraId="7634E6FA" w14:textId="77777777" w:rsidTr="3C4AC61A">
        <w:tc>
          <w:tcPr>
            <w:tcW w:w="2405" w:type="dxa"/>
          </w:tcPr>
          <w:p w14:paraId="18212C3D"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Výzva</w:t>
            </w:r>
          </w:p>
        </w:tc>
        <w:tc>
          <w:tcPr>
            <w:tcW w:w="7223" w:type="dxa"/>
          </w:tcPr>
          <w:p w14:paraId="4BAAE58B" w14:textId="77777777" w:rsidR="0057202C" w:rsidRPr="00E646BB" w:rsidRDefault="00D015C9" w:rsidP="00D015C9">
            <w:pPr>
              <w:pStyle w:val="Default"/>
              <w:spacing w:after="120"/>
              <w:jc w:val="both"/>
              <w:rPr>
                <w:rFonts w:asciiTheme="minorHAnsi" w:eastAsiaTheme="minorEastAsia" w:hAnsiTheme="minorHAnsi" w:cstheme="minorHAnsi"/>
                <w:i/>
                <w:iCs/>
                <w:color w:val="auto"/>
                <w:sz w:val="22"/>
                <w:szCs w:val="22"/>
              </w:rPr>
            </w:pPr>
            <w:r w:rsidRPr="00E646BB">
              <w:rPr>
                <w:rFonts w:asciiTheme="minorHAnsi" w:eastAsiaTheme="minorEastAsia" w:hAnsiTheme="minorHAnsi" w:cstheme="minorHAnsi"/>
                <w:color w:val="auto"/>
                <w:sz w:val="22"/>
                <w:szCs w:val="22"/>
              </w:rPr>
              <w:t xml:space="preserve">V rámci transpozice evropské legislativy spolu s přechodem na dekarbonizovanou energetiku je nezbytné umožnit nové činnosti na trhu s energiemi, které podpoří přechod na obnovitelné zdroje energií prostřednictvím akumulace </w:t>
            </w:r>
            <w:r w:rsidRPr="00E646BB" w:rsidDel="00C90226">
              <w:rPr>
                <w:rFonts w:asciiTheme="minorHAnsi" w:eastAsiaTheme="minorEastAsia" w:hAnsiTheme="minorHAnsi" w:cstheme="minorHAnsi"/>
                <w:color w:val="auto"/>
                <w:sz w:val="22"/>
                <w:szCs w:val="22"/>
              </w:rPr>
              <w:t>elektřiny</w:t>
            </w:r>
            <w:r w:rsidR="003E2596" w:rsidRPr="00E646BB">
              <w:rPr>
                <w:rFonts w:asciiTheme="minorHAnsi" w:eastAsiaTheme="minorEastAsia" w:hAnsiTheme="minorHAnsi" w:cstheme="minorHAnsi"/>
                <w:color w:val="auto"/>
                <w:sz w:val="22"/>
                <w:szCs w:val="22"/>
              </w:rPr>
              <w:t>,</w:t>
            </w:r>
            <w:r w:rsidRPr="00E646BB">
              <w:rPr>
                <w:rFonts w:asciiTheme="minorHAnsi" w:eastAsiaTheme="minorEastAsia" w:hAnsiTheme="minorHAnsi" w:cstheme="minorHAnsi"/>
                <w:color w:val="auto"/>
                <w:sz w:val="22"/>
                <w:szCs w:val="22"/>
              </w:rPr>
              <w:t xml:space="preserve"> </w:t>
            </w:r>
            <w:r w:rsidR="00C90226" w:rsidRPr="00E646BB">
              <w:rPr>
                <w:rFonts w:asciiTheme="minorHAnsi" w:eastAsiaTheme="minorEastAsia" w:hAnsiTheme="minorHAnsi" w:cstheme="minorHAnsi"/>
                <w:color w:val="auto"/>
                <w:sz w:val="22"/>
                <w:szCs w:val="22"/>
              </w:rPr>
              <w:t>využitím</w:t>
            </w:r>
            <w:r w:rsidRPr="00E646BB">
              <w:rPr>
                <w:rFonts w:asciiTheme="minorHAnsi" w:eastAsiaTheme="minorEastAsia" w:hAnsiTheme="minorHAnsi" w:cstheme="minorHAnsi"/>
                <w:color w:val="auto"/>
                <w:sz w:val="22"/>
                <w:szCs w:val="22"/>
              </w:rPr>
              <w:t xml:space="preserve"> flexibility, a to jak na velkoobchodní úrovni, tak i na úrovni </w:t>
            </w:r>
            <w:r w:rsidR="00DD3833" w:rsidRPr="00E646BB">
              <w:rPr>
                <w:rFonts w:asciiTheme="minorHAnsi" w:eastAsiaTheme="minorEastAsia" w:hAnsiTheme="minorHAnsi" w:cstheme="minorHAnsi"/>
                <w:color w:val="auto"/>
                <w:sz w:val="22"/>
                <w:szCs w:val="22"/>
              </w:rPr>
              <w:t>aktivních zákazníků</w:t>
            </w:r>
            <w:r w:rsidRPr="00E646BB">
              <w:rPr>
                <w:rFonts w:asciiTheme="minorHAnsi" w:eastAsiaTheme="minorEastAsia" w:hAnsiTheme="minorHAnsi" w:cstheme="minorHAnsi"/>
                <w:color w:val="auto"/>
                <w:sz w:val="22"/>
                <w:szCs w:val="22"/>
              </w:rPr>
              <w:t xml:space="preserve">. Aby bylo možné tyto činnosti realizovat a rozvíjet bez souběžného ohrožení bezpečnosti a spolehlivosti soustavy, je třeba zpracovávat v téměř reálném čase velké objemy dat. Pro tyto účely je </w:t>
            </w:r>
            <w:r w:rsidR="00D04A6A" w:rsidRPr="00E646BB">
              <w:rPr>
                <w:rFonts w:asciiTheme="minorHAnsi" w:eastAsiaTheme="minorEastAsia" w:hAnsiTheme="minorHAnsi" w:cstheme="minorHAnsi"/>
                <w:color w:val="auto"/>
                <w:sz w:val="22"/>
                <w:szCs w:val="22"/>
              </w:rPr>
              <w:t>nutné</w:t>
            </w:r>
            <w:r w:rsidRPr="00E646BB">
              <w:rPr>
                <w:rFonts w:asciiTheme="minorHAnsi" w:eastAsiaTheme="minorEastAsia" w:hAnsiTheme="minorHAnsi" w:cstheme="minorHAnsi"/>
                <w:color w:val="auto"/>
                <w:sz w:val="22"/>
                <w:szCs w:val="22"/>
              </w:rPr>
              <w:t xml:space="preserve"> vytvořit elektroenergetické datové centrum, které zajistí přenos</w:t>
            </w:r>
            <w:r w:rsidR="00872BC2" w:rsidRPr="00E646BB">
              <w:rPr>
                <w:rFonts w:asciiTheme="minorHAnsi" w:eastAsiaTheme="minorEastAsia" w:hAnsiTheme="minorHAnsi" w:cstheme="minorHAnsi"/>
                <w:color w:val="auto"/>
                <w:sz w:val="22"/>
                <w:szCs w:val="22"/>
              </w:rPr>
              <w:t xml:space="preserve"> a zpracování</w:t>
            </w:r>
            <w:r w:rsidRPr="00E646BB">
              <w:rPr>
                <w:rFonts w:asciiTheme="minorHAnsi" w:eastAsiaTheme="minorEastAsia" w:hAnsiTheme="minorHAnsi" w:cstheme="minorHAnsi"/>
                <w:color w:val="auto"/>
                <w:sz w:val="22"/>
                <w:szCs w:val="22"/>
              </w:rPr>
              <w:t xml:space="preserve"> dat a</w:t>
            </w:r>
            <w:r w:rsidRPr="00E646BB" w:rsidDel="00872BC2">
              <w:rPr>
                <w:rFonts w:asciiTheme="minorHAnsi" w:eastAsiaTheme="minorEastAsia" w:hAnsiTheme="minorHAnsi" w:cstheme="minorHAnsi"/>
                <w:color w:val="auto"/>
                <w:sz w:val="22"/>
                <w:szCs w:val="22"/>
              </w:rPr>
              <w:t xml:space="preserve"> </w:t>
            </w:r>
            <w:r w:rsidRPr="00E646BB">
              <w:rPr>
                <w:rFonts w:asciiTheme="minorHAnsi" w:eastAsiaTheme="minorEastAsia" w:hAnsiTheme="minorHAnsi" w:cstheme="minorHAnsi"/>
                <w:color w:val="auto"/>
                <w:sz w:val="22"/>
                <w:szCs w:val="22"/>
              </w:rPr>
              <w:t xml:space="preserve">rozvoj nových činností v energetice, které mohou významně přispět </w:t>
            </w:r>
            <w:r w:rsidR="0073025B" w:rsidRPr="00E646BB">
              <w:rPr>
                <w:rFonts w:asciiTheme="minorHAnsi" w:eastAsiaTheme="minorEastAsia" w:hAnsiTheme="minorHAnsi" w:cstheme="minorHAnsi"/>
                <w:color w:val="auto"/>
                <w:sz w:val="22"/>
                <w:szCs w:val="22"/>
              </w:rPr>
              <w:t>jak energetické bezpečnosti</w:t>
            </w:r>
            <w:r w:rsidR="003E5E8F" w:rsidRPr="00E646BB">
              <w:rPr>
                <w:rFonts w:asciiTheme="minorHAnsi" w:eastAsiaTheme="minorEastAsia" w:hAnsiTheme="minorHAnsi" w:cstheme="minorHAnsi"/>
                <w:color w:val="auto"/>
                <w:sz w:val="22"/>
                <w:szCs w:val="22"/>
              </w:rPr>
              <w:t xml:space="preserve"> a transformaci ČR</w:t>
            </w:r>
            <w:r w:rsidR="0073025B" w:rsidRPr="00E646BB">
              <w:rPr>
                <w:rFonts w:asciiTheme="minorHAnsi" w:eastAsiaTheme="minorEastAsia" w:hAnsiTheme="minorHAnsi" w:cstheme="minorHAnsi"/>
                <w:color w:val="auto"/>
                <w:sz w:val="22"/>
                <w:szCs w:val="22"/>
              </w:rPr>
              <w:t>, tak</w:t>
            </w:r>
            <w:r w:rsidRPr="00E646BB">
              <w:rPr>
                <w:rFonts w:asciiTheme="minorHAnsi" w:eastAsiaTheme="minorEastAsia" w:hAnsiTheme="minorHAnsi" w:cstheme="minorHAnsi"/>
                <w:color w:val="auto"/>
                <w:sz w:val="22"/>
                <w:szCs w:val="22"/>
              </w:rPr>
              <w:t xml:space="preserve"> snížení nákladů na energie pro odběratele.</w:t>
            </w:r>
          </w:p>
        </w:tc>
      </w:tr>
      <w:tr w:rsidR="0057202C" w:rsidRPr="00E646BB" w14:paraId="5FFABCF6" w14:textId="77777777" w:rsidTr="3C4AC61A">
        <w:tc>
          <w:tcPr>
            <w:tcW w:w="2405" w:type="dxa"/>
          </w:tcPr>
          <w:p w14:paraId="668DEAB9"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Cíl</w:t>
            </w:r>
          </w:p>
        </w:tc>
        <w:tc>
          <w:tcPr>
            <w:tcW w:w="7223" w:type="dxa"/>
          </w:tcPr>
          <w:p w14:paraId="0956F34A" w14:textId="49F382E7" w:rsidR="0057202C" w:rsidRPr="00E646BB" w:rsidRDefault="3F9CC1E5" w:rsidP="3C4AC61A">
            <w:pPr>
              <w:pStyle w:val="K-Text"/>
              <w:spacing w:line="240" w:lineRule="auto"/>
              <w:rPr>
                <w:rFonts w:asciiTheme="minorHAnsi" w:eastAsiaTheme="minorEastAsia" w:hAnsiTheme="minorHAnsi" w:cstheme="minorBidi"/>
                <w:noProof/>
                <w:sz w:val="22"/>
                <w:szCs w:val="22"/>
              </w:rPr>
            </w:pPr>
            <w:r w:rsidRPr="3C4AC61A">
              <w:rPr>
                <w:rFonts w:asciiTheme="minorHAnsi" w:eastAsiaTheme="minorEastAsia" w:hAnsiTheme="minorHAnsi" w:cstheme="minorBidi"/>
                <w:noProof/>
                <w:sz w:val="22"/>
                <w:szCs w:val="22"/>
              </w:rPr>
              <w:t>Cílem opatření je zřídit datové centrum pro elektřinu (EDC). EDC bude spravovat digitální IT platformu shromažďující údaje o výrobě, spotřebě a flexibilitě na jednom centrálním místě a poskytovat technické služby pro zvýšení bezpečnosti a spolehlivosti provozu elektrizační soustavy České republiky ve prospěch všech účastníků trhu (včetně koncových zákazníků). Vytvoření EDC má za cíl podpořit vznik nových trhů a aktivit a umožnit sdílení energie.</w:t>
            </w:r>
          </w:p>
          <w:p w14:paraId="6D72963E" w14:textId="7761A972" w:rsidR="0057202C" w:rsidRPr="00E646BB" w:rsidRDefault="3F9CC1E5" w:rsidP="1EDC8A2A">
            <w:pPr>
              <w:pStyle w:val="K-Text"/>
              <w:spacing w:line="240" w:lineRule="auto"/>
            </w:pPr>
            <w:r w:rsidRPr="3C4AC61A">
              <w:rPr>
                <w:rFonts w:asciiTheme="minorHAnsi" w:eastAsiaTheme="minorEastAsia" w:hAnsiTheme="minorHAnsi" w:cstheme="minorBidi"/>
                <w:noProof/>
                <w:sz w:val="22"/>
                <w:szCs w:val="22"/>
              </w:rPr>
              <w:t>EDC bude zajišťovat koordinaci, sdílení a výměnu naměřených dat, jakož i párování a zpracování dat souvisejících s poskytováním flexibility, agregací flexibility a skladováním elektřiny. Poskytuje rovněž služby v těchto oblastech: sběr a poskytování měřicích údajů, vyhodnocování údajů pro účely skladování energie, sdílení energie, agregace flexibility, vyrovnávání, plánování sítě, registrace trhu, přenos měřicích údajů, systém světelného provozu sítě a registrace hlavních údajů. Přístup k technickým funkcím poskytovaným informačním systémem EDC musí být nediskriminační a otevřený všem účastníkům trhu. Zákazníci, provozovatelé distribučních soustav, dodavatelé elektřiny a operátoři trhu s elektřinou musí mít přístup k údajům, na které mají nárok podle příslušných platných právních předpisů.</w:t>
            </w:r>
          </w:p>
        </w:tc>
      </w:tr>
      <w:tr w:rsidR="003E3143" w:rsidRPr="00E646BB" w14:paraId="7DC4A2A6" w14:textId="77777777" w:rsidTr="3C4AC61A">
        <w:tc>
          <w:tcPr>
            <w:tcW w:w="2405" w:type="dxa"/>
          </w:tcPr>
          <w:p w14:paraId="4B8B39C9" w14:textId="0B03E771" w:rsidR="003E3143" w:rsidRPr="00E646BB" w:rsidRDefault="003E3143" w:rsidP="569F9CD4">
            <w:pPr>
              <w:pStyle w:val="K-Text"/>
              <w:spacing w:line="240" w:lineRule="auto"/>
              <w:jc w:val="left"/>
              <w:rPr>
                <w:rFonts w:asciiTheme="minorHAnsi" w:eastAsiaTheme="minorEastAsia" w:hAnsiTheme="minorHAnsi" w:cstheme="minorHAnsi"/>
                <w:sz w:val="22"/>
                <w:szCs w:val="22"/>
              </w:rPr>
            </w:pPr>
            <w:r w:rsidRPr="00E646BB">
              <w:rPr>
                <w:rFonts w:asciiTheme="majorHAnsi" w:eastAsia="Times New Roman" w:hAnsiTheme="majorHAnsi" w:cstheme="majorHAnsi"/>
                <w:color w:val="000000"/>
              </w:rPr>
              <w:lastRenderedPageBreak/>
              <w:t>Název milníků (definování měřitelných výstupů a jejich popis)</w:t>
            </w:r>
          </w:p>
        </w:tc>
        <w:tc>
          <w:tcPr>
            <w:tcW w:w="7223" w:type="dxa"/>
          </w:tcPr>
          <w:p w14:paraId="77059911" w14:textId="44B59AC0" w:rsidR="003E3143" w:rsidRDefault="003E3143" w:rsidP="003E3143">
            <w:pPr>
              <w:pStyle w:val="K-TextInfo"/>
              <w:rPr>
                <w:rFonts w:asciiTheme="minorHAnsi" w:eastAsiaTheme="minorEastAsia" w:hAnsiTheme="minorHAnsi" w:cstheme="minorBidi"/>
                <w:i w:val="0"/>
                <w:iCs w:val="0"/>
                <w:color w:val="auto"/>
                <w:sz w:val="22"/>
                <w:szCs w:val="22"/>
              </w:rPr>
            </w:pPr>
            <w:r>
              <w:rPr>
                <w:rFonts w:asciiTheme="minorHAnsi" w:eastAsiaTheme="minorEastAsia" w:hAnsiTheme="minorHAnsi" w:cstheme="minorBidi"/>
                <w:i w:val="0"/>
                <w:iCs w:val="0"/>
                <w:color w:val="auto"/>
                <w:sz w:val="22"/>
                <w:szCs w:val="22"/>
              </w:rPr>
              <w:t>Milníky:</w:t>
            </w:r>
          </w:p>
          <w:p w14:paraId="0736EB30" w14:textId="3679793C" w:rsidR="003E3143" w:rsidRPr="000211C9" w:rsidRDefault="785F42D4"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309 (</w:t>
            </w:r>
            <w:r w:rsidR="39BA5DA3" w:rsidRPr="3C4AC61A">
              <w:rPr>
                <w:rFonts w:asciiTheme="minorHAnsi" w:eastAsiaTheme="minorEastAsia" w:hAnsiTheme="minorHAnsi" w:cstheme="minorBidi"/>
                <w:i w:val="0"/>
                <w:iCs w:val="0"/>
                <w:color w:val="auto"/>
                <w:sz w:val="22"/>
                <w:szCs w:val="22"/>
              </w:rPr>
              <w:t>7.2.2.1</w:t>
            </w:r>
            <w:r w:rsidR="2F699B86" w:rsidRPr="3C4AC61A">
              <w:rPr>
                <w:rFonts w:asciiTheme="minorHAnsi" w:eastAsiaTheme="minorEastAsia" w:hAnsiTheme="minorHAnsi" w:cstheme="minorBidi"/>
                <w:i w:val="0"/>
                <w:iCs w:val="0"/>
                <w:color w:val="auto"/>
                <w:sz w:val="22"/>
                <w:szCs w:val="22"/>
              </w:rPr>
              <w:t>)</w:t>
            </w:r>
            <w:r w:rsidR="39BA5DA3" w:rsidRPr="3C4AC61A">
              <w:rPr>
                <w:rFonts w:asciiTheme="minorHAnsi" w:eastAsiaTheme="minorEastAsia" w:hAnsiTheme="minorHAnsi" w:cstheme="minorBidi"/>
                <w:i w:val="0"/>
                <w:iCs w:val="0"/>
                <w:color w:val="auto"/>
                <w:sz w:val="22"/>
                <w:szCs w:val="22"/>
              </w:rPr>
              <w:t xml:space="preserve"> </w:t>
            </w:r>
            <w:r w:rsidR="190CD03C" w:rsidRPr="3C4AC61A">
              <w:rPr>
                <w:rFonts w:asciiTheme="minorHAnsi" w:eastAsiaTheme="minorEastAsia" w:hAnsiTheme="minorHAnsi" w:cstheme="minorBidi"/>
                <w:i w:val="0"/>
                <w:iCs w:val="0"/>
                <w:color w:val="auto"/>
                <w:sz w:val="22"/>
                <w:szCs w:val="22"/>
              </w:rPr>
              <w:t>LEX OZE 2 (legislativa umožňující vznik EDC)</w:t>
            </w:r>
          </w:p>
          <w:p w14:paraId="28ABBB19" w14:textId="4D605B44" w:rsidR="003E3143" w:rsidRPr="000211C9" w:rsidRDefault="196FC607"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310 (7.2.2.2.)</w:t>
            </w:r>
            <w:r w:rsidR="57B1B56D" w:rsidRPr="3C4AC61A">
              <w:rPr>
                <w:rFonts w:asciiTheme="minorHAnsi" w:eastAsiaTheme="minorEastAsia" w:hAnsiTheme="minorHAnsi" w:cstheme="minorBidi"/>
                <w:i w:val="0"/>
                <w:iCs w:val="0"/>
                <w:color w:val="auto"/>
                <w:sz w:val="22"/>
                <w:szCs w:val="22"/>
              </w:rPr>
              <w:t xml:space="preserve"> </w:t>
            </w:r>
            <w:r w:rsidR="39BA5DA3" w:rsidRPr="3C4AC61A">
              <w:rPr>
                <w:rFonts w:asciiTheme="minorHAnsi" w:eastAsiaTheme="minorEastAsia" w:hAnsiTheme="minorHAnsi" w:cstheme="minorBidi"/>
                <w:i w:val="0"/>
                <w:iCs w:val="0"/>
                <w:color w:val="auto"/>
                <w:sz w:val="22"/>
                <w:szCs w:val="22"/>
              </w:rPr>
              <w:t>Elektroenergetické datové centrum spuštěno pro funkce nutné pro sdílení</w:t>
            </w:r>
          </w:p>
          <w:p w14:paraId="3734C05E" w14:textId="2277B4EC" w:rsidR="003E3143" w:rsidRPr="00E646BB" w:rsidRDefault="6470F656"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311 (</w:t>
            </w:r>
            <w:r w:rsidR="39BA5DA3" w:rsidRPr="3C4AC61A">
              <w:rPr>
                <w:rFonts w:asciiTheme="minorHAnsi" w:eastAsiaTheme="minorEastAsia" w:hAnsiTheme="minorHAnsi" w:cstheme="minorBidi"/>
                <w:i w:val="0"/>
                <w:iCs w:val="0"/>
                <w:color w:val="auto"/>
                <w:sz w:val="22"/>
                <w:szCs w:val="22"/>
              </w:rPr>
              <w:t>7.2.2.</w:t>
            </w:r>
            <w:r w:rsidR="321FF1C4" w:rsidRPr="3C4AC61A">
              <w:rPr>
                <w:rFonts w:asciiTheme="minorHAnsi" w:eastAsiaTheme="minorEastAsia" w:hAnsiTheme="minorHAnsi" w:cstheme="minorBidi"/>
                <w:i w:val="0"/>
                <w:iCs w:val="0"/>
                <w:color w:val="auto"/>
                <w:sz w:val="22"/>
                <w:szCs w:val="22"/>
              </w:rPr>
              <w:t>3)</w:t>
            </w:r>
            <w:r w:rsidR="39BA5DA3" w:rsidRPr="3C4AC61A">
              <w:rPr>
                <w:rFonts w:asciiTheme="minorHAnsi" w:eastAsiaTheme="minorEastAsia" w:hAnsiTheme="minorHAnsi" w:cstheme="minorBidi"/>
                <w:i w:val="0"/>
                <w:iCs w:val="0"/>
                <w:color w:val="auto"/>
                <w:sz w:val="22"/>
                <w:szCs w:val="22"/>
              </w:rPr>
              <w:t xml:space="preserve"> Elektroenergetické datové centrum spuštěno v plné funkčnosti</w:t>
            </w:r>
          </w:p>
        </w:tc>
      </w:tr>
      <w:tr w:rsidR="0057202C" w:rsidRPr="00E646BB" w14:paraId="22F21B2F" w14:textId="77777777" w:rsidTr="3C4AC61A">
        <w:tc>
          <w:tcPr>
            <w:tcW w:w="2405" w:type="dxa"/>
          </w:tcPr>
          <w:p w14:paraId="31300DB3"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Implementace</w:t>
            </w:r>
          </w:p>
        </w:tc>
        <w:tc>
          <w:tcPr>
            <w:tcW w:w="7223" w:type="dxa"/>
          </w:tcPr>
          <w:p w14:paraId="1B8A47D3" w14:textId="60D7E093" w:rsidR="0057202C" w:rsidRPr="00E646BB" w:rsidRDefault="1748D3B4" w:rsidP="569F9CD4">
            <w:pPr>
              <w:pStyle w:val="K-TextInfo"/>
              <w:rPr>
                <w:rFonts w:asciiTheme="minorHAnsi" w:eastAsiaTheme="minorEastAsia" w:hAnsiTheme="minorHAnsi" w:cstheme="minorHAnsi"/>
                <w:i w:val="0"/>
                <w:iCs w:val="0"/>
                <w:color w:val="auto"/>
                <w:sz w:val="22"/>
                <w:szCs w:val="22"/>
                <w:highlight w:val="green"/>
              </w:rPr>
            </w:pPr>
            <w:r w:rsidRPr="00E646BB">
              <w:rPr>
                <w:rFonts w:asciiTheme="minorHAnsi" w:eastAsiaTheme="minorEastAsia" w:hAnsiTheme="minorHAnsi" w:cstheme="minorHAnsi"/>
                <w:i w:val="0"/>
                <w:iCs w:val="0"/>
                <w:color w:val="auto"/>
                <w:sz w:val="22"/>
                <w:szCs w:val="22"/>
              </w:rPr>
              <w:t>Implementaci předpokládáme skrze</w:t>
            </w:r>
            <w:r w:rsidR="00DF6D91" w:rsidRPr="00E646BB">
              <w:rPr>
                <w:rFonts w:asciiTheme="minorHAnsi" w:eastAsiaTheme="minorEastAsia" w:hAnsiTheme="minorHAnsi" w:cstheme="minorHAnsi"/>
                <w:i w:val="0"/>
                <w:iCs w:val="0"/>
                <w:color w:val="auto"/>
                <w:sz w:val="22"/>
                <w:szCs w:val="22"/>
              </w:rPr>
              <w:t xml:space="preserve"> společnost EDC.</w:t>
            </w:r>
            <w:r w:rsidRPr="00E646BB">
              <w:rPr>
                <w:rFonts w:asciiTheme="minorHAnsi" w:eastAsiaTheme="minorEastAsia" w:hAnsiTheme="minorHAnsi" w:cstheme="minorHAnsi"/>
                <w:i w:val="0"/>
                <w:iCs w:val="0"/>
                <w:color w:val="auto"/>
                <w:sz w:val="22"/>
                <w:szCs w:val="22"/>
              </w:rPr>
              <w:t xml:space="preserve">. Administraci pak bude realizovat </w:t>
            </w:r>
            <w:r w:rsidR="00DF6D91" w:rsidRPr="00E646BB">
              <w:rPr>
                <w:rFonts w:asciiTheme="minorHAnsi" w:eastAsiaTheme="minorEastAsia" w:hAnsiTheme="minorHAnsi" w:cstheme="minorHAnsi"/>
                <w:i w:val="0"/>
                <w:iCs w:val="0"/>
                <w:color w:val="auto"/>
                <w:sz w:val="22"/>
                <w:szCs w:val="22"/>
              </w:rPr>
              <w:t>M</w:t>
            </w:r>
            <w:r w:rsidRPr="00E646BB">
              <w:rPr>
                <w:rFonts w:asciiTheme="minorHAnsi" w:eastAsiaTheme="minorEastAsia" w:hAnsiTheme="minorHAnsi" w:cstheme="minorHAnsi"/>
                <w:i w:val="0"/>
                <w:iCs w:val="0"/>
                <w:color w:val="auto"/>
                <w:sz w:val="22"/>
                <w:szCs w:val="22"/>
              </w:rPr>
              <w:t>inisterstvo průmyslu a obchodu.</w:t>
            </w:r>
          </w:p>
        </w:tc>
      </w:tr>
      <w:tr w:rsidR="0057202C" w:rsidRPr="00E646BB" w14:paraId="641C6FF9" w14:textId="77777777" w:rsidTr="3C4AC61A">
        <w:trPr>
          <w:trHeight w:val="70"/>
        </w:trPr>
        <w:tc>
          <w:tcPr>
            <w:tcW w:w="2405" w:type="dxa"/>
          </w:tcPr>
          <w:p w14:paraId="3D099006"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Spolupráce a zapojení zúčastněných stran</w:t>
            </w:r>
          </w:p>
        </w:tc>
        <w:tc>
          <w:tcPr>
            <w:tcW w:w="7223" w:type="dxa"/>
          </w:tcPr>
          <w:p w14:paraId="32E707A1" w14:textId="77777777" w:rsidR="0057202C" w:rsidRPr="00E646BB" w:rsidRDefault="1748D3B4" w:rsidP="569F9CD4">
            <w:pPr>
              <w:pStyle w:val="K-TextInfo"/>
              <w:rPr>
                <w:rFonts w:asciiTheme="minorHAnsi" w:eastAsiaTheme="minorEastAsia" w:hAnsiTheme="minorHAnsi" w:cstheme="minorHAnsi"/>
                <w:i w:val="0"/>
                <w:iCs w:val="0"/>
                <w:color w:val="auto"/>
                <w:sz w:val="22"/>
                <w:szCs w:val="22"/>
                <w:highlight w:val="green"/>
              </w:rPr>
            </w:pPr>
            <w:r w:rsidRPr="00E646BB">
              <w:rPr>
                <w:rFonts w:asciiTheme="minorHAnsi" w:eastAsiaTheme="minorEastAsia" w:hAnsiTheme="minorHAnsi" w:cstheme="minorHAnsi"/>
                <w:i w:val="0"/>
                <w:iCs w:val="0"/>
                <w:color w:val="auto"/>
                <w:sz w:val="22"/>
                <w:szCs w:val="22"/>
              </w:rPr>
              <w:t xml:space="preserve">Předpokládáme, že budou zapojeni </w:t>
            </w:r>
            <w:r w:rsidR="00D4047B" w:rsidRPr="00E646BB">
              <w:rPr>
                <w:rFonts w:asciiTheme="minorHAnsi" w:eastAsiaTheme="minorEastAsia" w:hAnsiTheme="minorHAnsi" w:cstheme="minorHAnsi"/>
                <w:i w:val="0"/>
                <w:iCs w:val="0"/>
                <w:color w:val="auto"/>
                <w:sz w:val="22"/>
                <w:szCs w:val="22"/>
              </w:rPr>
              <w:t xml:space="preserve">především </w:t>
            </w:r>
            <w:r w:rsidR="00AF17F7" w:rsidRPr="00E646BB">
              <w:rPr>
                <w:rFonts w:asciiTheme="minorHAnsi" w:eastAsiaTheme="minorEastAsia" w:hAnsiTheme="minorHAnsi" w:cstheme="minorHAnsi"/>
                <w:i w:val="0"/>
                <w:iCs w:val="0"/>
                <w:color w:val="auto"/>
                <w:sz w:val="22"/>
                <w:szCs w:val="22"/>
              </w:rPr>
              <w:t xml:space="preserve">provozovatel </w:t>
            </w:r>
            <w:r w:rsidR="00482DD6" w:rsidRPr="00E646BB">
              <w:rPr>
                <w:rFonts w:asciiTheme="minorHAnsi" w:eastAsiaTheme="minorEastAsia" w:hAnsiTheme="minorHAnsi" w:cstheme="minorHAnsi"/>
                <w:i w:val="0"/>
                <w:iCs w:val="0"/>
                <w:color w:val="auto"/>
                <w:sz w:val="22"/>
                <w:szCs w:val="22"/>
              </w:rPr>
              <w:t>přenosové sousta</w:t>
            </w:r>
            <w:r w:rsidR="00546948" w:rsidRPr="00E646BB">
              <w:rPr>
                <w:rFonts w:asciiTheme="minorHAnsi" w:eastAsiaTheme="minorEastAsia" w:hAnsiTheme="minorHAnsi" w:cstheme="minorHAnsi"/>
                <w:i w:val="0"/>
                <w:iCs w:val="0"/>
                <w:color w:val="auto"/>
                <w:sz w:val="22"/>
                <w:szCs w:val="22"/>
              </w:rPr>
              <w:t>vy, p</w:t>
            </w:r>
            <w:r w:rsidR="009F2F92" w:rsidRPr="00E646BB">
              <w:rPr>
                <w:rFonts w:asciiTheme="minorHAnsi" w:eastAsiaTheme="minorEastAsia" w:hAnsiTheme="minorHAnsi" w:cstheme="minorHAnsi"/>
                <w:i w:val="0"/>
                <w:iCs w:val="0"/>
                <w:color w:val="auto"/>
                <w:sz w:val="22"/>
                <w:szCs w:val="22"/>
              </w:rPr>
              <w:t>rovozovatelé regionálních distribučních soustav</w:t>
            </w:r>
            <w:r w:rsidR="00D4047B" w:rsidRPr="00E646BB">
              <w:rPr>
                <w:rFonts w:asciiTheme="minorHAnsi" w:eastAsiaTheme="minorEastAsia" w:hAnsiTheme="minorHAnsi" w:cstheme="minorHAnsi"/>
                <w:i w:val="0"/>
                <w:iCs w:val="0"/>
                <w:color w:val="auto"/>
                <w:sz w:val="22"/>
                <w:szCs w:val="22"/>
              </w:rPr>
              <w:t xml:space="preserve">, </w:t>
            </w:r>
            <w:r w:rsidR="00BA2DF8" w:rsidRPr="00E646BB">
              <w:rPr>
                <w:rFonts w:asciiTheme="minorHAnsi" w:eastAsiaTheme="minorEastAsia" w:hAnsiTheme="minorHAnsi" w:cstheme="minorHAnsi"/>
                <w:i w:val="0"/>
                <w:iCs w:val="0"/>
                <w:color w:val="auto"/>
                <w:sz w:val="22"/>
                <w:szCs w:val="22"/>
              </w:rPr>
              <w:t>o</w:t>
            </w:r>
            <w:r w:rsidR="004B65A9" w:rsidRPr="00E646BB">
              <w:rPr>
                <w:rFonts w:asciiTheme="minorHAnsi" w:eastAsiaTheme="minorEastAsia" w:hAnsiTheme="minorHAnsi" w:cstheme="minorHAnsi"/>
                <w:i w:val="0"/>
                <w:iCs w:val="0"/>
                <w:color w:val="auto"/>
                <w:sz w:val="22"/>
                <w:szCs w:val="22"/>
              </w:rPr>
              <w:t xml:space="preserve">perátor trhu s elektřinou, </w:t>
            </w:r>
            <w:r w:rsidR="00D4047B" w:rsidRPr="00E646BB">
              <w:rPr>
                <w:rFonts w:asciiTheme="minorHAnsi" w:eastAsiaTheme="minorEastAsia" w:hAnsiTheme="minorHAnsi" w:cstheme="minorHAnsi"/>
                <w:i w:val="0"/>
                <w:iCs w:val="0"/>
                <w:color w:val="auto"/>
                <w:sz w:val="22"/>
                <w:szCs w:val="22"/>
              </w:rPr>
              <w:t>ale i ostatní účastníc</w:t>
            </w:r>
            <w:r w:rsidR="00B97722" w:rsidRPr="00E646BB">
              <w:rPr>
                <w:rFonts w:asciiTheme="minorHAnsi" w:eastAsiaTheme="minorEastAsia" w:hAnsiTheme="minorHAnsi" w:cstheme="minorHAnsi"/>
                <w:i w:val="0"/>
                <w:iCs w:val="0"/>
                <w:color w:val="auto"/>
                <w:sz w:val="22"/>
                <w:szCs w:val="22"/>
              </w:rPr>
              <w:t xml:space="preserve">i trhu </w:t>
            </w:r>
            <w:r w:rsidRPr="00E646BB">
              <w:rPr>
                <w:rFonts w:asciiTheme="minorHAnsi" w:eastAsiaTheme="minorEastAsia" w:hAnsiTheme="minorHAnsi" w:cstheme="minorHAnsi"/>
                <w:i w:val="0"/>
                <w:color w:val="auto"/>
                <w:sz w:val="22"/>
                <w:szCs w:val="22"/>
              </w:rPr>
              <w:t>a dodavatelské subjekty a také příslušné útvary státní správy.</w:t>
            </w:r>
          </w:p>
        </w:tc>
      </w:tr>
      <w:tr w:rsidR="0057202C" w:rsidRPr="00E646BB" w14:paraId="3B2C2C74" w14:textId="77777777" w:rsidTr="3C4AC61A">
        <w:tc>
          <w:tcPr>
            <w:tcW w:w="2405" w:type="dxa"/>
          </w:tcPr>
          <w:p w14:paraId="32007E0C"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Překážky a rizika</w:t>
            </w:r>
          </w:p>
        </w:tc>
        <w:tc>
          <w:tcPr>
            <w:tcW w:w="7223" w:type="dxa"/>
          </w:tcPr>
          <w:p w14:paraId="5EEF2D6A" w14:textId="77777777" w:rsidR="0057202C" w:rsidRPr="00E646BB" w:rsidRDefault="00164836" w:rsidP="569F9CD4">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R</w:t>
            </w:r>
            <w:r w:rsidR="1748D3B4" w:rsidRPr="00E646BB">
              <w:rPr>
                <w:rFonts w:asciiTheme="minorHAnsi" w:eastAsiaTheme="minorEastAsia" w:hAnsiTheme="minorHAnsi" w:cstheme="minorHAnsi"/>
                <w:i w:val="0"/>
                <w:iCs w:val="0"/>
                <w:color w:val="auto"/>
                <w:sz w:val="22"/>
                <w:szCs w:val="22"/>
              </w:rPr>
              <w:t xml:space="preserve">elativně krátký </w:t>
            </w:r>
            <w:r w:rsidR="00EC4C6F" w:rsidRPr="00E646BB">
              <w:rPr>
                <w:rFonts w:asciiTheme="minorHAnsi" w:eastAsiaTheme="minorEastAsia" w:hAnsiTheme="minorHAnsi" w:cstheme="minorHAnsi"/>
                <w:i w:val="0"/>
                <w:iCs w:val="0"/>
                <w:color w:val="auto"/>
                <w:sz w:val="22"/>
                <w:szCs w:val="22"/>
              </w:rPr>
              <w:t>časový</w:t>
            </w:r>
            <w:r w:rsidR="0045105E" w:rsidRPr="00E646BB">
              <w:rPr>
                <w:rFonts w:asciiTheme="minorHAnsi" w:eastAsiaTheme="minorEastAsia" w:hAnsiTheme="minorHAnsi" w:cstheme="minorHAnsi"/>
                <w:i w:val="0"/>
                <w:iCs w:val="0"/>
                <w:color w:val="auto"/>
                <w:sz w:val="22"/>
                <w:szCs w:val="22"/>
              </w:rPr>
              <w:t xml:space="preserve"> </w:t>
            </w:r>
            <w:r w:rsidR="1748D3B4" w:rsidRPr="00E646BB">
              <w:rPr>
                <w:rFonts w:asciiTheme="minorHAnsi" w:eastAsiaTheme="minorEastAsia" w:hAnsiTheme="minorHAnsi" w:cstheme="minorHAnsi"/>
                <w:i w:val="0"/>
                <w:iCs w:val="0"/>
                <w:color w:val="auto"/>
                <w:sz w:val="22"/>
                <w:szCs w:val="22"/>
              </w:rPr>
              <w:t xml:space="preserve">horizont pro </w:t>
            </w:r>
            <w:r w:rsidR="00107969" w:rsidRPr="00E646BB">
              <w:rPr>
                <w:rFonts w:asciiTheme="minorHAnsi" w:eastAsiaTheme="minorEastAsia" w:hAnsiTheme="minorHAnsi" w:cstheme="minorHAnsi"/>
                <w:i w:val="0"/>
                <w:iCs w:val="0"/>
                <w:color w:val="auto"/>
                <w:sz w:val="22"/>
                <w:szCs w:val="22"/>
              </w:rPr>
              <w:t>impl</w:t>
            </w:r>
            <w:r w:rsidR="00AD290F" w:rsidRPr="00E646BB">
              <w:rPr>
                <w:rFonts w:asciiTheme="minorHAnsi" w:eastAsiaTheme="minorEastAsia" w:hAnsiTheme="minorHAnsi" w:cstheme="minorHAnsi"/>
                <w:i w:val="0"/>
                <w:iCs w:val="0"/>
                <w:color w:val="auto"/>
                <w:sz w:val="22"/>
                <w:szCs w:val="22"/>
              </w:rPr>
              <w:t xml:space="preserve">ementaci </w:t>
            </w:r>
            <w:r w:rsidR="00E855F6" w:rsidRPr="00E646BB">
              <w:rPr>
                <w:rFonts w:asciiTheme="minorHAnsi" w:eastAsiaTheme="minorEastAsia" w:hAnsiTheme="minorHAnsi" w:cstheme="minorHAnsi"/>
                <w:i w:val="0"/>
                <w:iCs w:val="0"/>
                <w:color w:val="auto"/>
                <w:sz w:val="22"/>
                <w:szCs w:val="22"/>
              </w:rPr>
              <w:t xml:space="preserve">a realizaci </w:t>
            </w:r>
            <w:r w:rsidR="00445DBC" w:rsidRPr="00E646BB">
              <w:rPr>
                <w:rFonts w:asciiTheme="minorHAnsi" w:eastAsiaTheme="minorEastAsia" w:hAnsiTheme="minorHAnsi" w:cstheme="minorHAnsi"/>
                <w:i w:val="0"/>
                <w:iCs w:val="0"/>
                <w:color w:val="auto"/>
                <w:sz w:val="22"/>
                <w:szCs w:val="22"/>
              </w:rPr>
              <w:t>EDC</w:t>
            </w:r>
            <w:r w:rsidR="1748D3B4" w:rsidRPr="00E646BB">
              <w:rPr>
                <w:rFonts w:asciiTheme="minorHAnsi" w:eastAsiaTheme="minorEastAsia" w:hAnsiTheme="minorHAnsi" w:cstheme="minorHAnsi"/>
                <w:i w:val="0"/>
                <w:iCs w:val="0"/>
                <w:color w:val="auto"/>
                <w:sz w:val="22"/>
                <w:szCs w:val="22"/>
              </w:rPr>
              <w:t xml:space="preserve"> </w:t>
            </w:r>
            <w:r w:rsidR="00EF45CE" w:rsidRPr="00E646BB">
              <w:rPr>
                <w:rFonts w:asciiTheme="minorHAnsi" w:eastAsiaTheme="minorEastAsia" w:hAnsiTheme="minorHAnsi" w:cstheme="minorHAnsi"/>
                <w:i w:val="0"/>
                <w:iCs w:val="0"/>
                <w:color w:val="auto"/>
                <w:sz w:val="22"/>
                <w:szCs w:val="22"/>
              </w:rPr>
              <w:t xml:space="preserve">ve vztahu k možnému </w:t>
            </w:r>
            <w:r w:rsidR="1748D3B4" w:rsidRPr="00E646BB">
              <w:rPr>
                <w:rFonts w:asciiTheme="minorHAnsi" w:eastAsiaTheme="minorEastAsia" w:hAnsiTheme="minorHAnsi" w:cstheme="minorHAnsi"/>
                <w:i w:val="0"/>
                <w:iCs w:val="0"/>
                <w:color w:val="auto"/>
                <w:sz w:val="22"/>
                <w:szCs w:val="22"/>
              </w:rPr>
              <w:t xml:space="preserve">čerpání finančních zdrojů; </w:t>
            </w:r>
            <w:r w:rsidR="001C32BD" w:rsidRPr="00E646BB">
              <w:rPr>
                <w:rFonts w:asciiTheme="minorHAnsi" w:eastAsiaTheme="minorEastAsia" w:hAnsiTheme="minorHAnsi" w:cstheme="minorHAnsi"/>
                <w:i w:val="0"/>
                <w:iCs w:val="0"/>
                <w:color w:val="auto"/>
                <w:sz w:val="22"/>
                <w:szCs w:val="22"/>
              </w:rPr>
              <w:t xml:space="preserve">otázka </w:t>
            </w:r>
            <w:r w:rsidR="00AA64C9" w:rsidRPr="00E646BB">
              <w:rPr>
                <w:rFonts w:asciiTheme="minorHAnsi" w:eastAsiaTheme="minorEastAsia" w:hAnsiTheme="minorHAnsi" w:cstheme="minorHAnsi"/>
                <w:i w:val="0"/>
                <w:iCs w:val="0"/>
                <w:color w:val="auto"/>
                <w:sz w:val="22"/>
                <w:szCs w:val="22"/>
              </w:rPr>
              <w:t>včasnosti přijetí nezbytných legislativních změn</w:t>
            </w:r>
            <w:r w:rsidR="1748D3B4" w:rsidRPr="00E646BB">
              <w:rPr>
                <w:rFonts w:asciiTheme="minorHAnsi" w:eastAsiaTheme="minorEastAsia" w:hAnsiTheme="minorHAnsi" w:cstheme="minorHAnsi"/>
                <w:i w:val="0"/>
                <w:iCs w:val="0"/>
                <w:color w:val="auto"/>
                <w:sz w:val="22"/>
                <w:szCs w:val="22"/>
              </w:rPr>
              <w:t>;</w:t>
            </w:r>
            <w:r w:rsidR="00035374" w:rsidRPr="00E646BB">
              <w:rPr>
                <w:rFonts w:asciiTheme="minorHAnsi" w:eastAsiaTheme="minorEastAsia" w:hAnsiTheme="minorHAnsi" w:cstheme="minorHAnsi"/>
                <w:i w:val="0"/>
                <w:iCs w:val="0"/>
                <w:color w:val="auto"/>
                <w:sz w:val="22"/>
                <w:szCs w:val="22"/>
              </w:rPr>
              <w:t xml:space="preserve"> </w:t>
            </w:r>
            <w:r w:rsidR="1748D3B4" w:rsidRPr="00E646BB">
              <w:rPr>
                <w:rFonts w:asciiTheme="minorHAnsi" w:eastAsiaTheme="minorEastAsia" w:hAnsiTheme="minorHAnsi" w:cstheme="minorHAnsi"/>
                <w:i w:val="0"/>
                <w:iCs w:val="0"/>
                <w:color w:val="auto"/>
                <w:sz w:val="22"/>
                <w:szCs w:val="22"/>
              </w:rPr>
              <w:t xml:space="preserve">dostatek lidských zdrojů a know-how pro provedení </w:t>
            </w:r>
            <w:r w:rsidR="00AA64C9" w:rsidRPr="00E646BB">
              <w:rPr>
                <w:rFonts w:asciiTheme="minorHAnsi" w:eastAsiaTheme="minorEastAsia" w:hAnsiTheme="minorHAnsi" w:cstheme="minorHAnsi"/>
                <w:i w:val="0"/>
                <w:iCs w:val="0"/>
                <w:color w:val="auto"/>
                <w:sz w:val="22"/>
                <w:szCs w:val="22"/>
              </w:rPr>
              <w:t>projektu</w:t>
            </w:r>
            <w:r w:rsidR="1748D3B4" w:rsidRPr="00E646BB">
              <w:rPr>
                <w:rFonts w:asciiTheme="minorHAnsi" w:eastAsiaTheme="minorEastAsia" w:hAnsiTheme="minorHAnsi" w:cstheme="minorHAnsi"/>
                <w:i w:val="0"/>
                <w:iCs w:val="0"/>
                <w:color w:val="auto"/>
                <w:sz w:val="22"/>
                <w:szCs w:val="22"/>
              </w:rPr>
              <w:t xml:space="preserve"> v relativně krátkém období.</w:t>
            </w:r>
          </w:p>
          <w:p w14:paraId="57F05CFD" w14:textId="49DE2462" w:rsidR="00DF6D91" w:rsidRPr="00E646BB" w:rsidRDefault="00DF6D91" w:rsidP="569F9CD4">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 xml:space="preserve">Vzhledem k tomu, že společnost EDC bude IT systém soutěžit podle zákona o zadávání veřejných zakázek, existuje </w:t>
            </w:r>
            <w:r w:rsidR="0019324B" w:rsidRPr="00E646BB">
              <w:rPr>
                <w:rFonts w:asciiTheme="minorHAnsi" w:eastAsiaTheme="minorEastAsia" w:hAnsiTheme="minorHAnsi" w:cstheme="minorHAnsi"/>
                <w:i w:val="0"/>
                <w:iCs w:val="0"/>
                <w:color w:val="auto"/>
                <w:sz w:val="22"/>
                <w:szCs w:val="22"/>
              </w:rPr>
              <w:t xml:space="preserve">riziko prodloužení veřejné soutěže. </w:t>
            </w:r>
          </w:p>
        </w:tc>
      </w:tr>
      <w:tr w:rsidR="0057202C" w:rsidRPr="00E646BB" w14:paraId="4D7A616E" w14:textId="77777777" w:rsidTr="3C4AC61A">
        <w:tc>
          <w:tcPr>
            <w:tcW w:w="2405" w:type="dxa"/>
          </w:tcPr>
          <w:p w14:paraId="28B2301D"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Cílové skupiny populace a ekonomické subjekty</w:t>
            </w:r>
          </w:p>
        </w:tc>
        <w:tc>
          <w:tcPr>
            <w:tcW w:w="7223" w:type="dxa"/>
          </w:tcPr>
          <w:p w14:paraId="56EC976F" w14:textId="77777777" w:rsidR="0057202C" w:rsidRPr="00E646BB" w:rsidRDefault="00661C7C" w:rsidP="569F9CD4">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I</w:t>
            </w:r>
            <w:r w:rsidR="1748D3B4" w:rsidRPr="00E646BB">
              <w:rPr>
                <w:rFonts w:asciiTheme="minorHAnsi" w:eastAsiaTheme="minorEastAsia" w:hAnsiTheme="minorHAnsi" w:cstheme="minorHAnsi"/>
                <w:i w:val="0"/>
                <w:iCs w:val="0"/>
                <w:color w:val="auto"/>
                <w:sz w:val="22"/>
                <w:szCs w:val="22"/>
              </w:rPr>
              <w:t xml:space="preserve">nvestice </w:t>
            </w:r>
            <w:r w:rsidR="001B7D80" w:rsidRPr="00E646BB">
              <w:rPr>
                <w:rFonts w:asciiTheme="minorHAnsi" w:eastAsiaTheme="minorEastAsia" w:hAnsiTheme="minorHAnsi" w:cstheme="minorHAnsi"/>
                <w:i w:val="0"/>
                <w:iCs w:val="0"/>
                <w:color w:val="auto"/>
                <w:sz w:val="22"/>
                <w:szCs w:val="22"/>
              </w:rPr>
              <w:t xml:space="preserve">bude mít přímý vliv na </w:t>
            </w:r>
            <w:r w:rsidR="005270E0" w:rsidRPr="00E646BB">
              <w:rPr>
                <w:rFonts w:asciiTheme="minorHAnsi" w:eastAsiaTheme="minorEastAsia" w:hAnsiTheme="minorHAnsi" w:cstheme="minorHAnsi"/>
                <w:i w:val="0"/>
                <w:iCs w:val="0"/>
                <w:color w:val="auto"/>
                <w:sz w:val="22"/>
                <w:szCs w:val="22"/>
              </w:rPr>
              <w:t>provozovatel</w:t>
            </w:r>
            <w:r w:rsidR="005270E0" w:rsidRPr="00E646BB">
              <w:rPr>
                <w:rFonts w:asciiTheme="minorHAnsi" w:eastAsiaTheme="minorEastAsia" w:hAnsiTheme="minorHAnsi" w:cstheme="minorHAnsi"/>
                <w:i w:val="0"/>
                <w:color w:val="auto"/>
                <w:sz w:val="22"/>
                <w:szCs w:val="22"/>
              </w:rPr>
              <w:t>e přenosové soustavy a provozovatel</w:t>
            </w:r>
            <w:r w:rsidR="00FF531E" w:rsidRPr="00E646BB">
              <w:rPr>
                <w:rFonts w:asciiTheme="minorHAnsi" w:eastAsiaTheme="minorEastAsia" w:hAnsiTheme="minorHAnsi" w:cstheme="minorHAnsi"/>
                <w:i w:val="0"/>
                <w:color w:val="auto"/>
                <w:sz w:val="22"/>
                <w:szCs w:val="22"/>
              </w:rPr>
              <w:t>e</w:t>
            </w:r>
            <w:r w:rsidR="005270E0" w:rsidRPr="00E646BB">
              <w:rPr>
                <w:rFonts w:asciiTheme="minorHAnsi" w:eastAsiaTheme="minorEastAsia" w:hAnsiTheme="minorHAnsi" w:cstheme="minorHAnsi"/>
                <w:i w:val="0"/>
                <w:color w:val="auto"/>
                <w:sz w:val="22"/>
                <w:szCs w:val="22"/>
              </w:rPr>
              <w:t xml:space="preserve"> regionálních distribučních soustav</w:t>
            </w:r>
            <w:r w:rsidR="1748D3B4" w:rsidRPr="00E646BB">
              <w:rPr>
                <w:rFonts w:asciiTheme="minorHAnsi" w:eastAsiaTheme="minorEastAsia" w:hAnsiTheme="minorHAnsi" w:cstheme="minorHAnsi"/>
                <w:i w:val="0"/>
                <w:color w:val="auto"/>
                <w:sz w:val="22"/>
                <w:szCs w:val="22"/>
              </w:rPr>
              <w:t>, kte</w:t>
            </w:r>
            <w:r w:rsidR="005270E0" w:rsidRPr="00E646BB">
              <w:rPr>
                <w:rFonts w:asciiTheme="minorHAnsi" w:eastAsiaTheme="minorEastAsia" w:hAnsiTheme="minorHAnsi" w:cstheme="minorHAnsi"/>
                <w:i w:val="0"/>
                <w:iCs w:val="0"/>
                <w:color w:val="auto"/>
                <w:sz w:val="22"/>
                <w:szCs w:val="22"/>
              </w:rPr>
              <w:t>ří</w:t>
            </w:r>
            <w:r w:rsidR="1748D3B4" w:rsidRPr="00E646BB">
              <w:rPr>
                <w:rFonts w:asciiTheme="minorHAnsi" w:eastAsiaTheme="minorEastAsia" w:hAnsiTheme="minorHAnsi" w:cstheme="minorHAnsi"/>
                <w:i w:val="0"/>
                <w:iCs w:val="0"/>
                <w:color w:val="auto"/>
                <w:sz w:val="22"/>
                <w:szCs w:val="22"/>
              </w:rPr>
              <w:t xml:space="preserve"> budou investici realizovat. Nepřímo se investice dotkne </w:t>
            </w:r>
            <w:r w:rsidR="005270E0" w:rsidRPr="00E646BB">
              <w:rPr>
                <w:rFonts w:asciiTheme="minorHAnsi" w:eastAsiaTheme="minorEastAsia" w:hAnsiTheme="minorHAnsi" w:cstheme="minorHAnsi"/>
                <w:i w:val="0"/>
                <w:iCs w:val="0"/>
                <w:color w:val="auto"/>
                <w:sz w:val="22"/>
                <w:szCs w:val="22"/>
              </w:rPr>
              <w:t>všech účastníků trhu s elektřinou</w:t>
            </w:r>
            <w:r w:rsidR="00B04A11" w:rsidRPr="00E646BB">
              <w:rPr>
                <w:rFonts w:asciiTheme="minorHAnsi" w:eastAsiaTheme="minorEastAsia" w:hAnsiTheme="minorHAnsi" w:cstheme="minorHAnsi"/>
                <w:i w:val="0"/>
                <w:iCs w:val="0"/>
                <w:color w:val="auto"/>
                <w:sz w:val="22"/>
                <w:szCs w:val="22"/>
              </w:rPr>
              <w:t xml:space="preserve">, </w:t>
            </w:r>
            <w:r w:rsidR="00CB7A31" w:rsidRPr="00E646BB">
              <w:rPr>
                <w:rFonts w:asciiTheme="minorHAnsi" w:eastAsiaTheme="minorEastAsia" w:hAnsiTheme="minorHAnsi" w:cstheme="minorHAnsi"/>
                <w:i w:val="0"/>
                <w:iCs w:val="0"/>
                <w:color w:val="auto"/>
                <w:sz w:val="22"/>
                <w:szCs w:val="22"/>
              </w:rPr>
              <w:t>jelikož</w:t>
            </w:r>
            <w:r w:rsidR="003A6A2A" w:rsidRPr="00E646BB">
              <w:rPr>
                <w:rFonts w:asciiTheme="minorHAnsi" w:eastAsiaTheme="minorEastAsia" w:hAnsiTheme="minorHAnsi" w:cstheme="minorHAnsi"/>
                <w:i w:val="0"/>
                <w:iCs w:val="0"/>
                <w:color w:val="auto"/>
                <w:sz w:val="22"/>
                <w:szCs w:val="22"/>
              </w:rPr>
              <w:t xml:space="preserve"> </w:t>
            </w:r>
            <w:r w:rsidR="005A1461" w:rsidRPr="00E646BB">
              <w:rPr>
                <w:rFonts w:asciiTheme="minorHAnsi" w:eastAsiaTheme="minorEastAsia" w:hAnsiTheme="minorHAnsi" w:cstheme="minorHAnsi"/>
                <w:i w:val="0"/>
                <w:iCs w:val="0"/>
                <w:color w:val="auto"/>
                <w:sz w:val="22"/>
                <w:szCs w:val="22"/>
              </w:rPr>
              <w:t>tato investice bude mít zásadní vliv n</w:t>
            </w:r>
            <w:r w:rsidR="00FA1B5A" w:rsidRPr="00E646BB">
              <w:rPr>
                <w:rFonts w:asciiTheme="minorHAnsi" w:eastAsiaTheme="minorEastAsia" w:hAnsiTheme="minorHAnsi" w:cstheme="minorHAnsi"/>
                <w:i w:val="0"/>
                <w:iCs w:val="0"/>
                <w:color w:val="auto"/>
                <w:sz w:val="22"/>
                <w:szCs w:val="22"/>
              </w:rPr>
              <w:t>a budoucí</w:t>
            </w:r>
            <w:r w:rsidR="005A1461" w:rsidRPr="00E646BB">
              <w:rPr>
                <w:rFonts w:asciiTheme="minorHAnsi" w:eastAsiaTheme="minorEastAsia" w:hAnsiTheme="minorHAnsi" w:cstheme="minorHAnsi"/>
                <w:i w:val="0"/>
                <w:iCs w:val="0"/>
                <w:color w:val="auto"/>
                <w:sz w:val="22"/>
                <w:szCs w:val="22"/>
              </w:rPr>
              <w:t xml:space="preserve"> fungování trhu</w:t>
            </w:r>
            <w:r w:rsidR="003D2E37" w:rsidRPr="00E646BB">
              <w:rPr>
                <w:rFonts w:asciiTheme="minorHAnsi" w:eastAsiaTheme="minorEastAsia" w:hAnsiTheme="minorHAnsi" w:cstheme="minorHAnsi"/>
                <w:i w:val="0"/>
                <w:iCs w:val="0"/>
                <w:color w:val="auto"/>
                <w:sz w:val="22"/>
                <w:szCs w:val="22"/>
              </w:rPr>
              <w:t>,</w:t>
            </w:r>
            <w:r w:rsidR="005A1461" w:rsidRPr="00E646BB">
              <w:rPr>
                <w:rFonts w:asciiTheme="minorHAnsi" w:eastAsiaTheme="minorEastAsia" w:hAnsiTheme="minorHAnsi" w:cstheme="minorHAnsi"/>
                <w:i w:val="0"/>
                <w:iCs w:val="0"/>
                <w:color w:val="auto"/>
                <w:sz w:val="22"/>
                <w:szCs w:val="22"/>
              </w:rPr>
              <w:t xml:space="preserve"> </w:t>
            </w:r>
            <w:r w:rsidR="00FA1B5A" w:rsidRPr="00E646BB">
              <w:rPr>
                <w:rFonts w:asciiTheme="minorHAnsi" w:eastAsiaTheme="minorEastAsia" w:hAnsiTheme="minorHAnsi" w:cstheme="minorHAnsi"/>
                <w:i w:val="0"/>
                <w:iCs w:val="0"/>
                <w:color w:val="auto"/>
                <w:sz w:val="22"/>
                <w:szCs w:val="22"/>
              </w:rPr>
              <w:t xml:space="preserve">a </w:t>
            </w:r>
            <w:r w:rsidR="00BE6488" w:rsidRPr="00E646BB">
              <w:rPr>
                <w:rFonts w:asciiTheme="minorHAnsi" w:eastAsiaTheme="minorEastAsia" w:hAnsiTheme="minorHAnsi" w:cstheme="minorHAnsi"/>
                <w:i w:val="0"/>
                <w:iCs w:val="0"/>
                <w:color w:val="auto"/>
                <w:sz w:val="22"/>
                <w:szCs w:val="22"/>
              </w:rPr>
              <w:t xml:space="preserve">zároveň z důvodu, že </w:t>
            </w:r>
            <w:r w:rsidR="0084656A" w:rsidRPr="00E646BB">
              <w:rPr>
                <w:rFonts w:asciiTheme="minorHAnsi" w:eastAsiaTheme="minorEastAsia" w:hAnsiTheme="minorHAnsi" w:cstheme="minorHAnsi"/>
                <w:i w:val="0"/>
                <w:iCs w:val="0"/>
                <w:color w:val="auto"/>
                <w:sz w:val="22"/>
                <w:szCs w:val="22"/>
              </w:rPr>
              <w:t>příspěvek na činnost ED</w:t>
            </w:r>
            <w:r w:rsidR="002E0A2A" w:rsidRPr="00E646BB">
              <w:rPr>
                <w:rFonts w:asciiTheme="minorHAnsi" w:eastAsiaTheme="minorEastAsia" w:hAnsiTheme="minorHAnsi" w:cstheme="minorHAnsi"/>
                <w:i w:val="0"/>
                <w:iCs w:val="0"/>
                <w:color w:val="auto"/>
                <w:sz w:val="22"/>
                <w:szCs w:val="22"/>
              </w:rPr>
              <w:t>C bude součástí cen</w:t>
            </w:r>
            <w:r w:rsidR="00241DF0" w:rsidRPr="00E646BB">
              <w:rPr>
                <w:rFonts w:asciiTheme="minorHAnsi" w:eastAsiaTheme="minorEastAsia" w:hAnsiTheme="minorHAnsi" w:cstheme="minorHAnsi"/>
                <w:i w:val="0"/>
                <w:iCs w:val="0"/>
                <w:color w:val="auto"/>
                <w:sz w:val="22"/>
                <w:szCs w:val="22"/>
              </w:rPr>
              <w:t xml:space="preserve">y za </w:t>
            </w:r>
            <w:r w:rsidR="00B529BC" w:rsidRPr="00E646BB">
              <w:rPr>
                <w:rFonts w:asciiTheme="minorHAnsi" w:eastAsiaTheme="minorEastAsia" w:hAnsiTheme="minorHAnsi" w:cstheme="minorHAnsi"/>
                <w:i w:val="0"/>
                <w:iCs w:val="0"/>
                <w:color w:val="auto"/>
                <w:sz w:val="22"/>
                <w:szCs w:val="22"/>
              </w:rPr>
              <w:t>související služby v</w:t>
            </w:r>
            <w:r w:rsidR="00E451D7" w:rsidRPr="00E646BB">
              <w:rPr>
                <w:rFonts w:asciiTheme="minorHAnsi" w:eastAsiaTheme="minorEastAsia" w:hAnsiTheme="minorHAnsi" w:cstheme="minorHAnsi"/>
                <w:i w:val="0"/>
                <w:iCs w:val="0"/>
                <w:color w:val="auto"/>
                <w:sz w:val="22"/>
                <w:szCs w:val="22"/>
              </w:rPr>
              <w:t> </w:t>
            </w:r>
            <w:r w:rsidR="00B529BC" w:rsidRPr="00E646BB">
              <w:rPr>
                <w:rFonts w:asciiTheme="minorHAnsi" w:eastAsiaTheme="minorEastAsia" w:hAnsiTheme="minorHAnsi" w:cstheme="minorHAnsi"/>
                <w:i w:val="0"/>
                <w:iCs w:val="0"/>
                <w:color w:val="auto"/>
                <w:sz w:val="22"/>
                <w:szCs w:val="22"/>
              </w:rPr>
              <w:t>elektroenergetice</w:t>
            </w:r>
            <w:r w:rsidR="00E451D7" w:rsidRPr="00E646BB">
              <w:rPr>
                <w:rFonts w:asciiTheme="minorHAnsi" w:eastAsiaTheme="minorEastAsia" w:hAnsiTheme="minorHAnsi" w:cstheme="minorHAnsi"/>
                <w:i w:val="0"/>
                <w:iCs w:val="0"/>
                <w:color w:val="auto"/>
                <w:sz w:val="22"/>
                <w:szCs w:val="22"/>
              </w:rPr>
              <w:t xml:space="preserve">. </w:t>
            </w:r>
          </w:p>
        </w:tc>
      </w:tr>
      <w:tr w:rsidR="0057202C" w:rsidRPr="00E646BB" w14:paraId="011EAB5A" w14:textId="77777777" w:rsidTr="3C4AC61A">
        <w:tc>
          <w:tcPr>
            <w:tcW w:w="2405" w:type="dxa"/>
          </w:tcPr>
          <w:p w14:paraId="6AF88636"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Souhrnné náklady realizace financované z RRF za celé období</w:t>
            </w:r>
          </w:p>
        </w:tc>
        <w:tc>
          <w:tcPr>
            <w:tcW w:w="7223" w:type="dxa"/>
          </w:tcPr>
          <w:p w14:paraId="5B41A9DF" w14:textId="30A47B10" w:rsidR="0057202C" w:rsidRPr="00E646BB" w:rsidRDefault="0019324B" w:rsidP="569F9CD4">
            <w:pPr>
              <w:pStyle w:val="K-TextInfo"/>
              <w:rPr>
                <w:rFonts w:asciiTheme="minorHAnsi" w:eastAsiaTheme="minorEastAsia" w:hAnsiTheme="minorHAnsi" w:cstheme="minorHAnsi"/>
                <w:i w:val="0"/>
                <w:iCs w:val="0"/>
                <w:sz w:val="22"/>
                <w:szCs w:val="22"/>
                <w:highlight w:val="yellow"/>
              </w:rPr>
            </w:pPr>
            <w:r w:rsidRPr="00E646BB">
              <w:rPr>
                <w:rFonts w:asciiTheme="minorHAnsi" w:eastAsiaTheme="minorEastAsia" w:hAnsiTheme="minorHAnsi" w:cstheme="minorHAnsi"/>
                <w:i w:val="0"/>
                <w:iCs w:val="0"/>
                <w:color w:val="auto"/>
                <w:sz w:val="22"/>
                <w:szCs w:val="22"/>
              </w:rPr>
              <w:t>800 mil. Kč</w:t>
            </w:r>
          </w:p>
        </w:tc>
      </w:tr>
      <w:tr w:rsidR="0057202C" w:rsidRPr="00E646BB" w14:paraId="7F3DBF3D" w14:textId="77777777" w:rsidTr="3C4AC61A">
        <w:tc>
          <w:tcPr>
            <w:tcW w:w="2405" w:type="dxa"/>
          </w:tcPr>
          <w:p w14:paraId="10A05F49"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Dodržování pravidel státní podpory</w:t>
            </w:r>
          </w:p>
        </w:tc>
        <w:tc>
          <w:tcPr>
            <w:tcW w:w="7223" w:type="dxa"/>
          </w:tcPr>
          <w:p w14:paraId="737420D9" w14:textId="77777777" w:rsidR="0078111F" w:rsidRPr="00E646BB" w:rsidRDefault="059DF653" w:rsidP="005B500D">
            <w:pPr>
              <w:pStyle w:val="K-TextInfo"/>
              <w:rPr>
                <w:rFonts w:asciiTheme="minorHAnsi" w:eastAsiaTheme="minorEastAsia" w:hAnsiTheme="minorHAnsi" w:cstheme="minorHAnsi"/>
                <w:i w:val="0"/>
                <w:iCs w:val="0"/>
                <w:color w:val="auto"/>
                <w:sz w:val="22"/>
                <w:szCs w:val="22"/>
              </w:rPr>
            </w:pPr>
            <w:r w:rsidRPr="00E646BB">
              <w:rPr>
                <w:rFonts w:asciiTheme="minorHAnsi" w:eastAsiaTheme="minorEastAsia" w:hAnsiTheme="minorHAnsi" w:cstheme="minorHAnsi"/>
                <w:i w:val="0"/>
                <w:iCs w:val="0"/>
                <w:color w:val="auto"/>
                <w:sz w:val="22"/>
                <w:szCs w:val="22"/>
              </w:rPr>
              <w:t xml:space="preserve">Podpora </w:t>
            </w:r>
            <w:r w:rsidR="007B0627" w:rsidRPr="00E646BB">
              <w:rPr>
                <w:rFonts w:asciiTheme="minorHAnsi" w:eastAsiaTheme="minorEastAsia" w:hAnsiTheme="minorHAnsi" w:cstheme="minorHAnsi"/>
                <w:i w:val="0"/>
                <w:iCs w:val="0"/>
                <w:color w:val="auto"/>
                <w:sz w:val="22"/>
                <w:szCs w:val="22"/>
              </w:rPr>
              <w:t>tvorby, realizace a implementace elektroenergetického datového centra</w:t>
            </w:r>
            <w:r w:rsidR="007B0627" w:rsidRPr="00E646BB" w:rsidDel="007B0627">
              <w:rPr>
                <w:rFonts w:asciiTheme="minorHAnsi" w:eastAsiaTheme="minorEastAsia" w:hAnsiTheme="minorHAnsi" w:cstheme="minorHAnsi"/>
                <w:i w:val="0"/>
                <w:iCs w:val="0"/>
                <w:color w:val="auto"/>
                <w:sz w:val="22"/>
                <w:szCs w:val="22"/>
              </w:rPr>
              <w:t xml:space="preserve"> </w:t>
            </w:r>
            <w:r w:rsidRPr="00E646BB">
              <w:rPr>
                <w:rFonts w:asciiTheme="minorHAnsi" w:eastAsiaTheme="minorEastAsia" w:hAnsiTheme="minorHAnsi" w:cstheme="minorHAnsi"/>
                <w:i w:val="0"/>
                <w:iCs w:val="0"/>
                <w:color w:val="auto"/>
                <w:sz w:val="22"/>
                <w:szCs w:val="22"/>
              </w:rPr>
              <w:t xml:space="preserve">bude realizována prostřednictvím investiční dotace. </w:t>
            </w:r>
            <w:r w:rsidR="00B27B81" w:rsidRPr="00E646BB">
              <w:rPr>
                <w:rFonts w:asciiTheme="minorHAnsi" w:eastAsiaTheme="minorEastAsia" w:hAnsiTheme="minorHAnsi" w:cstheme="minorHAnsi"/>
                <w:i w:val="0"/>
                <w:iCs w:val="0"/>
                <w:color w:val="auto"/>
                <w:sz w:val="22"/>
                <w:szCs w:val="22"/>
              </w:rPr>
              <w:t>Na p</w:t>
            </w:r>
            <w:r w:rsidR="001C1EAD" w:rsidRPr="00E646BB">
              <w:rPr>
                <w:rFonts w:asciiTheme="minorHAnsi" w:eastAsiaTheme="minorEastAsia" w:hAnsiTheme="minorHAnsi" w:cstheme="minorHAnsi"/>
                <w:i w:val="0"/>
                <w:iCs w:val="0"/>
                <w:color w:val="auto"/>
                <w:sz w:val="22"/>
                <w:szCs w:val="22"/>
              </w:rPr>
              <w:t>o</w:t>
            </w:r>
            <w:r w:rsidR="000D0C47" w:rsidRPr="00E646BB">
              <w:rPr>
                <w:rFonts w:asciiTheme="minorHAnsi" w:eastAsiaTheme="minorEastAsia" w:hAnsiTheme="minorHAnsi" w:cstheme="minorHAnsi"/>
                <w:i w:val="0"/>
                <w:iCs w:val="0"/>
                <w:color w:val="auto"/>
                <w:sz w:val="22"/>
                <w:szCs w:val="22"/>
              </w:rPr>
              <w:t>skytnu</w:t>
            </w:r>
            <w:r w:rsidR="00B27B81" w:rsidRPr="00E646BB">
              <w:rPr>
                <w:rFonts w:asciiTheme="minorHAnsi" w:eastAsiaTheme="minorEastAsia" w:hAnsiTheme="minorHAnsi" w:cstheme="minorHAnsi"/>
                <w:i w:val="0"/>
                <w:iCs w:val="0"/>
                <w:color w:val="auto"/>
                <w:sz w:val="22"/>
                <w:szCs w:val="22"/>
              </w:rPr>
              <w:t>tou</w:t>
            </w:r>
            <w:r w:rsidR="000D0C47" w:rsidRPr="00E646BB">
              <w:rPr>
                <w:rFonts w:asciiTheme="minorHAnsi" w:eastAsiaTheme="minorEastAsia" w:hAnsiTheme="minorHAnsi" w:cstheme="minorHAnsi"/>
                <w:i w:val="0"/>
                <w:iCs w:val="0"/>
                <w:color w:val="auto"/>
                <w:sz w:val="22"/>
                <w:szCs w:val="22"/>
              </w:rPr>
              <w:t xml:space="preserve"> podpor</w:t>
            </w:r>
            <w:r w:rsidR="00B27B81" w:rsidRPr="00E646BB">
              <w:rPr>
                <w:rFonts w:asciiTheme="minorHAnsi" w:eastAsiaTheme="minorEastAsia" w:hAnsiTheme="minorHAnsi" w:cstheme="minorHAnsi"/>
                <w:i w:val="0"/>
                <w:iCs w:val="0"/>
                <w:color w:val="auto"/>
                <w:sz w:val="22"/>
                <w:szCs w:val="22"/>
              </w:rPr>
              <w:t>u</w:t>
            </w:r>
            <w:r w:rsidR="0078111F" w:rsidRPr="00E646BB">
              <w:rPr>
                <w:rFonts w:asciiTheme="minorHAnsi" w:eastAsiaTheme="minorEastAsia" w:hAnsiTheme="minorHAnsi" w:cstheme="minorHAnsi"/>
                <w:i w:val="0"/>
                <w:iCs w:val="0"/>
                <w:color w:val="auto"/>
                <w:sz w:val="22"/>
                <w:szCs w:val="22"/>
              </w:rPr>
              <w:t xml:space="preserve"> </w:t>
            </w:r>
            <w:r w:rsidR="009C1F24" w:rsidRPr="00E646BB">
              <w:rPr>
                <w:rFonts w:asciiTheme="minorHAnsi" w:eastAsiaTheme="minorEastAsia" w:hAnsiTheme="minorHAnsi" w:cstheme="minorHAnsi"/>
                <w:i w:val="0"/>
                <w:iCs w:val="0"/>
                <w:color w:val="auto"/>
                <w:sz w:val="22"/>
                <w:szCs w:val="22"/>
              </w:rPr>
              <w:t xml:space="preserve">nebudou </w:t>
            </w:r>
            <w:r w:rsidR="00B27B81" w:rsidRPr="00E646BB">
              <w:rPr>
                <w:rFonts w:asciiTheme="minorHAnsi" w:eastAsiaTheme="minorEastAsia" w:hAnsiTheme="minorHAnsi" w:cstheme="minorHAnsi"/>
                <w:i w:val="0"/>
                <w:iCs w:val="0"/>
                <w:color w:val="auto"/>
                <w:sz w:val="22"/>
                <w:szCs w:val="22"/>
              </w:rPr>
              <w:t>v</w:t>
            </w:r>
            <w:r w:rsidR="0078111F" w:rsidRPr="00E646BB">
              <w:rPr>
                <w:rFonts w:asciiTheme="minorHAnsi" w:eastAsiaTheme="minorEastAsia" w:hAnsiTheme="minorHAnsi" w:cstheme="minorHAnsi"/>
                <w:i w:val="0"/>
                <w:iCs w:val="0"/>
                <w:color w:val="auto"/>
                <w:sz w:val="22"/>
                <w:szCs w:val="22"/>
              </w:rPr>
              <w:t xml:space="preserve"> souladu s</w:t>
            </w:r>
            <w:r w:rsidR="00B27B81" w:rsidRPr="00E646BB">
              <w:rPr>
                <w:rFonts w:asciiTheme="minorHAnsi" w:eastAsiaTheme="minorEastAsia" w:hAnsiTheme="minorHAnsi" w:cstheme="minorHAnsi"/>
                <w:i w:val="0"/>
                <w:iCs w:val="0"/>
                <w:color w:val="auto"/>
                <w:sz w:val="22"/>
                <w:szCs w:val="22"/>
              </w:rPr>
              <w:t> Pokyny pro státní podporu v oblasti klimatu, životního prostředí a energetiky na rok 2022 (2022/C 80/01)</w:t>
            </w:r>
            <w:r w:rsidR="0078111F" w:rsidRPr="00E646BB">
              <w:rPr>
                <w:rFonts w:asciiTheme="minorHAnsi" w:eastAsiaTheme="minorEastAsia" w:hAnsiTheme="minorHAnsi" w:cstheme="minorHAnsi"/>
                <w:i w:val="0"/>
                <w:iCs w:val="0"/>
                <w:color w:val="auto"/>
                <w:sz w:val="22"/>
                <w:szCs w:val="22"/>
              </w:rPr>
              <w:t xml:space="preserve"> </w:t>
            </w:r>
            <w:r w:rsidR="00B27B81" w:rsidRPr="00E646BB">
              <w:rPr>
                <w:rFonts w:asciiTheme="minorHAnsi" w:eastAsiaTheme="minorEastAsia" w:hAnsiTheme="minorHAnsi" w:cstheme="minorHAnsi"/>
                <w:i w:val="0"/>
                <w:iCs w:val="0"/>
                <w:color w:val="auto"/>
                <w:sz w:val="22"/>
                <w:szCs w:val="22"/>
              </w:rPr>
              <w:t xml:space="preserve">aplikována </w:t>
            </w:r>
            <w:r w:rsidR="0078111F" w:rsidRPr="00E646BB">
              <w:rPr>
                <w:rFonts w:asciiTheme="minorHAnsi" w:eastAsiaTheme="minorEastAsia" w:hAnsiTheme="minorHAnsi" w:cstheme="minorHAnsi"/>
                <w:i w:val="0"/>
                <w:iCs w:val="0"/>
                <w:color w:val="auto"/>
                <w:sz w:val="22"/>
                <w:szCs w:val="22"/>
              </w:rPr>
              <w:t>pravidla státní podpory</w:t>
            </w:r>
            <w:r w:rsidR="00B27B81" w:rsidRPr="00E646BB">
              <w:rPr>
                <w:rFonts w:asciiTheme="minorHAnsi" w:eastAsiaTheme="minorEastAsia" w:hAnsiTheme="minorHAnsi" w:cstheme="minorHAnsi"/>
                <w:i w:val="0"/>
                <w:iCs w:val="0"/>
                <w:color w:val="auto"/>
                <w:sz w:val="22"/>
                <w:szCs w:val="22"/>
              </w:rPr>
              <w:t>.</w:t>
            </w:r>
            <w:r w:rsidR="005B500D" w:rsidRPr="00E646BB">
              <w:rPr>
                <w:rFonts w:asciiTheme="minorHAnsi" w:eastAsiaTheme="minorEastAsia" w:hAnsiTheme="minorHAnsi" w:cstheme="minorHAnsi"/>
                <w:i w:val="0"/>
                <w:iCs w:val="0"/>
                <w:color w:val="auto"/>
                <w:sz w:val="22"/>
                <w:szCs w:val="22"/>
              </w:rPr>
              <w:t xml:space="preserve"> </w:t>
            </w:r>
            <w:r w:rsidR="00B27B81" w:rsidRPr="00E646BB">
              <w:rPr>
                <w:rFonts w:asciiTheme="minorHAnsi" w:eastAsiaTheme="minorEastAsia" w:hAnsiTheme="minorHAnsi" w:cstheme="minorHAnsi"/>
                <w:i w:val="0"/>
                <w:iCs w:val="0"/>
                <w:color w:val="auto"/>
                <w:sz w:val="22"/>
                <w:szCs w:val="22"/>
              </w:rPr>
              <w:t xml:space="preserve">Jak samotné EDC, tak zvažovaní zřizovatelé EDC naplňují </w:t>
            </w:r>
            <w:r w:rsidR="005B500D" w:rsidRPr="00E646BB">
              <w:rPr>
                <w:rFonts w:asciiTheme="minorHAnsi" w:eastAsiaTheme="minorEastAsia" w:hAnsiTheme="minorHAnsi" w:cstheme="minorHAnsi"/>
                <w:i w:val="0"/>
                <w:iCs w:val="0"/>
                <w:color w:val="auto"/>
                <w:sz w:val="22"/>
                <w:szCs w:val="22"/>
              </w:rPr>
              <w:t>výkonem svých činností definici zákonného monopolu, který vylučuje narušení hospodářské soutěže.</w:t>
            </w:r>
            <w:r w:rsidR="009C1F24" w:rsidRPr="00E646BB">
              <w:rPr>
                <w:rFonts w:asciiTheme="minorHAnsi" w:eastAsiaTheme="minorEastAsia" w:hAnsiTheme="minorHAnsi" w:cstheme="minorHAnsi"/>
                <w:i w:val="0"/>
                <w:iCs w:val="0"/>
                <w:color w:val="auto"/>
                <w:sz w:val="22"/>
                <w:szCs w:val="22"/>
              </w:rPr>
              <w:t xml:space="preserve"> Nejsou tedy naplněny všechny definiční znaky státní podpory. </w:t>
            </w:r>
          </w:p>
          <w:p w14:paraId="491D2C6A" w14:textId="77777777" w:rsidR="0057202C" w:rsidRPr="00E646BB" w:rsidRDefault="0057202C" w:rsidP="00081059">
            <w:pPr>
              <w:pStyle w:val="K-TextInfo"/>
              <w:rPr>
                <w:rFonts w:asciiTheme="minorHAnsi" w:eastAsiaTheme="minorEastAsia" w:hAnsiTheme="minorHAnsi" w:cstheme="minorHAnsi"/>
                <w:i w:val="0"/>
                <w:iCs w:val="0"/>
                <w:color w:val="auto"/>
                <w:sz w:val="22"/>
                <w:szCs w:val="22"/>
              </w:rPr>
            </w:pPr>
          </w:p>
        </w:tc>
      </w:tr>
      <w:tr w:rsidR="0057202C" w:rsidRPr="00E646BB" w14:paraId="5734EFCF" w14:textId="77777777" w:rsidTr="3C4AC61A">
        <w:tc>
          <w:tcPr>
            <w:tcW w:w="2405" w:type="dxa"/>
          </w:tcPr>
          <w:p w14:paraId="7EDE741A" w14:textId="77777777" w:rsidR="0057202C" w:rsidRPr="00E646BB" w:rsidRDefault="1748D3B4" w:rsidP="569F9CD4">
            <w:pPr>
              <w:pStyle w:val="K-Text"/>
              <w:spacing w:line="240" w:lineRule="auto"/>
              <w:jc w:val="left"/>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Uveďte dobu implementace</w:t>
            </w:r>
          </w:p>
        </w:tc>
        <w:tc>
          <w:tcPr>
            <w:tcW w:w="7223" w:type="dxa"/>
          </w:tcPr>
          <w:p w14:paraId="664B2B3E" w14:textId="44712215" w:rsidR="000211C9" w:rsidRDefault="39BA5DA3" w:rsidP="000211C9">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Milníky:</w:t>
            </w:r>
          </w:p>
          <w:p w14:paraId="6C92A9B3" w14:textId="03788E5D" w:rsidR="003E3143" w:rsidRDefault="72FCD300"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309 (7.2.2.1) Q1/2024</w:t>
            </w:r>
          </w:p>
          <w:p w14:paraId="54ACCEC3" w14:textId="22210B72" w:rsidR="003E3143" w:rsidRDefault="72FCD300"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310 (7.2.2.2.) Q3/2024</w:t>
            </w:r>
          </w:p>
          <w:p w14:paraId="65D04D0B" w14:textId="21CC207E" w:rsidR="003E3143" w:rsidRDefault="72FCD300" w:rsidP="3C4AC61A">
            <w:pPr>
              <w:pStyle w:val="K-TextInfo"/>
              <w:rPr>
                <w:rFonts w:asciiTheme="minorHAnsi" w:eastAsiaTheme="minorEastAsia" w:hAnsiTheme="minorHAnsi" w:cstheme="minorBidi"/>
                <w:i w:val="0"/>
                <w:iCs w:val="0"/>
                <w:color w:val="auto"/>
                <w:sz w:val="22"/>
                <w:szCs w:val="22"/>
              </w:rPr>
            </w:pPr>
            <w:r w:rsidRPr="3C4AC61A">
              <w:rPr>
                <w:rFonts w:asciiTheme="minorHAnsi" w:eastAsiaTheme="minorEastAsia" w:hAnsiTheme="minorHAnsi" w:cstheme="minorBidi"/>
                <w:i w:val="0"/>
                <w:iCs w:val="0"/>
                <w:color w:val="auto"/>
                <w:sz w:val="22"/>
                <w:szCs w:val="22"/>
              </w:rPr>
              <w:t xml:space="preserve">311 (7.2.2.3) </w:t>
            </w:r>
            <w:r w:rsidR="0BFEA064" w:rsidRPr="3C4AC61A">
              <w:rPr>
                <w:rFonts w:asciiTheme="minorHAnsi" w:eastAsiaTheme="minorEastAsia" w:hAnsiTheme="minorHAnsi" w:cstheme="minorBidi"/>
                <w:i w:val="0"/>
                <w:iCs w:val="0"/>
                <w:color w:val="auto"/>
                <w:sz w:val="22"/>
                <w:szCs w:val="22"/>
              </w:rPr>
              <w:t>Q1/2026</w:t>
            </w:r>
          </w:p>
          <w:p w14:paraId="37190DD8" w14:textId="2A1AEEE2" w:rsidR="003E3143" w:rsidRPr="003E3143" w:rsidRDefault="003E3143" w:rsidP="000211C9">
            <w:pPr>
              <w:pStyle w:val="K-TextInfo"/>
              <w:rPr>
                <w:rFonts w:asciiTheme="minorHAnsi" w:eastAsiaTheme="minorEastAsia" w:hAnsiTheme="minorHAnsi" w:cstheme="minorBidi"/>
                <w:i w:val="0"/>
                <w:iCs w:val="0"/>
                <w:color w:val="auto"/>
                <w:sz w:val="22"/>
                <w:szCs w:val="22"/>
              </w:rPr>
            </w:pPr>
          </w:p>
        </w:tc>
      </w:tr>
    </w:tbl>
    <w:p w14:paraId="24E0B7F6" w14:textId="77777777" w:rsidR="00DF78BE" w:rsidRPr="00E646BB" w:rsidRDefault="00DF78BE" w:rsidP="00DF78BE">
      <w:pPr>
        <w:spacing w:line="240" w:lineRule="auto"/>
        <w:jc w:val="both"/>
        <w:rPr>
          <w:rFonts w:eastAsiaTheme="minorEastAsia"/>
          <w:b/>
          <w:bCs/>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2B02A5" w:rsidRPr="00E646BB" w14:paraId="7E0D3ADC" w14:textId="77777777" w:rsidTr="3C4AC61A">
        <w:tc>
          <w:tcPr>
            <w:tcW w:w="2405" w:type="dxa"/>
          </w:tcPr>
          <w:p w14:paraId="6FFD9FD7"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Reforma</w:t>
            </w:r>
          </w:p>
        </w:tc>
        <w:tc>
          <w:tcPr>
            <w:tcW w:w="7223" w:type="dxa"/>
          </w:tcPr>
          <w:p w14:paraId="6FE9F948" w14:textId="39F6BC34" w:rsidR="002B02A5" w:rsidRPr="00C676BC" w:rsidRDefault="002B02A5" w:rsidP="51FC4788">
            <w:pPr>
              <w:pStyle w:val="K-Nadpis3"/>
              <w:spacing w:after="0"/>
              <w:rPr>
                <w:rFonts w:asciiTheme="majorHAnsi" w:eastAsia="Times New Roman" w:hAnsiTheme="majorHAnsi" w:cstheme="majorBidi"/>
                <w:sz w:val="22"/>
                <w:szCs w:val="22"/>
              </w:rPr>
            </w:pPr>
            <w:r w:rsidRPr="51FC4788">
              <w:rPr>
                <w:rFonts w:asciiTheme="majorHAnsi" w:eastAsiaTheme="minorEastAsia" w:hAnsiTheme="majorHAnsi" w:cstheme="majorBidi"/>
                <w:sz w:val="22"/>
                <w:szCs w:val="22"/>
              </w:rPr>
              <w:t>7.2.</w:t>
            </w:r>
            <w:r w:rsidR="00E02D69" w:rsidRPr="51FC4788">
              <w:rPr>
                <w:rFonts w:asciiTheme="majorHAnsi" w:eastAsiaTheme="minorEastAsia" w:hAnsiTheme="majorHAnsi" w:cstheme="majorBidi"/>
                <w:sz w:val="22"/>
                <w:szCs w:val="22"/>
              </w:rPr>
              <w:t>3</w:t>
            </w:r>
            <w:r w:rsidRPr="51FC4788">
              <w:rPr>
                <w:rFonts w:asciiTheme="majorHAnsi" w:eastAsiaTheme="minorEastAsia" w:hAnsiTheme="majorHAnsi" w:cstheme="majorBidi"/>
                <w:sz w:val="22"/>
                <w:szCs w:val="22"/>
              </w:rPr>
              <w:t xml:space="preserve"> Rámec pro ukládání energie a </w:t>
            </w:r>
            <w:r w:rsidR="65456F64" w:rsidRPr="51FC4788">
              <w:rPr>
                <w:rFonts w:asciiTheme="majorHAnsi" w:eastAsiaTheme="minorEastAsia" w:hAnsiTheme="majorHAnsi" w:cstheme="majorBidi"/>
                <w:sz w:val="22"/>
                <w:szCs w:val="22"/>
              </w:rPr>
              <w:t xml:space="preserve">nefosilní </w:t>
            </w:r>
            <w:r w:rsidRPr="51FC4788">
              <w:rPr>
                <w:rFonts w:asciiTheme="majorHAnsi" w:eastAsiaTheme="minorEastAsia" w:hAnsiTheme="majorHAnsi" w:cstheme="majorBidi"/>
                <w:sz w:val="22"/>
                <w:szCs w:val="22"/>
              </w:rPr>
              <w:t>flexibilitu</w:t>
            </w:r>
          </w:p>
        </w:tc>
      </w:tr>
      <w:tr w:rsidR="002B02A5" w:rsidRPr="00E646BB" w14:paraId="48A4A65D" w14:textId="77777777" w:rsidTr="3C4AC61A">
        <w:tc>
          <w:tcPr>
            <w:tcW w:w="2405" w:type="dxa"/>
          </w:tcPr>
          <w:p w14:paraId="5C9805ED"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lastRenderedPageBreak/>
              <w:t>Výzva</w:t>
            </w:r>
          </w:p>
        </w:tc>
        <w:tc>
          <w:tcPr>
            <w:tcW w:w="7223" w:type="dxa"/>
          </w:tcPr>
          <w:p w14:paraId="4F28469D" w14:textId="5DA824DE"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Pr>
                <w:rFonts w:asciiTheme="majorHAnsi" w:eastAsia="Times New Roman" w:hAnsiTheme="majorHAnsi" w:cstheme="majorHAnsi"/>
                <w:color w:val="000000"/>
              </w:rPr>
              <w:t xml:space="preserve">Ukládání energie a flexibilita jsou nástroje pro </w:t>
            </w:r>
            <w:r w:rsidRPr="00E646BB">
              <w:rPr>
                <w:rFonts w:asciiTheme="majorHAnsi" w:eastAsia="Times New Roman" w:hAnsiTheme="majorHAnsi" w:cstheme="majorHAnsi"/>
                <w:color w:val="000000"/>
              </w:rPr>
              <w:t xml:space="preserve">zvýšení energetické soběstačnosti a bezpečnosti České republiky. Je třeba využít potenciál </w:t>
            </w:r>
            <w:r w:rsidR="00E02D69">
              <w:rPr>
                <w:rFonts w:asciiTheme="majorHAnsi" w:eastAsia="Times New Roman" w:hAnsiTheme="majorHAnsi" w:cstheme="majorHAnsi"/>
                <w:color w:val="000000"/>
              </w:rPr>
              <w:t>systémů pro ukládání energie a potenciál flexibility na straně spotřeby pro potřeby řízení elektrizační soustavy</w:t>
            </w:r>
            <w:r w:rsidRPr="00E646BB">
              <w:rPr>
                <w:rFonts w:asciiTheme="majorHAnsi" w:eastAsia="Times New Roman" w:hAnsiTheme="majorHAnsi" w:cstheme="majorHAnsi"/>
                <w:color w:val="000000"/>
              </w:rPr>
              <w:t xml:space="preserve"> a snížit tak závislost na fosilních palivech. </w:t>
            </w:r>
            <w:r w:rsidR="00E02D69">
              <w:rPr>
                <w:rFonts w:asciiTheme="majorHAnsi" w:eastAsia="Times New Roman" w:hAnsiTheme="majorHAnsi" w:cstheme="majorHAnsi"/>
                <w:color w:val="000000"/>
              </w:rPr>
              <w:t xml:space="preserve">Je třeba umožnit provozování tzv. stand alone akumulace, která není součástí výrobny elektřiny. Je třeba zavést licenci na ukládání energie. Je třeba legislativně ukotvit práva a povinnosti nezávislého </w:t>
            </w:r>
            <w:proofErr w:type="gramStart"/>
            <w:r w:rsidR="00E02D69">
              <w:rPr>
                <w:rFonts w:asciiTheme="majorHAnsi" w:eastAsia="Times New Roman" w:hAnsiTheme="majorHAnsi" w:cstheme="majorHAnsi"/>
                <w:color w:val="000000"/>
              </w:rPr>
              <w:t>agregátora  pravidla</w:t>
            </w:r>
            <w:proofErr w:type="gramEnd"/>
            <w:r w:rsidR="00E02D69">
              <w:rPr>
                <w:rFonts w:asciiTheme="majorHAnsi" w:eastAsia="Times New Roman" w:hAnsiTheme="majorHAnsi" w:cstheme="majorHAnsi"/>
                <w:color w:val="000000"/>
              </w:rPr>
              <w:t xml:space="preserve"> pro poskytování flexibility stranou spotřeby (demand side response). </w:t>
            </w:r>
          </w:p>
          <w:p w14:paraId="7B034CC2" w14:textId="51FF29B9" w:rsidR="002B02A5" w:rsidRPr="00E646BB" w:rsidRDefault="002B02A5" w:rsidP="00E02D69">
            <w:pPr>
              <w:pBdr>
                <w:top w:val="nil"/>
                <w:left w:val="nil"/>
                <w:bottom w:val="nil"/>
                <w:right w:val="nil"/>
                <w:between w:val="nil"/>
              </w:pBdr>
              <w:spacing w:after="0" w:line="240" w:lineRule="auto"/>
              <w:jc w:val="both"/>
              <w:rPr>
                <w:rFonts w:asciiTheme="majorHAnsi" w:eastAsia="Times New Roman" w:hAnsiTheme="majorHAnsi" w:cstheme="majorHAnsi"/>
                <w:color w:val="000000"/>
              </w:rPr>
            </w:pPr>
          </w:p>
        </w:tc>
      </w:tr>
      <w:tr w:rsidR="002B02A5" w:rsidRPr="00E646BB" w14:paraId="6E934541" w14:textId="77777777" w:rsidTr="3C4AC61A">
        <w:tc>
          <w:tcPr>
            <w:tcW w:w="2405" w:type="dxa"/>
          </w:tcPr>
          <w:p w14:paraId="6F8F093C"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Cíl</w:t>
            </w:r>
          </w:p>
        </w:tc>
        <w:tc>
          <w:tcPr>
            <w:tcW w:w="7223" w:type="dxa"/>
          </w:tcPr>
          <w:p w14:paraId="153CFC7D" w14:textId="578A55D2" w:rsidR="002B02A5" w:rsidRPr="00E646BB" w:rsidRDefault="558628FA"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 xml:space="preserve">Cílem tohoto opatření je vytvořit komplexní regulační rámec pro služby flexibility, jako je skladování energie, odezva na straně poptávky a agregace. Cílem je podpořit vývoj inovativních technických, technologických a softwarových řešení pro optimalizaci energetických toků, která zajistí integraci obnovitelných zdrojů energie do sítě a umožní elektrizační soustavě přizpůsobit se variabilitě výroby a spotřeby elektřiny v různých časových horizontech.  </w:t>
            </w:r>
          </w:p>
          <w:p w14:paraId="2D0AFF1A" w14:textId="5CC13B70" w:rsidR="002B02A5" w:rsidRPr="00E646BB" w:rsidRDefault="558628FA" w:rsidP="3C4AC61A">
            <w:pPr>
              <w:spacing w:after="0" w:line="240" w:lineRule="auto"/>
              <w:jc w:val="both"/>
            </w:pPr>
            <w:r w:rsidRPr="3C4AC61A">
              <w:rPr>
                <w:rFonts w:asciiTheme="majorHAnsi" w:eastAsia="Times New Roman" w:hAnsiTheme="majorHAnsi" w:cstheme="majorBidi"/>
              </w:rPr>
              <w:t>Cílem reformy je dále zajistit účast energetických komunit, agregátorů, samospotřebitelů, aktivních zákazníků, zařízení pro skladování energie a účastníků průmyslové odezvy na straně poptávky na trhu s elektřinou a zároveň zvýšit celkovou flexibilitu elektrizační soustavy a snížit využívání fosilních paliv.</w:t>
            </w:r>
          </w:p>
          <w:p w14:paraId="32662E32" w14:textId="7EB9B8F2" w:rsidR="002B02A5" w:rsidRPr="00E646BB" w:rsidRDefault="4772C325" w:rsidP="3C4AC61A">
            <w:pP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 xml:space="preserve">Reforma zajistí, aby byl trh s nefosilními flexibilními řešeními otevřen všem účastníkům z jiných členských států, a odstraní veškeré překážky bránící této účasti. Reforma by měla vytvořit příznivý regulační režim pro integraci nefosilní flexibility do trhů s energií, kapacitou a doplňkovými službami. Reforma zavede pobídky pro rozvoj energetických společenství a podpoří agregaci poptávky, skladování elektřiny a poskytování flexibility v rámci energetického společenství. </w:t>
            </w:r>
          </w:p>
          <w:p w14:paraId="4E174A89" w14:textId="36D7618F" w:rsidR="002B02A5" w:rsidRPr="00E646BB" w:rsidRDefault="4772C325" w:rsidP="3C4AC61A">
            <w:pPr>
              <w:spacing w:after="0" w:line="240" w:lineRule="auto"/>
              <w:jc w:val="both"/>
            </w:pPr>
            <w:r w:rsidRPr="3C4AC61A">
              <w:rPr>
                <w:rFonts w:asciiTheme="majorHAnsi" w:eastAsia="Times New Roman" w:hAnsiTheme="majorHAnsi" w:cstheme="majorBidi"/>
              </w:rPr>
              <w:t>Právní předpisy usnadní tržní komerční investice do skladování energie a jejich cílem je, aby byly doprovázeny dalšími režimy finanční podpory pro zvýšení počtu zařízení pro skladování energie.</w:t>
            </w:r>
          </w:p>
        </w:tc>
      </w:tr>
      <w:tr w:rsidR="002B02A5" w:rsidRPr="00E646BB" w14:paraId="00BB4F8F" w14:textId="77777777" w:rsidTr="3C4AC61A">
        <w:tc>
          <w:tcPr>
            <w:tcW w:w="2405" w:type="dxa"/>
          </w:tcPr>
          <w:p w14:paraId="22D4C680"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Název milníků (definování měřitelných výstupů a jejich popis)</w:t>
            </w:r>
          </w:p>
        </w:tc>
        <w:tc>
          <w:tcPr>
            <w:tcW w:w="7223" w:type="dxa"/>
          </w:tcPr>
          <w:p w14:paraId="57CFE7F4" w14:textId="77777777" w:rsidR="002B02A5"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Pr>
                <w:rFonts w:asciiTheme="majorHAnsi" w:eastAsia="Times New Roman" w:hAnsiTheme="majorHAnsi" w:cstheme="majorHAnsi"/>
                <w:color w:val="000000"/>
              </w:rPr>
              <w:t>Milníky:</w:t>
            </w:r>
          </w:p>
          <w:p w14:paraId="5E02521B" w14:textId="77777777" w:rsidR="002B02A5"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22F7E5E1" w14:textId="58D88935" w:rsidR="002B02A5" w:rsidRDefault="1D4BDC44" w:rsidP="3C4AC61A">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3C4AC61A">
              <w:rPr>
                <w:rFonts w:asciiTheme="majorHAnsi" w:eastAsia="Times New Roman" w:hAnsiTheme="majorHAnsi" w:cstheme="majorBidi"/>
              </w:rPr>
              <w:t>315 (</w:t>
            </w:r>
            <w:r w:rsidR="1B2F878B" w:rsidRPr="3C4AC61A">
              <w:rPr>
                <w:rFonts w:asciiTheme="majorHAnsi" w:eastAsia="Times New Roman" w:hAnsiTheme="majorHAnsi" w:cstheme="majorBidi"/>
              </w:rPr>
              <w:t>7.2.</w:t>
            </w:r>
            <w:r w:rsidR="452A2F9D" w:rsidRPr="3C4AC61A">
              <w:rPr>
                <w:rFonts w:asciiTheme="majorHAnsi" w:eastAsia="Times New Roman" w:hAnsiTheme="majorHAnsi" w:cstheme="majorBidi"/>
              </w:rPr>
              <w:t>3.</w:t>
            </w:r>
            <w:r w:rsidR="13320F3C" w:rsidRPr="3C4AC61A">
              <w:rPr>
                <w:rFonts w:asciiTheme="majorHAnsi" w:eastAsia="Times New Roman" w:hAnsiTheme="majorHAnsi" w:cstheme="majorBidi"/>
              </w:rPr>
              <w:t>1)</w:t>
            </w:r>
            <w:r w:rsidR="452A2F9D" w:rsidRPr="3C4AC61A">
              <w:rPr>
                <w:rFonts w:asciiTheme="majorHAnsi" w:eastAsia="Times New Roman" w:hAnsiTheme="majorHAnsi" w:cstheme="majorBidi"/>
              </w:rPr>
              <w:t xml:space="preserve"> zpráva o potřebě flexibility</w:t>
            </w:r>
            <w:r w:rsidR="04A8E729" w:rsidRPr="3C4AC61A">
              <w:rPr>
                <w:rFonts w:asciiTheme="majorHAnsi" w:eastAsia="Times New Roman" w:hAnsiTheme="majorHAnsi" w:cstheme="majorBidi"/>
              </w:rPr>
              <w:t xml:space="preserve"> v elektrizační soustavě</w:t>
            </w:r>
          </w:p>
          <w:p w14:paraId="64A35181" w14:textId="2756A5BC" w:rsidR="3C4AC61A" w:rsidRDefault="3C4AC61A"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1DF54A41" w14:textId="04345AE5" w:rsidR="2F53CC3A" w:rsidRDefault="2F53CC3A"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316 (</w:t>
            </w:r>
            <w:r w:rsidR="419CB38D" w:rsidRPr="3C4AC61A">
              <w:rPr>
                <w:rFonts w:asciiTheme="majorHAnsi" w:eastAsia="Times New Roman" w:hAnsiTheme="majorHAnsi" w:cstheme="majorBidi"/>
              </w:rPr>
              <w:t>7.2.3.</w:t>
            </w:r>
            <w:r w:rsidR="4AC69673" w:rsidRPr="3C4AC61A">
              <w:rPr>
                <w:rFonts w:asciiTheme="majorHAnsi" w:eastAsia="Times New Roman" w:hAnsiTheme="majorHAnsi" w:cstheme="majorBidi"/>
              </w:rPr>
              <w:t>2)</w:t>
            </w:r>
            <w:r w:rsidR="419CB38D" w:rsidRPr="3C4AC61A">
              <w:rPr>
                <w:rFonts w:asciiTheme="majorHAnsi" w:eastAsia="Times New Roman" w:hAnsiTheme="majorHAnsi" w:cstheme="majorBidi"/>
              </w:rPr>
              <w:t xml:space="preserve"> účinnost novely zákona LEX OZE 3</w:t>
            </w:r>
          </w:p>
          <w:p w14:paraId="2F05C833" w14:textId="7727717B" w:rsidR="3C4AC61A" w:rsidRDefault="3C4AC61A"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32811BAB" w14:textId="0DA65978" w:rsidR="00340148" w:rsidRPr="00934CBF" w:rsidRDefault="2EA46092" w:rsidP="3C4AC61A">
            <w:pPr>
              <w:pBdr>
                <w:top w:val="nil"/>
                <w:left w:val="nil"/>
                <w:bottom w:val="nil"/>
                <w:right w:val="nil"/>
                <w:between w:val="nil"/>
              </w:pBdr>
              <w:spacing w:after="0" w:line="240" w:lineRule="auto"/>
              <w:jc w:val="both"/>
              <w:rPr>
                <w:rFonts w:ascii="Calibri" w:eastAsia="Calibri" w:hAnsi="Calibri" w:cs="Calibri"/>
              </w:rPr>
            </w:pPr>
            <w:r w:rsidRPr="3C4AC61A">
              <w:rPr>
                <w:rFonts w:asciiTheme="majorHAnsi" w:eastAsia="Times New Roman" w:hAnsiTheme="majorHAnsi" w:cstheme="majorBidi"/>
                <w:color w:val="auto"/>
              </w:rPr>
              <w:t>317 (</w:t>
            </w:r>
            <w:r w:rsidR="36B50750" w:rsidRPr="3C4AC61A">
              <w:rPr>
                <w:rFonts w:asciiTheme="majorHAnsi" w:eastAsia="Times New Roman" w:hAnsiTheme="majorHAnsi" w:cstheme="majorBidi"/>
                <w:color w:val="auto"/>
              </w:rPr>
              <w:t>7.2.3.3</w:t>
            </w:r>
            <w:r w:rsidR="10E5C619" w:rsidRPr="3C4AC61A">
              <w:rPr>
                <w:rFonts w:asciiTheme="majorHAnsi" w:eastAsia="Times New Roman" w:hAnsiTheme="majorHAnsi" w:cstheme="majorBidi"/>
                <w:color w:val="auto"/>
              </w:rPr>
              <w:t xml:space="preserve">) akční plán </w:t>
            </w:r>
            <w:r w:rsidR="2A19090C" w:rsidRPr="3C4AC61A">
              <w:rPr>
                <w:rFonts w:asciiTheme="majorHAnsi" w:eastAsia="Times New Roman" w:hAnsiTheme="majorHAnsi" w:cstheme="majorBidi"/>
                <w:color w:val="auto"/>
              </w:rPr>
              <w:t>pro flexibilitu</w:t>
            </w:r>
          </w:p>
          <w:p w14:paraId="1B3AB983" w14:textId="77777777" w:rsidR="002B02A5"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0950EDB1" w14:textId="77777777" w:rsidR="002B02A5" w:rsidRPr="00E646BB" w:rsidRDefault="002B02A5" w:rsidP="0056558F">
            <w:pPr>
              <w:pBdr>
                <w:top w:val="nil"/>
                <w:left w:val="nil"/>
                <w:bottom w:val="nil"/>
                <w:right w:val="nil"/>
                <w:between w:val="nil"/>
              </w:pBdr>
              <w:spacing w:after="0" w:line="240" w:lineRule="auto"/>
              <w:jc w:val="both"/>
              <w:rPr>
                <w:rFonts w:asciiTheme="majorHAnsi" w:eastAsia="Times New Roman" w:hAnsiTheme="majorHAnsi" w:cstheme="majorHAnsi"/>
                <w:color w:val="000000"/>
              </w:rPr>
            </w:pPr>
          </w:p>
        </w:tc>
      </w:tr>
      <w:tr w:rsidR="002B02A5" w:rsidRPr="00E646BB" w14:paraId="19CEA048" w14:textId="77777777" w:rsidTr="3C4AC61A">
        <w:tc>
          <w:tcPr>
            <w:tcW w:w="2405" w:type="dxa"/>
          </w:tcPr>
          <w:p w14:paraId="2CE7D387"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Implementace (popis)</w:t>
            </w:r>
          </w:p>
        </w:tc>
        <w:tc>
          <w:tcPr>
            <w:tcW w:w="7223" w:type="dxa"/>
          </w:tcPr>
          <w:p w14:paraId="7433198C" w14:textId="3B49A53F" w:rsidR="002B02A5" w:rsidRPr="00E646BB" w:rsidRDefault="002B02A5" w:rsidP="51FC4788">
            <w:pPr>
              <w:pBdr>
                <w:top w:val="nil"/>
                <w:left w:val="nil"/>
                <w:bottom w:val="nil"/>
                <w:right w:val="nil"/>
                <w:between w:val="nil"/>
              </w:pBdr>
              <w:spacing w:after="0" w:line="240" w:lineRule="auto"/>
              <w:jc w:val="both"/>
              <w:rPr>
                <w:rFonts w:asciiTheme="majorHAnsi" w:eastAsia="Times New Roman" w:hAnsiTheme="majorHAnsi" w:cstheme="majorBidi"/>
              </w:rPr>
            </w:pPr>
            <w:r w:rsidRPr="51FC4788">
              <w:rPr>
                <w:rFonts w:asciiTheme="majorHAnsi" w:eastAsia="Times New Roman" w:hAnsiTheme="majorHAnsi" w:cstheme="majorBidi"/>
              </w:rPr>
              <w:t>Novela energetického zákona řeší</w:t>
            </w:r>
            <w:r w:rsidR="0056558F" w:rsidRPr="51FC4788">
              <w:rPr>
                <w:rFonts w:asciiTheme="majorHAnsi" w:eastAsia="Times New Roman" w:hAnsiTheme="majorHAnsi" w:cstheme="majorBidi"/>
              </w:rPr>
              <w:t>cí</w:t>
            </w:r>
            <w:r w:rsidRPr="51FC4788">
              <w:rPr>
                <w:rFonts w:asciiTheme="majorHAnsi" w:eastAsia="Times New Roman" w:hAnsiTheme="majorHAnsi" w:cstheme="majorBidi"/>
              </w:rPr>
              <w:t xml:space="preserve"> oblasti</w:t>
            </w:r>
            <w:r w:rsidR="0056558F" w:rsidRPr="51FC4788">
              <w:rPr>
                <w:rFonts w:asciiTheme="majorHAnsi" w:eastAsia="Times New Roman" w:hAnsiTheme="majorHAnsi" w:cstheme="majorBidi"/>
              </w:rPr>
              <w:t xml:space="preserve"> ukládání energie, agregace, flexibilita. </w:t>
            </w:r>
            <w:r w:rsidRPr="51FC4788">
              <w:rPr>
                <w:rFonts w:asciiTheme="majorHAnsi" w:eastAsia="Times New Roman" w:hAnsiTheme="majorHAnsi" w:cstheme="majorBidi"/>
              </w:rPr>
              <w:t xml:space="preserve"> </w:t>
            </w:r>
            <w:r w:rsidR="0187054F" w:rsidRPr="51FC4788">
              <w:rPr>
                <w:rFonts w:asciiTheme="majorHAnsi" w:eastAsia="Times New Roman" w:hAnsiTheme="majorHAnsi" w:cstheme="majorBidi"/>
              </w:rPr>
              <w:t>Zpracování zprávy o potřebě flexibility v elektrizační soustavě. Stanovení národního cíle pro nefosilní flexibilitu a opatření pro jeho dosažení.</w:t>
            </w:r>
          </w:p>
          <w:p w14:paraId="5BE06C69" w14:textId="64B6F2DE" w:rsidR="002B02A5" w:rsidRPr="00E646BB" w:rsidRDefault="002B02A5" w:rsidP="51FC4788">
            <w:pPr>
              <w:pBdr>
                <w:top w:val="nil"/>
                <w:left w:val="nil"/>
                <w:bottom w:val="nil"/>
                <w:right w:val="nil"/>
                <w:between w:val="nil"/>
              </w:pBdr>
              <w:spacing w:after="0" w:line="240" w:lineRule="auto"/>
              <w:jc w:val="both"/>
              <w:rPr>
                <w:rFonts w:asciiTheme="majorHAnsi" w:eastAsia="Times New Roman" w:hAnsiTheme="majorHAnsi" w:cstheme="majorBidi"/>
              </w:rPr>
            </w:pPr>
          </w:p>
          <w:p w14:paraId="4BABD31B" w14:textId="77777777"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p>
        </w:tc>
      </w:tr>
      <w:tr w:rsidR="002B02A5" w:rsidRPr="00E646BB" w14:paraId="4A03BFF8" w14:textId="77777777" w:rsidTr="3C4AC61A">
        <w:trPr>
          <w:trHeight w:val="70"/>
        </w:trPr>
        <w:tc>
          <w:tcPr>
            <w:tcW w:w="2405" w:type="dxa"/>
          </w:tcPr>
          <w:p w14:paraId="26E7AC18"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Spolupráce a zapojení zúčastněných stran</w:t>
            </w:r>
          </w:p>
        </w:tc>
        <w:tc>
          <w:tcPr>
            <w:tcW w:w="7223" w:type="dxa"/>
          </w:tcPr>
          <w:p w14:paraId="20C1E891" w14:textId="0746B240"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Energetický regulační úřad, OTE, účastníci trhu s elektřinou (provozovatel přenosové soustavy, provozovatelé distribučních soustav, obchodníci, výrobci), Komora OZE</w:t>
            </w:r>
          </w:p>
        </w:tc>
      </w:tr>
      <w:tr w:rsidR="002B02A5" w:rsidRPr="00E646BB" w14:paraId="54C04CEC" w14:textId="77777777" w:rsidTr="3C4AC61A">
        <w:tc>
          <w:tcPr>
            <w:tcW w:w="2405" w:type="dxa"/>
          </w:tcPr>
          <w:p w14:paraId="0CE856E7"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Překážky a rizika</w:t>
            </w:r>
          </w:p>
        </w:tc>
        <w:tc>
          <w:tcPr>
            <w:tcW w:w="7223" w:type="dxa"/>
          </w:tcPr>
          <w:p w14:paraId="485A8C2C" w14:textId="77777777"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Délka legislativního procesu</w:t>
            </w:r>
          </w:p>
        </w:tc>
      </w:tr>
      <w:tr w:rsidR="002B02A5" w:rsidRPr="00E646BB" w14:paraId="4CFC8467" w14:textId="77777777" w:rsidTr="3C4AC61A">
        <w:tc>
          <w:tcPr>
            <w:tcW w:w="2405" w:type="dxa"/>
          </w:tcPr>
          <w:p w14:paraId="7053EAE0"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Cílové skupiny populace a ekonomické subjekty</w:t>
            </w:r>
          </w:p>
        </w:tc>
        <w:tc>
          <w:tcPr>
            <w:tcW w:w="7223" w:type="dxa"/>
          </w:tcPr>
          <w:p w14:paraId="1C10D65E" w14:textId="77777777"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Účastníci trhu s elektřinou</w:t>
            </w:r>
          </w:p>
        </w:tc>
      </w:tr>
      <w:tr w:rsidR="002B02A5" w:rsidRPr="00E646BB" w14:paraId="5C1F6901" w14:textId="77777777" w:rsidTr="3C4AC61A">
        <w:tc>
          <w:tcPr>
            <w:tcW w:w="2405" w:type="dxa"/>
          </w:tcPr>
          <w:p w14:paraId="0E703C5C"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lastRenderedPageBreak/>
              <w:t>Souhrnné náklady realizace financované z RRF za celé období</w:t>
            </w:r>
          </w:p>
        </w:tc>
        <w:tc>
          <w:tcPr>
            <w:tcW w:w="7223" w:type="dxa"/>
          </w:tcPr>
          <w:p w14:paraId="02C86034" w14:textId="77777777"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Jedná se o legislativní opatření bez dopadů do nákladů</w:t>
            </w:r>
          </w:p>
        </w:tc>
      </w:tr>
      <w:tr w:rsidR="002B02A5" w:rsidRPr="00E646BB" w14:paraId="2BC47887" w14:textId="77777777" w:rsidTr="3C4AC61A">
        <w:tc>
          <w:tcPr>
            <w:tcW w:w="2405" w:type="dxa"/>
          </w:tcPr>
          <w:p w14:paraId="3C0C3B75"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Dodržování pravidel státní podpory</w:t>
            </w:r>
          </w:p>
        </w:tc>
        <w:tc>
          <w:tcPr>
            <w:tcW w:w="7223" w:type="dxa"/>
          </w:tcPr>
          <w:p w14:paraId="3C51DE28" w14:textId="77777777" w:rsidR="002B02A5" w:rsidRPr="00E646BB"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E646BB">
              <w:rPr>
                <w:rFonts w:asciiTheme="majorHAnsi" w:eastAsia="Times New Roman" w:hAnsiTheme="majorHAnsi" w:cstheme="majorHAnsi"/>
              </w:rPr>
              <w:t>Nerelevantní</w:t>
            </w:r>
          </w:p>
        </w:tc>
      </w:tr>
      <w:tr w:rsidR="002B02A5" w:rsidRPr="00E646BB" w14:paraId="26D955AC" w14:textId="77777777" w:rsidTr="3C4AC61A">
        <w:tc>
          <w:tcPr>
            <w:tcW w:w="2405" w:type="dxa"/>
          </w:tcPr>
          <w:p w14:paraId="2B509E46" w14:textId="77777777" w:rsidR="002B02A5" w:rsidRPr="00E646BB" w:rsidRDefault="002B02A5"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E646BB">
              <w:rPr>
                <w:rFonts w:asciiTheme="majorHAnsi" w:eastAsia="Times New Roman" w:hAnsiTheme="majorHAnsi" w:cstheme="majorHAnsi"/>
                <w:color w:val="000000"/>
              </w:rPr>
              <w:t>Doba implementace</w:t>
            </w:r>
          </w:p>
        </w:tc>
        <w:tc>
          <w:tcPr>
            <w:tcW w:w="7223" w:type="dxa"/>
          </w:tcPr>
          <w:p w14:paraId="4ED4A4FE" w14:textId="5128798E" w:rsidR="002B02A5" w:rsidRDefault="002B02A5" w:rsidP="00DB421D">
            <w:pPr>
              <w:pBdr>
                <w:top w:val="nil"/>
                <w:left w:val="nil"/>
                <w:bottom w:val="nil"/>
                <w:right w:val="nil"/>
                <w:between w:val="nil"/>
              </w:pBdr>
              <w:spacing w:after="0" w:line="240" w:lineRule="auto"/>
              <w:jc w:val="both"/>
              <w:rPr>
                <w:rFonts w:asciiTheme="majorHAnsi" w:eastAsia="Times New Roman" w:hAnsiTheme="majorHAnsi" w:cstheme="majorHAnsi"/>
              </w:rPr>
            </w:pPr>
            <w:r>
              <w:rPr>
                <w:rFonts w:asciiTheme="majorHAnsi" w:eastAsia="Times New Roman" w:hAnsiTheme="majorHAnsi" w:cstheme="majorHAnsi"/>
              </w:rPr>
              <w:t>Milníky</w:t>
            </w:r>
          </w:p>
          <w:p w14:paraId="18CC20B1" w14:textId="77777777" w:rsidR="0056558F" w:rsidRDefault="0056558F" w:rsidP="00DB421D">
            <w:pPr>
              <w:pBdr>
                <w:top w:val="nil"/>
                <w:left w:val="nil"/>
                <w:bottom w:val="nil"/>
                <w:right w:val="nil"/>
                <w:between w:val="nil"/>
              </w:pBdr>
              <w:spacing w:after="0" w:line="240" w:lineRule="auto"/>
              <w:jc w:val="both"/>
              <w:rPr>
                <w:rFonts w:asciiTheme="majorHAnsi" w:eastAsia="Times New Roman" w:hAnsiTheme="majorHAnsi" w:cstheme="majorHAnsi"/>
              </w:rPr>
            </w:pPr>
          </w:p>
          <w:p w14:paraId="462ADA63" w14:textId="65E4BCA5" w:rsidR="00934CBF" w:rsidRPr="00934CBF" w:rsidRDefault="26DEA14D"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315 (7.2.3.1) Q3/2024</w:t>
            </w:r>
          </w:p>
          <w:p w14:paraId="4A32694A" w14:textId="2756A5BC" w:rsidR="00934CBF" w:rsidRPr="00934CBF" w:rsidRDefault="00934CBF"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51F57912" w14:textId="5834B513" w:rsidR="00934CBF" w:rsidRPr="00934CBF" w:rsidRDefault="26DEA14D" w:rsidP="3C4AC61A">
            <w:pPr>
              <w:pBdr>
                <w:top w:val="nil"/>
                <w:left w:val="nil"/>
                <w:bottom w:val="nil"/>
                <w:right w:val="nil"/>
                <w:between w:val="nil"/>
              </w:pBdr>
              <w:spacing w:after="0" w:line="240" w:lineRule="auto"/>
              <w:jc w:val="both"/>
              <w:rPr>
                <w:rFonts w:asciiTheme="majorHAnsi" w:eastAsia="Times New Roman" w:hAnsiTheme="majorHAnsi" w:cstheme="majorBidi"/>
              </w:rPr>
            </w:pPr>
            <w:r w:rsidRPr="3C4AC61A">
              <w:rPr>
                <w:rFonts w:asciiTheme="majorHAnsi" w:eastAsia="Times New Roman" w:hAnsiTheme="majorHAnsi" w:cstheme="majorBidi"/>
              </w:rPr>
              <w:t xml:space="preserve">316 (7.2.3.2) </w:t>
            </w:r>
            <w:r w:rsidR="0C97AA4A" w:rsidRPr="3C4AC61A">
              <w:rPr>
                <w:rFonts w:asciiTheme="majorHAnsi" w:eastAsia="Times New Roman" w:hAnsiTheme="majorHAnsi" w:cstheme="majorBidi"/>
              </w:rPr>
              <w:t>Q4/2024</w:t>
            </w:r>
          </w:p>
          <w:p w14:paraId="7191DFCE" w14:textId="7727717B" w:rsidR="00934CBF" w:rsidRPr="00934CBF" w:rsidRDefault="00934CBF" w:rsidP="3C4AC61A">
            <w:pPr>
              <w:pBdr>
                <w:top w:val="nil"/>
                <w:left w:val="nil"/>
                <w:bottom w:val="nil"/>
                <w:right w:val="nil"/>
                <w:between w:val="nil"/>
              </w:pBdr>
              <w:spacing w:after="0" w:line="240" w:lineRule="auto"/>
              <w:jc w:val="both"/>
              <w:rPr>
                <w:rFonts w:asciiTheme="majorHAnsi" w:eastAsia="Times New Roman" w:hAnsiTheme="majorHAnsi" w:cstheme="majorBidi"/>
              </w:rPr>
            </w:pPr>
          </w:p>
          <w:p w14:paraId="5CA1B183" w14:textId="376FE930" w:rsidR="00934CBF" w:rsidRPr="00934CBF" w:rsidRDefault="26DEA14D" w:rsidP="3C4AC61A">
            <w:pPr>
              <w:pBdr>
                <w:top w:val="nil"/>
                <w:left w:val="nil"/>
                <w:bottom w:val="nil"/>
                <w:right w:val="nil"/>
                <w:between w:val="nil"/>
              </w:pBdr>
              <w:spacing w:after="0" w:line="240" w:lineRule="auto"/>
              <w:jc w:val="both"/>
              <w:rPr>
                <w:rFonts w:ascii="Calibri" w:eastAsia="Calibri" w:hAnsi="Calibri" w:cs="Calibri"/>
              </w:rPr>
            </w:pPr>
            <w:r w:rsidRPr="3C4AC61A">
              <w:rPr>
                <w:rFonts w:asciiTheme="majorHAnsi" w:eastAsia="Times New Roman" w:hAnsiTheme="majorHAnsi" w:cstheme="majorBidi"/>
                <w:color w:val="auto"/>
              </w:rPr>
              <w:t xml:space="preserve">317 (7.2.3.3) </w:t>
            </w:r>
            <w:r w:rsidR="684F6119" w:rsidRPr="3C4AC61A">
              <w:rPr>
                <w:rFonts w:asciiTheme="majorHAnsi" w:eastAsia="Times New Roman" w:hAnsiTheme="majorHAnsi" w:cstheme="majorBidi"/>
                <w:color w:val="auto"/>
              </w:rPr>
              <w:t>Q2/2025</w:t>
            </w:r>
          </w:p>
          <w:p w14:paraId="696D72C8" w14:textId="77777777" w:rsidR="002B02A5" w:rsidRPr="00E646BB" w:rsidRDefault="002B02A5" w:rsidP="0056558F">
            <w:pPr>
              <w:pBdr>
                <w:top w:val="nil"/>
                <w:left w:val="nil"/>
                <w:bottom w:val="nil"/>
                <w:right w:val="nil"/>
                <w:between w:val="nil"/>
              </w:pBdr>
              <w:spacing w:after="0" w:line="240" w:lineRule="auto"/>
              <w:jc w:val="both"/>
              <w:rPr>
                <w:rFonts w:asciiTheme="majorHAnsi" w:eastAsia="Times New Roman" w:hAnsiTheme="majorHAnsi" w:cstheme="majorHAnsi"/>
              </w:rPr>
            </w:pPr>
          </w:p>
        </w:tc>
      </w:tr>
    </w:tbl>
    <w:p w14:paraId="7AB87A5A" w14:textId="3C039834" w:rsidR="002B02A5" w:rsidRPr="00E646BB" w:rsidRDefault="002B02A5" w:rsidP="002B02A5">
      <w:pPr>
        <w:pStyle w:val="K-Nadpis3"/>
        <w:spacing w:before="120"/>
        <w:rPr>
          <w:rFonts w:eastAsiaTheme="minorEastAsia"/>
          <w:b w:val="0"/>
          <w:bCs/>
          <w:sz w:val="22"/>
          <w:szCs w:val="22"/>
        </w:rPr>
      </w:pPr>
    </w:p>
    <w:p w14:paraId="5BFE1116" w14:textId="77777777" w:rsidR="569F9CD4" w:rsidRPr="000211C9" w:rsidRDefault="569F9CD4" w:rsidP="569F9CD4">
      <w:pPr>
        <w:pStyle w:val="Nadpis2"/>
        <w:spacing w:line="240" w:lineRule="auto"/>
        <w:rPr>
          <w:rFonts w:asciiTheme="minorHAnsi" w:eastAsiaTheme="minorEastAsia" w:hAnsiTheme="minorHAnsi" w:cstheme="minorHAnsi"/>
          <w:sz w:val="22"/>
          <w:szCs w:val="22"/>
        </w:rPr>
      </w:pPr>
    </w:p>
    <w:p w14:paraId="3CE26617" w14:textId="77777777" w:rsidR="5DB2206F" w:rsidRPr="00E646BB" w:rsidRDefault="39A7CB57" w:rsidP="569F9CD4">
      <w:pPr>
        <w:pStyle w:val="Nadpis2"/>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lang w:val="en-US"/>
        </w:rPr>
        <w:t xml:space="preserve">4. </w:t>
      </w:r>
      <w:r w:rsidR="54C51FBB" w:rsidRPr="00E646BB">
        <w:rPr>
          <w:rFonts w:asciiTheme="minorHAnsi" w:eastAsiaTheme="minorEastAsia" w:hAnsiTheme="minorHAnsi" w:cstheme="minorHAnsi"/>
          <w:sz w:val="22"/>
          <w:szCs w:val="22"/>
        </w:rPr>
        <w:t>Strategická autonomie a bezpečnostní problematika</w:t>
      </w:r>
      <w:r w:rsidR="54C51FBB" w:rsidRPr="00E646BB">
        <w:rPr>
          <w:rFonts w:asciiTheme="minorHAnsi" w:eastAsiaTheme="minorEastAsia" w:hAnsiTheme="minorHAnsi" w:cstheme="minorHAnsi"/>
          <w:sz w:val="22"/>
          <w:szCs w:val="22"/>
          <w:lang w:val="en-US"/>
        </w:rPr>
        <w:t xml:space="preserve"> </w:t>
      </w:r>
      <w:r w:rsidRPr="00E646BB">
        <w:rPr>
          <w:rFonts w:asciiTheme="minorHAnsi" w:eastAsiaTheme="minorEastAsia" w:hAnsiTheme="minorHAnsi" w:cstheme="minorHAnsi"/>
          <w:sz w:val="22"/>
          <w:szCs w:val="22"/>
          <w:lang w:val="en-US"/>
        </w:rPr>
        <w:t xml:space="preserve">  </w:t>
      </w:r>
    </w:p>
    <w:p w14:paraId="547345D0" w14:textId="008A4351" w:rsidR="5DB2206F" w:rsidRPr="00E646BB" w:rsidRDefault="005B44CD" w:rsidP="569F9CD4">
      <w:pPr>
        <w:spacing w:line="240" w:lineRule="auto"/>
        <w:jc w:val="both"/>
        <w:rPr>
          <w:rFonts w:eastAsiaTheme="minorEastAsia" w:cstheme="minorHAnsi"/>
        </w:rPr>
      </w:pPr>
      <w:r w:rsidRPr="00E646BB">
        <w:rPr>
          <w:rFonts w:eastAsiaTheme="minorEastAsia" w:cstheme="minorHAnsi"/>
        </w:rPr>
        <w:t>K</w:t>
      </w:r>
      <w:r w:rsidR="2854EAE4" w:rsidRPr="00E646BB">
        <w:rPr>
          <w:rFonts w:eastAsiaTheme="minorEastAsia" w:cstheme="minorHAnsi"/>
        </w:rPr>
        <w:t>omponenta přímým způsobem souvisí s vyšší odolností a diverzifikací klíčových dodavatelských řetězců</w:t>
      </w:r>
      <w:r w:rsidR="009366CA" w:rsidRPr="00E646BB">
        <w:rPr>
          <w:rFonts w:eastAsiaTheme="minorEastAsia" w:cstheme="minorHAnsi"/>
        </w:rPr>
        <w:t xml:space="preserve">, </w:t>
      </w:r>
      <w:r w:rsidR="008C09BF" w:rsidRPr="00E646BB">
        <w:rPr>
          <w:rFonts w:eastAsiaTheme="minorEastAsia" w:cstheme="minorHAnsi"/>
        </w:rPr>
        <w:t xml:space="preserve">s </w:t>
      </w:r>
      <w:r w:rsidR="2854EAE4" w:rsidRPr="00E646BB">
        <w:rPr>
          <w:rFonts w:eastAsiaTheme="minorEastAsia" w:cstheme="minorHAnsi"/>
        </w:rPr>
        <w:t>vyšší diverzifikac</w:t>
      </w:r>
      <w:r w:rsidR="008C09BF" w:rsidRPr="00E646BB">
        <w:rPr>
          <w:rFonts w:eastAsiaTheme="minorEastAsia" w:cstheme="minorHAnsi"/>
        </w:rPr>
        <w:t>í</w:t>
      </w:r>
      <w:r w:rsidR="2854EAE4" w:rsidRPr="00E646BB">
        <w:rPr>
          <w:rFonts w:eastAsiaTheme="minorEastAsia" w:cstheme="minorHAnsi"/>
        </w:rPr>
        <w:t xml:space="preserve"> energetického mixu ČR</w:t>
      </w:r>
      <w:r w:rsidR="002173BC" w:rsidRPr="00E646BB">
        <w:rPr>
          <w:rFonts w:eastAsiaTheme="minorEastAsia" w:cstheme="minorHAnsi"/>
        </w:rPr>
        <w:t xml:space="preserve"> a </w:t>
      </w:r>
      <w:r w:rsidR="008C09BF" w:rsidRPr="00E646BB">
        <w:rPr>
          <w:rFonts w:eastAsiaTheme="minorEastAsia" w:cstheme="minorHAnsi"/>
        </w:rPr>
        <w:t xml:space="preserve">s </w:t>
      </w:r>
      <w:r w:rsidR="005950BD" w:rsidRPr="00E646BB">
        <w:rPr>
          <w:rFonts w:eastAsiaTheme="minorEastAsia" w:cstheme="minorHAnsi"/>
        </w:rPr>
        <w:t>dosažení</w:t>
      </w:r>
      <w:r w:rsidR="00EA69C5" w:rsidRPr="00E646BB">
        <w:rPr>
          <w:rFonts w:eastAsiaTheme="minorEastAsia" w:cstheme="minorHAnsi"/>
        </w:rPr>
        <w:t>m</w:t>
      </w:r>
      <w:r w:rsidR="005950BD" w:rsidRPr="00E646BB">
        <w:rPr>
          <w:rFonts w:eastAsiaTheme="minorEastAsia" w:cstheme="minorHAnsi"/>
        </w:rPr>
        <w:t xml:space="preserve"> vyšší míry vlastních energetických, obnovitelných zdrojů v</w:t>
      </w:r>
      <w:r w:rsidR="006A28D5" w:rsidRPr="00E646BB">
        <w:rPr>
          <w:rFonts w:eastAsiaTheme="minorEastAsia" w:cstheme="minorHAnsi"/>
        </w:rPr>
        <w:t> </w:t>
      </w:r>
      <w:r w:rsidR="005950BD" w:rsidRPr="00E646BB">
        <w:rPr>
          <w:rFonts w:eastAsiaTheme="minorEastAsia" w:cstheme="minorHAnsi"/>
        </w:rPr>
        <w:t>rámci</w:t>
      </w:r>
      <w:r w:rsidR="006A28D5" w:rsidRPr="00E646BB">
        <w:rPr>
          <w:rFonts w:eastAsiaTheme="minorEastAsia" w:cstheme="minorHAnsi"/>
        </w:rPr>
        <w:t xml:space="preserve"> </w:t>
      </w:r>
      <w:r w:rsidR="005950BD" w:rsidRPr="00E646BB">
        <w:rPr>
          <w:rFonts w:eastAsiaTheme="minorEastAsia" w:cstheme="minorHAnsi"/>
        </w:rPr>
        <w:t>EU</w:t>
      </w:r>
      <w:r w:rsidR="006A28D5" w:rsidRPr="00E646BB">
        <w:rPr>
          <w:rFonts w:eastAsiaTheme="minorEastAsia" w:cstheme="minorHAnsi"/>
        </w:rPr>
        <w:t xml:space="preserve">, </w:t>
      </w:r>
      <w:r w:rsidR="00EA69C5" w:rsidRPr="00E646BB">
        <w:rPr>
          <w:rFonts w:eastAsiaTheme="minorEastAsia" w:cstheme="minorHAnsi"/>
        </w:rPr>
        <w:t>což přispěje ke</w:t>
      </w:r>
      <w:r w:rsidR="2854EAE4" w:rsidRPr="00E646BB">
        <w:rPr>
          <w:rFonts w:eastAsiaTheme="minorEastAsia" w:cstheme="minorHAnsi"/>
        </w:rPr>
        <w:t xml:space="preserve"> snížení dovozní závislosti </w:t>
      </w:r>
      <w:r w:rsidR="003E3291" w:rsidRPr="00E646BB">
        <w:rPr>
          <w:rFonts w:eastAsiaTheme="minorEastAsia" w:cstheme="minorHAnsi"/>
        </w:rPr>
        <w:t xml:space="preserve">energetických surovin z Ruska a dalších </w:t>
      </w:r>
      <w:r w:rsidR="00535120" w:rsidRPr="00E646BB">
        <w:rPr>
          <w:rFonts w:eastAsiaTheme="minorEastAsia" w:cstheme="minorHAnsi"/>
        </w:rPr>
        <w:t xml:space="preserve">nestabilních </w:t>
      </w:r>
      <w:r w:rsidR="00C92FF6" w:rsidRPr="00E646BB">
        <w:rPr>
          <w:rFonts w:eastAsiaTheme="minorEastAsia" w:cstheme="minorHAnsi"/>
        </w:rPr>
        <w:t>regionů mimo EU</w:t>
      </w:r>
      <w:r w:rsidR="2854EAE4" w:rsidRPr="00E646BB">
        <w:rPr>
          <w:rFonts w:eastAsiaTheme="minorEastAsia" w:cstheme="minorHAnsi"/>
        </w:rPr>
        <w:t>.</w:t>
      </w:r>
    </w:p>
    <w:p w14:paraId="654A2503" w14:textId="77777777" w:rsidR="569F9CD4" w:rsidRPr="00E646BB" w:rsidRDefault="569F9CD4" w:rsidP="569F9CD4">
      <w:pPr>
        <w:pStyle w:val="Nadpis2"/>
        <w:spacing w:line="240" w:lineRule="auto"/>
        <w:rPr>
          <w:rFonts w:asciiTheme="minorHAnsi" w:eastAsiaTheme="minorEastAsia" w:hAnsiTheme="minorHAnsi" w:cstheme="minorHAnsi"/>
          <w:sz w:val="22"/>
          <w:szCs w:val="22"/>
        </w:rPr>
      </w:pPr>
    </w:p>
    <w:p w14:paraId="687AC5DE" w14:textId="77777777" w:rsidR="5DB2206F" w:rsidRPr="00E646BB" w:rsidRDefault="39A7CB57" w:rsidP="569F9CD4">
      <w:pPr>
        <w:pStyle w:val="Nadpis2"/>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5. </w:t>
      </w:r>
      <w:r w:rsidR="4D9BC916" w:rsidRPr="00E646BB">
        <w:rPr>
          <w:rFonts w:asciiTheme="minorHAnsi" w:eastAsiaTheme="minorEastAsia" w:hAnsiTheme="minorHAnsi" w:cstheme="minorHAnsi"/>
          <w:sz w:val="22"/>
          <w:szCs w:val="22"/>
        </w:rPr>
        <w:t>Přeshraniční a mezinárodní projekty</w:t>
      </w:r>
      <w:r w:rsidRPr="00E646BB">
        <w:rPr>
          <w:rFonts w:asciiTheme="minorHAnsi" w:eastAsiaTheme="minorEastAsia" w:hAnsiTheme="minorHAnsi" w:cstheme="minorHAnsi"/>
          <w:sz w:val="22"/>
          <w:szCs w:val="22"/>
        </w:rPr>
        <w:t xml:space="preserve">  </w:t>
      </w:r>
    </w:p>
    <w:p w14:paraId="4905D76D" w14:textId="77777777" w:rsidR="5DB2206F" w:rsidRPr="00E646BB" w:rsidRDefault="2854EAE4" w:rsidP="569F9CD4">
      <w:pPr>
        <w:spacing w:line="240" w:lineRule="auto"/>
        <w:rPr>
          <w:rFonts w:eastAsiaTheme="minorEastAsia" w:cstheme="minorHAnsi"/>
        </w:rPr>
      </w:pPr>
      <w:r w:rsidRPr="00E646BB">
        <w:rPr>
          <w:rFonts w:eastAsiaTheme="minorEastAsia" w:cstheme="minorHAnsi"/>
        </w:rPr>
        <w:t xml:space="preserve">Nepředpokládá se, že </w:t>
      </w:r>
      <w:r w:rsidR="00F72F7B" w:rsidRPr="00E646BB">
        <w:rPr>
          <w:rFonts w:eastAsiaTheme="minorEastAsia" w:cstheme="minorHAnsi"/>
        </w:rPr>
        <w:t xml:space="preserve">by </w:t>
      </w:r>
      <w:r w:rsidRPr="00E646BB">
        <w:rPr>
          <w:rFonts w:eastAsiaTheme="minorEastAsia" w:cstheme="minorHAnsi"/>
        </w:rPr>
        <w:t>v rámci této komponenty byl</w:t>
      </w:r>
      <w:r w:rsidR="00DF78BE" w:rsidRPr="00E646BB">
        <w:rPr>
          <w:rFonts w:eastAsiaTheme="minorEastAsia" w:cstheme="minorHAnsi"/>
        </w:rPr>
        <w:t>y</w:t>
      </w:r>
      <w:r w:rsidRPr="00E646BB">
        <w:rPr>
          <w:rFonts w:eastAsiaTheme="minorEastAsia" w:cstheme="minorHAnsi"/>
        </w:rPr>
        <w:t xml:space="preserve"> rozvíjeny přeshraniční projekty</w:t>
      </w:r>
      <w:r w:rsidR="4F8C16FA" w:rsidRPr="00E646BB">
        <w:rPr>
          <w:rFonts w:eastAsiaTheme="minorEastAsia" w:cstheme="minorHAnsi"/>
        </w:rPr>
        <w:t>.</w:t>
      </w:r>
    </w:p>
    <w:p w14:paraId="00263B28" w14:textId="77777777" w:rsidR="569F9CD4" w:rsidRPr="00E646BB" w:rsidRDefault="569F9CD4" w:rsidP="569F9CD4">
      <w:pPr>
        <w:spacing w:line="240" w:lineRule="auto"/>
        <w:rPr>
          <w:rFonts w:eastAsiaTheme="minorEastAsia" w:cstheme="minorHAnsi"/>
          <w:b/>
          <w:bCs/>
        </w:rPr>
      </w:pPr>
    </w:p>
    <w:p w14:paraId="55B816BE" w14:textId="77777777" w:rsidR="5DB2206F" w:rsidRPr="00E646BB" w:rsidRDefault="39A7CB57" w:rsidP="569F9CD4">
      <w:pPr>
        <w:spacing w:line="240" w:lineRule="auto"/>
        <w:rPr>
          <w:rFonts w:eastAsiaTheme="minorEastAsia" w:cstheme="minorHAnsi"/>
        </w:rPr>
      </w:pPr>
      <w:r w:rsidRPr="00E646BB">
        <w:rPr>
          <w:rFonts w:eastAsiaTheme="minorEastAsia" w:cstheme="minorHAnsi"/>
          <w:b/>
          <w:bCs/>
        </w:rPr>
        <w:t xml:space="preserve">6. </w:t>
      </w:r>
      <w:proofErr w:type="gramStart"/>
      <w:r w:rsidR="75B578F5" w:rsidRPr="00E646BB">
        <w:rPr>
          <w:rFonts w:eastAsiaTheme="minorEastAsia" w:cstheme="minorHAnsi"/>
          <w:b/>
          <w:bCs/>
        </w:rPr>
        <w:t>Zelený</w:t>
      </w:r>
      <w:proofErr w:type="gramEnd"/>
      <w:r w:rsidR="75B578F5" w:rsidRPr="00E646BB">
        <w:rPr>
          <w:rFonts w:eastAsiaTheme="minorEastAsia" w:cstheme="minorHAnsi"/>
          <w:b/>
          <w:bCs/>
        </w:rPr>
        <w:t xml:space="preserve"> rozměr komponenty </w:t>
      </w:r>
      <w:r w:rsidRPr="00E646BB">
        <w:rPr>
          <w:rFonts w:eastAsiaTheme="minorEastAsia" w:cstheme="minorHAnsi"/>
        </w:rPr>
        <w:t xml:space="preserve"> </w:t>
      </w:r>
    </w:p>
    <w:p w14:paraId="124D4D1F" w14:textId="77777777" w:rsidR="00C7411B" w:rsidRPr="00E646BB" w:rsidRDefault="00DF78BE" w:rsidP="569F9CD4">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T</w:t>
      </w:r>
      <w:r w:rsidR="6CEBCDC8" w:rsidRPr="00E646BB">
        <w:rPr>
          <w:rFonts w:asciiTheme="minorHAnsi" w:eastAsiaTheme="minorEastAsia" w:hAnsiTheme="minorHAnsi" w:cstheme="minorHAnsi"/>
          <w:sz w:val="22"/>
          <w:szCs w:val="22"/>
        </w:rPr>
        <w:t xml:space="preserve">ato část komponenty </w:t>
      </w:r>
      <w:r w:rsidR="00B631D3" w:rsidRPr="00E646BB">
        <w:rPr>
          <w:rFonts w:asciiTheme="minorHAnsi" w:eastAsiaTheme="minorEastAsia" w:hAnsiTheme="minorHAnsi" w:cstheme="minorHAnsi"/>
          <w:sz w:val="22"/>
          <w:szCs w:val="22"/>
        </w:rPr>
        <w:t>přímo</w:t>
      </w:r>
      <w:r w:rsidR="6CEBCDC8" w:rsidRPr="00E646BB">
        <w:rPr>
          <w:rFonts w:asciiTheme="minorHAnsi" w:eastAsiaTheme="minorEastAsia" w:hAnsiTheme="minorHAnsi" w:cstheme="minorHAnsi"/>
          <w:sz w:val="22"/>
          <w:szCs w:val="22"/>
        </w:rPr>
        <w:t xml:space="preserve"> přispív</w:t>
      </w:r>
      <w:r w:rsidR="00B631D3" w:rsidRPr="00E646BB">
        <w:rPr>
          <w:rFonts w:asciiTheme="minorHAnsi" w:eastAsiaTheme="minorEastAsia" w:hAnsiTheme="minorHAnsi" w:cstheme="minorHAnsi"/>
          <w:sz w:val="22"/>
          <w:szCs w:val="22"/>
        </w:rPr>
        <w:t>á</w:t>
      </w:r>
      <w:r w:rsidR="6CEBCDC8" w:rsidRPr="00E646BB">
        <w:rPr>
          <w:rFonts w:asciiTheme="minorHAnsi" w:eastAsiaTheme="minorEastAsia" w:hAnsiTheme="minorHAnsi" w:cstheme="minorHAnsi"/>
          <w:sz w:val="22"/>
          <w:szCs w:val="22"/>
        </w:rPr>
        <w:t xml:space="preserve"> ke zlepšení ochrany klimatu </w:t>
      </w:r>
      <w:r w:rsidR="00B631D3" w:rsidRPr="00E646BB">
        <w:rPr>
          <w:rFonts w:asciiTheme="minorHAnsi" w:eastAsiaTheme="minorEastAsia" w:hAnsiTheme="minorHAnsi" w:cstheme="minorHAnsi"/>
          <w:sz w:val="22"/>
          <w:szCs w:val="22"/>
        </w:rPr>
        <w:t>umožněním vyšší integrac</w:t>
      </w:r>
      <w:r w:rsidR="00E847DD" w:rsidRPr="00E646BB">
        <w:rPr>
          <w:rFonts w:asciiTheme="minorHAnsi" w:eastAsiaTheme="minorEastAsia" w:hAnsiTheme="minorHAnsi" w:cstheme="minorHAnsi"/>
          <w:sz w:val="22"/>
          <w:szCs w:val="22"/>
        </w:rPr>
        <w:t>e</w:t>
      </w:r>
      <w:r w:rsidR="00B631D3" w:rsidRPr="00E646BB">
        <w:rPr>
          <w:rFonts w:asciiTheme="minorHAnsi" w:eastAsiaTheme="minorEastAsia" w:hAnsiTheme="minorHAnsi" w:cstheme="minorHAnsi"/>
          <w:sz w:val="22"/>
          <w:szCs w:val="22"/>
        </w:rPr>
        <w:t xml:space="preserve"> OZE </w:t>
      </w:r>
      <w:r w:rsidR="6CEBCDC8" w:rsidRPr="00E646BB">
        <w:rPr>
          <w:rFonts w:asciiTheme="minorHAnsi" w:eastAsiaTheme="minorEastAsia" w:hAnsiTheme="minorHAnsi" w:cstheme="minorHAnsi"/>
          <w:sz w:val="22"/>
          <w:szCs w:val="22"/>
        </w:rPr>
        <w:t>a</w:t>
      </w:r>
      <w:r w:rsidR="00D802D6" w:rsidRPr="00E646BB">
        <w:rPr>
          <w:rFonts w:asciiTheme="minorHAnsi" w:eastAsiaTheme="minorEastAsia" w:hAnsiTheme="minorHAnsi" w:cstheme="minorHAnsi"/>
          <w:sz w:val="22"/>
          <w:szCs w:val="22"/>
        </w:rPr>
        <w:t xml:space="preserve"> měla by proto</w:t>
      </w:r>
      <w:r w:rsidR="6CEBCDC8" w:rsidRPr="00E646BB">
        <w:rPr>
          <w:rFonts w:asciiTheme="minorHAnsi" w:eastAsiaTheme="minorEastAsia" w:hAnsiTheme="minorHAnsi" w:cstheme="minorHAnsi"/>
          <w:sz w:val="22"/>
          <w:szCs w:val="22"/>
        </w:rPr>
        <w:t xml:space="preserve"> být započitatelná k cíli zohlednění ochrany klimatu</w:t>
      </w:r>
      <w:r w:rsidR="4A03857E" w:rsidRPr="00E646BB">
        <w:rPr>
          <w:rFonts w:asciiTheme="minorHAnsi" w:eastAsiaTheme="minorEastAsia" w:hAnsiTheme="minorHAnsi" w:cstheme="minorHAnsi"/>
          <w:sz w:val="22"/>
          <w:szCs w:val="22"/>
        </w:rPr>
        <w:t>.</w:t>
      </w:r>
    </w:p>
    <w:p w14:paraId="3A9454CF" w14:textId="77777777" w:rsidR="00C7411B" w:rsidRPr="00E646BB" w:rsidRDefault="6CEBCDC8" w:rsidP="569F9CD4">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Zároveň vnímáme, že cíl</w:t>
      </w:r>
      <w:r w:rsidR="0049610D" w:rsidRPr="00E646BB">
        <w:rPr>
          <w:rFonts w:asciiTheme="minorHAnsi" w:eastAsiaTheme="minorEastAsia" w:hAnsiTheme="minorHAnsi" w:cstheme="minorHAnsi"/>
          <w:sz w:val="22"/>
          <w:szCs w:val="22"/>
        </w:rPr>
        <w:t xml:space="preserve"> zvýšení integrace OZE </w:t>
      </w:r>
      <w:r w:rsidRPr="00E646BB">
        <w:rPr>
          <w:rFonts w:asciiTheme="minorHAnsi" w:eastAsiaTheme="minorEastAsia" w:hAnsiTheme="minorHAnsi" w:cstheme="minorHAnsi"/>
          <w:sz w:val="22"/>
          <w:szCs w:val="22"/>
        </w:rPr>
        <w:t>přispív</w:t>
      </w:r>
      <w:r w:rsidR="00B246E5" w:rsidRPr="00E646BB">
        <w:rPr>
          <w:rFonts w:asciiTheme="minorHAnsi" w:eastAsiaTheme="minorEastAsia" w:hAnsiTheme="minorHAnsi" w:cstheme="minorHAnsi"/>
          <w:sz w:val="22"/>
          <w:szCs w:val="22"/>
        </w:rPr>
        <w:t>á</w:t>
      </w:r>
      <w:r w:rsidRPr="00E646BB">
        <w:rPr>
          <w:rFonts w:asciiTheme="minorHAnsi" w:eastAsiaTheme="minorEastAsia" w:hAnsiTheme="minorHAnsi" w:cstheme="minorHAnsi"/>
          <w:sz w:val="22"/>
          <w:szCs w:val="22"/>
        </w:rPr>
        <w:t xml:space="preserve"> k dosažení cílů EU v oblasti energetiky a klimatu a Pařížské dohody.</w:t>
      </w:r>
    </w:p>
    <w:p w14:paraId="67866C07" w14:textId="77777777" w:rsidR="00DF78BE" w:rsidRPr="00E646BB" w:rsidRDefault="00DF78BE" w:rsidP="569F9CD4">
      <w:pPr>
        <w:pStyle w:val="Nadpis2"/>
        <w:spacing w:after="120" w:line="240" w:lineRule="auto"/>
        <w:rPr>
          <w:rFonts w:asciiTheme="minorHAnsi" w:eastAsiaTheme="minorEastAsia" w:hAnsiTheme="minorHAnsi" w:cstheme="minorHAnsi"/>
          <w:sz w:val="22"/>
          <w:szCs w:val="22"/>
        </w:rPr>
      </w:pPr>
    </w:p>
    <w:p w14:paraId="2AEB38CA" w14:textId="77777777" w:rsidR="5DB2206F" w:rsidRPr="00E646BB" w:rsidRDefault="39A7CB57" w:rsidP="569F9CD4">
      <w:pPr>
        <w:pStyle w:val="Nadpis2"/>
        <w:spacing w:after="120"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7. </w:t>
      </w:r>
      <w:r w:rsidR="3194624A" w:rsidRPr="00E646BB">
        <w:rPr>
          <w:rFonts w:asciiTheme="minorHAnsi" w:eastAsiaTheme="minorEastAsia" w:hAnsiTheme="minorHAnsi" w:cstheme="minorHAnsi"/>
          <w:sz w:val="22"/>
          <w:szCs w:val="22"/>
        </w:rPr>
        <w:t xml:space="preserve">Digitální rozměr komponenty </w:t>
      </w:r>
    </w:p>
    <w:p w14:paraId="1CEE549C" w14:textId="77777777" w:rsidR="6A1B8130" w:rsidRPr="00E646BB" w:rsidRDefault="004076C4" w:rsidP="00580EAF">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T</w:t>
      </w:r>
      <w:r w:rsidR="00133AF5" w:rsidRPr="00E646BB">
        <w:rPr>
          <w:rFonts w:asciiTheme="minorHAnsi" w:eastAsiaTheme="minorEastAsia" w:hAnsiTheme="minorHAnsi" w:cstheme="minorHAnsi"/>
          <w:sz w:val="22"/>
          <w:szCs w:val="22"/>
        </w:rPr>
        <w:t>ento rozměr je primárním</w:t>
      </w:r>
      <w:r w:rsidR="000E0A43" w:rsidRPr="00E646BB">
        <w:rPr>
          <w:rFonts w:asciiTheme="minorHAnsi" w:eastAsiaTheme="minorEastAsia" w:hAnsiTheme="minorHAnsi" w:cstheme="minorHAnsi"/>
          <w:sz w:val="22"/>
          <w:szCs w:val="22"/>
        </w:rPr>
        <w:t xml:space="preserve"> hodnotícím pohledem na tuto</w:t>
      </w:r>
      <w:r w:rsidR="6A1B8130" w:rsidRPr="00E646BB">
        <w:rPr>
          <w:rFonts w:asciiTheme="minorHAnsi" w:eastAsiaTheme="minorEastAsia" w:hAnsiTheme="minorHAnsi" w:cstheme="minorHAnsi"/>
          <w:sz w:val="22"/>
          <w:szCs w:val="22"/>
        </w:rPr>
        <w:t xml:space="preserve"> komponentu.</w:t>
      </w:r>
      <w:r w:rsidR="000E0A43" w:rsidRPr="00E646BB">
        <w:rPr>
          <w:rFonts w:asciiTheme="minorHAnsi" w:eastAsiaTheme="minorEastAsia" w:hAnsiTheme="minorHAnsi" w:cstheme="minorHAnsi"/>
          <w:sz w:val="22"/>
          <w:szCs w:val="22"/>
        </w:rPr>
        <w:t xml:space="preserve"> </w:t>
      </w:r>
      <w:r w:rsidR="00CD2AD8" w:rsidRPr="00E646BB">
        <w:rPr>
          <w:rFonts w:asciiTheme="minorHAnsi" w:eastAsiaTheme="minorEastAsia" w:hAnsiTheme="minorHAnsi" w:cstheme="minorHAnsi"/>
          <w:sz w:val="22"/>
          <w:szCs w:val="22"/>
        </w:rPr>
        <w:t xml:space="preserve">Tvorba centrálního systému EDC zajistí výrazné </w:t>
      </w:r>
      <w:r w:rsidR="00DF5875" w:rsidRPr="00E646BB">
        <w:rPr>
          <w:rFonts w:asciiTheme="minorHAnsi" w:eastAsiaTheme="minorEastAsia" w:hAnsiTheme="minorHAnsi" w:cstheme="minorHAnsi"/>
          <w:sz w:val="22"/>
          <w:szCs w:val="22"/>
        </w:rPr>
        <w:t>z</w:t>
      </w:r>
      <w:r w:rsidR="00CD2AD8" w:rsidRPr="00E646BB">
        <w:rPr>
          <w:rFonts w:asciiTheme="minorHAnsi" w:eastAsiaTheme="minorEastAsia" w:hAnsiTheme="minorHAnsi" w:cstheme="minorHAnsi"/>
          <w:sz w:val="22"/>
          <w:szCs w:val="22"/>
        </w:rPr>
        <w:t>rychlení rozvoje trhu s elektřinou a decentrálních technologií</w:t>
      </w:r>
      <w:r w:rsidR="009C401B" w:rsidRPr="00E646BB">
        <w:rPr>
          <w:rFonts w:asciiTheme="minorHAnsi" w:eastAsiaTheme="minorEastAsia" w:hAnsiTheme="minorHAnsi" w:cstheme="minorHAnsi"/>
          <w:sz w:val="22"/>
          <w:szCs w:val="22"/>
        </w:rPr>
        <w:t>, a tím vyšší tvorbu přidané hodnoty v rámci celého hospodářství ČR.</w:t>
      </w:r>
      <w:r w:rsidR="00361456" w:rsidRPr="00E646BB">
        <w:rPr>
          <w:rFonts w:asciiTheme="minorHAnsi" w:eastAsiaTheme="minorEastAsia" w:hAnsiTheme="minorHAnsi" w:cstheme="minorHAnsi"/>
          <w:sz w:val="22"/>
          <w:szCs w:val="22"/>
        </w:rPr>
        <w:t xml:space="preserve"> Zajištění dostupné a spolehlivé dodávky energie je pak dalším násobícím kritériem.</w:t>
      </w:r>
      <w:r w:rsidR="00E71E7E" w:rsidRPr="00E646BB">
        <w:rPr>
          <w:rFonts w:asciiTheme="minorHAnsi" w:eastAsiaTheme="minorEastAsia" w:hAnsiTheme="minorHAnsi" w:cstheme="minorHAnsi"/>
          <w:sz w:val="22"/>
          <w:szCs w:val="22"/>
        </w:rPr>
        <w:t xml:space="preserve"> </w:t>
      </w:r>
      <w:r w:rsidR="00851541" w:rsidRPr="00E646BB">
        <w:rPr>
          <w:rFonts w:asciiTheme="minorHAnsi" w:eastAsiaTheme="minorEastAsia" w:hAnsiTheme="minorHAnsi" w:cstheme="minorHAnsi"/>
          <w:sz w:val="22"/>
          <w:szCs w:val="22"/>
        </w:rPr>
        <w:t>Mezi</w:t>
      </w:r>
      <w:r w:rsidR="009E1AC2" w:rsidRPr="00E646BB">
        <w:rPr>
          <w:rFonts w:asciiTheme="minorHAnsi" w:eastAsiaTheme="minorEastAsia" w:hAnsiTheme="minorHAnsi" w:cstheme="minorHAnsi"/>
          <w:sz w:val="22"/>
          <w:szCs w:val="22"/>
        </w:rPr>
        <w:t xml:space="preserve"> cíli </w:t>
      </w:r>
      <w:r w:rsidR="006A79E5" w:rsidRPr="00E646BB">
        <w:rPr>
          <w:rFonts w:asciiTheme="minorHAnsi" w:eastAsiaTheme="minorEastAsia" w:hAnsiTheme="minorHAnsi" w:cstheme="minorHAnsi"/>
          <w:sz w:val="22"/>
          <w:szCs w:val="22"/>
        </w:rPr>
        <w:t xml:space="preserve">Plánu obnovy v oblasti </w:t>
      </w:r>
      <w:r w:rsidR="00A927FF" w:rsidRPr="00E646BB">
        <w:rPr>
          <w:rFonts w:asciiTheme="minorHAnsi" w:eastAsiaTheme="minorEastAsia" w:hAnsiTheme="minorHAnsi" w:cstheme="minorHAnsi"/>
          <w:sz w:val="22"/>
          <w:szCs w:val="22"/>
        </w:rPr>
        <w:t>naplňování digitální transformace ČR</w:t>
      </w:r>
      <w:r w:rsidR="00037E2A" w:rsidRPr="00E646BB">
        <w:rPr>
          <w:rFonts w:asciiTheme="minorHAnsi" w:eastAsiaTheme="minorEastAsia" w:hAnsiTheme="minorHAnsi" w:cstheme="minorHAnsi"/>
          <w:sz w:val="22"/>
          <w:szCs w:val="22"/>
        </w:rPr>
        <w:t xml:space="preserve">, zejm. 1.1 Digitální služby občanům a firmám a </w:t>
      </w:r>
      <w:r w:rsidR="00833522" w:rsidRPr="00E646BB">
        <w:rPr>
          <w:rFonts w:asciiTheme="minorHAnsi" w:eastAsiaTheme="minorEastAsia" w:hAnsiTheme="minorHAnsi" w:cstheme="minorHAnsi"/>
          <w:sz w:val="22"/>
          <w:szCs w:val="22"/>
        </w:rPr>
        <w:t>1.3 Digitální vysokokapacitní sítě</w:t>
      </w:r>
      <w:r w:rsidR="0025176B" w:rsidRPr="00E646BB">
        <w:rPr>
          <w:rFonts w:asciiTheme="minorHAnsi" w:eastAsiaTheme="minorEastAsia" w:hAnsiTheme="minorHAnsi" w:cstheme="minorHAnsi"/>
          <w:sz w:val="22"/>
          <w:szCs w:val="22"/>
        </w:rPr>
        <w:t xml:space="preserve">, je budování </w:t>
      </w:r>
      <w:r w:rsidR="00244E5E" w:rsidRPr="00E646BB">
        <w:rPr>
          <w:rFonts w:asciiTheme="minorHAnsi" w:eastAsiaTheme="minorEastAsia" w:hAnsiTheme="minorHAnsi" w:cstheme="minorHAnsi"/>
          <w:sz w:val="22"/>
          <w:szCs w:val="22"/>
        </w:rPr>
        <w:t>páteřní infrastruktury</w:t>
      </w:r>
      <w:r w:rsidR="00533302" w:rsidRPr="00E646BB">
        <w:rPr>
          <w:rFonts w:asciiTheme="minorHAnsi" w:eastAsiaTheme="minorEastAsia" w:hAnsiTheme="minorHAnsi" w:cstheme="minorHAnsi"/>
          <w:sz w:val="22"/>
          <w:szCs w:val="22"/>
        </w:rPr>
        <w:t xml:space="preserve"> a nadstavbových služeb občanům</w:t>
      </w:r>
      <w:r w:rsidR="00B86880" w:rsidRPr="00E646BB">
        <w:rPr>
          <w:rFonts w:asciiTheme="minorHAnsi" w:eastAsiaTheme="minorEastAsia" w:hAnsiTheme="minorHAnsi" w:cstheme="minorHAnsi"/>
          <w:sz w:val="22"/>
          <w:szCs w:val="22"/>
        </w:rPr>
        <w:t xml:space="preserve">, a to i z pozice </w:t>
      </w:r>
      <w:r w:rsidR="00405315" w:rsidRPr="00E646BB">
        <w:rPr>
          <w:rFonts w:asciiTheme="minorHAnsi" w:eastAsiaTheme="minorEastAsia" w:hAnsiTheme="minorHAnsi" w:cstheme="minorHAnsi"/>
          <w:sz w:val="22"/>
          <w:szCs w:val="22"/>
        </w:rPr>
        <w:t>soukromých subjektů</w:t>
      </w:r>
      <w:r w:rsidR="003546AA" w:rsidRPr="00E646BB">
        <w:rPr>
          <w:rFonts w:asciiTheme="minorHAnsi" w:eastAsiaTheme="minorEastAsia" w:hAnsiTheme="minorHAnsi" w:cstheme="minorHAnsi"/>
          <w:sz w:val="22"/>
          <w:szCs w:val="22"/>
        </w:rPr>
        <w:t xml:space="preserve">, např. v oblasti telekomunikací. </w:t>
      </w:r>
      <w:r w:rsidR="00851541" w:rsidRPr="00E646BB">
        <w:rPr>
          <w:rFonts w:asciiTheme="minorHAnsi" w:eastAsiaTheme="minorEastAsia" w:hAnsiTheme="minorHAnsi" w:cstheme="minorHAnsi"/>
          <w:sz w:val="22"/>
          <w:szCs w:val="22"/>
        </w:rPr>
        <w:t>V souladu s tím je projekt EDC</w:t>
      </w:r>
      <w:r w:rsidR="007B7BBD" w:rsidRPr="00E646BB">
        <w:rPr>
          <w:rFonts w:asciiTheme="minorHAnsi" w:eastAsiaTheme="minorEastAsia" w:hAnsiTheme="minorHAnsi" w:cstheme="minorHAnsi"/>
          <w:sz w:val="22"/>
          <w:szCs w:val="22"/>
        </w:rPr>
        <w:t xml:space="preserve"> </w:t>
      </w:r>
      <w:r w:rsidR="00AD76BB" w:rsidRPr="00E646BB">
        <w:rPr>
          <w:rFonts w:asciiTheme="minorHAnsi" w:eastAsiaTheme="minorEastAsia" w:hAnsiTheme="minorHAnsi" w:cstheme="minorHAnsi"/>
          <w:sz w:val="22"/>
          <w:szCs w:val="22"/>
        </w:rPr>
        <w:t>naprosto klíčovým prvkem energeti</w:t>
      </w:r>
      <w:r w:rsidR="008620C4" w:rsidRPr="00E646BB">
        <w:rPr>
          <w:rFonts w:asciiTheme="minorHAnsi" w:eastAsiaTheme="minorEastAsia" w:hAnsiTheme="minorHAnsi" w:cstheme="minorHAnsi"/>
          <w:sz w:val="22"/>
          <w:szCs w:val="22"/>
        </w:rPr>
        <w:t>cké infrastruktury</w:t>
      </w:r>
      <w:r w:rsidR="007457C6" w:rsidRPr="00E646BB">
        <w:rPr>
          <w:rFonts w:asciiTheme="minorHAnsi" w:eastAsiaTheme="minorEastAsia" w:hAnsiTheme="minorHAnsi" w:cstheme="minorHAnsi"/>
          <w:sz w:val="22"/>
          <w:szCs w:val="22"/>
        </w:rPr>
        <w:t>, provozovaný regulovanými společnostmi</w:t>
      </w:r>
      <w:r w:rsidR="003246A2" w:rsidRPr="00E646BB">
        <w:rPr>
          <w:rFonts w:asciiTheme="minorHAnsi" w:eastAsiaTheme="minorEastAsia" w:hAnsiTheme="minorHAnsi" w:cstheme="minorHAnsi"/>
          <w:sz w:val="22"/>
          <w:szCs w:val="22"/>
        </w:rPr>
        <w:t>. EDC umožní fungování</w:t>
      </w:r>
      <w:r w:rsidR="00E61078" w:rsidRPr="00E646BB">
        <w:rPr>
          <w:rFonts w:asciiTheme="minorHAnsi" w:eastAsiaTheme="minorEastAsia" w:hAnsiTheme="minorHAnsi" w:cstheme="minorHAnsi"/>
          <w:sz w:val="22"/>
          <w:szCs w:val="22"/>
        </w:rPr>
        <w:t xml:space="preserve"> </w:t>
      </w:r>
      <w:r w:rsidR="00BD2A6E" w:rsidRPr="00E646BB">
        <w:rPr>
          <w:rFonts w:asciiTheme="minorHAnsi" w:eastAsiaTheme="minorEastAsia" w:hAnsiTheme="minorHAnsi" w:cstheme="minorHAnsi"/>
          <w:sz w:val="22"/>
          <w:szCs w:val="22"/>
        </w:rPr>
        <w:t>všech nov</w:t>
      </w:r>
      <w:r w:rsidR="003246A2" w:rsidRPr="00E646BB">
        <w:rPr>
          <w:rFonts w:asciiTheme="minorHAnsi" w:eastAsiaTheme="minorEastAsia" w:hAnsiTheme="minorHAnsi" w:cstheme="minorHAnsi"/>
          <w:sz w:val="22"/>
          <w:szCs w:val="22"/>
        </w:rPr>
        <w:t>ých</w:t>
      </w:r>
      <w:r w:rsidR="00BD2A6E" w:rsidRPr="00E646BB">
        <w:rPr>
          <w:rFonts w:asciiTheme="minorHAnsi" w:eastAsiaTheme="minorEastAsia" w:hAnsiTheme="minorHAnsi" w:cstheme="minorHAnsi"/>
          <w:sz w:val="22"/>
          <w:szCs w:val="22"/>
        </w:rPr>
        <w:t xml:space="preserve"> obchodní</w:t>
      </w:r>
      <w:r w:rsidR="003246A2" w:rsidRPr="00E646BB">
        <w:rPr>
          <w:rFonts w:asciiTheme="minorHAnsi" w:eastAsiaTheme="minorEastAsia" w:hAnsiTheme="minorHAnsi" w:cstheme="minorHAnsi"/>
          <w:sz w:val="22"/>
          <w:szCs w:val="22"/>
        </w:rPr>
        <w:t>ch</w:t>
      </w:r>
      <w:r w:rsidR="00BD2A6E" w:rsidRPr="00E646BB">
        <w:rPr>
          <w:rFonts w:asciiTheme="minorHAnsi" w:eastAsiaTheme="minorEastAsia" w:hAnsiTheme="minorHAnsi" w:cstheme="minorHAnsi"/>
          <w:sz w:val="22"/>
          <w:szCs w:val="22"/>
        </w:rPr>
        <w:t xml:space="preserve"> model</w:t>
      </w:r>
      <w:r w:rsidR="003246A2" w:rsidRPr="00E646BB">
        <w:rPr>
          <w:rFonts w:asciiTheme="minorHAnsi" w:eastAsiaTheme="minorEastAsia" w:hAnsiTheme="minorHAnsi" w:cstheme="minorHAnsi"/>
          <w:sz w:val="22"/>
          <w:szCs w:val="22"/>
        </w:rPr>
        <w:t>ů</w:t>
      </w:r>
      <w:r w:rsidR="00BD2A6E" w:rsidRPr="00E646BB">
        <w:rPr>
          <w:rFonts w:asciiTheme="minorHAnsi" w:eastAsiaTheme="minorEastAsia" w:hAnsiTheme="minorHAnsi" w:cstheme="minorHAnsi"/>
          <w:sz w:val="22"/>
          <w:szCs w:val="22"/>
        </w:rPr>
        <w:t xml:space="preserve"> na trhu s</w:t>
      </w:r>
      <w:r w:rsidR="003246A2" w:rsidRPr="00E646BB">
        <w:rPr>
          <w:rFonts w:asciiTheme="minorHAnsi" w:eastAsiaTheme="minorEastAsia" w:hAnsiTheme="minorHAnsi" w:cstheme="minorHAnsi"/>
          <w:sz w:val="22"/>
          <w:szCs w:val="22"/>
        </w:rPr>
        <w:t> </w:t>
      </w:r>
      <w:r w:rsidR="00BD2A6E" w:rsidRPr="00E646BB">
        <w:rPr>
          <w:rFonts w:asciiTheme="minorHAnsi" w:eastAsiaTheme="minorEastAsia" w:hAnsiTheme="minorHAnsi" w:cstheme="minorHAnsi"/>
          <w:sz w:val="22"/>
          <w:szCs w:val="22"/>
        </w:rPr>
        <w:t>elektřinou</w:t>
      </w:r>
      <w:r w:rsidR="003246A2" w:rsidRPr="00E646BB">
        <w:rPr>
          <w:rFonts w:asciiTheme="minorHAnsi" w:eastAsiaTheme="minorEastAsia" w:hAnsiTheme="minorHAnsi" w:cstheme="minorHAnsi"/>
          <w:sz w:val="22"/>
          <w:szCs w:val="22"/>
        </w:rPr>
        <w:t xml:space="preserve">. Služby EDC </w:t>
      </w:r>
      <w:r w:rsidR="001428EA" w:rsidRPr="00E646BB">
        <w:rPr>
          <w:rFonts w:asciiTheme="minorHAnsi" w:eastAsiaTheme="minorEastAsia" w:hAnsiTheme="minorHAnsi" w:cstheme="minorHAnsi"/>
          <w:sz w:val="22"/>
          <w:szCs w:val="22"/>
        </w:rPr>
        <w:t xml:space="preserve">budou </w:t>
      </w:r>
      <w:r w:rsidR="000E3271" w:rsidRPr="00E646BB">
        <w:rPr>
          <w:rFonts w:asciiTheme="minorHAnsi" w:eastAsiaTheme="minorEastAsia" w:hAnsiTheme="minorHAnsi" w:cstheme="minorHAnsi"/>
          <w:sz w:val="22"/>
          <w:szCs w:val="22"/>
        </w:rPr>
        <w:t xml:space="preserve">významným přínosem pro zvyšování digitalizace, </w:t>
      </w:r>
      <w:r w:rsidR="00A0774D" w:rsidRPr="00E646BB">
        <w:rPr>
          <w:rFonts w:asciiTheme="minorHAnsi" w:eastAsiaTheme="minorEastAsia" w:hAnsiTheme="minorHAnsi" w:cstheme="minorHAnsi"/>
          <w:sz w:val="22"/>
          <w:szCs w:val="22"/>
        </w:rPr>
        <w:t>efektivity a přidané hodnoty ve všech sektorech hospodářství.</w:t>
      </w:r>
    </w:p>
    <w:p w14:paraId="7E309320" w14:textId="77777777" w:rsidR="00846EBF" w:rsidRPr="00E646BB" w:rsidRDefault="00660141" w:rsidP="00580EAF">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Vedle výše uvedených</w:t>
      </w:r>
      <w:r w:rsidR="00A0774D" w:rsidRPr="00E646BB">
        <w:rPr>
          <w:rFonts w:asciiTheme="minorHAnsi" w:eastAsiaTheme="minorEastAsia" w:hAnsiTheme="minorHAnsi" w:cstheme="minorHAnsi"/>
          <w:sz w:val="22"/>
          <w:szCs w:val="22"/>
        </w:rPr>
        <w:t xml:space="preserve"> přímých</w:t>
      </w:r>
      <w:r w:rsidRPr="00E646BB">
        <w:rPr>
          <w:rFonts w:asciiTheme="minorHAnsi" w:eastAsiaTheme="minorEastAsia" w:hAnsiTheme="minorHAnsi" w:cstheme="minorHAnsi"/>
          <w:sz w:val="22"/>
          <w:szCs w:val="22"/>
        </w:rPr>
        <w:t xml:space="preserve"> přínosů je </w:t>
      </w:r>
      <w:r w:rsidR="006000E7" w:rsidRPr="00E646BB">
        <w:rPr>
          <w:rFonts w:asciiTheme="minorHAnsi" w:eastAsiaTheme="minorEastAsia" w:hAnsiTheme="minorHAnsi" w:cstheme="minorHAnsi"/>
          <w:sz w:val="22"/>
          <w:szCs w:val="22"/>
        </w:rPr>
        <w:t xml:space="preserve">nutné zmínit, že </w:t>
      </w:r>
      <w:r w:rsidR="00D6458E" w:rsidRPr="00E646BB">
        <w:rPr>
          <w:rFonts w:asciiTheme="minorHAnsi" w:eastAsiaTheme="minorEastAsia" w:hAnsiTheme="minorHAnsi" w:cstheme="minorHAnsi"/>
          <w:sz w:val="22"/>
          <w:szCs w:val="22"/>
        </w:rPr>
        <w:t xml:space="preserve">podpora digitalizace energetiky bude mít vliv na vyvolanou digitalizaci dalších </w:t>
      </w:r>
      <w:r w:rsidR="00A251A5" w:rsidRPr="00E646BB">
        <w:rPr>
          <w:rFonts w:asciiTheme="minorHAnsi" w:eastAsiaTheme="minorEastAsia" w:hAnsiTheme="minorHAnsi" w:cstheme="minorHAnsi"/>
          <w:sz w:val="22"/>
          <w:szCs w:val="22"/>
        </w:rPr>
        <w:t xml:space="preserve">sektorů hospodářství, zejména průmyslu, který bude nucen investovat do komplexních </w:t>
      </w:r>
      <w:r w:rsidR="00A37930" w:rsidRPr="00E646BB">
        <w:rPr>
          <w:rFonts w:asciiTheme="minorHAnsi" w:eastAsiaTheme="minorEastAsia" w:hAnsiTheme="minorHAnsi" w:cstheme="minorHAnsi"/>
          <w:sz w:val="22"/>
          <w:szCs w:val="22"/>
        </w:rPr>
        <w:t xml:space="preserve">prostředků modernizace a ekologizace, čímž zajistí vyšší konkurenceschopnost </w:t>
      </w:r>
      <w:r w:rsidR="00BB26AC" w:rsidRPr="00E646BB">
        <w:rPr>
          <w:rFonts w:asciiTheme="minorHAnsi" w:eastAsiaTheme="minorEastAsia" w:hAnsiTheme="minorHAnsi" w:cstheme="minorHAnsi"/>
          <w:sz w:val="22"/>
          <w:szCs w:val="22"/>
        </w:rPr>
        <w:t xml:space="preserve">svých výrobků. </w:t>
      </w:r>
    </w:p>
    <w:p w14:paraId="28892425" w14:textId="77777777" w:rsidR="00660141" w:rsidRPr="00E646BB" w:rsidRDefault="00BB26AC" w:rsidP="00580EAF">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Toto hledisko je vedle těžkého průmyslu </w:t>
      </w:r>
      <w:r w:rsidR="00846EBF" w:rsidRPr="00E646BB">
        <w:rPr>
          <w:rFonts w:asciiTheme="minorHAnsi" w:eastAsiaTheme="minorEastAsia" w:hAnsiTheme="minorHAnsi" w:cstheme="minorHAnsi"/>
          <w:sz w:val="22"/>
          <w:szCs w:val="22"/>
        </w:rPr>
        <w:t>výjimečně důležité pro rozvoj elektromobility, která je stěžejní cestou trans</w:t>
      </w:r>
      <w:r w:rsidR="00BB4738" w:rsidRPr="00E646BB">
        <w:rPr>
          <w:rFonts w:asciiTheme="minorHAnsi" w:eastAsiaTheme="minorEastAsia" w:hAnsiTheme="minorHAnsi" w:cstheme="minorHAnsi"/>
          <w:sz w:val="22"/>
          <w:szCs w:val="22"/>
        </w:rPr>
        <w:t xml:space="preserve">formace automobilového průmyslu, na němž je hospodářství ČR </w:t>
      </w:r>
      <w:r w:rsidR="00A9076F" w:rsidRPr="00E646BB">
        <w:rPr>
          <w:rFonts w:asciiTheme="minorHAnsi" w:eastAsiaTheme="minorEastAsia" w:hAnsiTheme="minorHAnsi" w:cstheme="minorHAnsi"/>
          <w:sz w:val="22"/>
          <w:szCs w:val="22"/>
        </w:rPr>
        <w:t xml:space="preserve">závislé. Vliv EDC v této oblasti bude </w:t>
      </w:r>
      <w:r w:rsidR="00A9076F" w:rsidRPr="00E646BB">
        <w:rPr>
          <w:rFonts w:asciiTheme="minorHAnsi" w:eastAsiaTheme="minorEastAsia" w:hAnsiTheme="minorHAnsi" w:cstheme="minorHAnsi"/>
          <w:sz w:val="22"/>
          <w:szCs w:val="22"/>
        </w:rPr>
        <w:lastRenderedPageBreak/>
        <w:t xml:space="preserve">primární, </w:t>
      </w:r>
      <w:r w:rsidR="003D1779" w:rsidRPr="00E646BB">
        <w:rPr>
          <w:rFonts w:asciiTheme="minorHAnsi" w:eastAsiaTheme="minorEastAsia" w:hAnsiTheme="minorHAnsi" w:cstheme="minorHAnsi"/>
          <w:sz w:val="22"/>
          <w:szCs w:val="22"/>
        </w:rPr>
        <w:t>v</w:t>
      </w:r>
      <w:r w:rsidR="00A9076F" w:rsidRPr="00E646BB">
        <w:rPr>
          <w:rFonts w:asciiTheme="minorHAnsi" w:eastAsiaTheme="minorEastAsia" w:hAnsiTheme="minorHAnsi" w:cstheme="minorHAnsi"/>
          <w:sz w:val="22"/>
          <w:szCs w:val="22"/>
        </w:rPr>
        <w:t xml:space="preserve"> zajištění potřebné</w:t>
      </w:r>
      <w:r w:rsidR="003D1779" w:rsidRPr="00E646BB">
        <w:rPr>
          <w:rFonts w:asciiTheme="minorHAnsi" w:eastAsiaTheme="minorEastAsia" w:hAnsiTheme="minorHAnsi" w:cstheme="minorHAnsi"/>
          <w:sz w:val="22"/>
          <w:szCs w:val="22"/>
        </w:rPr>
        <w:t xml:space="preserve"> zelené energie pro průmysl a sekundární, v</w:t>
      </w:r>
      <w:r w:rsidR="00713D32" w:rsidRPr="00E646BB">
        <w:rPr>
          <w:rFonts w:asciiTheme="minorHAnsi" w:eastAsiaTheme="minorEastAsia" w:hAnsiTheme="minorHAnsi" w:cstheme="minorHAnsi"/>
          <w:sz w:val="22"/>
          <w:szCs w:val="22"/>
        </w:rPr>
        <w:t> zajištění využití flexibility elektromobility, resp. ostatní flexibility průmyslu.</w:t>
      </w:r>
    </w:p>
    <w:p w14:paraId="303C5A1D" w14:textId="77777777" w:rsidR="002020B2" w:rsidRPr="00E646BB" w:rsidRDefault="002020B2" w:rsidP="00580EAF">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Přímý vliv bude mít EDC na digitalizaci celého energetického trhu, který v posledních 20 letech nezaznamenal </w:t>
      </w:r>
      <w:r w:rsidR="00132913" w:rsidRPr="00E646BB">
        <w:rPr>
          <w:rFonts w:asciiTheme="minorHAnsi" w:eastAsiaTheme="minorEastAsia" w:hAnsiTheme="minorHAnsi" w:cstheme="minorHAnsi"/>
          <w:sz w:val="22"/>
          <w:szCs w:val="22"/>
        </w:rPr>
        <w:t>významných disrupcí, ale s příchodem nových rolí na trhu a legislativního balíčku Čistá energie pro všechny Evropany</w:t>
      </w:r>
      <w:r w:rsidR="00586E29" w:rsidRPr="00E646BB">
        <w:rPr>
          <w:rFonts w:asciiTheme="minorHAnsi" w:eastAsiaTheme="minorEastAsia" w:hAnsiTheme="minorHAnsi" w:cstheme="minorHAnsi"/>
          <w:sz w:val="22"/>
          <w:szCs w:val="22"/>
        </w:rPr>
        <w:t xml:space="preserve"> vyžaduje až revoluční </w:t>
      </w:r>
      <w:r w:rsidR="00CC78F2" w:rsidRPr="00E646BB">
        <w:rPr>
          <w:rFonts w:asciiTheme="minorHAnsi" w:eastAsiaTheme="minorEastAsia" w:hAnsiTheme="minorHAnsi" w:cstheme="minorHAnsi"/>
          <w:sz w:val="22"/>
          <w:szCs w:val="22"/>
        </w:rPr>
        <w:t xml:space="preserve">posun v řízení soustav, obchodování i </w:t>
      </w:r>
      <w:r w:rsidR="00463943" w:rsidRPr="00E646BB">
        <w:rPr>
          <w:rFonts w:asciiTheme="minorHAnsi" w:eastAsiaTheme="minorEastAsia" w:hAnsiTheme="minorHAnsi" w:cstheme="minorHAnsi"/>
          <w:sz w:val="22"/>
          <w:szCs w:val="22"/>
        </w:rPr>
        <w:t>zajištění běžného fungování aktivních zákazníků.</w:t>
      </w:r>
    </w:p>
    <w:p w14:paraId="0D25DBE5" w14:textId="77777777" w:rsidR="5DB2206F" w:rsidRPr="00E646BB" w:rsidRDefault="39A7CB57" w:rsidP="569F9CD4">
      <w:pPr>
        <w:spacing w:after="120" w:line="240" w:lineRule="auto"/>
        <w:rPr>
          <w:rFonts w:eastAsiaTheme="minorEastAsia" w:cstheme="minorHAnsi"/>
          <w:b/>
          <w:bCs/>
        </w:rPr>
      </w:pPr>
      <w:r w:rsidRPr="00E646BB">
        <w:rPr>
          <w:rFonts w:eastAsiaTheme="minorEastAsia" w:cstheme="minorHAnsi"/>
          <w:b/>
          <w:bCs/>
        </w:rPr>
        <w:t xml:space="preserve">8. </w:t>
      </w:r>
      <w:r w:rsidR="07C606CB" w:rsidRPr="00E646BB">
        <w:rPr>
          <w:rFonts w:eastAsiaTheme="minorEastAsia" w:cstheme="minorHAnsi"/>
          <w:b/>
          <w:bCs/>
        </w:rPr>
        <w:t>Uplatnění zásady „významně nepoškozovat“</w:t>
      </w:r>
    </w:p>
    <w:p w14:paraId="007185A9" w14:textId="77777777" w:rsidR="00406796" w:rsidRPr="00E646BB" w:rsidRDefault="00406796" w:rsidP="00406796">
      <w:pPr>
        <w:pStyle w:val="K-Text"/>
        <w:spacing w:line="240" w:lineRule="auto"/>
        <w:rPr>
          <w:rFonts w:asciiTheme="minorHAnsi" w:eastAsiaTheme="minorEastAsia" w:hAnsiTheme="minorHAnsi" w:cstheme="minorHAnsi"/>
          <w:sz w:val="22"/>
          <w:szCs w:val="22"/>
        </w:rPr>
      </w:pPr>
    </w:p>
    <w:p w14:paraId="1E2150FB" w14:textId="77777777" w:rsidR="00406796" w:rsidRPr="00E646BB" w:rsidRDefault="003D2AC9" w:rsidP="00406796">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Z</w:t>
      </w:r>
      <w:r w:rsidR="00406796" w:rsidRPr="00E646BB">
        <w:rPr>
          <w:rFonts w:asciiTheme="minorHAnsi" w:eastAsiaTheme="minorEastAsia" w:hAnsiTheme="minorHAnsi" w:cstheme="minorHAnsi"/>
          <w:sz w:val="22"/>
          <w:szCs w:val="22"/>
        </w:rPr>
        <w:t>řízení EDC žádným způsobem nepoškozuje environmentální cíle ve smyslu článku 17 nařízení (EU) 2020/852. Naopak přispívá k jejich naplnění umožněním větší integrace OZE a jejich zapojením do všech segmentů trhu včetně služeb.</w:t>
      </w:r>
    </w:p>
    <w:p w14:paraId="7F2C6394" w14:textId="77777777" w:rsidR="007279E1" w:rsidRPr="00E646BB" w:rsidRDefault="00406796" w:rsidP="00406796">
      <w:pPr>
        <w:pStyle w:val="K-Text"/>
        <w:spacing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 xml:space="preserve">EDC jako robustní centrální informační systém pro elektroenergetiku lze považovat za prostředek pro zajištění rozvoje decentrálních a obnovitelných zdrojů v ČR, protože umožní jejich zapojení do trhu s elektřinou (samostatně nebo prostřednictvím agregace), a to v reálném čase včetně jejich účasti na poskytování služeb výkonové rovnováhy provozovateli přenosové soustavy. Tak budou moci být stávající fosilní zdroje, které poskytují podpůrné služby, nahrazeny nízko- nebo bezemisními zdroji a dojde k přímému snížení emisí skleníkových plynů </w:t>
      </w:r>
      <w:r w:rsidR="003246A2" w:rsidRPr="00E646BB">
        <w:rPr>
          <w:rFonts w:asciiTheme="minorHAnsi" w:eastAsiaTheme="minorEastAsia" w:hAnsiTheme="minorHAnsi" w:cstheme="minorHAnsi"/>
          <w:sz w:val="22"/>
          <w:szCs w:val="22"/>
        </w:rPr>
        <w:t xml:space="preserve">např. </w:t>
      </w:r>
      <w:r w:rsidRPr="00E646BB">
        <w:rPr>
          <w:rFonts w:asciiTheme="minorHAnsi" w:eastAsiaTheme="minorEastAsia" w:hAnsiTheme="minorHAnsi" w:cstheme="minorHAnsi"/>
          <w:sz w:val="22"/>
          <w:szCs w:val="22"/>
        </w:rPr>
        <w:t>ze zdrojů poskytujících podpůrné služby.</w:t>
      </w:r>
    </w:p>
    <w:p w14:paraId="64F52B86" w14:textId="77777777" w:rsidR="001F36B9" w:rsidRPr="00E646BB" w:rsidRDefault="001F36B9" w:rsidP="00754DE2">
      <w:pPr>
        <w:pStyle w:val="K-Text"/>
        <w:spacing w:line="240" w:lineRule="auto"/>
        <w:rPr>
          <w:rFonts w:asciiTheme="minorHAnsi" w:eastAsiaTheme="minorEastAsia" w:hAnsiTheme="minorHAnsi" w:cstheme="minorHAnsi"/>
          <w:sz w:val="22"/>
          <w:szCs w:val="22"/>
        </w:rPr>
      </w:pPr>
    </w:p>
    <w:p w14:paraId="2C939490" w14:textId="77777777" w:rsidR="001F36B9" w:rsidRPr="00E646BB" w:rsidRDefault="00CA6AE7" w:rsidP="00CA6AE7">
      <w:pPr>
        <w:spacing w:after="120" w:line="240" w:lineRule="auto"/>
        <w:rPr>
          <w:rFonts w:eastAsiaTheme="minorEastAsia" w:cstheme="minorHAnsi"/>
          <w:b/>
          <w:bCs/>
        </w:rPr>
      </w:pPr>
      <w:r w:rsidRPr="00E646BB">
        <w:rPr>
          <w:rFonts w:eastAsiaTheme="minorEastAsia" w:cstheme="minorHAnsi"/>
          <w:b/>
          <w:bCs/>
        </w:rPr>
        <w:t>9. Kritérium kybernetické bezpečnosti</w:t>
      </w:r>
    </w:p>
    <w:p w14:paraId="34B72CD5" w14:textId="77777777" w:rsidR="00A8298C" w:rsidRPr="00E646BB" w:rsidRDefault="00EA5C2E" w:rsidP="00B715DB">
      <w:pPr>
        <w:pStyle w:val="K-Text"/>
        <w:spacing w:line="240" w:lineRule="auto"/>
        <w:rPr>
          <w:rFonts w:asciiTheme="minorHAnsi" w:eastAsiaTheme="minorEastAsia" w:hAnsiTheme="minorHAnsi"/>
          <w:sz w:val="22"/>
          <w:szCs w:val="22"/>
        </w:rPr>
      </w:pPr>
      <w:r w:rsidRPr="00E646BB">
        <w:rPr>
          <w:rFonts w:asciiTheme="minorHAnsi" w:eastAsiaTheme="minorEastAsia" w:hAnsiTheme="minorHAnsi"/>
          <w:sz w:val="22"/>
          <w:szCs w:val="22"/>
        </w:rPr>
        <w:t xml:space="preserve">Vzhledem k transformaci energetiky </w:t>
      </w:r>
      <w:r w:rsidR="00983608" w:rsidRPr="00E646BB">
        <w:rPr>
          <w:rFonts w:asciiTheme="minorHAnsi" w:eastAsiaTheme="minorEastAsia" w:hAnsiTheme="minorHAnsi"/>
          <w:sz w:val="22"/>
          <w:szCs w:val="22"/>
        </w:rPr>
        <w:t xml:space="preserve">směrem k decentralizaci je zajištění </w:t>
      </w:r>
      <w:r w:rsidR="00B5542F" w:rsidRPr="00E646BB">
        <w:rPr>
          <w:rFonts w:asciiTheme="minorHAnsi" w:eastAsiaTheme="minorEastAsia" w:hAnsiTheme="minorHAnsi"/>
          <w:sz w:val="22"/>
          <w:szCs w:val="22"/>
        </w:rPr>
        <w:t>bezpečnosti řízení soustavy</w:t>
      </w:r>
      <w:r w:rsidR="0052093B" w:rsidRPr="00E646BB">
        <w:rPr>
          <w:rFonts w:asciiTheme="minorHAnsi" w:eastAsiaTheme="minorEastAsia" w:hAnsiTheme="minorHAnsi"/>
          <w:sz w:val="22"/>
          <w:szCs w:val="22"/>
        </w:rPr>
        <w:t xml:space="preserve"> naprosto zásadním cílem</w:t>
      </w:r>
      <w:r w:rsidR="00AB719E" w:rsidRPr="00E646BB">
        <w:rPr>
          <w:rFonts w:asciiTheme="minorHAnsi" w:eastAsiaTheme="minorEastAsia" w:hAnsiTheme="minorHAnsi"/>
          <w:sz w:val="22"/>
          <w:szCs w:val="22"/>
        </w:rPr>
        <w:t>, jak je detailně popsáno v cílech projektu.</w:t>
      </w:r>
    </w:p>
    <w:p w14:paraId="723FBD05" w14:textId="77777777" w:rsidR="215E4B58" w:rsidRPr="00E646BB" w:rsidRDefault="00883913" w:rsidP="00B715DB">
      <w:pPr>
        <w:pStyle w:val="K-Text"/>
        <w:spacing w:line="240" w:lineRule="auto"/>
        <w:rPr>
          <w:rFonts w:asciiTheme="minorHAnsi" w:eastAsiaTheme="minorEastAsia" w:hAnsiTheme="minorHAnsi"/>
          <w:sz w:val="22"/>
          <w:szCs w:val="22"/>
        </w:rPr>
      </w:pPr>
      <w:r w:rsidRPr="00E646BB">
        <w:rPr>
          <w:rFonts w:asciiTheme="minorHAnsi" w:eastAsiaTheme="minorEastAsia" w:hAnsiTheme="minorHAnsi"/>
          <w:sz w:val="22"/>
          <w:szCs w:val="22"/>
        </w:rPr>
        <w:t>Projekt umožn</w:t>
      </w:r>
      <w:r w:rsidR="00C82955" w:rsidRPr="00E646BB">
        <w:rPr>
          <w:rFonts w:asciiTheme="minorHAnsi" w:eastAsiaTheme="minorEastAsia" w:hAnsiTheme="minorHAnsi"/>
          <w:sz w:val="22"/>
          <w:szCs w:val="22"/>
        </w:rPr>
        <w:t>í</w:t>
      </w:r>
      <w:r w:rsidRPr="00E646BB">
        <w:rPr>
          <w:rFonts w:asciiTheme="minorHAnsi" w:eastAsiaTheme="minorEastAsia" w:hAnsiTheme="minorHAnsi"/>
          <w:sz w:val="22"/>
          <w:szCs w:val="22"/>
        </w:rPr>
        <w:t xml:space="preserve"> disponovat možností rychlé a bezpečné výměny informací v rámci energetického trhu a rovněž vůči státní správě.</w:t>
      </w:r>
      <w:r w:rsidR="001A77EC" w:rsidRPr="00E646BB">
        <w:rPr>
          <w:rFonts w:eastAsiaTheme="minorEastAsia"/>
          <w:sz w:val="22"/>
          <w:szCs w:val="22"/>
        </w:rPr>
        <w:t xml:space="preserve"> </w:t>
      </w:r>
      <w:r w:rsidR="001A77EC" w:rsidRPr="00E646BB">
        <w:rPr>
          <w:rFonts w:asciiTheme="minorHAnsi" w:eastAsiaTheme="minorEastAsia" w:hAnsiTheme="minorHAnsi"/>
          <w:sz w:val="22"/>
          <w:szCs w:val="22"/>
        </w:rPr>
        <w:t>EDC by mělo napomoci snaze České republiky o bezpečné budování infrastruktury pro nové technologie, a o systematické a pečlivé hodnocení rizik, nezbytn</w:t>
      </w:r>
      <w:r w:rsidR="003246A2" w:rsidRPr="00E646BB">
        <w:rPr>
          <w:rFonts w:asciiTheme="minorHAnsi" w:eastAsiaTheme="minorEastAsia" w:hAnsiTheme="minorHAnsi"/>
          <w:sz w:val="22"/>
          <w:szCs w:val="22"/>
        </w:rPr>
        <w:t>é</w:t>
      </w:r>
      <w:r w:rsidR="001A77EC" w:rsidRPr="00E646BB">
        <w:rPr>
          <w:rFonts w:asciiTheme="minorHAnsi" w:eastAsiaTheme="minorEastAsia" w:hAnsiTheme="minorHAnsi"/>
          <w:sz w:val="22"/>
          <w:szCs w:val="22"/>
        </w:rPr>
        <w:t xml:space="preserve"> pro vytvoření a udržení odolné a bezpečné infrastruktury.</w:t>
      </w:r>
      <w:r w:rsidRPr="00E646BB">
        <w:rPr>
          <w:rFonts w:asciiTheme="minorHAnsi" w:eastAsiaTheme="minorEastAsia" w:hAnsiTheme="minorHAnsi"/>
          <w:sz w:val="22"/>
          <w:szCs w:val="22"/>
        </w:rPr>
        <w:t> </w:t>
      </w:r>
      <w:r w:rsidR="00B715DB" w:rsidRPr="00E646BB">
        <w:rPr>
          <w:rFonts w:asciiTheme="minorHAnsi" w:eastAsiaTheme="minorEastAsia" w:hAnsiTheme="minorHAnsi"/>
          <w:sz w:val="22"/>
          <w:szCs w:val="22"/>
        </w:rPr>
        <w:t xml:space="preserve">Projekt by </w:t>
      </w:r>
      <w:r w:rsidR="00376D1C" w:rsidRPr="00E646BB">
        <w:rPr>
          <w:rFonts w:asciiTheme="minorHAnsi" w:eastAsiaTheme="minorEastAsia" w:hAnsiTheme="minorHAnsi"/>
          <w:sz w:val="22"/>
          <w:szCs w:val="22"/>
        </w:rPr>
        <w:t xml:space="preserve">tím </w:t>
      </w:r>
      <w:r w:rsidR="00B715DB" w:rsidRPr="00E646BB">
        <w:rPr>
          <w:rFonts w:asciiTheme="minorHAnsi" w:eastAsiaTheme="minorEastAsia" w:hAnsiTheme="minorHAnsi"/>
          <w:sz w:val="22"/>
          <w:szCs w:val="22"/>
        </w:rPr>
        <w:t xml:space="preserve">měl </w:t>
      </w:r>
      <w:r w:rsidR="004E3628" w:rsidRPr="00E646BB">
        <w:rPr>
          <w:rFonts w:asciiTheme="minorHAnsi" w:eastAsiaTheme="minorEastAsia" w:hAnsiTheme="minorHAnsi"/>
          <w:sz w:val="22"/>
          <w:szCs w:val="22"/>
        </w:rPr>
        <w:t xml:space="preserve">přeneseně </w:t>
      </w:r>
      <w:r w:rsidR="00B715DB" w:rsidRPr="00E646BB">
        <w:rPr>
          <w:rFonts w:asciiTheme="minorHAnsi" w:eastAsiaTheme="minorEastAsia" w:hAnsiTheme="minorHAnsi"/>
          <w:sz w:val="22"/>
          <w:szCs w:val="22"/>
        </w:rPr>
        <w:t xml:space="preserve">napomoci </w:t>
      </w:r>
      <w:r w:rsidR="004E3628" w:rsidRPr="00E646BB">
        <w:rPr>
          <w:rFonts w:asciiTheme="minorHAnsi" w:eastAsiaTheme="minorEastAsia" w:hAnsiTheme="minorHAnsi"/>
          <w:sz w:val="22"/>
          <w:szCs w:val="22"/>
        </w:rPr>
        <w:t xml:space="preserve">i </w:t>
      </w:r>
      <w:r w:rsidR="00B715DB" w:rsidRPr="00E646BB">
        <w:rPr>
          <w:rFonts w:asciiTheme="minorHAnsi" w:eastAsiaTheme="minorEastAsia" w:hAnsiTheme="minorHAnsi"/>
          <w:sz w:val="22"/>
          <w:szCs w:val="22"/>
        </w:rPr>
        <w:t>zvýšení odolnosti české ekonomiky</w:t>
      </w:r>
      <w:r w:rsidR="004E3628" w:rsidRPr="00E646BB">
        <w:rPr>
          <w:rFonts w:asciiTheme="minorHAnsi" w:eastAsiaTheme="minorEastAsia" w:hAnsiTheme="minorHAnsi"/>
          <w:sz w:val="22"/>
          <w:szCs w:val="22"/>
        </w:rPr>
        <w:t xml:space="preserve"> jako celku</w:t>
      </w:r>
      <w:r w:rsidR="00B715DB" w:rsidRPr="00E646BB">
        <w:rPr>
          <w:rFonts w:asciiTheme="minorHAnsi" w:eastAsiaTheme="minorEastAsia" w:hAnsiTheme="minorHAnsi"/>
          <w:sz w:val="22"/>
          <w:szCs w:val="22"/>
        </w:rPr>
        <w:t xml:space="preserve"> a podpoř</w:t>
      </w:r>
      <w:r w:rsidR="00DA1419" w:rsidRPr="00E646BB">
        <w:rPr>
          <w:rFonts w:asciiTheme="minorHAnsi" w:eastAsiaTheme="minorEastAsia" w:hAnsiTheme="minorHAnsi"/>
          <w:sz w:val="22"/>
          <w:szCs w:val="22"/>
        </w:rPr>
        <w:t>it</w:t>
      </w:r>
      <w:r w:rsidR="00B715DB" w:rsidRPr="00E646BB">
        <w:rPr>
          <w:rFonts w:asciiTheme="minorHAnsi" w:eastAsiaTheme="minorEastAsia" w:hAnsiTheme="minorHAnsi"/>
          <w:sz w:val="22"/>
          <w:szCs w:val="22"/>
        </w:rPr>
        <w:t xml:space="preserve"> rozvíjení strategické autonomie</w:t>
      </w:r>
      <w:r w:rsidR="00DA1419" w:rsidRPr="00E646BB">
        <w:rPr>
          <w:rFonts w:asciiTheme="minorHAnsi" w:eastAsiaTheme="minorEastAsia" w:hAnsiTheme="minorHAnsi"/>
          <w:sz w:val="22"/>
          <w:szCs w:val="22"/>
        </w:rPr>
        <w:t xml:space="preserve"> a</w:t>
      </w:r>
      <w:r w:rsidR="00B715DB" w:rsidRPr="00E646BB">
        <w:rPr>
          <w:rFonts w:asciiTheme="minorHAnsi" w:eastAsiaTheme="minorEastAsia" w:hAnsiTheme="minorHAnsi"/>
          <w:sz w:val="22"/>
          <w:szCs w:val="22"/>
        </w:rPr>
        <w:t xml:space="preserve"> zajistit co nejnižší administrativní náročnost nejen pro </w:t>
      </w:r>
      <w:r w:rsidR="003246A2" w:rsidRPr="00E646BB">
        <w:rPr>
          <w:rFonts w:asciiTheme="minorHAnsi" w:eastAsiaTheme="minorEastAsia" w:hAnsiTheme="minorHAnsi"/>
          <w:sz w:val="22"/>
          <w:szCs w:val="22"/>
        </w:rPr>
        <w:t xml:space="preserve">orgány </w:t>
      </w:r>
      <w:r w:rsidR="00B715DB" w:rsidRPr="00E646BB">
        <w:rPr>
          <w:rFonts w:asciiTheme="minorHAnsi" w:eastAsiaTheme="minorEastAsia" w:hAnsiTheme="minorHAnsi"/>
          <w:sz w:val="22"/>
          <w:szCs w:val="22"/>
        </w:rPr>
        <w:t xml:space="preserve">státní </w:t>
      </w:r>
      <w:r w:rsidR="003246A2" w:rsidRPr="00E646BB">
        <w:rPr>
          <w:rFonts w:asciiTheme="minorHAnsi" w:eastAsiaTheme="minorEastAsia" w:hAnsiTheme="minorHAnsi"/>
          <w:sz w:val="22"/>
          <w:szCs w:val="22"/>
        </w:rPr>
        <w:t>správy</w:t>
      </w:r>
      <w:r w:rsidR="00B715DB" w:rsidRPr="00E646BB">
        <w:rPr>
          <w:rFonts w:asciiTheme="minorHAnsi" w:eastAsiaTheme="minorEastAsia" w:hAnsiTheme="minorHAnsi"/>
          <w:sz w:val="22"/>
          <w:szCs w:val="22"/>
        </w:rPr>
        <w:t>, ale i pro </w:t>
      </w:r>
      <w:r w:rsidR="00DA1419" w:rsidRPr="00E646BB">
        <w:rPr>
          <w:rFonts w:asciiTheme="minorHAnsi" w:eastAsiaTheme="minorEastAsia" w:hAnsiTheme="minorHAnsi"/>
          <w:sz w:val="22"/>
          <w:szCs w:val="22"/>
        </w:rPr>
        <w:t>ostatní účastníky trhu s elektřino</w:t>
      </w:r>
      <w:r w:rsidR="00D14808" w:rsidRPr="00E646BB">
        <w:rPr>
          <w:rFonts w:asciiTheme="minorHAnsi" w:eastAsiaTheme="minorEastAsia" w:hAnsiTheme="minorHAnsi"/>
          <w:sz w:val="22"/>
          <w:szCs w:val="22"/>
        </w:rPr>
        <w:t>u</w:t>
      </w:r>
      <w:r w:rsidR="00B715DB" w:rsidRPr="00E646BB">
        <w:rPr>
          <w:rFonts w:asciiTheme="minorHAnsi" w:eastAsiaTheme="minorEastAsia" w:hAnsiTheme="minorHAnsi"/>
          <w:sz w:val="22"/>
          <w:szCs w:val="22"/>
        </w:rPr>
        <w:t>. </w:t>
      </w:r>
    </w:p>
    <w:p w14:paraId="12435A43" w14:textId="77777777" w:rsidR="00B715DB" w:rsidRPr="00E646BB" w:rsidRDefault="00B715DB" w:rsidP="00B715DB">
      <w:pPr>
        <w:pStyle w:val="K-Text"/>
        <w:spacing w:line="240" w:lineRule="auto"/>
        <w:rPr>
          <w:rFonts w:asciiTheme="minorHAnsi" w:eastAsiaTheme="minorEastAsia" w:hAnsiTheme="minorHAnsi" w:cstheme="minorHAnsi"/>
          <w:sz w:val="22"/>
          <w:szCs w:val="22"/>
        </w:rPr>
      </w:pPr>
    </w:p>
    <w:p w14:paraId="3CEA701E" w14:textId="77777777" w:rsidR="5DB2206F" w:rsidRPr="00E646BB" w:rsidRDefault="00CA6AE7" w:rsidP="569F9CD4">
      <w:pPr>
        <w:pStyle w:val="Nadpis2"/>
        <w:spacing w:after="240"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10</w:t>
      </w:r>
      <w:r w:rsidR="39A7CB57" w:rsidRPr="00E646BB">
        <w:rPr>
          <w:rFonts w:asciiTheme="minorHAnsi" w:eastAsiaTheme="minorEastAsia" w:hAnsiTheme="minorHAnsi" w:cstheme="minorHAnsi"/>
          <w:sz w:val="22"/>
          <w:szCs w:val="22"/>
        </w:rPr>
        <w:t xml:space="preserve">. </w:t>
      </w:r>
      <w:r w:rsidR="54503620" w:rsidRPr="00E646BB">
        <w:rPr>
          <w:rFonts w:asciiTheme="minorHAnsi" w:eastAsiaTheme="minorEastAsia" w:hAnsiTheme="minorHAnsi" w:cstheme="minorHAnsi"/>
          <w:sz w:val="22"/>
          <w:szCs w:val="22"/>
        </w:rPr>
        <w:t>Milníky, cíle a harmonogra</w:t>
      </w:r>
      <w:r w:rsidR="00270919" w:rsidRPr="00E646BB">
        <w:rPr>
          <w:rFonts w:asciiTheme="minorHAnsi" w:eastAsiaTheme="minorEastAsia" w:hAnsiTheme="minorHAnsi" w:cstheme="minorHAnsi"/>
          <w:sz w:val="22"/>
          <w:szCs w:val="22"/>
        </w:rPr>
        <w:t>m</w:t>
      </w:r>
      <w:r w:rsidR="54503620" w:rsidRPr="00E646BB">
        <w:rPr>
          <w:rFonts w:asciiTheme="minorHAnsi" w:eastAsiaTheme="minorEastAsia" w:hAnsiTheme="minorHAnsi" w:cstheme="minorHAnsi"/>
          <w:sz w:val="22"/>
          <w:szCs w:val="22"/>
        </w:rPr>
        <w:t xml:space="preserve"> </w:t>
      </w:r>
    </w:p>
    <w:p w14:paraId="3F6B8C3E" w14:textId="2518254B" w:rsidR="215E4B58" w:rsidRPr="00FF4DBF" w:rsidRDefault="00FF4DBF" w:rsidP="569F9CD4">
      <w:pPr>
        <w:pStyle w:val="Nadpis2"/>
        <w:spacing w:after="240" w:line="240" w:lineRule="auto"/>
        <w:rPr>
          <w:rFonts w:asciiTheme="minorHAnsi" w:eastAsiaTheme="minorEastAsia" w:hAnsiTheme="minorHAnsi" w:cstheme="minorHAnsi"/>
          <w:b w:val="0"/>
          <w:sz w:val="22"/>
          <w:szCs w:val="22"/>
        </w:rPr>
      </w:pPr>
      <w:r w:rsidRPr="00FF4DBF">
        <w:rPr>
          <w:rFonts w:asciiTheme="minorHAnsi" w:eastAsiaTheme="minorEastAsia" w:hAnsiTheme="minorHAnsi" w:cstheme="minorHAnsi"/>
          <w:b w:val="0"/>
          <w:sz w:val="22"/>
          <w:szCs w:val="22"/>
        </w:rPr>
        <w:t>Uvedeno v kapitole 3.</w:t>
      </w:r>
    </w:p>
    <w:p w14:paraId="1BF0060F" w14:textId="77777777" w:rsidR="5DB2206F" w:rsidRPr="00E646BB" w:rsidRDefault="39A7CB57" w:rsidP="569F9CD4">
      <w:pPr>
        <w:pStyle w:val="Nadpis2"/>
        <w:spacing w:after="240" w:line="240" w:lineRule="auto"/>
        <w:rPr>
          <w:rFonts w:asciiTheme="minorHAnsi" w:eastAsiaTheme="minorEastAsia" w:hAnsiTheme="minorHAnsi" w:cstheme="minorHAnsi"/>
          <w:sz w:val="22"/>
          <w:szCs w:val="22"/>
        </w:rPr>
      </w:pPr>
      <w:r w:rsidRPr="00E646BB">
        <w:rPr>
          <w:rFonts w:asciiTheme="minorHAnsi" w:eastAsiaTheme="minorEastAsia" w:hAnsiTheme="minorHAnsi" w:cstheme="minorHAnsi"/>
          <w:sz w:val="22"/>
          <w:szCs w:val="22"/>
        </w:rPr>
        <w:t>1</w:t>
      </w:r>
      <w:r w:rsidR="00CA6AE7" w:rsidRPr="00E646BB">
        <w:rPr>
          <w:rFonts w:asciiTheme="minorHAnsi" w:eastAsiaTheme="minorEastAsia" w:hAnsiTheme="minorHAnsi" w:cstheme="minorHAnsi"/>
          <w:sz w:val="22"/>
          <w:szCs w:val="22"/>
        </w:rPr>
        <w:t>1</w:t>
      </w:r>
      <w:r w:rsidRPr="00E646BB">
        <w:rPr>
          <w:rFonts w:asciiTheme="minorHAnsi" w:eastAsiaTheme="minorEastAsia" w:hAnsiTheme="minorHAnsi" w:cstheme="minorHAnsi"/>
          <w:sz w:val="22"/>
          <w:szCs w:val="22"/>
        </w:rPr>
        <w:t xml:space="preserve">. </w:t>
      </w:r>
      <w:r w:rsidR="49CA764B" w:rsidRPr="00E646BB">
        <w:rPr>
          <w:rFonts w:asciiTheme="minorHAnsi" w:eastAsiaTheme="minorEastAsia" w:hAnsiTheme="minorHAnsi" w:cstheme="minorHAnsi"/>
          <w:sz w:val="22"/>
          <w:szCs w:val="22"/>
        </w:rPr>
        <w:t xml:space="preserve">Financování a costing </w:t>
      </w:r>
      <w:r w:rsidRPr="00E646BB">
        <w:rPr>
          <w:rFonts w:asciiTheme="minorHAnsi" w:eastAsiaTheme="minorEastAsia" w:hAnsiTheme="minorHAnsi" w:cstheme="minorHAnsi"/>
          <w:sz w:val="22"/>
          <w:szCs w:val="22"/>
        </w:rPr>
        <w:t xml:space="preserve"> </w:t>
      </w:r>
    </w:p>
    <w:p w14:paraId="622537A0" w14:textId="7D78A46C" w:rsidR="007A02DB" w:rsidRPr="00E646BB" w:rsidRDefault="006376F9" w:rsidP="00E646BB">
      <w:pPr>
        <w:spacing w:line="240" w:lineRule="auto"/>
        <w:jc w:val="both"/>
        <w:rPr>
          <w:rFonts w:eastAsiaTheme="minorEastAsia"/>
          <w:shd w:val="clear" w:color="auto" w:fill="FFFFFF"/>
        </w:rPr>
      </w:pPr>
      <w:bookmarkStart w:id="3" w:name="_Hlk73448929"/>
      <w:r w:rsidRPr="00E646BB">
        <w:rPr>
          <w:rFonts w:eastAsiaTheme="minorEastAsia"/>
          <w:shd w:val="clear" w:color="auto" w:fill="FFFFFF"/>
        </w:rPr>
        <w:t xml:space="preserve">Podle předběžného hodnocení </w:t>
      </w:r>
      <w:r w:rsidR="005B7E43" w:rsidRPr="00E646BB">
        <w:rPr>
          <w:rFonts w:eastAsiaTheme="minorEastAsia"/>
          <w:shd w:val="clear" w:color="auto" w:fill="FFFFFF"/>
        </w:rPr>
        <w:t>nákladů</w:t>
      </w:r>
      <w:r w:rsidR="006C440C" w:rsidRPr="00E646BB">
        <w:rPr>
          <w:rFonts w:eastAsiaTheme="minorEastAsia"/>
          <w:shd w:val="clear" w:color="auto" w:fill="FFFFFF"/>
        </w:rPr>
        <w:t xml:space="preserve"> rozvoj</w:t>
      </w:r>
      <w:r w:rsidR="005B7E43" w:rsidRPr="00E646BB">
        <w:rPr>
          <w:rFonts w:eastAsiaTheme="minorEastAsia"/>
          <w:shd w:val="clear" w:color="auto" w:fill="FFFFFF"/>
        </w:rPr>
        <w:t>e</w:t>
      </w:r>
      <w:r w:rsidR="006C440C" w:rsidRPr="00E646BB">
        <w:rPr>
          <w:rFonts w:eastAsiaTheme="minorEastAsia"/>
          <w:shd w:val="clear" w:color="auto" w:fill="FFFFFF"/>
        </w:rPr>
        <w:t xml:space="preserve"> EDC</w:t>
      </w:r>
      <w:r w:rsidR="007D3FDC" w:rsidRPr="00E646BB">
        <w:rPr>
          <w:rFonts w:eastAsiaTheme="minorEastAsia"/>
          <w:shd w:val="clear" w:color="auto" w:fill="FFFFFF"/>
        </w:rPr>
        <w:t xml:space="preserve"> vypracovaného v rámci </w:t>
      </w:r>
      <w:r w:rsidR="005B7E43" w:rsidRPr="00E646BB">
        <w:rPr>
          <w:rFonts w:eastAsiaTheme="minorEastAsia"/>
          <w:shd w:val="clear" w:color="auto" w:fill="FFFFFF"/>
        </w:rPr>
        <w:t xml:space="preserve">NAP SG v lednu 2022 se úvodní odhad investičních výdajů (CAPEX) </w:t>
      </w:r>
      <w:r w:rsidR="00845645" w:rsidRPr="00E646BB">
        <w:rPr>
          <w:rFonts w:eastAsiaTheme="minorEastAsia"/>
          <w:shd w:val="clear" w:color="auto" w:fill="FFFFFF"/>
        </w:rPr>
        <w:t>pohyb</w:t>
      </w:r>
      <w:r w:rsidR="00F93A03" w:rsidRPr="00E646BB">
        <w:rPr>
          <w:rFonts w:eastAsiaTheme="minorEastAsia"/>
          <w:shd w:val="clear" w:color="auto" w:fill="FFFFFF"/>
        </w:rPr>
        <w:t xml:space="preserve">uje </w:t>
      </w:r>
      <w:r w:rsidR="00845645" w:rsidRPr="00E646BB">
        <w:rPr>
          <w:rFonts w:eastAsiaTheme="minorEastAsia"/>
          <w:shd w:val="clear" w:color="auto" w:fill="FFFFFF"/>
        </w:rPr>
        <w:t>v </w:t>
      </w:r>
      <w:r w:rsidR="00F93A03" w:rsidRPr="00E646BB">
        <w:rPr>
          <w:rFonts w:eastAsiaTheme="minorEastAsia"/>
          <w:shd w:val="clear" w:color="auto" w:fill="FFFFFF"/>
        </w:rPr>
        <w:t xml:space="preserve">částce </w:t>
      </w:r>
      <w:r w:rsidR="00B779F9" w:rsidRPr="00E646BB">
        <w:rPr>
          <w:rFonts w:eastAsiaTheme="minorEastAsia"/>
          <w:shd w:val="clear" w:color="auto" w:fill="FFFFFF"/>
        </w:rPr>
        <w:t>až</w:t>
      </w:r>
      <w:r w:rsidR="00845645" w:rsidRPr="00E646BB">
        <w:rPr>
          <w:rFonts w:eastAsiaTheme="minorEastAsia"/>
          <w:shd w:val="clear" w:color="auto" w:fill="FFFFFF"/>
        </w:rPr>
        <w:t xml:space="preserve"> 860 mil. Kč. </w:t>
      </w:r>
      <w:r w:rsidR="00643B2B" w:rsidRPr="00E646BB">
        <w:rPr>
          <w:rFonts w:eastAsiaTheme="minorEastAsia"/>
          <w:shd w:val="clear" w:color="auto" w:fill="FFFFFF"/>
        </w:rPr>
        <w:t>Vzhledem k indikované náročnosti</w:t>
      </w:r>
      <w:r w:rsidR="00F2029B" w:rsidRPr="00E646BB">
        <w:rPr>
          <w:rFonts w:eastAsiaTheme="minorEastAsia"/>
          <w:shd w:val="clear" w:color="auto" w:fill="FFFFFF"/>
        </w:rPr>
        <w:t xml:space="preserve"> během specifikace</w:t>
      </w:r>
      <w:r w:rsidR="00643B2B" w:rsidRPr="00E646BB">
        <w:rPr>
          <w:rFonts w:eastAsiaTheme="minorEastAsia"/>
          <w:shd w:val="clear" w:color="auto" w:fill="FFFFFF"/>
        </w:rPr>
        <w:t xml:space="preserve"> </w:t>
      </w:r>
      <w:r w:rsidR="00F2029B" w:rsidRPr="00E646BB">
        <w:rPr>
          <w:rFonts w:eastAsiaTheme="minorEastAsia"/>
          <w:shd w:val="clear" w:color="auto" w:fill="FFFFFF"/>
        </w:rPr>
        <w:t xml:space="preserve">pro tvorbu zadávací dokumentace EDC </w:t>
      </w:r>
      <w:r w:rsidR="00A35297" w:rsidRPr="00E646BB">
        <w:rPr>
          <w:rFonts w:eastAsiaTheme="minorEastAsia"/>
          <w:shd w:val="clear" w:color="auto" w:fill="FFFFFF"/>
        </w:rPr>
        <w:t>doporučuje pracovní tým EDC při ČSRES</w:t>
      </w:r>
      <w:r w:rsidR="00EA69C5" w:rsidRPr="00E646BB">
        <w:rPr>
          <w:rFonts w:eastAsiaTheme="minorEastAsia"/>
          <w:shd w:val="clear" w:color="auto" w:fill="FFFFFF"/>
        </w:rPr>
        <w:t xml:space="preserve"> pracovat s předpokládanou výší investice 1 mld. Kč</w:t>
      </w:r>
      <w:r w:rsidR="00A35297" w:rsidRPr="00E646BB">
        <w:rPr>
          <w:rFonts w:eastAsiaTheme="minorEastAsia"/>
          <w:shd w:val="clear" w:color="auto" w:fill="FFFFFF"/>
        </w:rPr>
        <w:t>.</w:t>
      </w:r>
      <w:r w:rsidR="007A02DB" w:rsidRPr="00E646BB">
        <w:rPr>
          <w:rFonts w:eastAsiaTheme="minorEastAsia"/>
          <w:shd w:val="clear" w:color="auto" w:fill="FFFFFF"/>
        </w:rPr>
        <w:t xml:space="preserve"> </w:t>
      </w:r>
      <w:r w:rsidR="00A35297" w:rsidRPr="00E646BB">
        <w:rPr>
          <w:rFonts w:eastAsiaTheme="minorEastAsia"/>
          <w:shd w:val="clear" w:color="auto" w:fill="FFFFFF"/>
        </w:rPr>
        <w:t xml:space="preserve">Výsledný odhad nákladů bude určen na základě </w:t>
      </w:r>
      <w:r w:rsidR="00F93A03" w:rsidRPr="00E646BB">
        <w:rPr>
          <w:rFonts w:eastAsiaTheme="minorEastAsia"/>
          <w:shd w:val="clear" w:color="auto" w:fill="FFFFFF"/>
        </w:rPr>
        <w:t>vypracování zadávací dokumentace informačního systému EDC</w:t>
      </w:r>
      <w:r w:rsidR="00B779F9" w:rsidRPr="00E646BB">
        <w:rPr>
          <w:rFonts w:eastAsiaTheme="minorEastAsia"/>
          <w:shd w:val="clear" w:color="auto" w:fill="FFFFFF"/>
        </w:rPr>
        <w:t xml:space="preserve"> (</w:t>
      </w:r>
      <w:r w:rsidR="003A390C" w:rsidRPr="00E646BB">
        <w:rPr>
          <w:rFonts w:eastAsiaTheme="minorEastAsia"/>
          <w:shd w:val="clear" w:color="auto" w:fill="FFFFFF"/>
        </w:rPr>
        <w:t>Q</w:t>
      </w:r>
      <w:r w:rsidR="00EA69C5" w:rsidRPr="00E646BB">
        <w:rPr>
          <w:rFonts w:eastAsiaTheme="minorEastAsia"/>
          <w:shd w:val="clear" w:color="auto" w:fill="FFFFFF"/>
        </w:rPr>
        <w:t>3</w:t>
      </w:r>
      <w:r w:rsidR="003A390C" w:rsidRPr="00E646BB">
        <w:rPr>
          <w:rFonts w:eastAsiaTheme="minorEastAsia"/>
          <w:shd w:val="clear" w:color="auto" w:fill="FFFFFF"/>
        </w:rPr>
        <w:t xml:space="preserve"> 2023</w:t>
      </w:r>
      <w:r w:rsidR="00B779F9" w:rsidRPr="00E646BB">
        <w:rPr>
          <w:rFonts w:eastAsiaTheme="minorEastAsia"/>
          <w:shd w:val="clear" w:color="auto" w:fill="FFFFFF"/>
        </w:rPr>
        <w:t>)</w:t>
      </w:r>
      <w:r w:rsidR="003A390C" w:rsidRPr="00E646BB">
        <w:rPr>
          <w:rFonts w:eastAsiaTheme="minorEastAsia"/>
          <w:shd w:val="clear" w:color="auto" w:fill="FFFFFF"/>
        </w:rPr>
        <w:t>.</w:t>
      </w:r>
    </w:p>
    <w:p w14:paraId="5186BE9A" w14:textId="48929867"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Indikované náklady představují investice v souhrnné výši 1mld. Kč. Vzhledem ke skutečnosti, že EDC jako regulovaný subjekt jako příjemce dotace nespadá do okruhu příjemců, na něž se vztahují pravidla veřejné podpory ve smyslu čl. 1078, odst. 1 Smlouvy u o fungování EU, budou pro přidělení podpory určující Národní pravidla, přičemž výše podpory je v těchto případech stanovena na 80</w:t>
      </w:r>
      <w:r w:rsidR="005860C5" w:rsidRPr="00E646BB">
        <w:rPr>
          <w:rFonts w:eastAsiaTheme="minorEastAsia"/>
          <w:shd w:val="clear" w:color="auto" w:fill="FFFFFF"/>
        </w:rPr>
        <w:t xml:space="preserve"> </w:t>
      </w:r>
      <w:r w:rsidRPr="00E646BB">
        <w:rPr>
          <w:rFonts w:eastAsiaTheme="minorEastAsia"/>
          <w:shd w:val="clear" w:color="auto" w:fill="FFFFFF"/>
        </w:rPr>
        <w:t>% z předložených způsobilých nákladů. Požadované zdroje z příslušných zdrojů obálek REPower EU tak představují částku 800 mil. Kč.</w:t>
      </w:r>
    </w:p>
    <w:p w14:paraId="48D3EE95" w14:textId="77777777" w:rsidR="00573AF6" w:rsidRPr="00E646BB" w:rsidRDefault="00573AF6" w:rsidP="005860C5">
      <w:pPr>
        <w:jc w:val="both"/>
        <w:rPr>
          <w:rFonts w:eastAsiaTheme="minorEastAsia"/>
          <w:b/>
          <w:shd w:val="clear" w:color="auto" w:fill="FFFFFF"/>
        </w:rPr>
      </w:pPr>
      <w:r w:rsidRPr="00E646BB">
        <w:rPr>
          <w:rFonts w:eastAsiaTheme="minorEastAsia"/>
          <w:b/>
          <w:shd w:val="clear" w:color="auto" w:fill="FFFFFF"/>
        </w:rPr>
        <w:t>12. Veřejná podpora</w:t>
      </w:r>
    </w:p>
    <w:p w14:paraId="0574B4D5" w14:textId="35656578" w:rsidR="215E4B58" w:rsidRPr="00E646BB" w:rsidRDefault="00EA69C5" w:rsidP="00E646BB">
      <w:pPr>
        <w:spacing w:line="240" w:lineRule="auto"/>
        <w:jc w:val="both"/>
        <w:rPr>
          <w:rFonts w:eastAsiaTheme="minorEastAsia"/>
          <w:shd w:val="clear" w:color="auto" w:fill="FFFFFF"/>
        </w:rPr>
      </w:pPr>
      <w:bookmarkStart w:id="4" w:name="_nj1ks6p3kwye"/>
      <w:bookmarkStart w:id="5" w:name="_30j0zll"/>
      <w:bookmarkStart w:id="6" w:name="_1fob9te" w:colFirst="0" w:colLast="0"/>
      <w:bookmarkStart w:id="7" w:name="_Toc68035740"/>
      <w:bookmarkStart w:id="8" w:name="_Toc68035916"/>
      <w:bookmarkStart w:id="9" w:name="_Toc68035741"/>
      <w:bookmarkStart w:id="10" w:name="_Toc68035917"/>
      <w:bookmarkStart w:id="11" w:name="_Toc68035746"/>
      <w:bookmarkStart w:id="12" w:name="_Toc68035922"/>
      <w:bookmarkStart w:id="13" w:name="_Toc68035762"/>
      <w:bookmarkStart w:id="14" w:name="_Toc68035938"/>
      <w:bookmarkStart w:id="15" w:name="_Toc68035763"/>
      <w:bookmarkStart w:id="16" w:name="_Toc68035939"/>
      <w:bookmarkStart w:id="17" w:name="_Toc68035764"/>
      <w:bookmarkStart w:id="18" w:name="_Toc68035940"/>
      <w:bookmarkStart w:id="19" w:name="_Toc68035765"/>
      <w:bookmarkStart w:id="20" w:name="_Toc68035941"/>
      <w:bookmarkStart w:id="21" w:name="_Toc68035766"/>
      <w:bookmarkStart w:id="22" w:name="_Toc68035942"/>
      <w:bookmarkStart w:id="23" w:name="_Toc68035767"/>
      <w:bookmarkStart w:id="24" w:name="_Toc68035943"/>
      <w:bookmarkStart w:id="25" w:name="_Toc68035768"/>
      <w:bookmarkStart w:id="26" w:name="_Toc68035944"/>
      <w:bookmarkStart w:id="27" w:name="_Toc68035769"/>
      <w:bookmarkStart w:id="28" w:name="_Toc68035945"/>
      <w:bookmarkStart w:id="29" w:name="_Toc68035770"/>
      <w:bookmarkStart w:id="30" w:name="_Toc68035946"/>
      <w:bookmarkStart w:id="31" w:name="_Toc68035771"/>
      <w:bookmarkStart w:id="32" w:name="_Toc68035947"/>
      <w:bookmarkStart w:id="33" w:name="_Toc68035773"/>
      <w:bookmarkStart w:id="34" w:name="_Toc68035949"/>
      <w:bookmarkStart w:id="35" w:name="_Toc68035774"/>
      <w:bookmarkStart w:id="36" w:name="_Toc68035950"/>
      <w:bookmarkStart w:id="37" w:name="_Toc68035778"/>
      <w:bookmarkStart w:id="38" w:name="_Toc68035954"/>
      <w:bookmarkStart w:id="39" w:name="_Toc68035779"/>
      <w:bookmarkStart w:id="40" w:name="_Toc68035955"/>
      <w:bookmarkStart w:id="41" w:name="_Toc68035780"/>
      <w:bookmarkStart w:id="42" w:name="_Toc68035956"/>
      <w:bookmarkStart w:id="43" w:name="_Toc68035781"/>
      <w:bookmarkStart w:id="44" w:name="_Toc68035957"/>
      <w:bookmarkStart w:id="45" w:name="_Toc68035782"/>
      <w:bookmarkStart w:id="46" w:name="_Toc68035958"/>
      <w:bookmarkStart w:id="47" w:name="_Toc68035783"/>
      <w:bookmarkStart w:id="48" w:name="_Toc68035959"/>
      <w:bookmarkStart w:id="49" w:name="_Toc68035784"/>
      <w:bookmarkStart w:id="50" w:name="_Toc68035960"/>
      <w:bookmarkStart w:id="51" w:name="_Toc68035785"/>
      <w:bookmarkStart w:id="52" w:name="_Toc68035961"/>
      <w:bookmarkStart w:id="53" w:name="_Toc68035786"/>
      <w:bookmarkStart w:id="54" w:name="_Toc68035962"/>
      <w:bookmarkStart w:id="55" w:name="_Toc68035787"/>
      <w:bookmarkStart w:id="56" w:name="_Toc68035963"/>
      <w:bookmarkStart w:id="57" w:name="_Toc68035788"/>
      <w:bookmarkStart w:id="58" w:name="_Toc68035964"/>
      <w:bookmarkStart w:id="59" w:name="_Toc68035789"/>
      <w:bookmarkStart w:id="60" w:name="_Toc68035965"/>
      <w:bookmarkStart w:id="61" w:name="_Toc68035790"/>
      <w:bookmarkStart w:id="62" w:name="_Toc68035966"/>
      <w:bookmarkStart w:id="63" w:name="_Toc68035791"/>
      <w:bookmarkStart w:id="64" w:name="_Toc68035967"/>
      <w:bookmarkStart w:id="65" w:name="_Toc68035792"/>
      <w:bookmarkStart w:id="66" w:name="_Toc68035968"/>
      <w:bookmarkStart w:id="67" w:name="_Toc68035793"/>
      <w:bookmarkStart w:id="68" w:name="_Toc68035969"/>
      <w:bookmarkStart w:id="69" w:name="_Toc68035794"/>
      <w:bookmarkStart w:id="70" w:name="_Toc68035970"/>
      <w:bookmarkStart w:id="71" w:name="_Toc68035795"/>
      <w:bookmarkStart w:id="72" w:name="_Toc68035971"/>
      <w:bookmarkStart w:id="73" w:name="_Toc68035796"/>
      <w:bookmarkStart w:id="74" w:name="_Toc68035972"/>
      <w:bookmarkStart w:id="75" w:name="_Toc68035797"/>
      <w:bookmarkStart w:id="76" w:name="_Toc68035973"/>
      <w:bookmarkStart w:id="77" w:name="_Toc68035798"/>
      <w:bookmarkStart w:id="78" w:name="_Toc68035974"/>
      <w:bookmarkStart w:id="79" w:name="_Toc68035799"/>
      <w:bookmarkStart w:id="80" w:name="_Toc68035975"/>
      <w:bookmarkStart w:id="81" w:name="_Toc68035800"/>
      <w:bookmarkStart w:id="82" w:name="_Toc68035976"/>
      <w:bookmarkStart w:id="83" w:name="_Toc68035801"/>
      <w:bookmarkStart w:id="84" w:name="_Toc68035977"/>
      <w:bookmarkStart w:id="85" w:name="_Toc68035802"/>
      <w:bookmarkStart w:id="86" w:name="_Toc68035978"/>
      <w:bookmarkStart w:id="87" w:name="_Toc68035803"/>
      <w:bookmarkStart w:id="88" w:name="_Toc68035979"/>
      <w:bookmarkStart w:id="89" w:name="_Toc68035804"/>
      <w:bookmarkStart w:id="90" w:name="_Toc68035980"/>
      <w:bookmarkStart w:id="91" w:name="_Toc68035805"/>
      <w:bookmarkStart w:id="92" w:name="_Toc68035981"/>
      <w:bookmarkStart w:id="93" w:name="_Toc68035806"/>
      <w:bookmarkStart w:id="94" w:name="_Toc68035982"/>
      <w:bookmarkStart w:id="95" w:name="_Toc68035807"/>
      <w:bookmarkStart w:id="96" w:name="_Toc68035983"/>
      <w:bookmarkStart w:id="97" w:name="_Toc68035808"/>
      <w:bookmarkStart w:id="98" w:name="_Toc68035984"/>
      <w:bookmarkStart w:id="99" w:name="_Toc68035809"/>
      <w:bookmarkStart w:id="100" w:name="_Toc68035985"/>
      <w:bookmarkStart w:id="101" w:name="_Toc68035810"/>
      <w:bookmarkStart w:id="102" w:name="_Toc68035986"/>
      <w:bookmarkStart w:id="103" w:name="_Toc68035811"/>
      <w:bookmarkStart w:id="104" w:name="_Toc68035987"/>
      <w:bookmarkStart w:id="105" w:name="_Toc68035812"/>
      <w:bookmarkStart w:id="106" w:name="_Toc68035988"/>
      <w:bookmarkStart w:id="107" w:name="_Toc68035813"/>
      <w:bookmarkStart w:id="108" w:name="_Toc68035989"/>
      <w:bookmarkStart w:id="109" w:name="_Toc68035814"/>
      <w:bookmarkStart w:id="110" w:name="_Toc68035990"/>
      <w:bookmarkStart w:id="111" w:name="_Toc68035815"/>
      <w:bookmarkStart w:id="112" w:name="_Toc68035991"/>
      <w:bookmarkStart w:id="113" w:name="_Toc68035816"/>
      <w:bookmarkStart w:id="114" w:name="_Toc68035992"/>
      <w:bookmarkStart w:id="115" w:name="_Toc68035817"/>
      <w:bookmarkStart w:id="116" w:name="_Toc68035993"/>
      <w:bookmarkStart w:id="117" w:name="_Toc68035818"/>
      <w:bookmarkStart w:id="118" w:name="_Toc68035994"/>
      <w:bookmarkStart w:id="119" w:name="_Toc68035819"/>
      <w:bookmarkStart w:id="120" w:name="_Toc68035995"/>
      <w:bookmarkStart w:id="121" w:name="_Toc66646721"/>
      <w:bookmarkStart w:id="122" w:name="_Toc66647251"/>
      <w:bookmarkStart w:id="123" w:name="_Toc66647613"/>
      <w:bookmarkStart w:id="124" w:name="_Toc66647739"/>
      <w:bookmarkStart w:id="125" w:name="_Toc66647788"/>
      <w:bookmarkStart w:id="126" w:name="_Toc66860970"/>
      <w:bookmarkStart w:id="127" w:name="_Toc66862914"/>
      <w:bookmarkStart w:id="128" w:name="_Toc66900245"/>
      <w:bookmarkStart w:id="129" w:name="_Toc66901827"/>
      <w:bookmarkStart w:id="130" w:name="_Toc67437533"/>
      <w:bookmarkStart w:id="131" w:name="_Toc67437571"/>
      <w:bookmarkStart w:id="132" w:name="_Toc67457119"/>
      <w:bookmarkStart w:id="133" w:name="_Toc67464643"/>
      <w:bookmarkStart w:id="134" w:name="_Toc67474540"/>
      <w:bookmarkStart w:id="135" w:name="_Toc68035820"/>
      <w:bookmarkStart w:id="136" w:name="_Toc68035996"/>
      <w:bookmarkStart w:id="137" w:name="_Toc66647740"/>
      <w:bookmarkStart w:id="138" w:name="_Toc66647789"/>
      <w:bookmarkStart w:id="139" w:name="_Toc66860971"/>
      <w:bookmarkStart w:id="140" w:name="_Toc66862915"/>
      <w:bookmarkStart w:id="141" w:name="_Toc66900246"/>
      <w:bookmarkStart w:id="142" w:name="_Toc66901828"/>
      <w:bookmarkStart w:id="143" w:name="_Toc67437534"/>
      <w:bookmarkStart w:id="144" w:name="_Toc67437572"/>
      <w:bookmarkStart w:id="145" w:name="_Toc67457120"/>
      <w:bookmarkStart w:id="146" w:name="_Toc67464644"/>
      <w:bookmarkStart w:id="147" w:name="_Toc67474541"/>
      <w:bookmarkStart w:id="148" w:name="_Toc68035821"/>
      <w:bookmarkStart w:id="149" w:name="_Toc68035997"/>
      <w:bookmarkStart w:id="150" w:name="_Toc68035822"/>
      <w:bookmarkStart w:id="151" w:name="_Toc68035998"/>
      <w:bookmarkStart w:id="152" w:name="_Toc68035823"/>
      <w:bookmarkStart w:id="153" w:name="_Toc68035999"/>
      <w:bookmarkStart w:id="154" w:name="_Toc68035824"/>
      <w:bookmarkStart w:id="155" w:name="_Toc68036000"/>
      <w:bookmarkStart w:id="156" w:name="_Toc68035825"/>
      <w:bookmarkStart w:id="157" w:name="_Toc68036001"/>
      <w:bookmarkStart w:id="158" w:name="_Toc68035826"/>
      <w:bookmarkStart w:id="159" w:name="_Toc68036002"/>
      <w:bookmarkStart w:id="160" w:name="_Toc68035827"/>
      <w:bookmarkStart w:id="161" w:name="_Toc68036003"/>
      <w:bookmarkStart w:id="162" w:name="_Toc68035828"/>
      <w:bookmarkStart w:id="163" w:name="_Toc68036004"/>
      <w:bookmarkStart w:id="164" w:name="_Toc68035829"/>
      <w:bookmarkStart w:id="165" w:name="_Toc68036005"/>
      <w:bookmarkStart w:id="166" w:name="_Toc68035830"/>
      <w:bookmarkStart w:id="167" w:name="_Toc68036006"/>
      <w:bookmarkStart w:id="168" w:name="_Toc68035831"/>
      <w:bookmarkStart w:id="169" w:name="_Toc68036007"/>
      <w:bookmarkStart w:id="170" w:name="_Toc68035832"/>
      <w:bookmarkStart w:id="171" w:name="_Toc68036008"/>
      <w:bookmarkStart w:id="172" w:name="_Toc68035833"/>
      <w:bookmarkStart w:id="173" w:name="_Toc68036009"/>
      <w:bookmarkStart w:id="174" w:name="_Toc68035834"/>
      <w:bookmarkStart w:id="175" w:name="_Toc68036010"/>
      <w:bookmarkStart w:id="176" w:name="_Toc68035835"/>
      <w:bookmarkStart w:id="177" w:name="_Toc68036011"/>
      <w:bookmarkStart w:id="178" w:name="_Toc68035836"/>
      <w:bookmarkStart w:id="179" w:name="_Toc68036012"/>
      <w:bookmarkStart w:id="180" w:name="_Toc68035837"/>
      <w:bookmarkStart w:id="181" w:name="_Toc68036013"/>
      <w:bookmarkStart w:id="182" w:name="_Toc68035838"/>
      <w:bookmarkStart w:id="183" w:name="_Toc68036014"/>
      <w:bookmarkStart w:id="184" w:name="_Toc68035839"/>
      <w:bookmarkStart w:id="185" w:name="_Toc68036015"/>
      <w:bookmarkStart w:id="186" w:name="_Toc68035841"/>
      <w:bookmarkStart w:id="187" w:name="_Toc68036017"/>
      <w:bookmarkStart w:id="188" w:name="_Toc68035842"/>
      <w:bookmarkStart w:id="189" w:name="_Toc68036018"/>
      <w:bookmarkStart w:id="190" w:name="_Toc68035843"/>
      <w:bookmarkStart w:id="191" w:name="_Toc68036019"/>
      <w:bookmarkStart w:id="192" w:name="_Toc66647256"/>
      <w:bookmarkStart w:id="193" w:name="_Toc66647618"/>
      <w:bookmarkStart w:id="194" w:name="_Toc66647745"/>
      <w:bookmarkStart w:id="195" w:name="_Toc66647794"/>
      <w:bookmarkStart w:id="196" w:name="_Toc66860976"/>
      <w:bookmarkStart w:id="197" w:name="_Toc66862920"/>
      <w:bookmarkStart w:id="198" w:name="_Toc66900251"/>
      <w:bookmarkStart w:id="199" w:name="_Toc66901833"/>
      <w:bookmarkStart w:id="200" w:name="_Toc67437539"/>
      <w:bookmarkStart w:id="201" w:name="_Toc67437577"/>
      <w:bookmarkStart w:id="202" w:name="_Toc67457125"/>
      <w:bookmarkStart w:id="203" w:name="_Toc67464646"/>
      <w:bookmarkStart w:id="204" w:name="_Toc68035844"/>
      <w:bookmarkStart w:id="205" w:name="_Toc68036020"/>
      <w:bookmarkStart w:id="206" w:name="_Toc66647257"/>
      <w:bookmarkStart w:id="207" w:name="_Toc66647619"/>
      <w:bookmarkStart w:id="208" w:name="_Toc66647746"/>
      <w:bookmarkStart w:id="209" w:name="_Toc66647795"/>
      <w:bookmarkStart w:id="210" w:name="_Toc66860977"/>
      <w:bookmarkStart w:id="211" w:name="_Toc66862921"/>
      <w:bookmarkStart w:id="212" w:name="_Toc66900252"/>
      <w:bookmarkStart w:id="213" w:name="_Toc66901834"/>
      <w:bookmarkStart w:id="214" w:name="_Toc67437540"/>
      <w:bookmarkStart w:id="215" w:name="_Toc67437578"/>
      <w:bookmarkStart w:id="216" w:name="_Toc67457126"/>
      <w:bookmarkStart w:id="217" w:name="_Toc67464647"/>
      <w:bookmarkStart w:id="218" w:name="_Toc68035845"/>
      <w:bookmarkStart w:id="219" w:name="_Toc68036021"/>
      <w:bookmarkStart w:id="220" w:name="_Toc68035846"/>
      <w:bookmarkStart w:id="221" w:name="_Toc68036022"/>
      <w:bookmarkStart w:id="222" w:name="_Toc68035847"/>
      <w:bookmarkStart w:id="223" w:name="_Toc68036023"/>
      <w:bookmarkStart w:id="224" w:name="_Toc68035848"/>
      <w:bookmarkStart w:id="225" w:name="_Toc68036024"/>
      <w:bookmarkStart w:id="226" w:name="_Toc68035849"/>
      <w:bookmarkStart w:id="227" w:name="_Toc68036025"/>
      <w:bookmarkStart w:id="228" w:name="_Toc68035850"/>
      <w:bookmarkStart w:id="229" w:name="_Toc68036026"/>
      <w:bookmarkStart w:id="230" w:name="_Toc68035851"/>
      <w:bookmarkStart w:id="231" w:name="_Toc68036027"/>
      <w:bookmarkStart w:id="232" w:name="_Toc68035852"/>
      <w:bookmarkStart w:id="233" w:name="_Toc68036028"/>
      <w:bookmarkStart w:id="234" w:name="_Toc68035853"/>
      <w:bookmarkStart w:id="235" w:name="_Toc68036029"/>
      <w:bookmarkStart w:id="236" w:name="_Toc68035854"/>
      <w:bookmarkStart w:id="237" w:name="_Toc68036030"/>
      <w:bookmarkStart w:id="238" w:name="_Toc68035855"/>
      <w:bookmarkStart w:id="239" w:name="_Toc68036031"/>
      <w:bookmarkStart w:id="240" w:name="_Toc68035856"/>
      <w:bookmarkStart w:id="241" w:name="_Toc68036032"/>
      <w:bookmarkStart w:id="242" w:name="_Toc68035857"/>
      <w:bookmarkStart w:id="243" w:name="_Toc68036033"/>
      <w:bookmarkStart w:id="244" w:name="_Toc68035858"/>
      <w:bookmarkStart w:id="245" w:name="_Toc68036034"/>
      <w:bookmarkStart w:id="246" w:name="_Toc68035859"/>
      <w:bookmarkStart w:id="247" w:name="_Toc68036035"/>
      <w:bookmarkStart w:id="248" w:name="_Toc68035860"/>
      <w:bookmarkStart w:id="249" w:name="_Toc68036036"/>
      <w:bookmarkStart w:id="250" w:name="_Toc68035861"/>
      <w:bookmarkStart w:id="251" w:name="_Toc68036037"/>
      <w:bookmarkStart w:id="252" w:name="_Toc68035862"/>
      <w:bookmarkStart w:id="253" w:name="_Toc680360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E646BB">
        <w:rPr>
          <w:rFonts w:eastAsiaTheme="minorEastAsia"/>
          <w:shd w:val="clear" w:color="auto" w:fill="FFFFFF"/>
        </w:rPr>
        <w:lastRenderedPageBreak/>
        <w:t>Činnost EDC bude na základě energetického zákona (implementujícího mj. i právní úpravu EU) předmětem (zákonného) monopolu, a to na základě výhradní licence udělené na dobu neurčitou Energetickým regulačním úřadem (nezávislý národní regulátor v energetice) pro celé území ČR. Služby elektroenergetického datového centra nebude oprávněn na území ČR poskytovat jiný subjekt než společnost EDC, jejímž akcionáři mohou být pouze energetickým zákonem vymezené subjekty, pro které je založení, resp. majetková účast na společnosti EDC a její provozování koncipováno jako jejich zákonná povinnost. Společnost EDC ani jí ovládané osoby současně nebudou moci být držiteli jiných licencí udělovaných dle energetického zákona a nebudou tak ze zákona moci působit na žádných jiných trzích v oblasti energetiky, k působení na nichž je nezbytná licence.  Jakkoli se činnost EDC na jiných trzích nepředpokládá, s ohledem na zákonem zakotvenou cenovou regulaci služeb elektroenergetického datového centra ze strany ERÚ, zohledňující ekonomicky oprávněné náklady EDC, budou navíc zajištěny mechanismy a postupy vylučující křížové subvencování</w:t>
      </w:r>
      <w:r w:rsidR="0028649D">
        <w:rPr>
          <w:rFonts w:eastAsiaTheme="minorEastAsia"/>
          <w:shd w:val="clear" w:color="auto" w:fill="FFFFFF"/>
        </w:rPr>
        <w:t xml:space="preserve"> </w:t>
      </w:r>
      <w:r w:rsidR="0028649D" w:rsidRPr="0028649D">
        <w:rPr>
          <w:rFonts w:eastAsiaTheme="minorEastAsia"/>
          <w:shd w:val="clear" w:color="auto" w:fill="FFFFFF"/>
        </w:rPr>
        <w:t>ve formě vedení odděleného účetnictví</w:t>
      </w:r>
      <w:r w:rsidR="0028649D">
        <w:rPr>
          <w:rFonts w:eastAsiaTheme="minorEastAsia"/>
          <w:shd w:val="clear" w:color="auto" w:fill="FFFFFF"/>
        </w:rPr>
        <w:t>.</w:t>
      </w:r>
      <w:r w:rsidRPr="00E646BB">
        <w:rPr>
          <w:rFonts w:eastAsiaTheme="minorEastAsia"/>
          <w:shd w:val="clear" w:color="auto" w:fill="FFFFFF"/>
        </w:rPr>
        <w:t xml:space="preserve"> Činnost společnosti EDC (služby elektroenergetického datového centra) budou předmětem zákonného monopolu a v případě podpor poskytovaných státem nebo z veřejných prostředků bude s ohledem na absenci existence hospodářské soutěže v oblasti poskytování těchto služeb vyloučeno naplnění minimálně jednoho z kumulativních definičních znaků veřejné podpory dle čl. 107 odst. 1 SFEU, a sice narušení či hrozícího narušení hospodářské soutěže.</w:t>
      </w:r>
    </w:p>
    <w:p w14:paraId="2F3DD5FF" w14:textId="77777777"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Existence zákonného monopolu je dána, pokud jsou kumulativně naplněna následující kritéria:</w:t>
      </w:r>
    </w:p>
    <w:p w14:paraId="72475B4B" w14:textId="77777777"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1.</w:t>
      </w:r>
      <w:r w:rsidRPr="00E646BB">
        <w:rPr>
          <w:rFonts w:eastAsiaTheme="minorEastAsia"/>
          <w:shd w:val="clear" w:color="auto" w:fill="FFFFFF"/>
        </w:rPr>
        <w:tab/>
        <w:t xml:space="preserve">služba je předmětem zákonného monopolu stanoveného v souladu s právem EU; </w:t>
      </w:r>
    </w:p>
    <w:p w14:paraId="36864D46" w14:textId="77777777"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2.</w:t>
      </w:r>
      <w:r w:rsidRPr="00E646BB">
        <w:rPr>
          <w:rFonts w:eastAsiaTheme="minorEastAsia"/>
          <w:shd w:val="clear" w:color="auto" w:fill="FFFFFF"/>
        </w:rPr>
        <w:tab/>
        <w:t>zákonný monopol vylučuje hospodářskou soutěž na trhu, jakož i hospodářskou soutěž pro daný trh jako takový, a to v tom smyslu, že vylučuje jakoukoli možnou hospodářskou soutěž, pokud jde o to stát se výhradním poskytovatelem dané služby;</w:t>
      </w:r>
    </w:p>
    <w:p w14:paraId="594F482D" w14:textId="77777777"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3.</w:t>
      </w:r>
      <w:r w:rsidRPr="00E646BB">
        <w:rPr>
          <w:rFonts w:eastAsiaTheme="minorEastAsia"/>
          <w:shd w:val="clear" w:color="auto" w:fill="FFFFFF"/>
        </w:rPr>
        <w:tab/>
        <w:t>daná služba nesoutěží s jinými službami;</w:t>
      </w:r>
    </w:p>
    <w:p w14:paraId="3B274429" w14:textId="5190C6B4" w:rsidR="00EA69C5" w:rsidRPr="00E646BB" w:rsidRDefault="00EA69C5" w:rsidP="00E646BB">
      <w:pPr>
        <w:spacing w:line="240" w:lineRule="auto"/>
        <w:jc w:val="both"/>
        <w:rPr>
          <w:rFonts w:eastAsiaTheme="minorEastAsia"/>
          <w:shd w:val="clear" w:color="auto" w:fill="FFFFFF"/>
        </w:rPr>
      </w:pPr>
      <w:r w:rsidRPr="00E646BB">
        <w:rPr>
          <w:rFonts w:eastAsiaTheme="minorEastAsia"/>
          <w:shd w:val="clear" w:color="auto" w:fill="FFFFFF"/>
        </w:rPr>
        <w:t>4.</w:t>
      </w:r>
      <w:r w:rsidRPr="00E646BB">
        <w:rPr>
          <w:rFonts w:eastAsiaTheme="minorEastAsia"/>
          <w:shd w:val="clear" w:color="auto" w:fill="FFFFFF"/>
        </w:rPr>
        <w:tab/>
        <w:t>pokud poskytovatel služby působí na jiném trhu, který je otevřen hospodářské soutěži, musí být vyloučeno křížové subvencování.</w:t>
      </w:r>
    </w:p>
    <w:p w14:paraId="6949F5AA" w14:textId="77777777" w:rsidR="00753334" w:rsidRDefault="00753334" w:rsidP="005860C5">
      <w:pPr>
        <w:jc w:val="both"/>
        <w:rPr>
          <w:rFonts w:eastAsiaTheme="minorEastAsia"/>
          <w:sz w:val="20"/>
          <w:szCs w:val="20"/>
          <w:shd w:val="clear" w:color="auto" w:fill="FFFFFF"/>
        </w:rPr>
      </w:pPr>
    </w:p>
    <w:p w14:paraId="1F32AF8D" w14:textId="27689EB8" w:rsidR="00413595" w:rsidRPr="001923DA" w:rsidRDefault="00413595" w:rsidP="005860C5">
      <w:pPr>
        <w:jc w:val="both"/>
        <w:rPr>
          <w:rFonts w:eastAsiaTheme="minorEastAsia"/>
          <w:sz w:val="20"/>
          <w:szCs w:val="20"/>
        </w:rPr>
      </w:pPr>
    </w:p>
    <w:sectPr w:rsidR="00413595" w:rsidRPr="001923DA" w:rsidSect="00CC5E40">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55AE70" w14:textId="77777777" w:rsidR="001134EC" w:rsidRDefault="001134EC" w:rsidP="00677FE0">
      <w:pPr>
        <w:spacing w:after="0" w:line="240" w:lineRule="auto"/>
      </w:pPr>
      <w:r>
        <w:separator/>
      </w:r>
    </w:p>
  </w:endnote>
  <w:endnote w:type="continuationSeparator" w:id="0">
    <w:p w14:paraId="50BE71FA" w14:textId="77777777" w:rsidR="001134EC" w:rsidRDefault="001134EC" w:rsidP="00677FE0">
      <w:pPr>
        <w:spacing w:after="0" w:line="240" w:lineRule="auto"/>
      </w:pPr>
      <w:r>
        <w:continuationSeparator/>
      </w:r>
    </w:p>
  </w:endnote>
  <w:endnote w:type="continuationNotice" w:id="1">
    <w:p w14:paraId="459F4745" w14:textId="77777777" w:rsidR="001134EC" w:rsidRDefault="001134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EYInterstate Light">
    <w:altName w:val="Calibri"/>
    <w:charset w:val="EE"/>
    <w:family w:val="auto"/>
    <w:pitch w:val="variable"/>
    <w:sig w:usb0="A00002AF" w:usb1="5000206A"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0BF34" w14:textId="77777777" w:rsidR="00A6296B" w:rsidRDefault="00A629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B0341" w14:textId="77777777" w:rsidR="215E4B58" w:rsidRDefault="215E4B58" w:rsidP="215E4B58">
    <w:pPr>
      <w:pStyle w:val="Zpat"/>
      <w:jc w:val="center"/>
    </w:pPr>
    <w:r w:rsidRPr="215E4B58">
      <w:fldChar w:fldCharType="begin"/>
    </w:r>
    <w:r>
      <w:instrText>PAGE</w:instrText>
    </w:r>
    <w:r w:rsidRPr="215E4B58">
      <w:fldChar w:fldCharType="separate"/>
    </w:r>
    <w:r w:rsidR="00DF78BE">
      <w:rPr>
        <w:noProof/>
      </w:rPr>
      <w:t>1</w:t>
    </w:r>
    <w:r w:rsidRPr="215E4B58">
      <w:fldChar w:fldCharType="end"/>
    </w:r>
  </w:p>
  <w:p w14:paraId="57B89C3E" w14:textId="77777777" w:rsidR="00A6296B" w:rsidRDefault="00A6296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EF8BD" w14:textId="77777777" w:rsidR="00A6296B" w:rsidRDefault="00A629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81F78" w14:textId="77777777" w:rsidR="001134EC" w:rsidRDefault="001134EC" w:rsidP="00677FE0">
      <w:pPr>
        <w:spacing w:after="0" w:line="240" w:lineRule="auto"/>
      </w:pPr>
      <w:r>
        <w:separator/>
      </w:r>
    </w:p>
  </w:footnote>
  <w:footnote w:type="continuationSeparator" w:id="0">
    <w:p w14:paraId="57F18E82" w14:textId="77777777" w:rsidR="001134EC" w:rsidRDefault="001134EC" w:rsidP="00677FE0">
      <w:pPr>
        <w:spacing w:after="0" w:line="240" w:lineRule="auto"/>
      </w:pPr>
      <w:r>
        <w:continuationSeparator/>
      </w:r>
    </w:p>
  </w:footnote>
  <w:footnote w:type="continuationNotice" w:id="1">
    <w:p w14:paraId="19C4DC00" w14:textId="77777777" w:rsidR="001134EC" w:rsidRDefault="001134EC">
      <w:pPr>
        <w:spacing w:after="0" w:line="240" w:lineRule="auto"/>
      </w:pPr>
    </w:p>
  </w:footnote>
  <w:footnote w:id="2">
    <w:p w14:paraId="180B249C" w14:textId="77777777" w:rsidR="00815814" w:rsidRDefault="00815814" w:rsidP="00815814">
      <w:pPr>
        <w:pStyle w:val="Textpoznpodarou"/>
      </w:pPr>
      <w:r>
        <w:rPr>
          <w:rStyle w:val="Znakapoznpodarou"/>
        </w:rPr>
        <w:footnoteRef/>
      </w:r>
      <w:r>
        <w:t xml:space="preserve"> </w:t>
      </w:r>
      <w:r>
        <w:rPr>
          <w:noProof/>
        </w:rPr>
        <w:t>Národní akční plán pro chytré sítě 2019-2030 je dosutpný na následu</w:t>
      </w:r>
      <w:r w:rsidRPr="00444260">
        <w:t xml:space="preserve">jícím </w:t>
      </w:r>
      <w:hyperlink r:id="rId1" w:history="1">
        <w:r w:rsidRPr="00444260">
          <w:rPr>
            <w:rStyle w:val="Hypertextovodkaz"/>
          </w:rPr>
          <w:t>odkaze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714BC" w14:textId="77777777" w:rsidR="00A6296B" w:rsidRDefault="00A629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A2E64" w14:textId="77777777" w:rsidR="00A6296B" w:rsidRDefault="00A6296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6A685" w14:textId="77777777" w:rsidR="00A6296B" w:rsidRDefault="00A629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12905EFF"/>
    <w:multiLevelType w:val="hybridMultilevel"/>
    <w:tmpl w:val="AF1C6A5A"/>
    <w:lvl w:ilvl="0" w:tplc="7D2EE45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0316F8"/>
    <w:multiLevelType w:val="multilevel"/>
    <w:tmpl w:val="3320A8B2"/>
    <w:numStyleLink w:val="VariantaB-odrky"/>
  </w:abstractNum>
  <w:abstractNum w:abstractNumId="3" w15:restartNumberingAfterBreak="0">
    <w:nsid w:val="1615572B"/>
    <w:multiLevelType w:val="hybridMultilevel"/>
    <w:tmpl w:val="3320A8B2"/>
    <w:styleLink w:val="VariantaB-odrky"/>
    <w:lvl w:ilvl="0" w:tplc="DF66CBD2">
      <w:start w:val="1"/>
      <w:numFmt w:val="bullet"/>
      <w:pStyle w:val="SeznamsodrkamiB"/>
      <w:lvlText w:val="—"/>
      <w:lvlJc w:val="left"/>
      <w:pPr>
        <w:ind w:left="357" w:hanging="357"/>
      </w:pPr>
      <w:rPr>
        <w:rFonts w:ascii="Calibri" w:hAnsi="Calibri" w:hint="default"/>
        <w:sz w:val="16"/>
      </w:rPr>
    </w:lvl>
    <w:lvl w:ilvl="1" w:tplc="D1E0198C">
      <w:start w:val="1"/>
      <w:numFmt w:val="bullet"/>
      <w:pStyle w:val="SeznamsodrkamiB2"/>
      <w:lvlText w:val=""/>
      <w:lvlJc w:val="left"/>
      <w:pPr>
        <w:ind w:left="714" w:hanging="357"/>
      </w:pPr>
      <w:rPr>
        <w:rFonts w:ascii="Wingdings" w:hAnsi="Wingdings" w:hint="default"/>
        <w:sz w:val="14"/>
      </w:rPr>
    </w:lvl>
    <w:lvl w:ilvl="2" w:tplc="9962AD50">
      <w:start w:val="1"/>
      <w:numFmt w:val="bullet"/>
      <w:pStyle w:val="SeznamsodrkamiB3"/>
      <w:lvlText w:val=""/>
      <w:lvlJc w:val="left"/>
      <w:pPr>
        <w:ind w:left="1071" w:hanging="357"/>
      </w:pPr>
      <w:rPr>
        <w:rFonts w:ascii="Wingdings 2" w:hAnsi="Wingdings 2" w:hint="default"/>
      </w:rPr>
    </w:lvl>
    <w:lvl w:ilvl="3" w:tplc="82CAF482">
      <w:start w:val="1"/>
      <w:numFmt w:val="bullet"/>
      <w:pStyle w:val="SeznamsodrkamiB4"/>
      <w:lvlText w:val=""/>
      <w:lvlJc w:val="left"/>
      <w:pPr>
        <w:ind w:left="1428" w:hanging="357"/>
      </w:pPr>
      <w:rPr>
        <w:rFonts w:ascii="Wingdings 2" w:hAnsi="Wingdings 2" w:hint="default"/>
      </w:rPr>
    </w:lvl>
    <w:lvl w:ilvl="4" w:tplc="D65E8F06">
      <w:start w:val="1"/>
      <w:numFmt w:val="bullet"/>
      <w:pStyle w:val="SeznamsodrkamiB5"/>
      <w:lvlText w:val=""/>
      <w:lvlJc w:val="left"/>
      <w:pPr>
        <w:ind w:left="1785" w:hanging="357"/>
      </w:pPr>
      <w:rPr>
        <w:rFonts w:ascii="Wingdings 2" w:hAnsi="Wingdings 2" w:hint="default"/>
      </w:rPr>
    </w:lvl>
    <w:lvl w:ilvl="5" w:tplc="6490509A">
      <w:start w:val="1"/>
      <w:numFmt w:val="bullet"/>
      <w:lvlText w:val=""/>
      <w:lvlJc w:val="left"/>
      <w:pPr>
        <w:ind w:left="2142" w:hanging="357"/>
      </w:pPr>
      <w:rPr>
        <w:rFonts w:ascii="Wingdings 2" w:hAnsi="Wingdings 2" w:cs="Times New Roman" w:hint="default"/>
      </w:rPr>
    </w:lvl>
    <w:lvl w:ilvl="6" w:tplc="BB646E76">
      <w:start w:val="1"/>
      <w:numFmt w:val="bullet"/>
      <w:lvlText w:val=""/>
      <w:lvlJc w:val="left"/>
      <w:pPr>
        <w:ind w:left="2499" w:hanging="357"/>
      </w:pPr>
      <w:rPr>
        <w:rFonts w:ascii="Wingdings 2" w:hAnsi="Wingdings 2" w:cs="Times New Roman" w:hint="default"/>
      </w:rPr>
    </w:lvl>
    <w:lvl w:ilvl="7" w:tplc="FFA880C6">
      <w:start w:val="1"/>
      <w:numFmt w:val="bullet"/>
      <w:lvlText w:val=""/>
      <w:lvlJc w:val="left"/>
      <w:pPr>
        <w:ind w:left="2856" w:hanging="357"/>
      </w:pPr>
      <w:rPr>
        <w:rFonts w:ascii="Wingdings 2" w:hAnsi="Wingdings 2" w:cs="Times New Roman" w:hint="default"/>
      </w:rPr>
    </w:lvl>
    <w:lvl w:ilvl="8" w:tplc="A1B2C9B8">
      <w:start w:val="1"/>
      <w:numFmt w:val="bullet"/>
      <w:lvlText w:val=""/>
      <w:lvlJc w:val="left"/>
      <w:pPr>
        <w:ind w:left="3213" w:hanging="357"/>
      </w:pPr>
      <w:rPr>
        <w:rFonts w:ascii="Wingdings 2" w:hAnsi="Wingdings 2" w:cs="Times New Roman" w:hint="default"/>
      </w:rPr>
    </w:lvl>
  </w:abstractNum>
  <w:abstractNum w:abstractNumId="4" w15:restartNumberingAfterBreak="0">
    <w:nsid w:val="191872DA"/>
    <w:multiLevelType w:val="multilevel"/>
    <w:tmpl w:val="E8A48D7C"/>
    <w:numStyleLink w:val="VariantaA-sla"/>
  </w:abstractNum>
  <w:abstractNum w:abstractNumId="5"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B430BA4"/>
    <w:multiLevelType w:val="hybridMultilevel"/>
    <w:tmpl w:val="BB7E74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9A5EA2"/>
    <w:multiLevelType w:val="hybridMultilevel"/>
    <w:tmpl w:val="E8BAE50A"/>
    <w:numStyleLink w:val="VariantaA-odrky"/>
  </w:abstractNum>
  <w:abstractNum w:abstractNumId="8" w15:restartNumberingAfterBreak="0">
    <w:nsid w:val="29D343A9"/>
    <w:multiLevelType w:val="hybridMultilevel"/>
    <w:tmpl w:val="CA047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517193"/>
    <w:multiLevelType w:val="hybridMultilevel"/>
    <w:tmpl w:val="010688C6"/>
    <w:lvl w:ilvl="0" w:tplc="040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CAD7C82"/>
    <w:multiLevelType w:val="multilevel"/>
    <w:tmpl w:val="60807F3E"/>
    <w:lvl w:ilvl="0">
      <w:start w:val="1"/>
      <w:numFmt w:val="bullet"/>
      <w:pStyle w:val="EYBulletedList1"/>
      <w:lvlText w:val="•"/>
      <w:lvlJc w:val="left"/>
      <w:pPr>
        <w:tabs>
          <w:tab w:val="num" w:pos="288"/>
        </w:tabs>
        <w:ind w:left="288" w:hanging="288"/>
      </w:pPr>
      <w:rPr>
        <w:rFonts w:ascii="EYInterstate Light" w:hAnsi="EYInterstate Light" w:hint="default"/>
        <w:b w:val="0"/>
        <w:i w:val="0"/>
        <w:color w:val="FFD200"/>
        <w:sz w:val="20"/>
        <w:szCs w:val="24"/>
        <w:lang w:val="sk-SK"/>
      </w:rPr>
    </w:lvl>
    <w:lvl w:ilvl="1">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11" w15:restartNumberingAfterBreak="0">
    <w:nsid w:val="3FC17F6F"/>
    <w:multiLevelType w:val="hybridMultilevel"/>
    <w:tmpl w:val="3E90A680"/>
    <w:lvl w:ilvl="0" w:tplc="744270E8">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9D38E994" w:tentative="1">
      <w:start w:val="1"/>
      <w:numFmt w:val="lowerLetter"/>
      <w:lvlText w:val="%3)"/>
      <w:lvlJc w:val="left"/>
      <w:pPr>
        <w:tabs>
          <w:tab w:val="num" w:pos="2160"/>
        </w:tabs>
        <w:ind w:left="2160" w:hanging="360"/>
      </w:pPr>
    </w:lvl>
    <w:lvl w:ilvl="3" w:tplc="837C9CC8" w:tentative="1">
      <w:start w:val="1"/>
      <w:numFmt w:val="lowerLetter"/>
      <w:lvlText w:val="%4)"/>
      <w:lvlJc w:val="left"/>
      <w:pPr>
        <w:tabs>
          <w:tab w:val="num" w:pos="2880"/>
        </w:tabs>
        <w:ind w:left="2880" w:hanging="360"/>
      </w:pPr>
    </w:lvl>
    <w:lvl w:ilvl="4" w:tplc="2190E806" w:tentative="1">
      <w:start w:val="1"/>
      <w:numFmt w:val="lowerLetter"/>
      <w:lvlText w:val="%5)"/>
      <w:lvlJc w:val="left"/>
      <w:pPr>
        <w:tabs>
          <w:tab w:val="num" w:pos="3600"/>
        </w:tabs>
        <w:ind w:left="3600" w:hanging="360"/>
      </w:pPr>
    </w:lvl>
    <w:lvl w:ilvl="5" w:tplc="EF0883E6" w:tentative="1">
      <w:start w:val="1"/>
      <w:numFmt w:val="lowerLetter"/>
      <w:lvlText w:val="%6)"/>
      <w:lvlJc w:val="left"/>
      <w:pPr>
        <w:tabs>
          <w:tab w:val="num" w:pos="4320"/>
        </w:tabs>
        <w:ind w:left="4320" w:hanging="360"/>
      </w:pPr>
    </w:lvl>
    <w:lvl w:ilvl="6" w:tplc="79E020BE" w:tentative="1">
      <w:start w:val="1"/>
      <w:numFmt w:val="lowerLetter"/>
      <w:lvlText w:val="%7)"/>
      <w:lvlJc w:val="left"/>
      <w:pPr>
        <w:tabs>
          <w:tab w:val="num" w:pos="5040"/>
        </w:tabs>
        <w:ind w:left="5040" w:hanging="360"/>
      </w:pPr>
    </w:lvl>
    <w:lvl w:ilvl="7" w:tplc="926A865A" w:tentative="1">
      <w:start w:val="1"/>
      <w:numFmt w:val="lowerLetter"/>
      <w:lvlText w:val="%8)"/>
      <w:lvlJc w:val="left"/>
      <w:pPr>
        <w:tabs>
          <w:tab w:val="num" w:pos="5760"/>
        </w:tabs>
        <w:ind w:left="5760" w:hanging="360"/>
      </w:pPr>
    </w:lvl>
    <w:lvl w:ilvl="8" w:tplc="B6D22DDA" w:tentative="1">
      <w:start w:val="1"/>
      <w:numFmt w:val="lowerLetter"/>
      <w:lvlText w:val="%9)"/>
      <w:lvlJc w:val="left"/>
      <w:pPr>
        <w:tabs>
          <w:tab w:val="num" w:pos="6480"/>
        </w:tabs>
        <w:ind w:left="6480" w:hanging="360"/>
      </w:pPr>
    </w:lvl>
  </w:abstractNum>
  <w:abstractNum w:abstractNumId="12" w15:restartNumberingAfterBreak="0">
    <w:nsid w:val="416E67A2"/>
    <w:multiLevelType w:val="hybridMultilevel"/>
    <w:tmpl w:val="E1AE76EA"/>
    <w:lvl w:ilvl="0" w:tplc="B7AE2B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8A321E4"/>
    <w:multiLevelType w:val="hybridMultilevel"/>
    <w:tmpl w:val="E8BAE50A"/>
    <w:styleLink w:val="VariantaA-odrky"/>
    <w:lvl w:ilvl="0" w:tplc="047A364E">
      <w:start w:val="1"/>
      <w:numFmt w:val="bullet"/>
      <w:pStyle w:val="Seznamsodrkami"/>
      <w:lvlText w:val=""/>
      <w:lvlJc w:val="left"/>
      <w:pPr>
        <w:ind w:left="357" w:hanging="357"/>
      </w:pPr>
      <w:rPr>
        <w:rFonts w:ascii="Wingdings" w:hAnsi="Wingdings" w:hint="default"/>
        <w:sz w:val="16"/>
      </w:rPr>
    </w:lvl>
    <w:lvl w:ilvl="1" w:tplc="CCA8D0D2">
      <w:start w:val="1"/>
      <w:numFmt w:val="bullet"/>
      <w:pStyle w:val="Seznamsodrkami2"/>
      <w:lvlText w:val=""/>
      <w:lvlJc w:val="left"/>
      <w:pPr>
        <w:ind w:left="714" w:hanging="357"/>
      </w:pPr>
      <w:rPr>
        <w:rFonts w:ascii="Wingdings" w:hAnsi="Wingdings" w:hint="default"/>
        <w:sz w:val="14"/>
      </w:rPr>
    </w:lvl>
    <w:lvl w:ilvl="2" w:tplc="BC269F70">
      <w:start w:val="1"/>
      <w:numFmt w:val="bullet"/>
      <w:pStyle w:val="Seznamsodrkami3"/>
      <w:lvlText w:val=""/>
      <w:lvlJc w:val="left"/>
      <w:pPr>
        <w:ind w:left="1071" w:hanging="357"/>
      </w:pPr>
      <w:rPr>
        <w:rFonts w:ascii="Wingdings" w:hAnsi="Wingdings" w:hint="default"/>
        <w:sz w:val="10"/>
      </w:rPr>
    </w:lvl>
    <w:lvl w:ilvl="3" w:tplc="3C527C5E">
      <w:start w:val="1"/>
      <w:numFmt w:val="bullet"/>
      <w:pStyle w:val="Seznamsodrkami4"/>
      <w:lvlText w:val=""/>
      <w:lvlJc w:val="left"/>
      <w:pPr>
        <w:ind w:left="1428" w:hanging="357"/>
      </w:pPr>
      <w:rPr>
        <w:rFonts w:ascii="Wingdings" w:hAnsi="Wingdings" w:hint="default"/>
        <w:sz w:val="10"/>
      </w:rPr>
    </w:lvl>
    <w:lvl w:ilvl="4" w:tplc="7F82252A">
      <w:start w:val="1"/>
      <w:numFmt w:val="bullet"/>
      <w:pStyle w:val="Seznamsodrkami5"/>
      <w:lvlText w:val=""/>
      <w:lvlJc w:val="left"/>
      <w:pPr>
        <w:ind w:left="1785" w:hanging="357"/>
      </w:pPr>
      <w:rPr>
        <w:rFonts w:ascii="Wingdings" w:hAnsi="Wingdings" w:hint="default"/>
        <w:sz w:val="10"/>
      </w:rPr>
    </w:lvl>
    <w:lvl w:ilvl="5" w:tplc="38C68910">
      <w:start w:val="1"/>
      <w:numFmt w:val="bullet"/>
      <w:lvlText w:val=""/>
      <w:lvlJc w:val="left"/>
      <w:pPr>
        <w:ind w:left="2142" w:hanging="357"/>
      </w:pPr>
      <w:rPr>
        <w:rFonts w:ascii="Wingdings" w:hAnsi="Wingdings" w:hint="default"/>
        <w:sz w:val="10"/>
      </w:rPr>
    </w:lvl>
    <w:lvl w:ilvl="6" w:tplc="CF50DFCE">
      <w:start w:val="1"/>
      <w:numFmt w:val="bullet"/>
      <w:lvlText w:val=""/>
      <w:lvlJc w:val="left"/>
      <w:pPr>
        <w:ind w:left="2499" w:hanging="357"/>
      </w:pPr>
      <w:rPr>
        <w:rFonts w:ascii="Wingdings" w:hAnsi="Wingdings" w:hint="default"/>
        <w:sz w:val="10"/>
      </w:rPr>
    </w:lvl>
    <w:lvl w:ilvl="7" w:tplc="91A636B2">
      <w:start w:val="1"/>
      <w:numFmt w:val="bullet"/>
      <w:lvlText w:val=""/>
      <w:lvlJc w:val="left"/>
      <w:pPr>
        <w:ind w:left="2856" w:hanging="357"/>
      </w:pPr>
      <w:rPr>
        <w:rFonts w:ascii="Wingdings" w:hAnsi="Wingdings" w:hint="default"/>
        <w:sz w:val="10"/>
      </w:rPr>
    </w:lvl>
    <w:lvl w:ilvl="8" w:tplc="9312846E">
      <w:start w:val="1"/>
      <w:numFmt w:val="bullet"/>
      <w:lvlText w:val=""/>
      <w:lvlJc w:val="left"/>
      <w:pPr>
        <w:ind w:left="3213" w:hanging="357"/>
      </w:pPr>
      <w:rPr>
        <w:rFonts w:ascii="Wingdings" w:hAnsi="Wingdings" w:hint="default"/>
        <w:color w:val="000000" w:themeColor="text1"/>
        <w:sz w:val="10"/>
      </w:rPr>
    </w:lvl>
  </w:abstractNum>
  <w:abstractNum w:abstractNumId="15" w15:restartNumberingAfterBreak="0">
    <w:nsid w:val="5AF35F43"/>
    <w:multiLevelType w:val="hybridMultilevel"/>
    <w:tmpl w:val="0D8ABE32"/>
    <w:numStyleLink w:val="VariantaB-sla"/>
  </w:abstractNum>
  <w:abstractNum w:abstractNumId="16" w15:restartNumberingAfterBreak="0">
    <w:nsid w:val="6BDA4DEB"/>
    <w:multiLevelType w:val="hybridMultilevel"/>
    <w:tmpl w:val="058663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13"/>
  </w:num>
  <w:num w:numId="4">
    <w:abstractNumId w:val="0"/>
  </w:num>
  <w:num w:numId="5">
    <w:abstractNumId w:val="15"/>
  </w:num>
  <w:num w:numId="6">
    <w:abstractNumId w:val="7"/>
  </w:num>
  <w:num w:numId="7">
    <w:abstractNumId w:val="4"/>
  </w:num>
  <w:num w:numId="8">
    <w:abstractNumId w:val="2"/>
  </w:num>
  <w:num w:numId="9">
    <w:abstractNumId w:val="5"/>
  </w:num>
  <w:num w:numId="10">
    <w:abstractNumId w:val="10"/>
  </w:num>
  <w:num w:numId="11">
    <w:abstractNumId w:val="12"/>
  </w:num>
  <w:num w:numId="12">
    <w:abstractNumId w:val="11"/>
  </w:num>
  <w:num w:numId="13">
    <w:abstractNumId w:val="9"/>
  </w:num>
  <w:num w:numId="14">
    <w:abstractNumId w:val="8"/>
  </w:num>
  <w:num w:numId="15">
    <w:abstractNumId w:val="6"/>
  </w:num>
  <w:num w:numId="16">
    <w:abstractNumId w:val="1"/>
  </w:num>
  <w:num w:numId="17">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6C3"/>
    <w:rsid w:val="00002101"/>
    <w:rsid w:val="0000648F"/>
    <w:rsid w:val="00012DB3"/>
    <w:rsid w:val="00013CDF"/>
    <w:rsid w:val="00015306"/>
    <w:rsid w:val="00016EC7"/>
    <w:rsid w:val="000203DD"/>
    <w:rsid w:val="000211C9"/>
    <w:rsid w:val="0002226F"/>
    <w:rsid w:val="00023BA8"/>
    <w:rsid w:val="00025358"/>
    <w:rsid w:val="00025FDB"/>
    <w:rsid w:val="0002674B"/>
    <w:rsid w:val="00030685"/>
    <w:rsid w:val="00031BE0"/>
    <w:rsid w:val="00035374"/>
    <w:rsid w:val="00035AB3"/>
    <w:rsid w:val="00037C4D"/>
    <w:rsid w:val="00037E2A"/>
    <w:rsid w:val="00040DAC"/>
    <w:rsid w:val="000412BE"/>
    <w:rsid w:val="0004162E"/>
    <w:rsid w:val="00042D21"/>
    <w:rsid w:val="0004301A"/>
    <w:rsid w:val="0004457D"/>
    <w:rsid w:val="0004786B"/>
    <w:rsid w:val="00053233"/>
    <w:rsid w:val="00054D9A"/>
    <w:rsid w:val="00055126"/>
    <w:rsid w:val="0006176D"/>
    <w:rsid w:val="00062EBE"/>
    <w:rsid w:val="00063405"/>
    <w:rsid w:val="00063704"/>
    <w:rsid w:val="00063AE6"/>
    <w:rsid w:val="00070134"/>
    <w:rsid w:val="00071449"/>
    <w:rsid w:val="00071A19"/>
    <w:rsid w:val="000725E3"/>
    <w:rsid w:val="00072FB2"/>
    <w:rsid w:val="00073716"/>
    <w:rsid w:val="000809B9"/>
    <w:rsid w:val="00080B11"/>
    <w:rsid w:val="00081059"/>
    <w:rsid w:val="00081843"/>
    <w:rsid w:val="00083DF4"/>
    <w:rsid w:val="000860FB"/>
    <w:rsid w:val="000874EB"/>
    <w:rsid w:val="00090B0F"/>
    <w:rsid w:val="00090B40"/>
    <w:rsid w:val="0009367D"/>
    <w:rsid w:val="00095A0A"/>
    <w:rsid w:val="00095EBD"/>
    <w:rsid w:val="000978D3"/>
    <w:rsid w:val="000A068C"/>
    <w:rsid w:val="000A06CE"/>
    <w:rsid w:val="000A20FE"/>
    <w:rsid w:val="000A51B9"/>
    <w:rsid w:val="000A6178"/>
    <w:rsid w:val="000A7B21"/>
    <w:rsid w:val="000B0096"/>
    <w:rsid w:val="000B1B3D"/>
    <w:rsid w:val="000B3F23"/>
    <w:rsid w:val="000B5465"/>
    <w:rsid w:val="000B5735"/>
    <w:rsid w:val="000C0598"/>
    <w:rsid w:val="000C1774"/>
    <w:rsid w:val="000C23CF"/>
    <w:rsid w:val="000C28A7"/>
    <w:rsid w:val="000C2A5C"/>
    <w:rsid w:val="000C4CAF"/>
    <w:rsid w:val="000C7468"/>
    <w:rsid w:val="000C7D65"/>
    <w:rsid w:val="000D0C47"/>
    <w:rsid w:val="000D2A5B"/>
    <w:rsid w:val="000D55FA"/>
    <w:rsid w:val="000D652B"/>
    <w:rsid w:val="000D6D87"/>
    <w:rsid w:val="000E09B1"/>
    <w:rsid w:val="000E0A43"/>
    <w:rsid w:val="000E0B3F"/>
    <w:rsid w:val="000E2207"/>
    <w:rsid w:val="000E2EE0"/>
    <w:rsid w:val="000E3271"/>
    <w:rsid w:val="000E6112"/>
    <w:rsid w:val="000F09DA"/>
    <w:rsid w:val="000F1F07"/>
    <w:rsid w:val="000F3C01"/>
    <w:rsid w:val="00102A5F"/>
    <w:rsid w:val="00102D74"/>
    <w:rsid w:val="00102DE8"/>
    <w:rsid w:val="0010468C"/>
    <w:rsid w:val="00107969"/>
    <w:rsid w:val="00111390"/>
    <w:rsid w:val="00111409"/>
    <w:rsid w:val="00111E91"/>
    <w:rsid w:val="00112196"/>
    <w:rsid w:val="001134EC"/>
    <w:rsid w:val="00113A4E"/>
    <w:rsid w:val="001153CF"/>
    <w:rsid w:val="00121303"/>
    <w:rsid w:val="00121485"/>
    <w:rsid w:val="001248EA"/>
    <w:rsid w:val="00124C9C"/>
    <w:rsid w:val="00125D05"/>
    <w:rsid w:val="001268B0"/>
    <w:rsid w:val="001319CE"/>
    <w:rsid w:val="00132913"/>
    <w:rsid w:val="00133487"/>
    <w:rsid w:val="00133AF5"/>
    <w:rsid w:val="00134FB0"/>
    <w:rsid w:val="00140698"/>
    <w:rsid w:val="001428EA"/>
    <w:rsid w:val="00142DDD"/>
    <w:rsid w:val="00143FA6"/>
    <w:rsid w:val="00144747"/>
    <w:rsid w:val="00145C41"/>
    <w:rsid w:val="0015052B"/>
    <w:rsid w:val="0015109D"/>
    <w:rsid w:val="00151963"/>
    <w:rsid w:val="0015291B"/>
    <w:rsid w:val="00153388"/>
    <w:rsid w:val="001545AC"/>
    <w:rsid w:val="001548C7"/>
    <w:rsid w:val="00154B73"/>
    <w:rsid w:val="00162038"/>
    <w:rsid w:val="00164836"/>
    <w:rsid w:val="001653A1"/>
    <w:rsid w:val="001662BF"/>
    <w:rsid w:val="00170265"/>
    <w:rsid w:val="00170DCE"/>
    <w:rsid w:val="001712B7"/>
    <w:rsid w:val="001714B9"/>
    <w:rsid w:val="0017315B"/>
    <w:rsid w:val="001745AA"/>
    <w:rsid w:val="00174733"/>
    <w:rsid w:val="00176997"/>
    <w:rsid w:val="001773FA"/>
    <w:rsid w:val="001776FA"/>
    <w:rsid w:val="0018051B"/>
    <w:rsid w:val="001805A8"/>
    <w:rsid w:val="00181F38"/>
    <w:rsid w:val="00183DEC"/>
    <w:rsid w:val="00184B65"/>
    <w:rsid w:val="001857BE"/>
    <w:rsid w:val="001923DA"/>
    <w:rsid w:val="001931B7"/>
    <w:rsid w:val="0019324B"/>
    <w:rsid w:val="0019508B"/>
    <w:rsid w:val="00196474"/>
    <w:rsid w:val="00197361"/>
    <w:rsid w:val="001A0752"/>
    <w:rsid w:val="001A1083"/>
    <w:rsid w:val="001A214F"/>
    <w:rsid w:val="001A2CE4"/>
    <w:rsid w:val="001A2DFE"/>
    <w:rsid w:val="001A77EC"/>
    <w:rsid w:val="001B1E4A"/>
    <w:rsid w:val="001B2AFE"/>
    <w:rsid w:val="001B58AA"/>
    <w:rsid w:val="001B7D80"/>
    <w:rsid w:val="001C0B41"/>
    <w:rsid w:val="001C1EAD"/>
    <w:rsid w:val="001C22D1"/>
    <w:rsid w:val="001C32BD"/>
    <w:rsid w:val="001C38FE"/>
    <w:rsid w:val="001C466E"/>
    <w:rsid w:val="001C4DFD"/>
    <w:rsid w:val="001C67F5"/>
    <w:rsid w:val="001D0660"/>
    <w:rsid w:val="001D2656"/>
    <w:rsid w:val="001D27C0"/>
    <w:rsid w:val="001D28BA"/>
    <w:rsid w:val="001D5C30"/>
    <w:rsid w:val="001D7312"/>
    <w:rsid w:val="001E0C5E"/>
    <w:rsid w:val="001E1753"/>
    <w:rsid w:val="001E6DCE"/>
    <w:rsid w:val="001E74C3"/>
    <w:rsid w:val="001E7B02"/>
    <w:rsid w:val="001F36B9"/>
    <w:rsid w:val="001F5210"/>
    <w:rsid w:val="001F546C"/>
    <w:rsid w:val="001F6937"/>
    <w:rsid w:val="002020B2"/>
    <w:rsid w:val="002035A9"/>
    <w:rsid w:val="0020468E"/>
    <w:rsid w:val="002054C5"/>
    <w:rsid w:val="00206827"/>
    <w:rsid w:val="00206E20"/>
    <w:rsid w:val="00207FC3"/>
    <w:rsid w:val="002109F0"/>
    <w:rsid w:val="00210E99"/>
    <w:rsid w:val="00211ED5"/>
    <w:rsid w:val="002128EB"/>
    <w:rsid w:val="002173BC"/>
    <w:rsid w:val="00217569"/>
    <w:rsid w:val="00220DE3"/>
    <w:rsid w:val="0022436D"/>
    <w:rsid w:val="00224EBD"/>
    <w:rsid w:val="00225B4E"/>
    <w:rsid w:val="002273A1"/>
    <w:rsid w:val="00231688"/>
    <w:rsid w:val="002319C5"/>
    <w:rsid w:val="00232373"/>
    <w:rsid w:val="002323C3"/>
    <w:rsid w:val="00232BED"/>
    <w:rsid w:val="0023622E"/>
    <w:rsid w:val="00237472"/>
    <w:rsid w:val="00241DF0"/>
    <w:rsid w:val="0024235A"/>
    <w:rsid w:val="002424D3"/>
    <w:rsid w:val="00243F1F"/>
    <w:rsid w:val="00244294"/>
    <w:rsid w:val="00244CC8"/>
    <w:rsid w:val="00244E5E"/>
    <w:rsid w:val="0024696D"/>
    <w:rsid w:val="002507BF"/>
    <w:rsid w:val="0025176B"/>
    <w:rsid w:val="00251DC6"/>
    <w:rsid w:val="00251F06"/>
    <w:rsid w:val="0025290D"/>
    <w:rsid w:val="00256E50"/>
    <w:rsid w:val="002601AA"/>
    <w:rsid w:val="00260372"/>
    <w:rsid w:val="00261049"/>
    <w:rsid w:val="00261A74"/>
    <w:rsid w:val="00262DAF"/>
    <w:rsid w:val="002657D9"/>
    <w:rsid w:val="00267A06"/>
    <w:rsid w:val="00270919"/>
    <w:rsid w:val="00270E55"/>
    <w:rsid w:val="00277902"/>
    <w:rsid w:val="002815D6"/>
    <w:rsid w:val="0028200B"/>
    <w:rsid w:val="0028282D"/>
    <w:rsid w:val="002835C0"/>
    <w:rsid w:val="0028452A"/>
    <w:rsid w:val="00285AED"/>
    <w:rsid w:val="0028649D"/>
    <w:rsid w:val="0029165A"/>
    <w:rsid w:val="0029207C"/>
    <w:rsid w:val="00294787"/>
    <w:rsid w:val="00295A97"/>
    <w:rsid w:val="00295AC0"/>
    <w:rsid w:val="002A264C"/>
    <w:rsid w:val="002A47D4"/>
    <w:rsid w:val="002A5BC1"/>
    <w:rsid w:val="002B02A5"/>
    <w:rsid w:val="002B1A15"/>
    <w:rsid w:val="002B37C9"/>
    <w:rsid w:val="002C0F20"/>
    <w:rsid w:val="002C1F5D"/>
    <w:rsid w:val="002C20CF"/>
    <w:rsid w:val="002C446B"/>
    <w:rsid w:val="002C44E5"/>
    <w:rsid w:val="002C4FCC"/>
    <w:rsid w:val="002C7B89"/>
    <w:rsid w:val="002D1254"/>
    <w:rsid w:val="002D2B80"/>
    <w:rsid w:val="002D2FA4"/>
    <w:rsid w:val="002D34E3"/>
    <w:rsid w:val="002D40E6"/>
    <w:rsid w:val="002D64CB"/>
    <w:rsid w:val="002E0A2A"/>
    <w:rsid w:val="002E10A5"/>
    <w:rsid w:val="002E1446"/>
    <w:rsid w:val="002E19BA"/>
    <w:rsid w:val="002E2442"/>
    <w:rsid w:val="002E3C57"/>
    <w:rsid w:val="002E6402"/>
    <w:rsid w:val="002E65CD"/>
    <w:rsid w:val="002E67BB"/>
    <w:rsid w:val="002F0E8C"/>
    <w:rsid w:val="002F1A20"/>
    <w:rsid w:val="002F2589"/>
    <w:rsid w:val="002F7AC0"/>
    <w:rsid w:val="00300556"/>
    <w:rsid w:val="00304970"/>
    <w:rsid w:val="003066FB"/>
    <w:rsid w:val="00310FA0"/>
    <w:rsid w:val="0031101E"/>
    <w:rsid w:val="00320481"/>
    <w:rsid w:val="00323DA2"/>
    <w:rsid w:val="003246A2"/>
    <w:rsid w:val="00324A33"/>
    <w:rsid w:val="003250CB"/>
    <w:rsid w:val="00330A99"/>
    <w:rsid w:val="003320C3"/>
    <w:rsid w:val="003323D8"/>
    <w:rsid w:val="00333A9E"/>
    <w:rsid w:val="00340148"/>
    <w:rsid w:val="003456B8"/>
    <w:rsid w:val="00346293"/>
    <w:rsid w:val="00350BAE"/>
    <w:rsid w:val="00351CAF"/>
    <w:rsid w:val="00352E19"/>
    <w:rsid w:val="003539F8"/>
    <w:rsid w:val="003546AA"/>
    <w:rsid w:val="00355CF1"/>
    <w:rsid w:val="00357E61"/>
    <w:rsid w:val="00357F14"/>
    <w:rsid w:val="00361456"/>
    <w:rsid w:val="00363201"/>
    <w:rsid w:val="00365049"/>
    <w:rsid w:val="003667FD"/>
    <w:rsid w:val="00366834"/>
    <w:rsid w:val="00370D50"/>
    <w:rsid w:val="00371E8E"/>
    <w:rsid w:val="00374BE0"/>
    <w:rsid w:val="00375379"/>
    <w:rsid w:val="00376D1C"/>
    <w:rsid w:val="00376E8E"/>
    <w:rsid w:val="00377E7F"/>
    <w:rsid w:val="00380A5D"/>
    <w:rsid w:val="0038110F"/>
    <w:rsid w:val="00381B32"/>
    <w:rsid w:val="00381CD3"/>
    <w:rsid w:val="00381E7A"/>
    <w:rsid w:val="00384BCB"/>
    <w:rsid w:val="00385AD8"/>
    <w:rsid w:val="00386775"/>
    <w:rsid w:val="0039063C"/>
    <w:rsid w:val="00391F03"/>
    <w:rsid w:val="00392B27"/>
    <w:rsid w:val="00395B83"/>
    <w:rsid w:val="00395EB6"/>
    <w:rsid w:val="003964E8"/>
    <w:rsid w:val="003A0C74"/>
    <w:rsid w:val="003A1A34"/>
    <w:rsid w:val="003A390C"/>
    <w:rsid w:val="003A3983"/>
    <w:rsid w:val="003A46A8"/>
    <w:rsid w:val="003A51AA"/>
    <w:rsid w:val="003A6471"/>
    <w:rsid w:val="003A691A"/>
    <w:rsid w:val="003A6A2A"/>
    <w:rsid w:val="003B0E92"/>
    <w:rsid w:val="003B1033"/>
    <w:rsid w:val="003B403F"/>
    <w:rsid w:val="003B5520"/>
    <w:rsid w:val="003B565A"/>
    <w:rsid w:val="003B57CD"/>
    <w:rsid w:val="003B6973"/>
    <w:rsid w:val="003C0636"/>
    <w:rsid w:val="003C1CE1"/>
    <w:rsid w:val="003C5E6F"/>
    <w:rsid w:val="003D00A1"/>
    <w:rsid w:val="003D02DD"/>
    <w:rsid w:val="003D0729"/>
    <w:rsid w:val="003D1779"/>
    <w:rsid w:val="003D2AC9"/>
    <w:rsid w:val="003D2E37"/>
    <w:rsid w:val="003D3067"/>
    <w:rsid w:val="003D574B"/>
    <w:rsid w:val="003E0354"/>
    <w:rsid w:val="003E1654"/>
    <w:rsid w:val="003E2596"/>
    <w:rsid w:val="003E3143"/>
    <w:rsid w:val="003E3291"/>
    <w:rsid w:val="003E5E8F"/>
    <w:rsid w:val="003E637B"/>
    <w:rsid w:val="003F0634"/>
    <w:rsid w:val="003F32D7"/>
    <w:rsid w:val="00401672"/>
    <w:rsid w:val="00401E9D"/>
    <w:rsid w:val="00403964"/>
    <w:rsid w:val="0040412B"/>
    <w:rsid w:val="00405315"/>
    <w:rsid w:val="00406796"/>
    <w:rsid w:val="004076C4"/>
    <w:rsid w:val="00411D5B"/>
    <w:rsid w:val="004130E8"/>
    <w:rsid w:val="00413595"/>
    <w:rsid w:val="0041414A"/>
    <w:rsid w:val="0041427F"/>
    <w:rsid w:val="00415775"/>
    <w:rsid w:val="00422F77"/>
    <w:rsid w:val="0042328A"/>
    <w:rsid w:val="0042389B"/>
    <w:rsid w:val="00425378"/>
    <w:rsid w:val="004254B2"/>
    <w:rsid w:val="004303CE"/>
    <w:rsid w:val="004321BB"/>
    <w:rsid w:val="00435DF7"/>
    <w:rsid w:val="004379D1"/>
    <w:rsid w:val="00440116"/>
    <w:rsid w:val="00441B49"/>
    <w:rsid w:val="00444260"/>
    <w:rsid w:val="004449CF"/>
    <w:rsid w:val="00445DBC"/>
    <w:rsid w:val="004509E5"/>
    <w:rsid w:val="0045105E"/>
    <w:rsid w:val="00454F97"/>
    <w:rsid w:val="00455FD0"/>
    <w:rsid w:val="004561DC"/>
    <w:rsid w:val="004563B1"/>
    <w:rsid w:val="00456E6C"/>
    <w:rsid w:val="00457866"/>
    <w:rsid w:val="00461D6A"/>
    <w:rsid w:val="0046224F"/>
    <w:rsid w:val="00463555"/>
    <w:rsid w:val="00463943"/>
    <w:rsid w:val="00464C30"/>
    <w:rsid w:val="00465EE4"/>
    <w:rsid w:val="00470D31"/>
    <w:rsid w:val="00473D37"/>
    <w:rsid w:val="004754A3"/>
    <w:rsid w:val="004802D5"/>
    <w:rsid w:val="0048086D"/>
    <w:rsid w:val="00482343"/>
    <w:rsid w:val="004829E1"/>
    <w:rsid w:val="00482DD6"/>
    <w:rsid w:val="004863F1"/>
    <w:rsid w:val="00486566"/>
    <w:rsid w:val="00486FB9"/>
    <w:rsid w:val="00493245"/>
    <w:rsid w:val="0049577B"/>
    <w:rsid w:val="0049610D"/>
    <w:rsid w:val="00497B7F"/>
    <w:rsid w:val="004A1222"/>
    <w:rsid w:val="004A4985"/>
    <w:rsid w:val="004A54FD"/>
    <w:rsid w:val="004B12F9"/>
    <w:rsid w:val="004B26D1"/>
    <w:rsid w:val="004B2B46"/>
    <w:rsid w:val="004B2F13"/>
    <w:rsid w:val="004B6499"/>
    <w:rsid w:val="004B65A9"/>
    <w:rsid w:val="004C1948"/>
    <w:rsid w:val="004C212A"/>
    <w:rsid w:val="004C440B"/>
    <w:rsid w:val="004C4717"/>
    <w:rsid w:val="004C490E"/>
    <w:rsid w:val="004C6C11"/>
    <w:rsid w:val="004D1BC1"/>
    <w:rsid w:val="004D3C1A"/>
    <w:rsid w:val="004D443B"/>
    <w:rsid w:val="004D7A4C"/>
    <w:rsid w:val="004D7C1D"/>
    <w:rsid w:val="004E3628"/>
    <w:rsid w:val="004E4A5A"/>
    <w:rsid w:val="004E50A0"/>
    <w:rsid w:val="004E5B25"/>
    <w:rsid w:val="004E6019"/>
    <w:rsid w:val="004E6E28"/>
    <w:rsid w:val="004E7D6E"/>
    <w:rsid w:val="004F0685"/>
    <w:rsid w:val="004F1158"/>
    <w:rsid w:val="004F3284"/>
    <w:rsid w:val="004F3448"/>
    <w:rsid w:val="004F3585"/>
    <w:rsid w:val="004F3978"/>
    <w:rsid w:val="004F59C3"/>
    <w:rsid w:val="00500232"/>
    <w:rsid w:val="005015C4"/>
    <w:rsid w:val="005031F4"/>
    <w:rsid w:val="00504668"/>
    <w:rsid w:val="00504DF6"/>
    <w:rsid w:val="0051102F"/>
    <w:rsid w:val="005119E2"/>
    <w:rsid w:val="00512795"/>
    <w:rsid w:val="00514C94"/>
    <w:rsid w:val="005165BA"/>
    <w:rsid w:val="00517258"/>
    <w:rsid w:val="0052064A"/>
    <w:rsid w:val="0052093B"/>
    <w:rsid w:val="00520F3E"/>
    <w:rsid w:val="0052177C"/>
    <w:rsid w:val="005241EB"/>
    <w:rsid w:val="005253F1"/>
    <w:rsid w:val="005270E0"/>
    <w:rsid w:val="00532333"/>
    <w:rsid w:val="00533302"/>
    <w:rsid w:val="00533FEF"/>
    <w:rsid w:val="00535120"/>
    <w:rsid w:val="005358DE"/>
    <w:rsid w:val="00536992"/>
    <w:rsid w:val="005407D1"/>
    <w:rsid w:val="00541088"/>
    <w:rsid w:val="00544E2F"/>
    <w:rsid w:val="005455E1"/>
    <w:rsid w:val="00545834"/>
    <w:rsid w:val="00546948"/>
    <w:rsid w:val="00546D1C"/>
    <w:rsid w:val="00547570"/>
    <w:rsid w:val="005502BD"/>
    <w:rsid w:val="00550CF6"/>
    <w:rsid w:val="00552F5F"/>
    <w:rsid w:val="00554138"/>
    <w:rsid w:val="00556787"/>
    <w:rsid w:val="005579B0"/>
    <w:rsid w:val="00561D2E"/>
    <w:rsid w:val="005630E7"/>
    <w:rsid w:val="0056422D"/>
    <w:rsid w:val="0056558F"/>
    <w:rsid w:val="0056594F"/>
    <w:rsid w:val="00567238"/>
    <w:rsid w:val="0057202C"/>
    <w:rsid w:val="00573AF6"/>
    <w:rsid w:val="005745BE"/>
    <w:rsid w:val="00575BAE"/>
    <w:rsid w:val="00576A9B"/>
    <w:rsid w:val="00580DD6"/>
    <w:rsid w:val="00580EAF"/>
    <w:rsid w:val="00581A02"/>
    <w:rsid w:val="00581FB8"/>
    <w:rsid w:val="00582276"/>
    <w:rsid w:val="0058458D"/>
    <w:rsid w:val="00586036"/>
    <w:rsid w:val="005860C5"/>
    <w:rsid w:val="00586E29"/>
    <w:rsid w:val="00591934"/>
    <w:rsid w:val="00592EEC"/>
    <w:rsid w:val="005950BD"/>
    <w:rsid w:val="005956AF"/>
    <w:rsid w:val="00596509"/>
    <w:rsid w:val="00596FC4"/>
    <w:rsid w:val="00597AAA"/>
    <w:rsid w:val="005A1461"/>
    <w:rsid w:val="005A4223"/>
    <w:rsid w:val="005A7135"/>
    <w:rsid w:val="005B0632"/>
    <w:rsid w:val="005B1872"/>
    <w:rsid w:val="005B1DC6"/>
    <w:rsid w:val="005B1DE7"/>
    <w:rsid w:val="005B36B5"/>
    <w:rsid w:val="005B38C3"/>
    <w:rsid w:val="005B3F5C"/>
    <w:rsid w:val="005B44CD"/>
    <w:rsid w:val="005B4BCA"/>
    <w:rsid w:val="005B500D"/>
    <w:rsid w:val="005B6940"/>
    <w:rsid w:val="005B7E43"/>
    <w:rsid w:val="005C0143"/>
    <w:rsid w:val="005C2560"/>
    <w:rsid w:val="005C368F"/>
    <w:rsid w:val="005C3958"/>
    <w:rsid w:val="005C4551"/>
    <w:rsid w:val="005C45F1"/>
    <w:rsid w:val="005C4AD7"/>
    <w:rsid w:val="005C5C8B"/>
    <w:rsid w:val="005C5CC6"/>
    <w:rsid w:val="005C7415"/>
    <w:rsid w:val="005D09A9"/>
    <w:rsid w:val="005D1A33"/>
    <w:rsid w:val="005D2CCD"/>
    <w:rsid w:val="005D72FE"/>
    <w:rsid w:val="005E0DCC"/>
    <w:rsid w:val="005E10F0"/>
    <w:rsid w:val="005E1182"/>
    <w:rsid w:val="005E54E3"/>
    <w:rsid w:val="005E6635"/>
    <w:rsid w:val="005F1ABD"/>
    <w:rsid w:val="005F1D63"/>
    <w:rsid w:val="005F33F5"/>
    <w:rsid w:val="005F4EC0"/>
    <w:rsid w:val="005F7585"/>
    <w:rsid w:val="006000E7"/>
    <w:rsid w:val="006011E6"/>
    <w:rsid w:val="00603DA9"/>
    <w:rsid w:val="00605759"/>
    <w:rsid w:val="00605802"/>
    <w:rsid w:val="00612EAE"/>
    <w:rsid w:val="00613509"/>
    <w:rsid w:val="006230DD"/>
    <w:rsid w:val="006236A9"/>
    <w:rsid w:val="00626FBC"/>
    <w:rsid w:val="00627305"/>
    <w:rsid w:val="00632718"/>
    <w:rsid w:val="00635E91"/>
    <w:rsid w:val="006376F9"/>
    <w:rsid w:val="00643B2B"/>
    <w:rsid w:val="00644ACC"/>
    <w:rsid w:val="0064572A"/>
    <w:rsid w:val="00645F25"/>
    <w:rsid w:val="00647A5B"/>
    <w:rsid w:val="00650C6C"/>
    <w:rsid w:val="00650F79"/>
    <w:rsid w:val="00652FE6"/>
    <w:rsid w:val="00660141"/>
    <w:rsid w:val="00660826"/>
    <w:rsid w:val="00660891"/>
    <w:rsid w:val="006616D2"/>
    <w:rsid w:val="00661C7C"/>
    <w:rsid w:val="00663C71"/>
    <w:rsid w:val="00665CD2"/>
    <w:rsid w:val="00666611"/>
    <w:rsid w:val="00667898"/>
    <w:rsid w:val="0067133E"/>
    <w:rsid w:val="00671715"/>
    <w:rsid w:val="00675F3D"/>
    <w:rsid w:val="0067766E"/>
    <w:rsid w:val="00677FE0"/>
    <w:rsid w:val="006836EF"/>
    <w:rsid w:val="0069045F"/>
    <w:rsid w:val="00691A37"/>
    <w:rsid w:val="00692AB3"/>
    <w:rsid w:val="00693EB4"/>
    <w:rsid w:val="006953C3"/>
    <w:rsid w:val="006954AF"/>
    <w:rsid w:val="00695BAB"/>
    <w:rsid w:val="006A1017"/>
    <w:rsid w:val="006A235A"/>
    <w:rsid w:val="006A26B9"/>
    <w:rsid w:val="006A28D5"/>
    <w:rsid w:val="006A374E"/>
    <w:rsid w:val="006A41E3"/>
    <w:rsid w:val="006A5BD5"/>
    <w:rsid w:val="006A6048"/>
    <w:rsid w:val="006A79E5"/>
    <w:rsid w:val="006B0A74"/>
    <w:rsid w:val="006B1638"/>
    <w:rsid w:val="006B20E3"/>
    <w:rsid w:val="006B3DA3"/>
    <w:rsid w:val="006B454E"/>
    <w:rsid w:val="006B5587"/>
    <w:rsid w:val="006B6764"/>
    <w:rsid w:val="006C13EA"/>
    <w:rsid w:val="006C1B4D"/>
    <w:rsid w:val="006C30EB"/>
    <w:rsid w:val="006C436D"/>
    <w:rsid w:val="006C440C"/>
    <w:rsid w:val="006D04EF"/>
    <w:rsid w:val="006D13AC"/>
    <w:rsid w:val="006D354D"/>
    <w:rsid w:val="006D434E"/>
    <w:rsid w:val="006D47DF"/>
    <w:rsid w:val="006D61F6"/>
    <w:rsid w:val="006D7A93"/>
    <w:rsid w:val="006E0EF7"/>
    <w:rsid w:val="006E1ADF"/>
    <w:rsid w:val="006E1D71"/>
    <w:rsid w:val="006E2FB0"/>
    <w:rsid w:val="006E3EE4"/>
    <w:rsid w:val="006E572D"/>
    <w:rsid w:val="006E6AAC"/>
    <w:rsid w:val="006E7A2B"/>
    <w:rsid w:val="006F1965"/>
    <w:rsid w:val="006F1BEA"/>
    <w:rsid w:val="006F3764"/>
    <w:rsid w:val="006F5EF3"/>
    <w:rsid w:val="006F6DD6"/>
    <w:rsid w:val="00701687"/>
    <w:rsid w:val="00701839"/>
    <w:rsid w:val="007027E9"/>
    <w:rsid w:val="007068E6"/>
    <w:rsid w:val="007102D2"/>
    <w:rsid w:val="007102FD"/>
    <w:rsid w:val="00710AE7"/>
    <w:rsid w:val="00710C8F"/>
    <w:rsid w:val="00710D05"/>
    <w:rsid w:val="00712D72"/>
    <w:rsid w:val="00713464"/>
    <w:rsid w:val="0071391B"/>
    <w:rsid w:val="00713948"/>
    <w:rsid w:val="00713D32"/>
    <w:rsid w:val="007145FB"/>
    <w:rsid w:val="00716389"/>
    <w:rsid w:val="00720C11"/>
    <w:rsid w:val="00724588"/>
    <w:rsid w:val="0072734C"/>
    <w:rsid w:val="0072797E"/>
    <w:rsid w:val="007279E1"/>
    <w:rsid w:val="0073025B"/>
    <w:rsid w:val="0073032D"/>
    <w:rsid w:val="0073357A"/>
    <w:rsid w:val="007357C9"/>
    <w:rsid w:val="00736C36"/>
    <w:rsid w:val="00740A66"/>
    <w:rsid w:val="00741A4B"/>
    <w:rsid w:val="00741CFD"/>
    <w:rsid w:val="0074539E"/>
    <w:rsid w:val="007457C6"/>
    <w:rsid w:val="00747BC3"/>
    <w:rsid w:val="00747BC5"/>
    <w:rsid w:val="00747E5B"/>
    <w:rsid w:val="0075166C"/>
    <w:rsid w:val="007517E3"/>
    <w:rsid w:val="007521CA"/>
    <w:rsid w:val="007528CA"/>
    <w:rsid w:val="00753334"/>
    <w:rsid w:val="00753A27"/>
    <w:rsid w:val="00753F42"/>
    <w:rsid w:val="00754DE2"/>
    <w:rsid w:val="007556C2"/>
    <w:rsid w:val="00755B2B"/>
    <w:rsid w:val="00755D16"/>
    <w:rsid w:val="00757991"/>
    <w:rsid w:val="0076034A"/>
    <w:rsid w:val="00761448"/>
    <w:rsid w:val="00761A52"/>
    <w:rsid w:val="007626BC"/>
    <w:rsid w:val="007729B8"/>
    <w:rsid w:val="00776E73"/>
    <w:rsid w:val="0078111F"/>
    <w:rsid w:val="00782ADF"/>
    <w:rsid w:val="0079009E"/>
    <w:rsid w:val="0079342A"/>
    <w:rsid w:val="00795316"/>
    <w:rsid w:val="00796C27"/>
    <w:rsid w:val="007A02DB"/>
    <w:rsid w:val="007A1AC2"/>
    <w:rsid w:val="007A2737"/>
    <w:rsid w:val="007A3307"/>
    <w:rsid w:val="007A36E4"/>
    <w:rsid w:val="007A390A"/>
    <w:rsid w:val="007A3D37"/>
    <w:rsid w:val="007A5630"/>
    <w:rsid w:val="007A6E43"/>
    <w:rsid w:val="007B0627"/>
    <w:rsid w:val="007B09BD"/>
    <w:rsid w:val="007B1980"/>
    <w:rsid w:val="007B4949"/>
    <w:rsid w:val="007B568E"/>
    <w:rsid w:val="007B7BBD"/>
    <w:rsid w:val="007C0788"/>
    <w:rsid w:val="007C1EE9"/>
    <w:rsid w:val="007C4E50"/>
    <w:rsid w:val="007C6021"/>
    <w:rsid w:val="007C6A25"/>
    <w:rsid w:val="007C758B"/>
    <w:rsid w:val="007C78B1"/>
    <w:rsid w:val="007D379E"/>
    <w:rsid w:val="007D3FDC"/>
    <w:rsid w:val="007D51A3"/>
    <w:rsid w:val="007D56A7"/>
    <w:rsid w:val="007D6988"/>
    <w:rsid w:val="007E1072"/>
    <w:rsid w:val="007E34B1"/>
    <w:rsid w:val="007E3DB6"/>
    <w:rsid w:val="007E42CA"/>
    <w:rsid w:val="007E43EC"/>
    <w:rsid w:val="007E55C0"/>
    <w:rsid w:val="007E5DEE"/>
    <w:rsid w:val="007F0726"/>
    <w:rsid w:val="007F0BC6"/>
    <w:rsid w:val="007F3551"/>
    <w:rsid w:val="007F4D9C"/>
    <w:rsid w:val="008005FC"/>
    <w:rsid w:val="0080132B"/>
    <w:rsid w:val="00801641"/>
    <w:rsid w:val="00801CBC"/>
    <w:rsid w:val="008031AD"/>
    <w:rsid w:val="008068B3"/>
    <w:rsid w:val="0081234F"/>
    <w:rsid w:val="0081480A"/>
    <w:rsid w:val="00815814"/>
    <w:rsid w:val="00815B4F"/>
    <w:rsid w:val="00815F35"/>
    <w:rsid w:val="008163F6"/>
    <w:rsid w:val="00817217"/>
    <w:rsid w:val="00822CE2"/>
    <w:rsid w:val="00831244"/>
    <w:rsid w:val="00831374"/>
    <w:rsid w:val="00831DF4"/>
    <w:rsid w:val="00833522"/>
    <w:rsid w:val="00835900"/>
    <w:rsid w:val="0084046E"/>
    <w:rsid w:val="008415C2"/>
    <w:rsid w:val="00844315"/>
    <w:rsid w:val="0084431A"/>
    <w:rsid w:val="00845645"/>
    <w:rsid w:val="00845ACA"/>
    <w:rsid w:val="0084656A"/>
    <w:rsid w:val="00846EBF"/>
    <w:rsid w:val="00847400"/>
    <w:rsid w:val="00850054"/>
    <w:rsid w:val="00851541"/>
    <w:rsid w:val="00852465"/>
    <w:rsid w:val="00853D84"/>
    <w:rsid w:val="00854A48"/>
    <w:rsid w:val="00854F33"/>
    <w:rsid w:val="00856076"/>
    <w:rsid w:val="00856E1F"/>
    <w:rsid w:val="00857580"/>
    <w:rsid w:val="0086189C"/>
    <w:rsid w:val="008620C4"/>
    <w:rsid w:val="00862438"/>
    <w:rsid w:val="00863A3D"/>
    <w:rsid w:val="00865238"/>
    <w:rsid w:val="00866685"/>
    <w:rsid w:val="008667BF"/>
    <w:rsid w:val="008677B7"/>
    <w:rsid w:val="00870356"/>
    <w:rsid w:val="00872BC2"/>
    <w:rsid w:val="00875731"/>
    <w:rsid w:val="00880A08"/>
    <w:rsid w:val="00883913"/>
    <w:rsid w:val="00883D46"/>
    <w:rsid w:val="00884134"/>
    <w:rsid w:val="00885213"/>
    <w:rsid w:val="00890DFF"/>
    <w:rsid w:val="00891ED2"/>
    <w:rsid w:val="00895645"/>
    <w:rsid w:val="008967E8"/>
    <w:rsid w:val="008A05D8"/>
    <w:rsid w:val="008A355C"/>
    <w:rsid w:val="008A5D8C"/>
    <w:rsid w:val="008A654D"/>
    <w:rsid w:val="008A7851"/>
    <w:rsid w:val="008B3962"/>
    <w:rsid w:val="008B39EB"/>
    <w:rsid w:val="008B437A"/>
    <w:rsid w:val="008B71E5"/>
    <w:rsid w:val="008B7BC6"/>
    <w:rsid w:val="008C09BA"/>
    <w:rsid w:val="008C09BF"/>
    <w:rsid w:val="008C152E"/>
    <w:rsid w:val="008C2B15"/>
    <w:rsid w:val="008C3782"/>
    <w:rsid w:val="008D0909"/>
    <w:rsid w:val="008D092B"/>
    <w:rsid w:val="008D0AD4"/>
    <w:rsid w:val="008D4A32"/>
    <w:rsid w:val="008D50E0"/>
    <w:rsid w:val="008D593A"/>
    <w:rsid w:val="008D79E7"/>
    <w:rsid w:val="008E181E"/>
    <w:rsid w:val="008E2A30"/>
    <w:rsid w:val="008E45CE"/>
    <w:rsid w:val="008E500A"/>
    <w:rsid w:val="008E6171"/>
    <w:rsid w:val="008E6E97"/>
    <w:rsid w:val="008E7760"/>
    <w:rsid w:val="008F157C"/>
    <w:rsid w:val="008F176C"/>
    <w:rsid w:val="008F5987"/>
    <w:rsid w:val="008F5D2A"/>
    <w:rsid w:val="008F7265"/>
    <w:rsid w:val="0090170C"/>
    <w:rsid w:val="009040FC"/>
    <w:rsid w:val="009047D8"/>
    <w:rsid w:val="00904ACA"/>
    <w:rsid w:val="009121E2"/>
    <w:rsid w:val="00913A24"/>
    <w:rsid w:val="009164C6"/>
    <w:rsid w:val="0091766D"/>
    <w:rsid w:val="00917CC1"/>
    <w:rsid w:val="00920EF1"/>
    <w:rsid w:val="00921D6C"/>
    <w:rsid w:val="00922001"/>
    <w:rsid w:val="00922C17"/>
    <w:rsid w:val="00923884"/>
    <w:rsid w:val="009248C7"/>
    <w:rsid w:val="00924FB2"/>
    <w:rsid w:val="00927B54"/>
    <w:rsid w:val="00927FB6"/>
    <w:rsid w:val="009325EA"/>
    <w:rsid w:val="00932BB7"/>
    <w:rsid w:val="00932CC7"/>
    <w:rsid w:val="00934CBF"/>
    <w:rsid w:val="009366CA"/>
    <w:rsid w:val="00937B42"/>
    <w:rsid w:val="009402C4"/>
    <w:rsid w:val="00941384"/>
    <w:rsid w:val="00942DDD"/>
    <w:rsid w:val="0094393B"/>
    <w:rsid w:val="00947D72"/>
    <w:rsid w:val="009510C0"/>
    <w:rsid w:val="009516A8"/>
    <w:rsid w:val="00951AE7"/>
    <w:rsid w:val="009543F8"/>
    <w:rsid w:val="00954505"/>
    <w:rsid w:val="0095485B"/>
    <w:rsid w:val="00954882"/>
    <w:rsid w:val="00957C7B"/>
    <w:rsid w:val="00960539"/>
    <w:rsid w:val="00961391"/>
    <w:rsid w:val="00962344"/>
    <w:rsid w:val="00975189"/>
    <w:rsid w:val="0097705C"/>
    <w:rsid w:val="00981CF9"/>
    <w:rsid w:val="00983608"/>
    <w:rsid w:val="0098449A"/>
    <w:rsid w:val="00984A10"/>
    <w:rsid w:val="00985A31"/>
    <w:rsid w:val="00985DDB"/>
    <w:rsid w:val="00985E12"/>
    <w:rsid w:val="00986080"/>
    <w:rsid w:val="0099187D"/>
    <w:rsid w:val="00991D6F"/>
    <w:rsid w:val="00993923"/>
    <w:rsid w:val="00996DF6"/>
    <w:rsid w:val="0099776A"/>
    <w:rsid w:val="00997F21"/>
    <w:rsid w:val="009A4D79"/>
    <w:rsid w:val="009A5A3E"/>
    <w:rsid w:val="009A6596"/>
    <w:rsid w:val="009A7466"/>
    <w:rsid w:val="009B1667"/>
    <w:rsid w:val="009B47DD"/>
    <w:rsid w:val="009B483E"/>
    <w:rsid w:val="009B4BF4"/>
    <w:rsid w:val="009B503A"/>
    <w:rsid w:val="009B6106"/>
    <w:rsid w:val="009C04D3"/>
    <w:rsid w:val="009C065C"/>
    <w:rsid w:val="009C1F24"/>
    <w:rsid w:val="009C24DF"/>
    <w:rsid w:val="009C2E4A"/>
    <w:rsid w:val="009C33D7"/>
    <w:rsid w:val="009C3E5C"/>
    <w:rsid w:val="009C401B"/>
    <w:rsid w:val="009D04D0"/>
    <w:rsid w:val="009D0941"/>
    <w:rsid w:val="009D2B91"/>
    <w:rsid w:val="009D3190"/>
    <w:rsid w:val="009D3561"/>
    <w:rsid w:val="009D4582"/>
    <w:rsid w:val="009D4A76"/>
    <w:rsid w:val="009D5194"/>
    <w:rsid w:val="009D6066"/>
    <w:rsid w:val="009E1AC2"/>
    <w:rsid w:val="009E2C9D"/>
    <w:rsid w:val="009E6462"/>
    <w:rsid w:val="009F194E"/>
    <w:rsid w:val="009F2425"/>
    <w:rsid w:val="009F2F92"/>
    <w:rsid w:val="009F393D"/>
    <w:rsid w:val="009F4566"/>
    <w:rsid w:val="009F4BED"/>
    <w:rsid w:val="009F77A2"/>
    <w:rsid w:val="009F7F46"/>
    <w:rsid w:val="00A000BF"/>
    <w:rsid w:val="00A00E01"/>
    <w:rsid w:val="00A01585"/>
    <w:rsid w:val="00A0168E"/>
    <w:rsid w:val="00A0587E"/>
    <w:rsid w:val="00A0774D"/>
    <w:rsid w:val="00A12B76"/>
    <w:rsid w:val="00A136A1"/>
    <w:rsid w:val="00A13FC2"/>
    <w:rsid w:val="00A14754"/>
    <w:rsid w:val="00A14CD5"/>
    <w:rsid w:val="00A1562D"/>
    <w:rsid w:val="00A157C7"/>
    <w:rsid w:val="00A161A6"/>
    <w:rsid w:val="00A2216C"/>
    <w:rsid w:val="00A24653"/>
    <w:rsid w:val="00A24C1F"/>
    <w:rsid w:val="00A251A5"/>
    <w:rsid w:val="00A2562B"/>
    <w:rsid w:val="00A275BC"/>
    <w:rsid w:val="00A27A5D"/>
    <w:rsid w:val="00A27F83"/>
    <w:rsid w:val="00A35297"/>
    <w:rsid w:val="00A356B5"/>
    <w:rsid w:val="00A35E0A"/>
    <w:rsid w:val="00A366A4"/>
    <w:rsid w:val="00A3773E"/>
    <w:rsid w:val="00A37930"/>
    <w:rsid w:val="00A4031D"/>
    <w:rsid w:val="00A42F49"/>
    <w:rsid w:val="00A4442B"/>
    <w:rsid w:val="00A454CE"/>
    <w:rsid w:val="00A464B4"/>
    <w:rsid w:val="00A46AA6"/>
    <w:rsid w:val="00A46DFB"/>
    <w:rsid w:val="00A473A2"/>
    <w:rsid w:val="00A5055C"/>
    <w:rsid w:val="00A55449"/>
    <w:rsid w:val="00A56255"/>
    <w:rsid w:val="00A60DF2"/>
    <w:rsid w:val="00A61DCB"/>
    <w:rsid w:val="00A6296B"/>
    <w:rsid w:val="00A635C0"/>
    <w:rsid w:val="00A63A10"/>
    <w:rsid w:val="00A63D6B"/>
    <w:rsid w:val="00A6402C"/>
    <w:rsid w:val="00A7107C"/>
    <w:rsid w:val="00A7123B"/>
    <w:rsid w:val="00A72553"/>
    <w:rsid w:val="00A735D8"/>
    <w:rsid w:val="00A7598B"/>
    <w:rsid w:val="00A8298C"/>
    <w:rsid w:val="00A83A10"/>
    <w:rsid w:val="00A84B52"/>
    <w:rsid w:val="00A8660F"/>
    <w:rsid w:val="00A87B13"/>
    <w:rsid w:val="00A9076F"/>
    <w:rsid w:val="00A90B2A"/>
    <w:rsid w:val="00A91A3B"/>
    <w:rsid w:val="00A923D4"/>
    <w:rsid w:val="00A927FF"/>
    <w:rsid w:val="00A943D2"/>
    <w:rsid w:val="00A9595F"/>
    <w:rsid w:val="00A95C48"/>
    <w:rsid w:val="00AA0EE0"/>
    <w:rsid w:val="00AA3321"/>
    <w:rsid w:val="00AA4B75"/>
    <w:rsid w:val="00AA64C9"/>
    <w:rsid w:val="00AA7029"/>
    <w:rsid w:val="00AA7056"/>
    <w:rsid w:val="00AA7EEF"/>
    <w:rsid w:val="00AB0382"/>
    <w:rsid w:val="00AB046C"/>
    <w:rsid w:val="00AB0546"/>
    <w:rsid w:val="00AB31C6"/>
    <w:rsid w:val="00AB523B"/>
    <w:rsid w:val="00AB719E"/>
    <w:rsid w:val="00AB741A"/>
    <w:rsid w:val="00AC1D07"/>
    <w:rsid w:val="00AC4F48"/>
    <w:rsid w:val="00AD290F"/>
    <w:rsid w:val="00AD295D"/>
    <w:rsid w:val="00AD2DE1"/>
    <w:rsid w:val="00AD4064"/>
    <w:rsid w:val="00AD40CB"/>
    <w:rsid w:val="00AD64D1"/>
    <w:rsid w:val="00AD76BB"/>
    <w:rsid w:val="00AD7E40"/>
    <w:rsid w:val="00AE0C76"/>
    <w:rsid w:val="00AE2976"/>
    <w:rsid w:val="00AE3D5F"/>
    <w:rsid w:val="00AE4F90"/>
    <w:rsid w:val="00AF17F7"/>
    <w:rsid w:val="00AF2980"/>
    <w:rsid w:val="00AF2CF8"/>
    <w:rsid w:val="00AF3BAB"/>
    <w:rsid w:val="00AF61C0"/>
    <w:rsid w:val="00AF6E57"/>
    <w:rsid w:val="00B04A11"/>
    <w:rsid w:val="00B1114A"/>
    <w:rsid w:val="00B115E6"/>
    <w:rsid w:val="00B1477A"/>
    <w:rsid w:val="00B15E31"/>
    <w:rsid w:val="00B1729A"/>
    <w:rsid w:val="00B17C4F"/>
    <w:rsid w:val="00B20993"/>
    <w:rsid w:val="00B246E5"/>
    <w:rsid w:val="00B26175"/>
    <w:rsid w:val="00B27B81"/>
    <w:rsid w:val="00B30226"/>
    <w:rsid w:val="00B31350"/>
    <w:rsid w:val="00B3188E"/>
    <w:rsid w:val="00B3341C"/>
    <w:rsid w:val="00B33950"/>
    <w:rsid w:val="00B41767"/>
    <w:rsid w:val="00B42E96"/>
    <w:rsid w:val="00B43BC3"/>
    <w:rsid w:val="00B43E56"/>
    <w:rsid w:val="00B4627D"/>
    <w:rsid w:val="00B463E1"/>
    <w:rsid w:val="00B46778"/>
    <w:rsid w:val="00B50A59"/>
    <w:rsid w:val="00B50EE6"/>
    <w:rsid w:val="00B5146F"/>
    <w:rsid w:val="00B52185"/>
    <w:rsid w:val="00B528FF"/>
    <w:rsid w:val="00B529BC"/>
    <w:rsid w:val="00B53B61"/>
    <w:rsid w:val="00B5406A"/>
    <w:rsid w:val="00B5415C"/>
    <w:rsid w:val="00B5542F"/>
    <w:rsid w:val="00B61D50"/>
    <w:rsid w:val="00B631D3"/>
    <w:rsid w:val="00B70F64"/>
    <w:rsid w:val="00B715DB"/>
    <w:rsid w:val="00B7175B"/>
    <w:rsid w:val="00B736B9"/>
    <w:rsid w:val="00B73862"/>
    <w:rsid w:val="00B779F9"/>
    <w:rsid w:val="00B800A9"/>
    <w:rsid w:val="00B81C4B"/>
    <w:rsid w:val="00B8450C"/>
    <w:rsid w:val="00B86880"/>
    <w:rsid w:val="00B86A8D"/>
    <w:rsid w:val="00B87BD4"/>
    <w:rsid w:val="00B922A7"/>
    <w:rsid w:val="00B94A2A"/>
    <w:rsid w:val="00B94F4E"/>
    <w:rsid w:val="00B9753A"/>
    <w:rsid w:val="00B97722"/>
    <w:rsid w:val="00BA07E4"/>
    <w:rsid w:val="00BA0D75"/>
    <w:rsid w:val="00BA0DB9"/>
    <w:rsid w:val="00BA28DA"/>
    <w:rsid w:val="00BA2DF8"/>
    <w:rsid w:val="00BA4E3F"/>
    <w:rsid w:val="00BA6282"/>
    <w:rsid w:val="00BA6819"/>
    <w:rsid w:val="00BB26AC"/>
    <w:rsid w:val="00BB41CF"/>
    <w:rsid w:val="00BB4458"/>
    <w:rsid w:val="00BB45FE"/>
    <w:rsid w:val="00BB4738"/>
    <w:rsid w:val="00BB479C"/>
    <w:rsid w:val="00BB7CF6"/>
    <w:rsid w:val="00BC1584"/>
    <w:rsid w:val="00BC295E"/>
    <w:rsid w:val="00BC2CBE"/>
    <w:rsid w:val="00BC3F7F"/>
    <w:rsid w:val="00BC4720"/>
    <w:rsid w:val="00BD0B80"/>
    <w:rsid w:val="00BD0CBC"/>
    <w:rsid w:val="00BD22E1"/>
    <w:rsid w:val="00BD2A6E"/>
    <w:rsid w:val="00BD3C20"/>
    <w:rsid w:val="00BD75A2"/>
    <w:rsid w:val="00BD76FD"/>
    <w:rsid w:val="00BD7B49"/>
    <w:rsid w:val="00BE12E5"/>
    <w:rsid w:val="00BE31B6"/>
    <w:rsid w:val="00BE3FF2"/>
    <w:rsid w:val="00BE4F5A"/>
    <w:rsid w:val="00BE6488"/>
    <w:rsid w:val="00BE6AAC"/>
    <w:rsid w:val="00BF0F25"/>
    <w:rsid w:val="00BF21B6"/>
    <w:rsid w:val="00BF4CB5"/>
    <w:rsid w:val="00BF7E92"/>
    <w:rsid w:val="00C02D46"/>
    <w:rsid w:val="00C07BC6"/>
    <w:rsid w:val="00C07F52"/>
    <w:rsid w:val="00C12100"/>
    <w:rsid w:val="00C13691"/>
    <w:rsid w:val="00C137FB"/>
    <w:rsid w:val="00C14657"/>
    <w:rsid w:val="00C15B60"/>
    <w:rsid w:val="00C2017A"/>
    <w:rsid w:val="00C2026B"/>
    <w:rsid w:val="00C20470"/>
    <w:rsid w:val="00C20E26"/>
    <w:rsid w:val="00C21067"/>
    <w:rsid w:val="00C221D4"/>
    <w:rsid w:val="00C22FAA"/>
    <w:rsid w:val="00C248AA"/>
    <w:rsid w:val="00C251F4"/>
    <w:rsid w:val="00C2549E"/>
    <w:rsid w:val="00C2627E"/>
    <w:rsid w:val="00C274AC"/>
    <w:rsid w:val="00C302F0"/>
    <w:rsid w:val="00C30761"/>
    <w:rsid w:val="00C31CE5"/>
    <w:rsid w:val="00C34B2F"/>
    <w:rsid w:val="00C400DC"/>
    <w:rsid w:val="00C4174B"/>
    <w:rsid w:val="00C42F9E"/>
    <w:rsid w:val="00C436C1"/>
    <w:rsid w:val="00C44AA9"/>
    <w:rsid w:val="00C44D63"/>
    <w:rsid w:val="00C4641B"/>
    <w:rsid w:val="00C50AF5"/>
    <w:rsid w:val="00C50EF7"/>
    <w:rsid w:val="00C5130C"/>
    <w:rsid w:val="00C53A93"/>
    <w:rsid w:val="00C54B9C"/>
    <w:rsid w:val="00C552EF"/>
    <w:rsid w:val="00C5679E"/>
    <w:rsid w:val="00C6049F"/>
    <w:rsid w:val="00C60984"/>
    <w:rsid w:val="00C637EA"/>
    <w:rsid w:val="00C65581"/>
    <w:rsid w:val="00C65713"/>
    <w:rsid w:val="00C6666F"/>
    <w:rsid w:val="00C6690E"/>
    <w:rsid w:val="00C676BC"/>
    <w:rsid w:val="00C703C5"/>
    <w:rsid w:val="00C70E3E"/>
    <w:rsid w:val="00C717FD"/>
    <w:rsid w:val="00C728A6"/>
    <w:rsid w:val="00C73879"/>
    <w:rsid w:val="00C7411B"/>
    <w:rsid w:val="00C746D6"/>
    <w:rsid w:val="00C748B7"/>
    <w:rsid w:val="00C7592B"/>
    <w:rsid w:val="00C7629F"/>
    <w:rsid w:val="00C77D0A"/>
    <w:rsid w:val="00C805F2"/>
    <w:rsid w:val="00C82955"/>
    <w:rsid w:val="00C84355"/>
    <w:rsid w:val="00C87133"/>
    <w:rsid w:val="00C87710"/>
    <w:rsid w:val="00C90226"/>
    <w:rsid w:val="00C925FB"/>
    <w:rsid w:val="00C92FF6"/>
    <w:rsid w:val="00C94E25"/>
    <w:rsid w:val="00C96099"/>
    <w:rsid w:val="00C96EFE"/>
    <w:rsid w:val="00C97F50"/>
    <w:rsid w:val="00CA205D"/>
    <w:rsid w:val="00CA44C1"/>
    <w:rsid w:val="00CA6AE7"/>
    <w:rsid w:val="00CA70A7"/>
    <w:rsid w:val="00CB1DE5"/>
    <w:rsid w:val="00CB2F87"/>
    <w:rsid w:val="00CB7A0F"/>
    <w:rsid w:val="00CB7A31"/>
    <w:rsid w:val="00CC25DC"/>
    <w:rsid w:val="00CC3FEC"/>
    <w:rsid w:val="00CC511D"/>
    <w:rsid w:val="00CC5E40"/>
    <w:rsid w:val="00CC78F2"/>
    <w:rsid w:val="00CC7AF1"/>
    <w:rsid w:val="00CC7C5F"/>
    <w:rsid w:val="00CD058E"/>
    <w:rsid w:val="00CD114C"/>
    <w:rsid w:val="00CD2AD8"/>
    <w:rsid w:val="00CD2E7E"/>
    <w:rsid w:val="00CD7793"/>
    <w:rsid w:val="00CE0581"/>
    <w:rsid w:val="00CE1490"/>
    <w:rsid w:val="00CF104D"/>
    <w:rsid w:val="00CF194C"/>
    <w:rsid w:val="00CF21D8"/>
    <w:rsid w:val="00CF3324"/>
    <w:rsid w:val="00CF3E22"/>
    <w:rsid w:val="00CF7A8B"/>
    <w:rsid w:val="00D01478"/>
    <w:rsid w:val="00D015C9"/>
    <w:rsid w:val="00D03E18"/>
    <w:rsid w:val="00D048F8"/>
    <w:rsid w:val="00D04A6A"/>
    <w:rsid w:val="00D106E3"/>
    <w:rsid w:val="00D1263A"/>
    <w:rsid w:val="00D130CA"/>
    <w:rsid w:val="00D14808"/>
    <w:rsid w:val="00D1569F"/>
    <w:rsid w:val="00D15F37"/>
    <w:rsid w:val="00D20B1E"/>
    <w:rsid w:val="00D22462"/>
    <w:rsid w:val="00D2266A"/>
    <w:rsid w:val="00D230AC"/>
    <w:rsid w:val="00D232F3"/>
    <w:rsid w:val="00D23E7C"/>
    <w:rsid w:val="00D23F04"/>
    <w:rsid w:val="00D25B53"/>
    <w:rsid w:val="00D317D2"/>
    <w:rsid w:val="00D32489"/>
    <w:rsid w:val="00D333C6"/>
    <w:rsid w:val="00D3349E"/>
    <w:rsid w:val="00D34BCD"/>
    <w:rsid w:val="00D3626C"/>
    <w:rsid w:val="00D37D3C"/>
    <w:rsid w:val="00D4047B"/>
    <w:rsid w:val="00D41496"/>
    <w:rsid w:val="00D41B9C"/>
    <w:rsid w:val="00D42F4B"/>
    <w:rsid w:val="00D50387"/>
    <w:rsid w:val="00D51188"/>
    <w:rsid w:val="00D5153C"/>
    <w:rsid w:val="00D51CE0"/>
    <w:rsid w:val="00D5212D"/>
    <w:rsid w:val="00D52158"/>
    <w:rsid w:val="00D54968"/>
    <w:rsid w:val="00D54F4D"/>
    <w:rsid w:val="00D562E2"/>
    <w:rsid w:val="00D564F6"/>
    <w:rsid w:val="00D56BB6"/>
    <w:rsid w:val="00D60890"/>
    <w:rsid w:val="00D60970"/>
    <w:rsid w:val="00D61A7D"/>
    <w:rsid w:val="00D62CC6"/>
    <w:rsid w:val="00D643BE"/>
    <w:rsid w:val="00D6458E"/>
    <w:rsid w:val="00D65038"/>
    <w:rsid w:val="00D71EF7"/>
    <w:rsid w:val="00D7388E"/>
    <w:rsid w:val="00D73CB8"/>
    <w:rsid w:val="00D76F54"/>
    <w:rsid w:val="00D776AC"/>
    <w:rsid w:val="00D77E12"/>
    <w:rsid w:val="00D802D6"/>
    <w:rsid w:val="00D80BB5"/>
    <w:rsid w:val="00D84BC2"/>
    <w:rsid w:val="00D85920"/>
    <w:rsid w:val="00D94607"/>
    <w:rsid w:val="00D94647"/>
    <w:rsid w:val="00D95D8B"/>
    <w:rsid w:val="00D967D2"/>
    <w:rsid w:val="00DA0898"/>
    <w:rsid w:val="00DA1419"/>
    <w:rsid w:val="00DA18CE"/>
    <w:rsid w:val="00DA2C8F"/>
    <w:rsid w:val="00DA49DC"/>
    <w:rsid w:val="00DA5951"/>
    <w:rsid w:val="00DA7591"/>
    <w:rsid w:val="00DB235F"/>
    <w:rsid w:val="00DB2E98"/>
    <w:rsid w:val="00DB4CE5"/>
    <w:rsid w:val="00DB6866"/>
    <w:rsid w:val="00DB6F34"/>
    <w:rsid w:val="00DB75EF"/>
    <w:rsid w:val="00DB7CA2"/>
    <w:rsid w:val="00DC09F6"/>
    <w:rsid w:val="00DC44E2"/>
    <w:rsid w:val="00DC646D"/>
    <w:rsid w:val="00DD0100"/>
    <w:rsid w:val="00DD3833"/>
    <w:rsid w:val="00DD4A18"/>
    <w:rsid w:val="00DE0ED4"/>
    <w:rsid w:val="00DE44E0"/>
    <w:rsid w:val="00DE6FFB"/>
    <w:rsid w:val="00DF1554"/>
    <w:rsid w:val="00DF2943"/>
    <w:rsid w:val="00DF307B"/>
    <w:rsid w:val="00DF3801"/>
    <w:rsid w:val="00DF40E6"/>
    <w:rsid w:val="00DF5124"/>
    <w:rsid w:val="00DF52AE"/>
    <w:rsid w:val="00DF5875"/>
    <w:rsid w:val="00DF658A"/>
    <w:rsid w:val="00DF6D91"/>
    <w:rsid w:val="00DF78BE"/>
    <w:rsid w:val="00E025C1"/>
    <w:rsid w:val="00E02D69"/>
    <w:rsid w:val="00E036A8"/>
    <w:rsid w:val="00E0639D"/>
    <w:rsid w:val="00E103B7"/>
    <w:rsid w:val="00E10CB4"/>
    <w:rsid w:val="00E11F3A"/>
    <w:rsid w:val="00E12295"/>
    <w:rsid w:val="00E123CD"/>
    <w:rsid w:val="00E12FFC"/>
    <w:rsid w:val="00E14854"/>
    <w:rsid w:val="00E15959"/>
    <w:rsid w:val="00E2114F"/>
    <w:rsid w:val="00E237E4"/>
    <w:rsid w:val="00E23895"/>
    <w:rsid w:val="00E24413"/>
    <w:rsid w:val="00E24BB3"/>
    <w:rsid w:val="00E30803"/>
    <w:rsid w:val="00E30DDA"/>
    <w:rsid w:val="00E31020"/>
    <w:rsid w:val="00E31750"/>
    <w:rsid w:val="00E31BEB"/>
    <w:rsid w:val="00E3239C"/>
    <w:rsid w:val="00E32798"/>
    <w:rsid w:val="00E33CC8"/>
    <w:rsid w:val="00E346F4"/>
    <w:rsid w:val="00E3659E"/>
    <w:rsid w:val="00E36E19"/>
    <w:rsid w:val="00E419E0"/>
    <w:rsid w:val="00E426C8"/>
    <w:rsid w:val="00E44F40"/>
    <w:rsid w:val="00E451D7"/>
    <w:rsid w:val="00E4713E"/>
    <w:rsid w:val="00E50620"/>
    <w:rsid w:val="00E50877"/>
    <w:rsid w:val="00E51541"/>
    <w:rsid w:val="00E51C91"/>
    <w:rsid w:val="00E52E09"/>
    <w:rsid w:val="00E54DE6"/>
    <w:rsid w:val="00E55010"/>
    <w:rsid w:val="00E56F24"/>
    <w:rsid w:val="00E61078"/>
    <w:rsid w:val="00E61191"/>
    <w:rsid w:val="00E63CBB"/>
    <w:rsid w:val="00E63F6C"/>
    <w:rsid w:val="00E646BB"/>
    <w:rsid w:val="00E64FC6"/>
    <w:rsid w:val="00E6524B"/>
    <w:rsid w:val="00E667C1"/>
    <w:rsid w:val="00E66BEC"/>
    <w:rsid w:val="00E67030"/>
    <w:rsid w:val="00E67EEC"/>
    <w:rsid w:val="00E70294"/>
    <w:rsid w:val="00E71943"/>
    <w:rsid w:val="00E71E7E"/>
    <w:rsid w:val="00E72AA0"/>
    <w:rsid w:val="00E74CF3"/>
    <w:rsid w:val="00E76BAA"/>
    <w:rsid w:val="00E775F6"/>
    <w:rsid w:val="00E80032"/>
    <w:rsid w:val="00E806A6"/>
    <w:rsid w:val="00E82050"/>
    <w:rsid w:val="00E847DD"/>
    <w:rsid w:val="00E855F6"/>
    <w:rsid w:val="00E8675A"/>
    <w:rsid w:val="00E87DF2"/>
    <w:rsid w:val="00EA307F"/>
    <w:rsid w:val="00EA55DB"/>
    <w:rsid w:val="00EA5C2E"/>
    <w:rsid w:val="00EA69C5"/>
    <w:rsid w:val="00EA6F50"/>
    <w:rsid w:val="00EB34EA"/>
    <w:rsid w:val="00EB3E56"/>
    <w:rsid w:val="00EB5F94"/>
    <w:rsid w:val="00EB6CDE"/>
    <w:rsid w:val="00EC04DD"/>
    <w:rsid w:val="00EC3F88"/>
    <w:rsid w:val="00EC41A7"/>
    <w:rsid w:val="00EC4C6F"/>
    <w:rsid w:val="00ED2740"/>
    <w:rsid w:val="00ED337B"/>
    <w:rsid w:val="00ED36D8"/>
    <w:rsid w:val="00ED4AF8"/>
    <w:rsid w:val="00ED5643"/>
    <w:rsid w:val="00ED6028"/>
    <w:rsid w:val="00ED612A"/>
    <w:rsid w:val="00EE0043"/>
    <w:rsid w:val="00EE3268"/>
    <w:rsid w:val="00EE3B44"/>
    <w:rsid w:val="00EE6BD7"/>
    <w:rsid w:val="00EF1445"/>
    <w:rsid w:val="00EF1586"/>
    <w:rsid w:val="00EF374D"/>
    <w:rsid w:val="00EF45CE"/>
    <w:rsid w:val="00EF4E08"/>
    <w:rsid w:val="00EF61FE"/>
    <w:rsid w:val="00EF7665"/>
    <w:rsid w:val="00F0689D"/>
    <w:rsid w:val="00F075E7"/>
    <w:rsid w:val="00F07ECC"/>
    <w:rsid w:val="00F109BE"/>
    <w:rsid w:val="00F131ED"/>
    <w:rsid w:val="00F167AB"/>
    <w:rsid w:val="00F174B1"/>
    <w:rsid w:val="00F2029B"/>
    <w:rsid w:val="00F235FE"/>
    <w:rsid w:val="00F23730"/>
    <w:rsid w:val="00F266CB"/>
    <w:rsid w:val="00F312E6"/>
    <w:rsid w:val="00F3163F"/>
    <w:rsid w:val="00F32905"/>
    <w:rsid w:val="00F3299A"/>
    <w:rsid w:val="00F32A29"/>
    <w:rsid w:val="00F33942"/>
    <w:rsid w:val="00F3526D"/>
    <w:rsid w:val="00F35AF5"/>
    <w:rsid w:val="00F36A11"/>
    <w:rsid w:val="00F40F8D"/>
    <w:rsid w:val="00F448BD"/>
    <w:rsid w:val="00F453CA"/>
    <w:rsid w:val="00F4624D"/>
    <w:rsid w:val="00F505EA"/>
    <w:rsid w:val="00F55FCC"/>
    <w:rsid w:val="00F57CA2"/>
    <w:rsid w:val="00F600F9"/>
    <w:rsid w:val="00F64BF4"/>
    <w:rsid w:val="00F65FB6"/>
    <w:rsid w:val="00F66994"/>
    <w:rsid w:val="00F67F3D"/>
    <w:rsid w:val="00F7037A"/>
    <w:rsid w:val="00F72F7B"/>
    <w:rsid w:val="00F73A09"/>
    <w:rsid w:val="00F747CF"/>
    <w:rsid w:val="00F8000E"/>
    <w:rsid w:val="00F812C8"/>
    <w:rsid w:val="00F81759"/>
    <w:rsid w:val="00F82ECB"/>
    <w:rsid w:val="00F8491A"/>
    <w:rsid w:val="00F85C46"/>
    <w:rsid w:val="00F86671"/>
    <w:rsid w:val="00F86D4B"/>
    <w:rsid w:val="00F9095E"/>
    <w:rsid w:val="00F93A03"/>
    <w:rsid w:val="00F94FB7"/>
    <w:rsid w:val="00F962E9"/>
    <w:rsid w:val="00F97096"/>
    <w:rsid w:val="00F97E93"/>
    <w:rsid w:val="00FA178C"/>
    <w:rsid w:val="00FA1B5A"/>
    <w:rsid w:val="00FA3309"/>
    <w:rsid w:val="00FA6BEE"/>
    <w:rsid w:val="00FA74AA"/>
    <w:rsid w:val="00FB01B5"/>
    <w:rsid w:val="00FB17EC"/>
    <w:rsid w:val="00FB1A40"/>
    <w:rsid w:val="00FB2FFA"/>
    <w:rsid w:val="00FB7DB8"/>
    <w:rsid w:val="00FC39F6"/>
    <w:rsid w:val="00FC4F3A"/>
    <w:rsid w:val="00FC4FAB"/>
    <w:rsid w:val="00FD2899"/>
    <w:rsid w:val="00FD50E5"/>
    <w:rsid w:val="00FE07F3"/>
    <w:rsid w:val="00FE0FF2"/>
    <w:rsid w:val="00FE4604"/>
    <w:rsid w:val="00FE4FA1"/>
    <w:rsid w:val="00FE5B13"/>
    <w:rsid w:val="00FE6572"/>
    <w:rsid w:val="00FF161C"/>
    <w:rsid w:val="00FF171F"/>
    <w:rsid w:val="00FF2F4A"/>
    <w:rsid w:val="00FF4213"/>
    <w:rsid w:val="00FF4677"/>
    <w:rsid w:val="00FF4DBF"/>
    <w:rsid w:val="00FF531E"/>
    <w:rsid w:val="00FF54FE"/>
    <w:rsid w:val="00FF6943"/>
    <w:rsid w:val="015AFAE5"/>
    <w:rsid w:val="017A2AC6"/>
    <w:rsid w:val="01814670"/>
    <w:rsid w:val="0186621A"/>
    <w:rsid w:val="0187054F"/>
    <w:rsid w:val="019E66D3"/>
    <w:rsid w:val="026D458F"/>
    <w:rsid w:val="02949C0B"/>
    <w:rsid w:val="02BF2137"/>
    <w:rsid w:val="04598DA0"/>
    <w:rsid w:val="0489FA35"/>
    <w:rsid w:val="04A8E729"/>
    <w:rsid w:val="04F1A342"/>
    <w:rsid w:val="05130336"/>
    <w:rsid w:val="059DF653"/>
    <w:rsid w:val="05DC38C2"/>
    <w:rsid w:val="062EA15E"/>
    <w:rsid w:val="076610E6"/>
    <w:rsid w:val="077B2864"/>
    <w:rsid w:val="07C606CB"/>
    <w:rsid w:val="08745FBB"/>
    <w:rsid w:val="08AFF8E0"/>
    <w:rsid w:val="08D62424"/>
    <w:rsid w:val="08E6369C"/>
    <w:rsid w:val="091CF18D"/>
    <w:rsid w:val="095C39F1"/>
    <w:rsid w:val="09741EB1"/>
    <w:rsid w:val="09BAEFC4"/>
    <w:rsid w:val="0A4FF682"/>
    <w:rsid w:val="0AD192B0"/>
    <w:rsid w:val="0B0CAB3E"/>
    <w:rsid w:val="0B45221B"/>
    <w:rsid w:val="0BA6F557"/>
    <w:rsid w:val="0BC55310"/>
    <w:rsid w:val="0BFEA064"/>
    <w:rsid w:val="0C1BEBA9"/>
    <w:rsid w:val="0C90D5F0"/>
    <w:rsid w:val="0C97AA4A"/>
    <w:rsid w:val="0CC3F917"/>
    <w:rsid w:val="0E637454"/>
    <w:rsid w:val="0E74A47A"/>
    <w:rsid w:val="0FE01C61"/>
    <w:rsid w:val="0FE7AB88"/>
    <w:rsid w:val="1098D5A2"/>
    <w:rsid w:val="10E5C619"/>
    <w:rsid w:val="117BECC2"/>
    <w:rsid w:val="11C62456"/>
    <w:rsid w:val="12FDD4BC"/>
    <w:rsid w:val="1317BD23"/>
    <w:rsid w:val="13320F3C"/>
    <w:rsid w:val="13463D53"/>
    <w:rsid w:val="140B8016"/>
    <w:rsid w:val="145B8F61"/>
    <w:rsid w:val="14F23A96"/>
    <w:rsid w:val="15D8052C"/>
    <w:rsid w:val="15E4E06F"/>
    <w:rsid w:val="1681ABB6"/>
    <w:rsid w:val="16D8B09E"/>
    <w:rsid w:val="16E0012A"/>
    <w:rsid w:val="1748D3B4"/>
    <w:rsid w:val="175E9E50"/>
    <w:rsid w:val="17CE19EE"/>
    <w:rsid w:val="18025E63"/>
    <w:rsid w:val="18BE0D32"/>
    <w:rsid w:val="18E14654"/>
    <w:rsid w:val="190CD03C"/>
    <w:rsid w:val="196FC607"/>
    <w:rsid w:val="1A3A7DA6"/>
    <w:rsid w:val="1AECD6F8"/>
    <w:rsid w:val="1B2F878B"/>
    <w:rsid w:val="1B39FF25"/>
    <w:rsid w:val="1B6DA95B"/>
    <w:rsid w:val="1C02F378"/>
    <w:rsid w:val="1C18E716"/>
    <w:rsid w:val="1D4BDC44"/>
    <w:rsid w:val="1D5FDDB6"/>
    <w:rsid w:val="1D8A378C"/>
    <w:rsid w:val="1EDC8A2A"/>
    <w:rsid w:val="1F611FA9"/>
    <w:rsid w:val="205FD1D0"/>
    <w:rsid w:val="20B08C5A"/>
    <w:rsid w:val="20D68DC2"/>
    <w:rsid w:val="215E4B58"/>
    <w:rsid w:val="21C503C7"/>
    <w:rsid w:val="224F43F7"/>
    <w:rsid w:val="2273246F"/>
    <w:rsid w:val="2306B366"/>
    <w:rsid w:val="2308CFF6"/>
    <w:rsid w:val="23AF17F7"/>
    <w:rsid w:val="23D5AF74"/>
    <w:rsid w:val="2448753D"/>
    <w:rsid w:val="2484B1FA"/>
    <w:rsid w:val="24FD01B4"/>
    <w:rsid w:val="2518D69E"/>
    <w:rsid w:val="25EF8ADE"/>
    <w:rsid w:val="26509E87"/>
    <w:rsid w:val="26CB1AF7"/>
    <w:rsid w:val="26DEA14D"/>
    <w:rsid w:val="26E8D411"/>
    <w:rsid w:val="2708DBF9"/>
    <w:rsid w:val="27185FDE"/>
    <w:rsid w:val="2724FDDD"/>
    <w:rsid w:val="2850A443"/>
    <w:rsid w:val="2854EAE4"/>
    <w:rsid w:val="28C48B2E"/>
    <w:rsid w:val="2A17CCC3"/>
    <w:rsid w:val="2A19090C"/>
    <w:rsid w:val="2C172371"/>
    <w:rsid w:val="2C5AB05F"/>
    <w:rsid w:val="2CE8B951"/>
    <w:rsid w:val="2CED8E33"/>
    <w:rsid w:val="2D1285FC"/>
    <w:rsid w:val="2D3617E4"/>
    <w:rsid w:val="2E537023"/>
    <w:rsid w:val="2EA46092"/>
    <w:rsid w:val="2EB5362A"/>
    <w:rsid w:val="2F0563CB"/>
    <w:rsid w:val="2F375BA0"/>
    <w:rsid w:val="2F53CC3A"/>
    <w:rsid w:val="2F699B86"/>
    <w:rsid w:val="2FF6E73B"/>
    <w:rsid w:val="302ADBAA"/>
    <w:rsid w:val="30AA160F"/>
    <w:rsid w:val="3194624A"/>
    <w:rsid w:val="31C5F038"/>
    <w:rsid w:val="31CB740F"/>
    <w:rsid w:val="321FF1C4"/>
    <w:rsid w:val="33E0D33A"/>
    <w:rsid w:val="349CB742"/>
    <w:rsid w:val="359FC7FD"/>
    <w:rsid w:val="365E711F"/>
    <w:rsid w:val="36AE13B6"/>
    <w:rsid w:val="36B50750"/>
    <w:rsid w:val="37495C4F"/>
    <w:rsid w:val="3759C2C8"/>
    <w:rsid w:val="37865E57"/>
    <w:rsid w:val="382AD56F"/>
    <w:rsid w:val="38A35810"/>
    <w:rsid w:val="3914DAD7"/>
    <w:rsid w:val="3919984C"/>
    <w:rsid w:val="39449FA4"/>
    <w:rsid w:val="3953094E"/>
    <w:rsid w:val="39A7CB57"/>
    <w:rsid w:val="39BA5DA3"/>
    <w:rsid w:val="39EE3A99"/>
    <w:rsid w:val="3AB69DF1"/>
    <w:rsid w:val="3AE73DCF"/>
    <w:rsid w:val="3B4CECA8"/>
    <w:rsid w:val="3B5F1E40"/>
    <w:rsid w:val="3B9C5C60"/>
    <w:rsid w:val="3BB91E82"/>
    <w:rsid w:val="3C4AC61A"/>
    <w:rsid w:val="3C90E42F"/>
    <w:rsid w:val="3C9AAE69"/>
    <w:rsid w:val="3CB7D30D"/>
    <w:rsid w:val="3CE25742"/>
    <w:rsid w:val="3CF5CEB9"/>
    <w:rsid w:val="3D1FC940"/>
    <w:rsid w:val="3D313AAA"/>
    <w:rsid w:val="3DF26F01"/>
    <w:rsid w:val="3E16786C"/>
    <w:rsid w:val="3E506B90"/>
    <w:rsid w:val="3E8C3E9E"/>
    <w:rsid w:val="3EF89AE6"/>
    <w:rsid w:val="3EFF61A0"/>
    <w:rsid w:val="3F69DF5B"/>
    <w:rsid w:val="3F8C137E"/>
    <w:rsid w:val="3F9CC1E5"/>
    <w:rsid w:val="40213D64"/>
    <w:rsid w:val="4021A421"/>
    <w:rsid w:val="40ECD2B4"/>
    <w:rsid w:val="4184A16A"/>
    <w:rsid w:val="419B0740"/>
    <w:rsid w:val="419CB38D"/>
    <w:rsid w:val="42CC4D46"/>
    <w:rsid w:val="42FFF772"/>
    <w:rsid w:val="43E4859E"/>
    <w:rsid w:val="4438C923"/>
    <w:rsid w:val="452A2F9D"/>
    <w:rsid w:val="45BDA989"/>
    <w:rsid w:val="46A6A767"/>
    <w:rsid w:val="46B4399B"/>
    <w:rsid w:val="471E3C14"/>
    <w:rsid w:val="4772C325"/>
    <w:rsid w:val="47CE08A9"/>
    <w:rsid w:val="483530E9"/>
    <w:rsid w:val="48620A0B"/>
    <w:rsid w:val="489B89F3"/>
    <w:rsid w:val="4948B681"/>
    <w:rsid w:val="49A67FA7"/>
    <w:rsid w:val="49CA764B"/>
    <w:rsid w:val="49FF989F"/>
    <w:rsid w:val="4A03857E"/>
    <w:rsid w:val="4A1E7ECB"/>
    <w:rsid w:val="4A56E1E7"/>
    <w:rsid w:val="4A7C4DBD"/>
    <w:rsid w:val="4AC69673"/>
    <w:rsid w:val="4B736AE2"/>
    <w:rsid w:val="4B9AE8CC"/>
    <w:rsid w:val="4BB4FEE5"/>
    <w:rsid w:val="4BB6731A"/>
    <w:rsid w:val="4C20DA3A"/>
    <w:rsid w:val="4D308963"/>
    <w:rsid w:val="4D354D6E"/>
    <w:rsid w:val="4D375225"/>
    <w:rsid w:val="4D7B98E9"/>
    <w:rsid w:val="4D9BC916"/>
    <w:rsid w:val="4DAF3FB9"/>
    <w:rsid w:val="4DBE81EC"/>
    <w:rsid w:val="4DD4B20F"/>
    <w:rsid w:val="4E831B53"/>
    <w:rsid w:val="4F48A7B9"/>
    <w:rsid w:val="4F8C16FA"/>
    <w:rsid w:val="50A23179"/>
    <w:rsid w:val="50F11303"/>
    <w:rsid w:val="51019797"/>
    <w:rsid w:val="510C13BD"/>
    <w:rsid w:val="51143922"/>
    <w:rsid w:val="5147241F"/>
    <w:rsid w:val="51762BC1"/>
    <w:rsid w:val="51FC4788"/>
    <w:rsid w:val="523F8248"/>
    <w:rsid w:val="5302EC36"/>
    <w:rsid w:val="532EA90A"/>
    <w:rsid w:val="539E032D"/>
    <w:rsid w:val="53AAC5FE"/>
    <w:rsid w:val="54149B13"/>
    <w:rsid w:val="54503620"/>
    <w:rsid w:val="54C51FBB"/>
    <w:rsid w:val="558628FA"/>
    <w:rsid w:val="55B06B74"/>
    <w:rsid w:val="55DFBF0C"/>
    <w:rsid w:val="55E86CC1"/>
    <w:rsid w:val="569F9CD4"/>
    <w:rsid w:val="56CCBBD9"/>
    <w:rsid w:val="56D6421B"/>
    <w:rsid w:val="56E88F53"/>
    <w:rsid w:val="5702722B"/>
    <w:rsid w:val="57B1B56D"/>
    <w:rsid w:val="581C7B28"/>
    <w:rsid w:val="58542795"/>
    <w:rsid w:val="5935A1B6"/>
    <w:rsid w:val="599F3D62"/>
    <w:rsid w:val="59E7B7C3"/>
    <w:rsid w:val="5A11E39B"/>
    <w:rsid w:val="5A83DC97"/>
    <w:rsid w:val="5B838824"/>
    <w:rsid w:val="5B9A656C"/>
    <w:rsid w:val="5C64F7A5"/>
    <w:rsid w:val="5D9D196B"/>
    <w:rsid w:val="5DACD061"/>
    <w:rsid w:val="5DB2206F"/>
    <w:rsid w:val="5E61C55A"/>
    <w:rsid w:val="5EBB28E6"/>
    <w:rsid w:val="5F991369"/>
    <w:rsid w:val="5FA9F3AB"/>
    <w:rsid w:val="5FFD95BB"/>
    <w:rsid w:val="60824F7E"/>
    <w:rsid w:val="60C2E04E"/>
    <w:rsid w:val="6149D8CA"/>
    <w:rsid w:val="6185B1E4"/>
    <w:rsid w:val="6199661C"/>
    <w:rsid w:val="61A81DA7"/>
    <w:rsid w:val="62463854"/>
    <w:rsid w:val="62A88FFA"/>
    <w:rsid w:val="62B6545C"/>
    <w:rsid w:val="6335367D"/>
    <w:rsid w:val="63727B02"/>
    <w:rsid w:val="6470F656"/>
    <w:rsid w:val="653F2D4D"/>
    <w:rsid w:val="65456F64"/>
    <w:rsid w:val="654583E0"/>
    <w:rsid w:val="66062307"/>
    <w:rsid w:val="66F58974"/>
    <w:rsid w:val="6734C189"/>
    <w:rsid w:val="67493276"/>
    <w:rsid w:val="676BC1BB"/>
    <w:rsid w:val="684F6119"/>
    <w:rsid w:val="68742A54"/>
    <w:rsid w:val="69BA4E22"/>
    <w:rsid w:val="6A1B8130"/>
    <w:rsid w:val="6A5CC7B8"/>
    <w:rsid w:val="6ABA4A4D"/>
    <w:rsid w:val="6B27E12D"/>
    <w:rsid w:val="6B42FA00"/>
    <w:rsid w:val="6BB4AD88"/>
    <w:rsid w:val="6BE67F7A"/>
    <w:rsid w:val="6C1F014D"/>
    <w:rsid w:val="6C49629F"/>
    <w:rsid w:val="6C9CFB6A"/>
    <w:rsid w:val="6CEBCDC8"/>
    <w:rsid w:val="6D06E7BE"/>
    <w:rsid w:val="6EB7D6FC"/>
    <w:rsid w:val="6EB98C7A"/>
    <w:rsid w:val="6F1A9F1C"/>
    <w:rsid w:val="6F1E203C"/>
    <w:rsid w:val="6F445F28"/>
    <w:rsid w:val="6F5C622C"/>
    <w:rsid w:val="6F8D622F"/>
    <w:rsid w:val="6F8E876D"/>
    <w:rsid w:val="6FC764BE"/>
    <w:rsid w:val="6FEB7088"/>
    <w:rsid w:val="6FEE002D"/>
    <w:rsid w:val="7037EF4A"/>
    <w:rsid w:val="70DBABE0"/>
    <w:rsid w:val="71B1FAA5"/>
    <w:rsid w:val="7267CCF0"/>
    <w:rsid w:val="7282F6BC"/>
    <w:rsid w:val="72FCD300"/>
    <w:rsid w:val="735D9D55"/>
    <w:rsid w:val="7379DA77"/>
    <w:rsid w:val="73B6A5BD"/>
    <w:rsid w:val="7423E11E"/>
    <w:rsid w:val="7438EBF3"/>
    <w:rsid w:val="74A5CA6F"/>
    <w:rsid w:val="751B02B8"/>
    <w:rsid w:val="7524023B"/>
    <w:rsid w:val="7524854A"/>
    <w:rsid w:val="75487BBA"/>
    <w:rsid w:val="756A3C81"/>
    <w:rsid w:val="75743963"/>
    <w:rsid w:val="75807C0C"/>
    <w:rsid w:val="75B578F5"/>
    <w:rsid w:val="75D294AE"/>
    <w:rsid w:val="7776A879"/>
    <w:rsid w:val="77DCFE5E"/>
    <w:rsid w:val="78182EBC"/>
    <w:rsid w:val="782D57FD"/>
    <w:rsid w:val="785F42D4"/>
    <w:rsid w:val="78B30EE6"/>
    <w:rsid w:val="79557B2A"/>
    <w:rsid w:val="79A2DF4E"/>
    <w:rsid w:val="79BA5811"/>
    <w:rsid w:val="7A7A91BD"/>
    <w:rsid w:val="7B785C94"/>
    <w:rsid w:val="7BCB6BAE"/>
    <w:rsid w:val="7C20DBF0"/>
    <w:rsid w:val="7DAA428A"/>
    <w:rsid w:val="7DF1CFB8"/>
    <w:rsid w:val="7F2265D9"/>
    <w:rsid w:val="7F379488"/>
    <w:rsid w:val="7F7612C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F55F641"/>
  <w15:chartTrackingRefBased/>
  <w15:docId w15:val="{42608D39-C7A5-4753-8F08-1D4B20DA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CE0581"/>
    <w:rPr>
      <w:color w:val="000000" w:themeColor="text1"/>
      <w:sz w:val="20"/>
      <w:szCs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aliases w:val="SGS Table Basic 1,CV table"/>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880A08"/>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880A08"/>
    <w:rPr>
      <w:rFonts w:ascii="Arial (Body)" w:eastAsia="Times New Roman" w:hAnsi="Arial (Body)" w:cs="Times New Roman"/>
      <w:szCs w:val="20"/>
      <w:lang w:val="en-US"/>
    </w:rPr>
  </w:style>
  <w:style w:type="paragraph" w:styleId="Titulek">
    <w:name w:val="caption"/>
    <w:basedOn w:val="Normln"/>
    <w:next w:val="Normln"/>
    <w:link w:val="TitulekChar"/>
    <w:unhideWhenUsed/>
    <w:qFormat/>
    <w:rsid w:val="00512795"/>
    <w:pPr>
      <w:spacing w:after="200" w:line="240" w:lineRule="auto"/>
    </w:pPr>
    <w:rPr>
      <w:i/>
      <w:iCs/>
      <w:color w:val="004B8D" w:themeColor="text2"/>
      <w:sz w:val="18"/>
      <w:szCs w:val="18"/>
    </w:rPr>
  </w:style>
  <w:style w:type="character" w:customStyle="1" w:styleId="TitulekChar">
    <w:name w:val="Titulek Char"/>
    <w:link w:val="Titulek"/>
    <w:rsid w:val="00512795"/>
    <w:rPr>
      <w:i/>
      <w:iCs/>
      <w:color w:val="004B8D" w:themeColor="text2"/>
      <w:sz w:val="18"/>
      <w:szCs w:val="18"/>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locked/>
    <w:rsid w:val="00375379"/>
    <w:rPr>
      <w:color w:val="000000" w:themeColor="text1"/>
    </w:rPr>
  </w:style>
  <w:style w:type="paragraph" w:customStyle="1" w:styleId="EYNormal">
    <w:name w:val="EY Normal"/>
    <w:link w:val="EYNormalChar"/>
    <w:qFormat/>
    <w:rsid w:val="002507BF"/>
    <w:pPr>
      <w:spacing w:after="0" w:line="240" w:lineRule="auto"/>
      <w:jc w:val="both"/>
    </w:pPr>
    <w:rPr>
      <w:rFonts w:eastAsia="Times New Roman" w:cs="Times New Roman"/>
      <w:kern w:val="12"/>
      <w:sz w:val="20"/>
      <w:szCs w:val="24"/>
      <w:lang w:val="sk-SK"/>
    </w:rPr>
  </w:style>
  <w:style w:type="paragraph" w:customStyle="1" w:styleId="EYBulletedList1">
    <w:name w:val="EY Bulleted List 1"/>
    <w:qFormat/>
    <w:rsid w:val="002507BF"/>
    <w:pPr>
      <w:numPr>
        <w:numId w:val="10"/>
      </w:numPr>
      <w:spacing w:before="60" w:after="0" w:line="240" w:lineRule="auto"/>
      <w:jc w:val="both"/>
    </w:pPr>
    <w:rPr>
      <w:rFonts w:eastAsia="Times New Roman" w:cs="Times New Roman"/>
      <w:kern w:val="12"/>
      <w:sz w:val="20"/>
      <w:szCs w:val="24"/>
      <w:lang w:val="sk-SK"/>
    </w:rPr>
  </w:style>
  <w:style w:type="paragraph" w:customStyle="1" w:styleId="EYBulletedList2">
    <w:name w:val="EY Bulleted List 2"/>
    <w:qFormat/>
    <w:rsid w:val="002507BF"/>
    <w:pPr>
      <w:numPr>
        <w:ilvl w:val="1"/>
        <w:numId w:val="10"/>
      </w:numPr>
      <w:spacing w:after="0" w:line="240" w:lineRule="auto"/>
    </w:pPr>
    <w:rPr>
      <w:rFonts w:eastAsia="Times New Roman" w:cs="Times New Roman"/>
      <w:kern w:val="12"/>
      <w:sz w:val="20"/>
      <w:szCs w:val="24"/>
      <w:lang w:val="en-US"/>
    </w:rPr>
  </w:style>
  <w:style w:type="paragraph" w:customStyle="1" w:styleId="EYBulletedList3">
    <w:name w:val="EY Bulleted List 3"/>
    <w:qFormat/>
    <w:rsid w:val="002507BF"/>
    <w:pPr>
      <w:numPr>
        <w:ilvl w:val="2"/>
        <w:numId w:val="10"/>
      </w:num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2507BF"/>
    <w:rPr>
      <w:rFonts w:eastAsia="Times New Roman" w:cs="Times New Roman"/>
      <w:kern w:val="12"/>
      <w:sz w:val="20"/>
      <w:szCs w:val="24"/>
      <w:lang w:val="sk-SK"/>
    </w:rPr>
  </w:style>
  <w:style w:type="character" w:styleId="Siln">
    <w:name w:val="Strong"/>
    <w:basedOn w:val="Standardnpsmoodstavce"/>
    <w:uiPriority w:val="22"/>
    <w:qFormat/>
    <w:rsid w:val="002507BF"/>
    <w:rPr>
      <w:b/>
      <w:bCs/>
    </w:rPr>
  </w:style>
  <w:style w:type="paragraph" w:customStyle="1" w:styleId="oj-doc-ti">
    <w:name w:val="oj-doc-ti"/>
    <w:basedOn w:val="Normln"/>
    <w:rsid w:val="0042537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paragraph" w:customStyle="1" w:styleId="oj-no-doc-c">
    <w:name w:val="oj-no-doc-c"/>
    <w:basedOn w:val="Normln"/>
    <w:rsid w:val="0042537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styleId="Nevyeenzmnka">
    <w:name w:val="Unresolved Mention"/>
    <w:basedOn w:val="Standardnpsmoodstavce"/>
    <w:uiPriority w:val="99"/>
    <w:semiHidden/>
    <w:unhideWhenUsed/>
    <w:rsid w:val="00F131ED"/>
    <w:rPr>
      <w:color w:val="605E5C"/>
      <w:shd w:val="clear" w:color="auto" w:fill="E1DFDD"/>
    </w:rPr>
  </w:style>
  <w:style w:type="character" w:customStyle="1" w:styleId="normaltextrun">
    <w:name w:val="normaltextrun"/>
    <w:basedOn w:val="Standardnpsmoodstavce"/>
    <w:rsid w:val="00381E7A"/>
  </w:style>
  <w:style w:type="paragraph" w:styleId="Revize">
    <w:name w:val="Revision"/>
    <w:hidden/>
    <w:uiPriority w:val="99"/>
    <w:semiHidden/>
    <w:rsid w:val="00DF3801"/>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3629864">
      <w:bodyDiv w:val="1"/>
      <w:marLeft w:val="0"/>
      <w:marRight w:val="0"/>
      <w:marTop w:val="0"/>
      <w:marBottom w:val="0"/>
      <w:divBdr>
        <w:top w:val="none" w:sz="0" w:space="0" w:color="auto"/>
        <w:left w:val="none" w:sz="0" w:space="0" w:color="auto"/>
        <w:bottom w:val="none" w:sz="0" w:space="0" w:color="auto"/>
        <w:right w:val="none" w:sz="0" w:space="0" w:color="auto"/>
      </w:divBdr>
      <w:divsChild>
        <w:div w:id="512378722">
          <w:marLeft w:val="1138"/>
          <w:marRight w:val="0"/>
          <w:marTop w:val="115"/>
          <w:marBottom w:val="120"/>
          <w:divBdr>
            <w:top w:val="none" w:sz="0" w:space="0" w:color="auto"/>
            <w:left w:val="none" w:sz="0" w:space="0" w:color="auto"/>
            <w:bottom w:val="none" w:sz="0" w:space="0" w:color="auto"/>
            <w:right w:val="none" w:sz="0" w:space="0" w:color="auto"/>
          </w:divBdr>
        </w:div>
      </w:divsChild>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59558868">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73051813">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682129800">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95106470">
      <w:bodyDiv w:val="1"/>
      <w:marLeft w:val="0"/>
      <w:marRight w:val="0"/>
      <w:marTop w:val="0"/>
      <w:marBottom w:val="0"/>
      <w:divBdr>
        <w:top w:val="none" w:sz="0" w:space="0" w:color="auto"/>
        <w:left w:val="none" w:sz="0" w:space="0" w:color="auto"/>
        <w:bottom w:val="none" w:sz="0" w:space="0" w:color="auto"/>
        <w:right w:val="none" w:sz="0" w:space="0" w:color="auto"/>
      </w:divBdr>
    </w:div>
    <w:div w:id="1008677608">
      <w:bodyDiv w:val="1"/>
      <w:marLeft w:val="0"/>
      <w:marRight w:val="0"/>
      <w:marTop w:val="0"/>
      <w:marBottom w:val="0"/>
      <w:divBdr>
        <w:top w:val="none" w:sz="0" w:space="0" w:color="auto"/>
        <w:left w:val="none" w:sz="0" w:space="0" w:color="auto"/>
        <w:bottom w:val="none" w:sz="0" w:space="0" w:color="auto"/>
        <w:right w:val="none" w:sz="0" w:space="0" w:color="auto"/>
      </w:divBdr>
    </w:div>
    <w:div w:id="1042827617">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89158638">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182429172">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48941511">
      <w:bodyDiv w:val="1"/>
      <w:marLeft w:val="0"/>
      <w:marRight w:val="0"/>
      <w:marTop w:val="0"/>
      <w:marBottom w:val="0"/>
      <w:divBdr>
        <w:top w:val="none" w:sz="0" w:space="0" w:color="auto"/>
        <w:left w:val="none" w:sz="0" w:space="0" w:color="auto"/>
        <w:bottom w:val="none" w:sz="0" w:space="0" w:color="auto"/>
        <w:right w:val="none" w:sz="0" w:space="0" w:color="auto"/>
      </w:divBdr>
    </w:div>
    <w:div w:id="1356540772">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5543499">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691650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mpo.cz/cz/energetika/strategicke-a-koncepcni-dokumenty/narodni-akcni-plan-pro-chytre-site/narodni-akcni-plan-pro-chytre-site-2019---2030---aktualizace-nap-sg--248894/"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758E-458E-400C-A4E9-7E535E591BF2}">
  <ds:schemaRefs>
    <ds:schemaRef ds:uri="http://purl.org/dc/terms/"/>
    <ds:schemaRef ds:uri="b025c8a1-4732-46e2-bd11-1250b3eeaccb"/>
    <ds:schemaRef ds:uri="50c908b1-f277-4340-90a9-4611d0b0f078"/>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c4f8138-9d44-4285-a946-7a5a8f18be5f"/>
    <ds:schemaRef ds:uri="http://www.w3.org/XML/1998/namespace"/>
    <ds:schemaRef ds:uri="http://purl.org/dc/dcmitype/"/>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9677F208-04B6-45FD-80D9-8144ADA47C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E3C1FC9-F275-4649-BF26-17190877F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1EB59318.dotm</Template>
  <TotalTime>0</TotalTime>
  <Pages>12</Pages>
  <Words>4891</Words>
  <Characters>28862</Characters>
  <Application>Microsoft Office Word</Application>
  <DocSecurity>0</DocSecurity>
  <Lines>240</Lines>
  <Paragraphs>67</Paragraphs>
  <ScaleCrop>false</ScaleCrop>
  <Company>Ministerstvo průmyslu a obchodu</Company>
  <LinksUpToDate>false</LinksUpToDate>
  <CharactersWithSpaces>33686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Bubenková Monika</cp:lastModifiedBy>
  <cp:revision>7</cp:revision>
  <dcterms:created xsi:type="dcterms:W3CDTF">2023-06-29T12:38:00Z</dcterms:created>
  <dcterms:modified xsi:type="dcterms:W3CDTF">2023-11-22T07:38:00Z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8d94c5f0-83f8-4bf2-af20-ac59dfc3b7e2_Enabled">
    <vt:lpwstr>True</vt:lpwstr>
  </property>
  <property fmtid="{D5CDD505-2E9C-101B-9397-08002B2CF9AE}" pid="4" name="MSIP_Label_8d94c5f0-83f8-4bf2-af20-ac59dfc3b7e2_SiteId">
    <vt:lpwstr>1f9775f0-c6d0-40f3-b27c-91cb5bbd294a</vt:lpwstr>
  </property>
  <property fmtid="{D5CDD505-2E9C-101B-9397-08002B2CF9AE}" pid="5" name="MSIP_Label_8d94c5f0-83f8-4bf2-af20-ac59dfc3b7e2_ActionId">
    <vt:lpwstr>cc3d12be-605c-47aa-96f8-790e41ee0504</vt:lpwstr>
  </property>
  <property fmtid="{D5CDD505-2E9C-101B-9397-08002B2CF9AE}" pid="6" name="MSIP_Label_8d94c5f0-83f8-4bf2-af20-ac59dfc3b7e2_Method">
    <vt:lpwstr>Privileged</vt:lpwstr>
  </property>
  <property fmtid="{D5CDD505-2E9C-101B-9397-08002B2CF9AE}" pid="7" name="MSIP_Label_8d94c5f0-83f8-4bf2-af20-ac59dfc3b7e2_SetDate">
    <vt:lpwstr>2021-05-14T10:10:29Z</vt:lpwstr>
  </property>
  <property fmtid="{D5CDD505-2E9C-101B-9397-08002B2CF9AE}" pid="8" name="MSIP_Label_8d94c5f0-83f8-4bf2-af20-ac59dfc3b7e2_Name">
    <vt:lpwstr>Veřejné</vt:lpwstr>
  </property>
  <property fmtid="{D5CDD505-2E9C-101B-9397-08002B2CF9AE}" pid="9" name="MSIP_Label_8d94c5f0-83f8-4bf2-af20-ac59dfc3b7e2_ContentBits">
    <vt:lpwstr>1</vt:lpwstr>
  </property>
  <property fmtid="{D5CDD505-2E9C-101B-9397-08002B2CF9AE}" pid="10" name="MediaServiceImageTags">
    <vt:lpwstr/>
  </property>
</Properties>
</file>