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DE2B2" w14:textId="315F15C6" w:rsidR="00C42CDB" w:rsidRPr="005943AD" w:rsidRDefault="00C42CDB" w:rsidP="6D35A5C4">
      <w:pPr>
        <w:pStyle w:val="K-nzev"/>
        <w:rPr>
          <w:rFonts w:eastAsiaTheme="minorEastAsia" w:cstheme="minorBidi"/>
        </w:rPr>
      </w:pPr>
      <w:bookmarkStart w:id="0" w:name="_Toc68888766"/>
      <w:r w:rsidRPr="6D35A5C4">
        <w:rPr>
          <w:rFonts w:eastAsiaTheme="minorEastAsia" w:cstheme="minorBidi"/>
        </w:rPr>
        <w:t>1.2 Digitální systémy veřejné správy</w:t>
      </w:r>
      <w:bookmarkEnd w:id="0"/>
      <w:r w:rsidRPr="6D35A5C4">
        <w:rPr>
          <w:rFonts w:eastAsiaTheme="minorEastAsia" w:cstheme="minorBidi"/>
        </w:rPr>
        <w:t xml:space="preserve"> </w:t>
      </w:r>
    </w:p>
    <w:p w14:paraId="55FE9EB4" w14:textId="3A847F7D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1. Popis komponenty</w:t>
      </w:r>
    </w:p>
    <w:tbl>
      <w:tblPr>
        <w:tblStyle w:val="Mkatabulky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AC7DC5" w:rsidRPr="00535CE0" w14:paraId="5B54D3A2" w14:textId="77777777" w:rsidTr="33C5CFFC">
        <w:tc>
          <w:tcPr>
            <w:tcW w:w="9776" w:type="dxa"/>
          </w:tcPr>
          <w:p w14:paraId="1799D820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>Digitální systémy veřejné správy</w:t>
            </w:r>
          </w:p>
          <w:p w14:paraId="216A0418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Oblast politiky: </w:t>
            </w: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Digitalizace, eGovernment, veřejná správa</w:t>
            </w:r>
          </w:p>
          <w:p w14:paraId="5173A4FB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Cíl: </w:t>
            </w:r>
          </w:p>
          <w:p w14:paraId="5C8D1E21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Vytvořit efektivní prostředí pro digitalizaci agend vykonávaných veřejnou správou (a zdravotnictvím jako komplexním oborem ekonomiky financovaným především z veřejných zdrojů), a to především z pohledu:</w:t>
            </w:r>
          </w:p>
          <w:p w14:paraId="2CC9B5E0" w14:textId="5FFB0459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Sdílení dat mezi jednotlivými systémy (orgány a institucemi) prostřednictvím základních registrů, propojeného datového fondu a Informačního systému sdílené služby (eGovernment 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S</w:t>
            </w:r>
            <w:r w:rsidR="004C71E4"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ervice</w:t>
            </w:r>
            <w:proofErr w:type="spellEnd"/>
            <w:r w:rsidR="004C71E4"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</w:t>
            </w: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Bus),</w:t>
            </w:r>
          </w:p>
          <w:p w14:paraId="51531CB4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Vytvoření či rozvoj stávajících či nových funkcionalit </w:t>
            </w:r>
            <w:proofErr w:type="spellStart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backendových</w:t>
            </w:r>
            <w:proofErr w:type="spellEnd"/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 informačních systémů jednotlivých orgánů a institucí, které slouží především k vlastnímu výkonu agend. Hlavní důraz je zde kladen na vzájemnou spolupráci umožňující vyšší míru vnitřní digitalizace úřadů a institucí,</w:t>
            </w:r>
          </w:p>
          <w:p w14:paraId="7C81066B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Kybernetické bezpečnosti vybraných centrálních orgánů a poskytovatelů zdravotnických služeb především v regionu Prahy,</w:t>
            </w:r>
          </w:p>
          <w:p w14:paraId="7CE03FB0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Sdílení znalostí, kompetencí, metodik a standardů poskytovaných prostřednictvím kompetenčních center vč. jejich přenosu na jednotlivé úřady a instituce.</w:t>
            </w:r>
          </w:p>
          <w:p w14:paraId="41F836DA" w14:textId="6F15FA6F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Reformy a investice: </w:t>
            </w:r>
          </w:p>
          <w:p w14:paraId="39356C10" w14:textId="5FD440BE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  <w:t>Reformy</w:t>
            </w:r>
          </w:p>
          <w:p w14:paraId="5F25153F" w14:textId="73F2E686" w:rsidR="00AC7DC5" w:rsidRPr="002A784F" w:rsidRDefault="00AC7DC5" w:rsidP="33C5CFFC">
            <w:pPr>
              <w:pStyle w:val="Odrka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Kompetenční centra pro podporu eGovernmentu</w:t>
            </w:r>
            <w:r w:rsidR="3598BC28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, kyberbezpečnosti</w:t>
            </w: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 elektronizace zdravotnictví </w:t>
            </w:r>
          </w:p>
          <w:p w14:paraId="3D0E3577" w14:textId="6248B5D1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 xml:space="preserve">Budování a rozvoj systémů podporujících elektronizaci zdravotnictví </w:t>
            </w:r>
          </w:p>
          <w:p w14:paraId="02601ECA" w14:textId="31975B06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i/>
                <w:iCs/>
                <w:sz w:val="20"/>
                <w:szCs w:val="20"/>
              </w:rPr>
              <w:t>Investice</w:t>
            </w:r>
          </w:p>
          <w:p w14:paraId="1215E1F2" w14:textId="5C2203DB" w:rsidR="00AC7DC5" w:rsidRPr="002A784F" w:rsidRDefault="00AC7DC5" w:rsidP="33C5CFFC">
            <w:pPr>
              <w:pStyle w:val="Odrka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bookmarkStart w:id="1" w:name="_Hlk68445358"/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Budování a rozvoj </w:t>
            </w:r>
            <w:r w:rsidR="40E918CA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jednotlivých</w:t>
            </w: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informačních systémů </w:t>
            </w:r>
          </w:p>
          <w:p w14:paraId="79C8F2C6" w14:textId="1FFAD97A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Budování a rozvoj základních registrů a zázemí pro eGovernment</w:t>
            </w:r>
          </w:p>
          <w:p w14:paraId="2D16880C" w14:textId="7575ECE4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Kybernetická bezpečnost</w:t>
            </w:r>
          </w:p>
          <w:p w14:paraId="0E94CABE" w14:textId="298A0B7F" w:rsidR="00AC7DC5" w:rsidRPr="002A784F" w:rsidRDefault="00AC7DC5" w:rsidP="6D35A5C4">
            <w:pPr>
              <w:pStyle w:val="Odrka"/>
              <w:rPr>
                <w:rFonts w:asciiTheme="minorHAnsi" w:eastAsiaTheme="minorEastAsia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sz w:val="20"/>
                <w:szCs w:val="20"/>
              </w:rPr>
              <w:t>Vytvoření předpokladů pro digitální justici</w:t>
            </w:r>
          </w:p>
          <w:bookmarkEnd w:id="1"/>
          <w:p w14:paraId="048A6EE3" w14:textId="77777777" w:rsidR="00AC7DC5" w:rsidRPr="002A784F" w:rsidRDefault="00AC7DC5" w:rsidP="3A842B16">
            <w:pPr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</w:pPr>
            <w:r w:rsidRPr="002A784F">
              <w:rPr>
                <w:rFonts w:asciiTheme="minorHAnsi" w:eastAsiaTheme="minorEastAsia" w:hAnsiTheme="minorHAnsi" w:cstheme="minorHAnsi"/>
                <w:b/>
                <w:bCs/>
                <w:sz w:val="20"/>
                <w:szCs w:val="20"/>
              </w:rPr>
              <w:t xml:space="preserve">Odhadované náklady: </w:t>
            </w:r>
          </w:p>
          <w:p w14:paraId="22957922" w14:textId="2665D336" w:rsidR="00AC7DC5" w:rsidRPr="002A784F" w:rsidRDefault="003C5414" w:rsidP="33C5CFFC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7</w:t>
            </w:r>
            <w:r w:rsidR="00ED5819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0</w:t>
            </w:r>
            <w:r w:rsidR="73F7A73F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>54,5</w:t>
            </w:r>
            <w:r w:rsidR="00AC7DC5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Kč.</w:t>
            </w:r>
            <w:r w:rsidR="00D91849" w:rsidRPr="33C5CFFC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(plně zahrnuto do RRF)</w:t>
            </w:r>
          </w:p>
        </w:tc>
      </w:tr>
    </w:tbl>
    <w:p w14:paraId="6A153638" w14:textId="77777777" w:rsidR="00C42CDB" w:rsidRPr="00535CE0" w:rsidRDefault="00C42CDB" w:rsidP="6D35A5C4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5C9AC2A6" w14:textId="2CF77B6F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Komponenta se primárně zaměřuje na úřady vykonávající veřejnou správu na centrální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lokální úrovni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podporuje práci jednotlivých úředníků,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jak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služeb klientům, kdy zajišťuje digitální odbavení klienta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interních informačních systémů, tak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zajištění vnitřního fungování úřadu. Souběžně pak vytváří předpoklady pro realizaci komponenty Digitální služby pro občany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firmy. Základními předpoklady pro realizaci komponenty je rozvoj základních registrů (a zdravotnických registrů)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propojeného datového fondu umožňující on-line přístup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informacím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občanovi či podnikateli, které se vyskytují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informačních systémech státu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tom nejširším možném kontextu, ale při zachování bezpečnostních rolí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oprávnění pro jednotlivé úředníky. </w:t>
      </w:r>
    </w:p>
    <w:p w14:paraId="382A5184" w14:textId="6A04EA8E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Součástí komponenty je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vytvoření realizačního prostředí pro úspěšné dokončení jednotlivých programů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projektů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podobě vybudování nového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rozvoje stávajících kompetenčních center. Zároveň dojde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vyšší standardizaci vykonávaných agend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přenesené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lokální působnosti.</w:t>
      </w:r>
    </w:p>
    <w:p w14:paraId="4A860E6B" w14:textId="64B285D4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Vytvoření propojeného datového fondu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eGovernment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této komponenty bude spočívat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generační obměně eGovernment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Bus, vytvoření Informačního systému sdílené služby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napojení jednotlivých klíčových informačních systémů do ISSS tak, aby bylo možné si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veřejné správy vyměňovat zabezpečeně data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na jejich základě pak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předvyplňovat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jednotlivé formuláře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podání při zachování zásady „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only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once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“. Tedy klient poskytne příslušná data státní správě pouze jedenkrát. </w:t>
      </w:r>
    </w:p>
    <w:p w14:paraId="13E3F411" w14:textId="428B28C1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Vybudování informační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komunikační infrastruktury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resortu justice umožní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technologického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hmotného hlediska budoucí poskytování digitálních služeb, včetně fungování justice vzdáleně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dobách běžných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 krizových situacích. Publikace nových služeb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zpřístupnění již existujících služeb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dat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justice ve webovém prostoru (prostřednictvím Portálu justice) umožní široké veřejnosti využít služeb justice online.</w:t>
      </w:r>
    </w:p>
    <w:p w14:paraId="2B16F7CF" w14:textId="45D5A90B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Vytvoření komplexně digitalizovaných – bezpapírových úřadů spočívá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zásadní transformaci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jejich agend dle principu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digital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first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>, vytváření maticových týmů pro řešení potřeb vnitřních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vnějších klientů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vývoje, příp. úprav stávajících agendových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podpůrných informačních systémů, digitální transformace je zároveň podporována prací kompetenčních center, která budou nastavovat principy vývoje nových digitálních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služeb vč. konzultační podpory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především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oblastech  analýz, procesních analýz,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enterprise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architektury, návrhu UX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UI, kybernetické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lastRenderedPageBreak/>
        <w:t>bezpečnosti, portálových řešení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agilního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projektového řízení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implementace informačních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změn do ekosystému úřadu. </w:t>
      </w:r>
    </w:p>
    <w:p w14:paraId="2B2D8C8E" w14:textId="706F0F8A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Redukce technologického dluhu na úrovni jednotlivých systémů centrálních úřadů (vč. přenesené působnosti) příp. krajů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obcí, zejména prostřednictvím aktualizace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budování nových informačních systémů úřadu.</w:t>
      </w:r>
    </w:p>
    <w:p w14:paraId="3525D14F" w14:textId="1E548469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Průřezově všemi oblastmi bude řešena otázka zajištění kybernetické bezpečnostmi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ochrany osobních údajů</w:t>
      </w:r>
      <w:r w:rsidR="00230123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dle příslušných právních předpisů (Zákona o kybernetické bezpečnosti a souvisejících předpisů a Zákona </w:t>
      </w:r>
      <w:r w:rsidR="00484068" w:rsidRPr="002A784F">
        <w:rPr>
          <w:rFonts w:asciiTheme="minorHAnsi" w:eastAsiaTheme="minorEastAsia" w:hAnsiTheme="minorHAnsi" w:cstheme="minorHAnsi"/>
          <w:sz w:val="20"/>
          <w:szCs w:val="20"/>
        </w:rPr>
        <w:t>o ochranně osobních údajů a souvisejících předpisů)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.</w:t>
      </w:r>
    </w:p>
    <w:p w14:paraId="06DB8D5C" w14:textId="186E5C1B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2. Hlavní výzvy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>cíle</w:t>
      </w:r>
    </w:p>
    <w:p w14:paraId="2FCAA4BE" w14:textId="216E27FA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i/>
          <w:iCs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Vytvořit efektivní systémové, technologické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znalost</w:t>
      </w:r>
      <w:r w:rsidR="00FB0474" w:rsidRPr="002A784F">
        <w:rPr>
          <w:rFonts w:asciiTheme="minorHAnsi" w:eastAsiaTheme="minorEastAsia" w:hAnsiTheme="minorHAnsi" w:cstheme="minorHAnsi"/>
          <w:sz w:val="20"/>
          <w:szCs w:val="20"/>
        </w:rPr>
        <w:t>n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í prostředí pro digitalizaci agend vykonávaných státem (a zdravotnictvím) jako komplexním oborem ekonomiky,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výrazným zastoupením státních institucí. Cílem je vytvoření příp. úpravy systémů sloužících ke sdílení dat mezi jednotlivými informačními systémy (orgánů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institucí) prostřednictvím základních (a zdravotnických) registrů, propojeného datového fondu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Informačního systému sdílené služby (eGovernment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Bus). Dále vytvoření nebo rozvoj stávajících či nových funkcionalit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backendových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informačních systémů jednotlivých orgánů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sloužící především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vlastnímu výkonu agend tak, aby agendy byly vykonávány jako plně digitální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úřady se tak postupně stávaly zcela bezpapírovými. Hlavní důraz je zde kladen na vzájemnou spolupráci umožňující vyšší míru vnitřní digitalizace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přechodem na tzv. bezpapírový úřad.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souvislosti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nedávno proběhlými kybernetickými útoky na některé centrální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poskytovatele zdravotnických služeb je cílem masivní posílení zejména oblasti kybernetické bezpečnosti,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jak na úrovni centrálního řízení (CMS 2.0), tak na úrovni konkrétních institucí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poskytovatelů zdravotnických služeb. </w:t>
      </w:r>
    </w:p>
    <w:p w14:paraId="0C1EC7D8" w14:textId="269E6C88" w:rsidR="00C42CDB" w:rsidRPr="00535CE0" w:rsidRDefault="00C42CDB" w:rsidP="002A784F">
      <w:pPr>
        <w:spacing w:after="120"/>
        <w:jc w:val="both"/>
        <w:rPr>
          <w:rFonts w:eastAsiaTheme="minorEastAsia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Rozvoje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sdílení znalostí, kompetencí, metodik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standardů poskytovaných prostřednictvím kompetenčních center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center excelence pro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instituce.</w:t>
      </w:r>
    </w:p>
    <w:p w14:paraId="13E57380" w14:textId="77777777" w:rsidR="00C42CDB" w:rsidRPr="003A17B4" w:rsidRDefault="00C42CDB" w:rsidP="003A17B4">
      <w:pPr>
        <w:spacing w:after="120"/>
        <w:rPr>
          <w:rFonts w:eastAsiaTheme="minorEastAsia"/>
          <w:b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a) Hlavní výzvy</w:t>
      </w:r>
    </w:p>
    <w:p w14:paraId="648CBAA8" w14:textId="723DFFAD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Česká republika má dlouhodobý technologický deficit, který mj. spočívá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 velmi omezeném sdílení dat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rámci veřejné správy. Do stávajícího systému eGovernment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 je připojeno velmi omezené množství informačních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vzájemná výměna dat je minimální. Výměna dat je tak mnohdy řešena prostřednictvím vzájemného propojení jednotlivých systémů,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to především na úrovni resortu. Tyto agendové informační systémy jsou pak obtížně rozšířitelné příp.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napojitelné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na moderní sběrnice služeb. Výkon agend jednotlivými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institucemi je tak digitální pouze částečně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 tedy vykonávána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kombinované podobě. Další velkou výzvou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rámci komponenty je kybernetická bezpečnost. </w:t>
      </w:r>
      <w:r w:rsidR="00065FFD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Další velkou výzvou v rámci komponenty je adekvátní zajištění kybernetické bezpečnosti. I přes povinnosti uvedené v zákoně o kybernetické bezpečnosti a s ním spojených předpisů je faktický stav a úroveň kybernetické bezpečnosti u povinných subjektů z veřejné správy i přes pokrok a snahu o řešení nadále neuspokojivý. U poskytovatelů zdravotních služeb je úroveň zajištění kybernetické bezpečnosti zpravidla ještě nižší. </w:t>
      </w:r>
      <w:r w:rsidR="001836E1" w:rsidRPr="002A784F">
        <w:rPr>
          <w:rFonts w:asciiTheme="minorHAnsi" w:eastAsiaTheme="minorEastAsia" w:hAnsiTheme="minorHAnsi" w:cstheme="minorHAnsi"/>
          <w:sz w:val="20"/>
          <w:szCs w:val="20"/>
        </w:rPr>
        <w:t>Současně</w:t>
      </w:r>
      <w:r w:rsidR="00065FFD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uvedené subjekty nedisponují dostatečným počtem kvalifikovaných odborníků, kteří by zlepšení situaci mohli napomoci.</w:t>
      </w:r>
      <w:r w:rsidR="00AD592F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r w:rsidR="0035462C" w:rsidRPr="002A784F">
        <w:rPr>
          <w:rFonts w:asciiTheme="minorHAnsi" w:eastAsiaTheme="minorEastAsia" w:hAnsiTheme="minorHAnsi" w:cstheme="minorHAnsi"/>
          <w:sz w:val="20"/>
          <w:szCs w:val="20"/>
        </w:rPr>
        <w:t>V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eřejná správa </w:t>
      </w:r>
      <w:r w:rsidR="0035462C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velmi omezená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vysoce kvalitních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kvalifikovaných odborníků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prostředí IT (architektura, služby, kybernetická bezpečnost, vývoj, řízení, …)</w:t>
      </w:r>
      <w:r w:rsidR="00C04D0C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. </w:t>
      </w:r>
      <w:r w:rsidR="005E6AD7" w:rsidRPr="002A784F">
        <w:rPr>
          <w:rFonts w:asciiTheme="minorHAnsi" w:eastAsiaTheme="minorEastAsia" w:hAnsiTheme="minorHAnsi" w:cstheme="minorHAnsi"/>
          <w:sz w:val="20"/>
          <w:szCs w:val="20"/>
        </w:rPr>
        <w:t>Často je pak nucena nakupovat tyto specialisty na volném trhu a po ukončení kontraktu tak z pravidla ztrácí cenné know-how.</w:t>
      </w:r>
    </w:p>
    <w:p w14:paraId="2ADC9E14" w14:textId="77777777" w:rsidR="00C04D0C" w:rsidRPr="002A784F" w:rsidRDefault="00C04D0C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Komponenta jako celek i její jednotlivé investice a reformy (a na ně navázané programy a projekty) odpovídají na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především v následujících oblastech:</w:t>
      </w:r>
    </w:p>
    <w:p w14:paraId="6CA93AE8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digitální infrastruktury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2019/2020)</w:t>
      </w:r>
    </w:p>
    <w:p w14:paraId="3345C7B9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Snížení administrativní zátěže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2020/2021)</w:t>
      </w:r>
    </w:p>
    <w:p w14:paraId="170BDE59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Zlepšení elektronické veřejné správy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2020/2021)</w:t>
      </w:r>
    </w:p>
    <w:p w14:paraId="3D5DC384" w14:textId="77777777" w:rsidR="00C04D0C" w:rsidRPr="002A784F" w:rsidRDefault="00C04D0C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digitální transformace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2020/2021)</w:t>
      </w:r>
    </w:p>
    <w:p w14:paraId="512267DC" w14:textId="77777777" w:rsidR="00C04D0C" w:rsidRPr="002A784F" w:rsidRDefault="00C04D0C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Jednotlivé projekty pak podporují i zaměstnávání žen s malými dětmi např. prostřednictvím umožnění plnohodnotné práce na dálku (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CSRs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2019/2020)</w:t>
      </w:r>
    </w:p>
    <w:p w14:paraId="05E1B1FA" w14:textId="20133CFD" w:rsidR="00C42CDB" w:rsidRPr="003A17B4" w:rsidRDefault="00C42CDB" w:rsidP="003A17B4">
      <w:pPr>
        <w:spacing w:after="200" w:line="276" w:lineRule="auto"/>
        <w:rPr>
          <w:rStyle w:val="K-Nadpis3Char"/>
          <w:rFonts w:asciiTheme="minorHAnsi" w:eastAsiaTheme="minorEastAsia" w:hAnsiTheme="minorHAnsi" w:cstheme="minorBidi"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b) Cíle </w:t>
      </w:r>
    </w:p>
    <w:p w14:paraId="3E75695C" w14:textId="1171072B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Vytvořit propojený datový fond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eGovernement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Service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Bus jako základní prvek pro vysoce bezpečné sdílení infrastruktury, služeb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dat. Vytvoření komplexně digitalizovaných – bezpapírových úřadů. Redukce technologického dluhu na úrovni jednotlivých systémů centrálních úřadů (vč. přenesené působnosti), příp. krajů. Zajištění odpovídající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lastRenderedPageBreak/>
        <w:t>úrovně sdílených znalostí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kompetencí tak, aby byly dostupné všem veřejným úřadům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institucím. Komponenta zároveň zcela naplňuje Doporučení 2020/2021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oblasti digitální transformace vnitřního chodu úřadů. </w:t>
      </w:r>
    </w:p>
    <w:p w14:paraId="3957C856" w14:textId="77777777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c) Národní strategický kontext</w:t>
      </w:r>
    </w:p>
    <w:p w14:paraId="77AD63E1" w14:textId="6D42DDF5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Komponenta „Digitální systémy veřejné správy“ úzce navazuje na strategii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The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Country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for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The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Future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>. Tato strategie je postavena na devíti pilířích. Jedním ze stěžejních pilířů je pak digitalizace,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 jak ve smyslu digitalizace služeb poskytovaných veřejnými úřady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institucemi vč. jejich vnitřní digitalizace, tak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digitalizace průmyslu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rozvoje sítí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vysokou přenosovou kapacitou. Digitalizace má dále významnou oporu ve vládním programu Digitální Česko, mezi jehož hlavní cíle patří digitalizace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digitální transformace státní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veřejné správy. Program Digitální Česko je koordinačním místem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znalostním centrem (ve spolupráci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jednotlivými útvary Ministerstva vnitra) digitalizace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digitální transformace. Součástí programu Digitální Česko je Informační koncepce ČR, která udává základní směry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digitalizace veřejné správy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jejího technologického rozvoje. Na Informační koncepci ČR následně navazují informační koncepce jednotlivých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(povinností je soulad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Informační koncepcí ČR), které identifikují jejich digitalizační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technologické výzvy. Mimo informačních koncepcí jednotlivých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pak existují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další resortní strategické dokumenty, které se dotýkají oblastí rozvoje technologií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digitalizace.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zdravotnictví se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tomto ohledu jedná především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Strategii Zdraví 2030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Národní strategií elektronického zdravotnictví.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oblasti justice se pak jedná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Resortní strategii pro rozvoj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eJustice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2016-2020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Resortní strategii pro rozvoj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eJustice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2021–2027, která je aktuálně před schválením reflektující naplnění cílů předchozí resortní strategie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rozpracovává nové základní strategické cíle: digitální služby pro občany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společnosti; podpora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rozvoj digitálních technologií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justici; vytvoření robustního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bezpečného IT prostředí; podpora podmínek pro digitalizaci justice</w:t>
      </w:r>
      <w:r w:rsidRPr="002A784F">
        <w:rPr>
          <w:rFonts w:asciiTheme="minorHAnsi" w:eastAsiaTheme="minorEastAsia" w:hAnsiTheme="minorHAnsi" w:cstheme="minorHAnsi"/>
          <w:webHidden/>
          <w:sz w:val="20"/>
          <w:szCs w:val="20"/>
        </w:rPr>
        <w:t>.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Veškeré zde prezentované projekty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ní pak vychází.</w:t>
      </w:r>
    </w:p>
    <w:p w14:paraId="51DDAA5F" w14:textId="7D547C6A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Podpora digitalizace je ze strany Vlády ČR zakotvena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Programovém prohlášení vlády. Na politické úrovni je pak prezentována širokou shodou vládních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opozičních stran při přijímání legislativy podporující digitální aktivity. </w:t>
      </w:r>
    </w:p>
    <w:p w14:paraId="3FDDCD43" w14:textId="32E04A57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Národní plán obnovy veškeré stávající digitalizační aktivity dále akceleruje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umožňuje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absorpčními kapacitami jednotlivých úřadů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institucí zrychlit tempo digitalizace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ČR. </w:t>
      </w:r>
    </w:p>
    <w:p w14:paraId="3B185982" w14:textId="73ECCAAB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Z legislativního hlediska Česká republika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letošním roce přijala, kromě řady dílčích digitálně přívětivých právních aktů, také zákon č. 12/2020 Sb., o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právu na digitální služby, který má za cíl urychlit digitalizační snahy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stanovit časový rámec, ve kterém budou jednotlivé veřejné služby poskytované občanům, ze strany veřejné správy, plně digitalizované. Tento legislativní akt je tedy možné považovat za výrazný strategický prvek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digitalizaci české veřejné správy.</w:t>
      </w:r>
    </w:p>
    <w:p w14:paraId="59C1A390" w14:textId="77777777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Přidružené programy: </w:t>
      </w:r>
    </w:p>
    <w:p w14:paraId="74ACAA2B" w14:textId="40DAB631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digitalizačních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transformačních projektů prostřednictvím IROP 2014-2020, např. Digitalizace stavebního řízení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územního plánování, vč. projektu Digitální mapy veřejné správy, kybernetická bezpečnost apod.</w:t>
      </w:r>
    </w:p>
    <w:p w14:paraId="1F09322D" w14:textId="40400862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prioritních projektů prostřednictvím státního rozpočtu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rámci programu Digitální Česko (cca 490 mil. Kč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r. 2019, cca 1,2 mld.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r. 2020).</w:t>
      </w:r>
    </w:p>
    <w:p w14:paraId="3ED6BA3F" w14:textId="37C8AE92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prostřednictvím OP PIK 2014-2020 do digitalizačních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transformačních projektů, např. Digitální technické mapy.</w:t>
      </w:r>
    </w:p>
    <w:p w14:paraId="4EB3CAD1" w14:textId="69E19461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Investice do digitalizačních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transformačních projektů prostřednictvím IROP 2021+, předpokládané investice do oblasti kybernetické bezpečnosti jednotlivých centrálních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lokálních úřadů, poskytovatelů zdravotní péče apod.</w:t>
      </w:r>
    </w:p>
    <w:p w14:paraId="62789C26" w14:textId="4F86863C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komponenta 1.1 Digitální </w:t>
      </w:r>
      <w:r w:rsidR="004412C8" w:rsidRPr="002A784F">
        <w:rPr>
          <w:rFonts w:asciiTheme="minorHAnsi" w:eastAsiaTheme="minorEastAsia" w:hAnsiTheme="minorHAnsi" w:cstheme="minorHAnsi"/>
          <w:sz w:val="20"/>
          <w:szCs w:val="20"/>
        </w:rPr>
        <w:t>služby pro občany a firmy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(RRF – pilíř Digitální infrastruktura), která zahrnuje rozvoj služeb poskytovaných koncovým zákazníkům, služby poskytované na centrální úrovni, nástroje pro publikaci otevřených dat vč. tvorby otevřených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veřejných datových sad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služby elektronického zdravotnictví. </w:t>
      </w:r>
    </w:p>
    <w:p w14:paraId="480B510B" w14:textId="21215D19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komponenta 1.3 Digitální vysokorychlostní sítě (RRF – pilíř Digitální infrastruktura), která zahrnuje také Vybudování vysokorychlostního připojení pro další socioekonomické aktéry, vč. objektů státní správy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územní samosprávy.</w:t>
      </w:r>
    </w:p>
    <w:p w14:paraId="7530FAC5" w14:textId="76D88555" w:rsidR="00C42CDB" w:rsidRPr="002A784F" w:rsidRDefault="00C42CDB" w:rsidP="002A784F">
      <w:pPr>
        <w:pStyle w:val="Odrka"/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komponenta 1.</w:t>
      </w:r>
      <w:r w:rsidR="002D4BBC" w:rsidRPr="002A784F">
        <w:rPr>
          <w:rFonts w:asciiTheme="minorHAnsi" w:eastAsiaTheme="minorEastAsia" w:hAnsiTheme="minorHAnsi" w:cstheme="minorHAnsi"/>
          <w:sz w:val="20"/>
          <w:szCs w:val="20"/>
        </w:rPr>
        <w:t>6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Zrychlení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digitalizace stavebního řízení (RRF – pilíř Digitální transformace), která zahrnuje vytvoření potřebných informačních systémů, zajištění migrace dat do nových informačních systémů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konsolidace dat spočívající ve vybudování databáze územně analytických podkladů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jednotném standardu pro zajištění potřeb veřejné správy.</w:t>
      </w:r>
    </w:p>
    <w:p w14:paraId="244A7A1B" w14:textId="77777777" w:rsidR="003A17B4" w:rsidRDefault="003A17B4">
      <w:pPr>
        <w:spacing w:after="200" w:line="276" w:lineRule="auto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br w:type="page"/>
      </w:r>
    </w:p>
    <w:p w14:paraId="7311475B" w14:textId="4D0A6ED3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lastRenderedPageBreak/>
        <w:t>d) Předchozí snahy</w:t>
      </w:r>
    </w:p>
    <w:p w14:paraId="78EB6E8F" w14:textId="6B801067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V minulých obdobích směřovaly investice do oblasti IT infrastruktury, digitalizace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digitální transformace veřejné správy, elektronizace zdravotnictví, kybernetické bezpečnosti apod. především ze státního rozpočtu. Od r. 2018 se stává významným koordinačním prvkem těchto investic program Digitální Česko,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jehož portfoliu jsou tyto jednotlivé projekty evidovány,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prioritizovány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následně doporučovány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financování. Velmi výrazný objem investic byl do této oblasti směřován také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prostředků E</w:t>
      </w:r>
      <w:r w:rsidR="00D047E4" w:rsidRPr="002A784F">
        <w:rPr>
          <w:rFonts w:asciiTheme="minorHAnsi" w:eastAsiaTheme="minorEastAsia" w:hAnsiTheme="minorHAnsi" w:cstheme="minorHAnsi"/>
          <w:sz w:val="20"/>
          <w:szCs w:val="20"/>
        </w:rPr>
        <w:t>RDF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, především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IROP (investice do rozvoje eGovernmentu, elektronického zdravotnictví, kybernetické bezpečnosti, komunikační infrastruktury apod.). Celkově bylo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období 2014-2020 podpořeno 226 projektů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celkovém objemu 2,5 mld. Kč. Významnými projekty podpořenými z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IROP bylo Zvyšování kybernetické bezpečnosti nemocnic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jednotlivých regionech ČR (např. FN Brno, FN Ostrava, FN Plzeň, Městská nemocnice Ostrava, …). Mezi významné infrastrukturní projekty patří např. Vybudování základní resortní infrastruktury </w:t>
      </w:r>
      <w:proofErr w:type="spellStart"/>
      <w:r w:rsidRPr="002A784F">
        <w:rPr>
          <w:rFonts w:asciiTheme="minorHAnsi" w:eastAsiaTheme="minorEastAsia" w:hAnsiTheme="minorHAnsi" w:cstheme="minorHAnsi"/>
          <w:sz w:val="20"/>
          <w:szCs w:val="20"/>
        </w:rPr>
        <w:t>eHealth</w:t>
      </w:r>
      <w:proofErr w:type="spellEnd"/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– Informační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datové resortní rozhraní, na jehož základech staví i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některé projekty Národního plánu obnovy.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těchto „historických“ projektech byly položeny kvalitní základy pro další rozvoj. Komponenta 1.2 Digitální systémy veřejné správy tyto dřívější snahy akceleruje a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výrazně přispívá k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dalšímu rozvoji např. vytvářením předpokladů pro realizaci projektů v</w:t>
      </w:r>
      <w:r w:rsidR="00EE51EC" w:rsidRPr="002A784F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 xml:space="preserve">rámci výzev (především IROP) nového období 2021-2027. </w:t>
      </w:r>
    </w:p>
    <w:p w14:paraId="4E190F5C" w14:textId="0CFCAECB" w:rsidR="00EB5176" w:rsidRPr="003A17B4" w:rsidRDefault="00386254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e</w:t>
      </w:r>
      <w:r w:rsidR="00EB5176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 xml:space="preserve">) 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Rovný přístup</w:t>
      </w:r>
    </w:p>
    <w:p w14:paraId="78C93A01" w14:textId="77777777" w:rsidR="001057B2" w:rsidRDefault="00770320" w:rsidP="002A78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2A784F">
        <w:rPr>
          <w:rFonts w:asciiTheme="minorHAnsi" w:eastAsiaTheme="minorEastAsia" w:hAnsiTheme="minorHAnsi" w:cstheme="minorHAnsi"/>
          <w:sz w:val="20"/>
          <w:szCs w:val="20"/>
        </w:rPr>
        <w:t>Při</w:t>
      </w:r>
      <w:r w:rsidR="00386254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vývoj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</w:t>
      </w:r>
      <w:r w:rsidR="00386254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a implementac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i</w:t>
      </w:r>
      <w:r w:rsidR="00386254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nových či inovovaných informačních systémů ve všech výše uvedených reformách a investicích </w:t>
      </w:r>
      <w:r w:rsidRPr="002A784F">
        <w:rPr>
          <w:rFonts w:asciiTheme="minorHAnsi" w:eastAsiaTheme="minorEastAsia" w:hAnsiTheme="minorHAnsi" w:cstheme="minorHAnsi"/>
          <w:sz w:val="20"/>
          <w:szCs w:val="20"/>
        </w:rPr>
        <w:t>budou dodrže</w:t>
      </w:r>
      <w:r w:rsidR="003701A4" w:rsidRPr="002A784F">
        <w:rPr>
          <w:rFonts w:asciiTheme="minorHAnsi" w:eastAsiaTheme="minorEastAsia" w:hAnsiTheme="minorHAnsi" w:cstheme="minorHAnsi"/>
          <w:sz w:val="20"/>
          <w:szCs w:val="20"/>
        </w:rPr>
        <w:t>ny zásady přístupnosti a použitelnosti definované národní legislativou (</w:t>
      </w:r>
      <w:r w:rsidR="00F51497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zákonem č. 99/2019 Sb., o přístupnosti internetových stránek a mobilních aplikací a zákonem č. 365/2000 Sb., o informačních systémech veřejné správy, které provádí </w:t>
      </w:r>
      <w:r w:rsidR="005B2771" w:rsidRPr="002A784F">
        <w:rPr>
          <w:rFonts w:asciiTheme="minorHAnsi" w:eastAsiaTheme="minorEastAsia" w:hAnsiTheme="minorHAnsi" w:cstheme="minorHAnsi"/>
          <w:sz w:val="20"/>
          <w:szCs w:val="20"/>
        </w:rPr>
        <w:t>Směrnici Evropského parlamentu a Rady (EU) 2016/2102 ze dne 26. října 2016, o přístupnosti internetových stránek a mobilních aplikací).</w:t>
      </w:r>
      <w:r w:rsidR="009B5F0F" w:rsidRPr="002A784F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</w:p>
    <w:p w14:paraId="7AFD5191" w14:textId="5AC32528" w:rsidR="00C42CDB" w:rsidRPr="002A784F" w:rsidRDefault="00C42CDB" w:rsidP="002A784F">
      <w:pPr>
        <w:spacing w:after="120"/>
        <w:jc w:val="both"/>
        <w:rPr>
          <w:rFonts w:asciiTheme="minorHAnsi" w:eastAsiaTheme="minorEastAsia" w:hAnsiTheme="minorHAnsi" w:cstheme="minorHAnsi"/>
          <w:b/>
          <w:bCs/>
          <w:sz w:val="20"/>
          <w:szCs w:val="20"/>
        </w:rPr>
      </w:pPr>
    </w:p>
    <w:p w14:paraId="632F1DFC" w14:textId="334C6D13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3. Popis reforem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 xml:space="preserve">investic komponenty </w:t>
      </w:r>
    </w:p>
    <w:p w14:paraId="219E458F" w14:textId="77777777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 xml:space="preserve">a) Popis reforem </w:t>
      </w:r>
    </w:p>
    <w:p w14:paraId="4FDF3FD6" w14:textId="1B0A3BE0" w:rsidR="00C42CDB" w:rsidRPr="003A17B4" w:rsidRDefault="00174CDE" w:rsidP="33C5CFFC">
      <w:pPr>
        <w:spacing w:after="120"/>
        <w:rPr>
          <w:rStyle w:val="K-Nadpis3Char"/>
          <w:rFonts w:asciiTheme="minorHAnsi" w:eastAsiaTheme="minorEastAsia" w:hAnsiTheme="minorHAnsi" w:cstheme="minorBidi"/>
          <w:sz w:val="22"/>
          <w:szCs w:val="22"/>
        </w:rPr>
      </w:pP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K</w:t>
      </w:r>
      <w:r w:rsidR="00C42CDB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ompetenční centra pro podporu eGovernmentu</w:t>
      </w:r>
      <w:r w:rsidR="6AD4CA37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, kyberbezpečnosti a elektronického zdravotnictví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6F44E80B" w14:textId="77777777" w:rsidTr="2C9CA232">
        <w:tc>
          <w:tcPr>
            <w:tcW w:w="2405" w:type="dxa"/>
          </w:tcPr>
          <w:p w14:paraId="42A0DA1F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2FDCA7E3" w14:textId="13681968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Nedostatečně koordinovaný rozvoj digitalizace veřejné správy vedoucí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zdlouhavé realizaci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neefektivnímu vynakládání státních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dotačních prostředků. </w:t>
            </w:r>
          </w:p>
          <w:p w14:paraId="3F217406" w14:textId="5585E38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Nepřipravenost či omezená připravenost centrálních institucí na výzvy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požadavky digitalizace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zaostávání ČR vůči EU ve vytváření digitálních služeb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jejich adopci konečnými uživateli. </w:t>
            </w:r>
          </w:p>
          <w:p w14:paraId="016CEBBE" w14:textId="7EA6019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Nedostatečná metodická podpora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 veřejné správy před,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průběhu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 implementaci digitální služby. Tato podpora poskytne návody pro realizaci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vytvoří povinné standardy.</w:t>
            </w:r>
          </w:p>
          <w:p w14:paraId="709C2095" w14:textId="3892FDE8" w:rsidR="00801B1F" w:rsidRPr="00535CE0" w:rsidRDefault="00096511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</w:t>
            </w:r>
            <w:r w:rsidR="001B7F39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801B1F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práce s existujícími daty vč. nízké míry </w:t>
            </w: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rozhodování na </w:t>
            </w:r>
            <w:r w:rsidR="00801B1F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jejich </w:t>
            </w:r>
            <w:r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základě </w:t>
            </w:r>
            <w:r w:rsidR="00801B1F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 rámci </w:t>
            </w:r>
            <w:r w:rsidR="00907769" w:rsidRPr="003C700D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veřejné správy</w:t>
            </w:r>
            <w:r w:rsidR="00801B1F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jako celku vč. aktivit v oblasti digitalizace a digitální transformace. </w:t>
            </w:r>
          </w:p>
          <w:p w14:paraId="6FBAE089" w14:textId="0B94F5C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Nedostatek vysoce kvalifikovaných specialistů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IT na jednotlivých úřadech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institucích.</w:t>
            </w:r>
          </w:p>
        </w:tc>
      </w:tr>
      <w:tr w:rsidR="00C42CDB" w:rsidRPr="00535CE0" w14:paraId="55EBE87E" w14:textId="77777777" w:rsidTr="2C9CA232">
        <w:tc>
          <w:tcPr>
            <w:tcW w:w="2405" w:type="dxa"/>
          </w:tcPr>
          <w:p w14:paraId="4186ED00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703EEE57" w14:textId="1714B64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Zajistit absorpční kapacitu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úspěšnost realizace programů NPO, projektů komponent 1.1 Digitální služby pro občany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firmy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1.2 Digitální systémy veřejné správy Národního plánu obnovy prostřednictvím vysoce odborných služeb poskytovaných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oblastech, kde jednotlivým institucím či úřadům chybí příslušné kompetence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vysoce kvalifikovaní specialisté (a to především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oblastech architektury, kybernetické bezpečnosti, UX/UI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projektového managementu). </w:t>
            </w:r>
          </w:p>
          <w:p w14:paraId="394A7B8A" w14:textId="1A9DC8B4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Zajistit naplnění cílů strategických programů digitalizace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digitální transformace (především programu Digitální Česko, Strategie Zdraví 2030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Resortní strategie pro rozvoj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eJustice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).</w:t>
            </w:r>
          </w:p>
          <w:p w14:paraId="79722164" w14:textId="76F1771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>Vyřešit výše definované výzvy ukotvením kompetenčních center do struktur veřejné správy tak, aby mohly poskytovat své služby širokému spektru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institucí. Kapacitně rozšířit možnosti poskytovaných služeb těmito centry.</w:t>
            </w:r>
          </w:p>
          <w:p w14:paraId="2A77E560" w14:textId="55DF2885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Zajistit odpovídající standardizační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metodickou základnu vč. podpory její implementace na jednotlivých orgánech veřejné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vytvořit nezbytnou podporu pro realizaci cílů jednotlivých resortů ČR.</w:t>
            </w:r>
          </w:p>
          <w:p w14:paraId="6D225D1E" w14:textId="5BC1CFB9" w:rsidR="00907769" w:rsidRPr="00535CE0" w:rsidRDefault="00801B1F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 využitím existující datové základny z</w:t>
            </w:r>
            <w:r w:rsidR="0090776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ajistit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kompetence pro tvorbu podkladů pro kvalifikované rozhodování na základě dat především v oblasti digitalizace a digitální transformace a postupný přenos této kompetence i do dalších oblastí výkonu veřejné správy. </w:t>
            </w:r>
          </w:p>
          <w:p w14:paraId="54A76B04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Oblast resortu zdravotnictví: </w:t>
            </w:r>
          </w:p>
          <w:p w14:paraId="35C15BCF" w14:textId="742BADF6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Vytvořit funkční ekosystém elektronizace zdravotnictví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ČR prostřednictvím posílení kompetencí</w:t>
            </w:r>
            <w:r w:rsidRPr="3A842B1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Národního centra elektronického zdravotnictví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) dle doporučení Evropské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Network EHEALTH NETWORK RECOMMENDATIONS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for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Development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of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Digital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Networks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EU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Member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States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listopadu 2020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dle strategie WHO vytvořit společný rámec „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National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Strategy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Toolkit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“ pro rozvoj interoperability systémů ve zdravotnictví. </w:t>
            </w:r>
          </w:p>
        </w:tc>
      </w:tr>
      <w:tr w:rsidR="00C42CDB" w:rsidRPr="00535CE0" w14:paraId="076022D5" w14:textId="77777777" w:rsidTr="2C9CA232">
        <w:tc>
          <w:tcPr>
            <w:tcW w:w="2405" w:type="dxa"/>
          </w:tcPr>
          <w:p w14:paraId="564310E0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65EB38D0" w14:textId="370F6525" w:rsidR="00C42CDB" w:rsidRPr="00535CE0" w:rsidRDefault="2E000CE9" w:rsidP="2C9CA232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Reforma je složena z</w:t>
            </w:r>
            <w:r w:rsidR="1AF7038C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pěti vzájemně propojených projektů. Jejich koordinaci bude vykonávat programová kancelář Digitální Česko ve spolupráci s</w:t>
            </w:r>
            <w:r w:rsidR="1AF7038C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Ministerstvem vnitra jako gestorem digitalizace veřejné správy a</w:t>
            </w:r>
            <w:r w:rsidR="1AF7038C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Ministerstvem zdravotnictví jako gestorem elektronizace zdravotnictví. </w:t>
            </w:r>
            <w:r w:rsidR="18DF5FFE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</w:t>
            </w:r>
            <w:r w:rsidR="007CF47A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covní pozice v rámci jednotlivých kompetenčních center budou vytvořeny pouze po dobu realizace projektu</w:t>
            </w:r>
            <w:r w:rsidR="270C29F5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</w:t>
            </w:r>
            <w:r w:rsidR="452205A5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tj. </w:t>
            </w:r>
            <w:r w:rsidR="633EB697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</w:t>
            </w:r>
            <w:r w:rsidR="452205A5" w:rsidRPr="2C9CA23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 konce roku 2025 (konec posledního z projektů kompetenčního centra). Činnost všech kompetenčních center je vždy přímo spojena s realizací jednotlivých projektů RRF. Kompetenční centra tak vytvářejí prostředí podporující úspěšnou implementaci projektů RRF.</w:t>
            </w:r>
          </w:p>
          <w:p w14:paraId="0BEF82CB" w14:textId="3080F7C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7E79698D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Oblast zdravotnictví:</w:t>
            </w:r>
          </w:p>
          <w:p w14:paraId="12D35530" w14:textId="4476F092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Projekt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je vyčleněn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ostatních kompetenčních center především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důvodu výrazné odlišnosti oproti ostatním kompetenčním centrům, neboť zdravotnictví je svým charakterem výrazně odlišné od eGovernmentu zvláště pak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širokém propojení státních, veřejných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komerčních subjektů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vyžaduje výrazné specifické kompetence.</w:t>
            </w:r>
          </w:p>
          <w:p w14:paraId="5077DBCB" w14:textId="7521378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Ministerstvo zdravotnictví posílí svou kompetenci zřízením externí organizace, která následně zajistí odborné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projektové kapacity. Tato organizace bude součástí ekosystému rozvoje elektronizace, bude řízena Ministerstvem zdravotnictví, které bude prostřednictvím této organizace poskytovat podporu jednotlivých organizací ve své přímé působnosti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poskytovatelům zdravotních služeb při realizaci programů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projektů Národního plánu obnovy (následně pak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IROP)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realizaci akčních plánů elektronizace zdravotnictví, které jsou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souladu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nadřazenými strategiemi.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rámci NPO se předpokládá zapojení většiny poskytovatelů zdravotních služeb, což vyžaduje značnou přípravu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koordinaci těchto subjektů, tak aby byly dosaženy nastavené cíle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parametry.</w:t>
            </w:r>
            <w:r w:rsidRPr="6D35A5C4">
              <w:rPr>
                <w:rFonts w:asciiTheme="minorHAnsi" w:eastAsiaTheme="minorEastAsia" w:hAnsiTheme="minorHAnsi" w:cstheme="minorBidi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2137CDEB" w14:textId="3563D238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zajištění chodu této organizace předpokládáme nábor cca 15 seniorních expertů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oblastech zdravotnické informatiky,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</w:t>
            </w:r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nterprise</w:t>
            </w:r>
            <w:proofErr w:type="spellEnd"/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Architektury, vytváření národních standardů elektronizace, UX/UI, kybernetické bezpečnosti, projektového řízení, legislativy apod.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Tito pracovníci budou své služby poskytovat Ministerstvu zdravotnictví, jím zřizovaným organizacím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poskytovatelům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zdravotních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služeb. Nebudou však administrátory ani administrativní podporou pro Národní plán obnovy. </w:t>
            </w:r>
          </w:p>
          <w:p w14:paraId="74E37BAC" w14:textId="36517B36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Výstupy práce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bude specifikace návrhů na elektronizaci agend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postupů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resortu zdravotnictví,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podpora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  <w:t xml:space="preserve">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řízení procesů standardizace elektronického zdravotnictví pro zajištění interoperability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specifikaci rozhraní, use case profilů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vytváření architektur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souladu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pravidly stanovenými Národním architektonickým plánem ČR.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bude začleněno do ekosystému elektronizace vedené klíčovými stakeholdery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autoritami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čele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Ministerstvem zdravotnictví, tyto autority se budou podílet na rozhodování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realizaci předkládaných návrhů.</w:t>
            </w:r>
          </w:p>
          <w:p w14:paraId="560C6461" w14:textId="30F3EDD0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provádět dohled nad implementací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elektronických služeb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naplňováním stanovených cílů dle akčních plánů.</w:t>
            </w:r>
          </w:p>
          <w:p w14:paraId="3473B07C" w14:textId="3207A30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Součástí vykonávaných činností bude zajištění udržitelné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kontinuální mezinárodní spolupráce dle doporučení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regulací stanovených EU.</w:t>
            </w:r>
          </w:p>
          <w:p w14:paraId="55465751" w14:textId="41ACBC94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 Kompetenčního centra kybernetické bezpečnosti se zaměřuje na rozvoj již existujících bezpečnostních struktur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MVČR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cílem podpořit zajištění strategických cílů kybernetické bezpečnosti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digitalizace státní správy/eGovernmentu. Jedná se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pořízení nových moderních bezpečnostních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dohledových technologií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nástrojů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vytvoření nových kapacit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nových kompetencí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zajištění bezpečné infrastruktury státních systémů.</w:t>
            </w:r>
          </w:p>
          <w:p w14:paraId="0690A934" w14:textId="7DCD251D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rámci rozvoje schopností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kapacit kompetenčního centra se projekt zaměřuje také na rozvoj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personální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podobě navýšení počtu bezpečnostních specialistů, jejich specializaci,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především zajištění potřebných kompetencí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kybernetické bezpečnosti včetně vzdělávání. Součástí rozvoje bude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 řešení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DevSecOps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76B7DD25" w14:textId="22A802E5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 Kompetenčního centra eGovernmentu je zaměřen především na personální posílení již existujícího kompetenčního centra, které se aktuálně zaměřuje dominantně na poradenství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informačních koncepcí jednotlivých orgánů veřejné správy. Kompetence centra budou výrazně posíleny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architektury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enterprise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business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solution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), uživatelské přívětivosti (UX/UI)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projektového řízení. Centrum pak bude schopné poskytovat konzultační kapacity při realizaci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zároveň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jednotlivé projekty řídit (v případě orgánů, kde interní kapacity nejsou dostatečné).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Národního plánu obnovy je předloženo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komponentách reformách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investicích více jak 100 projektů. Na základě konzultací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jednotlivými gestory je vhodné u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cca </w:t>
            </w:r>
            <w:proofErr w:type="gram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30%</w:t>
            </w:r>
            <w:proofErr w:type="gram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projektů poskytnout konzultační či realizační podporu. Tuto podporu je možné nakoupit na volném trhu.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okamžiku ukončení projektu či jeho části pak získané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know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how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zůstává u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daného komerčního subjektu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není zpět přeneseno do veřejné správy. Na tomto základě nedochází k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růstu kompetencí, ale je naopak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oblasti konzultací vytvářen vendor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lock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-in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omezována suverenita veřejné správy.</w:t>
            </w:r>
          </w:p>
          <w:p w14:paraId="06ABC98F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Seznam jednotlivých projektů reformy viz Příloha</w:t>
            </w:r>
          </w:p>
        </w:tc>
      </w:tr>
      <w:tr w:rsidR="00C42CDB" w:rsidRPr="00535CE0" w14:paraId="29A8303C" w14:textId="77777777" w:rsidTr="2C9CA232">
        <w:trPr>
          <w:trHeight w:val="70"/>
        </w:trPr>
        <w:tc>
          <w:tcPr>
            <w:tcW w:w="2405" w:type="dxa"/>
          </w:tcPr>
          <w:p w14:paraId="0E24FB7B" w14:textId="37864622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BD056B4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429B19F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534126F9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zdravotnictví</w:t>
            </w:r>
          </w:p>
          <w:p w14:paraId="05810869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422C517A" w14:textId="77777777" w:rsidR="00C42CDB" w:rsidRPr="00535CE0" w:rsidRDefault="00C42CDB" w:rsidP="6D35A5C4">
            <w:pPr>
              <w:pStyle w:val="K-TextInfo"/>
              <w:numPr>
                <w:ilvl w:val="0"/>
                <w:numId w:val="23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6DAFE277" w14:textId="79ADC616" w:rsidR="008E700B" w:rsidRDefault="008E700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Národní úřad pro kybernetickou </w:t>
            </w:r>
            <w:r w:rsidR="00772309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informační 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bezpečnost</w:t>
            </w:r>
          </w:p>
          <w:p w14:paraId="393E8B0A" w14:textId="6EB3401F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dopravy</w:t>
            </w:r>
          </w:p>
          <w:p w14:paraId="2F68D0AE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Ministerstvo financí </w:t>
            </w:r>
          </w:p>
          <w:p w14:paraId="631A7914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kultury</w:t>
            </w:r>
          </w:p>
          <w:p w14:paraId="09A3D441" w14:textId="0D1EDACE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sociálních věcí</w:t>
            </w:r>
          </w:p>
          <w:p w14:paraId="6D1268E0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Ministerstvo pro místní rozvoj</w:t>
            </w:r>
          </w:p>
          <w:p w14:paraId="764E3A1B" w14:textId="2DF76963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průmyslu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obchodu </w:t>
            </w:r>
          </w:p>
          <w:p w14:paraId="32180AD5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spravedlnosti</w:t>
            </w:r>
          </w:p>
          <w:p w14:paraId="5F644BF1" w14:textId="269EB8A6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školství, mládeže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tělovýchovy</w:t>
            </w:r>
          </w:p>
          <w:p w14:paraId="25C25018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zahraničních věcí</w:t>
            </w:r>
          </w:p>
          <w:p w14:paraId="2A875FA5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zdravotnictví</w:t>
            </w:r>
          </w:p>
          <w:p w14:paraId="266CF5E4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zemědělství</w:t>
            </w:r>
          </w:p>
          <w:p w14:paraId="3D21E11A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Ministerstvo životního prostředí</w:t>
            </w:r>
          </w:p>
          <w:p w14:paraId="57C581E7" w14:textId="77777777" w:rsidR="00C42CDB" w:rsidRPr="00535CE0" w:rsidRDefault="00C42CDB" w:rsidP="6D35A5C4">
            <w:pPr>
              <w:pStyle w:val="K-Text"/>
              <w:numPr>
                <w:ilvl w:val="0"/>
                <w:numId w:val="23"/>
              </w:numPr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Jednotlivé krajské úřady</w:t>
            </w:r>
          </w:p>
          <w:p w14:paraId="4F15647E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64FA6E3D" w14:textId="77777777" w:rsidR="00C42CDB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Poskytovatelé zdravotnických služeb</w:t>
            </w:r>
          </w:p>
          <w:p w14:paraId="02BD0CFE" w14:textId="3576E215" w:rsidR="004B5B33" w:rsidRPr="00535CE0" w:rsidRDefault="004B5B33" w:rsidP="3A842B16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Státní pokladna – centrum sdílených služeb,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0E818A43" w14:textId="77777777" w:rsidTr="2C9CA232">
        <w:tc>
          <w:tcPr>
            <w:tcW w:w="2405" w:type="dxa"/>
          </w:tcPr>
          <w:p w14:paraId="344F3DF9" w14:textId="568C4D22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5F095192" w14:textId="19CDE2B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Rizikem je nedostatečná koordinace ústředních orgánů při schvalování vzniku doposud neexistujících kompetenčních center (zejména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období přetrvávající pandemie).</w:t>
            </w:r>
          </w:p>
          <w:p w14:paraId="038B3F42" w14:textId="310AFE0D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je možná vyžadováním plnění vládních usnesení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oblasti digitalizace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zlepšením podmínek pro najímání expertů.</w:t>
            </w:r>
          </w:p>
          <w:p w14:paraId="10068C10" w14:textId="77777777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Nevhodné nastavení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governance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modelů jednotlivých kompetenčních center.</w:t>
            </w:r>
          </w:p>
          <w:p w14:paraId="6638076B" w14:textId="3FC194B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je možná zajištěním koordinační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řídící role prostřednictvím Rady vlády pro informační společnost. </w:t>
            </w:r>
          </w:p>
        </w:tc>
      </w:tr>
      <w:tr w:rsidR="00C42CDB" w:rsidRPr="00535CE0" w14:paraId="750A99DD" w14:textId="77777777" w:rsidTr="2C9CA232">
        <w:tc>
          <w:tcPr>
            <w:tcW w:w="2405" w:type="dxa"/>
          </w:tcPr>
          <w:p w14:paraId="1AA1DF85" w14:textId="557A1ED3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4F08A71D" w14:textId="0A329655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Ministerstva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další centrální orgány státní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veřejné správy</w:t>
            </w:r>
          </w:p>
          <w:p w14:paraId="19FFED69" w14:textId="66FD1051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úřady</w:t>
            </w:r>
          </w:p>
          <w:p w14:paraId="1567CF37" w14:textId="0BD37845" w:rsidR="00AC638D" w:rsidRPr="00535CE0" w:rsidRDefault="00AC638D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Kraje</w:t>
            </w:r>
          </w:p>
          <w:p w14:paraId="0A43A1E0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5FA5C1D9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Poskytovatelé zdravotnických služeb</w:t>
            </w:r>
            <w:r w:rsidRPr="6D35A5C4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</w:p>
        </w:tc>
      </w:tr>
      <w:tr w:rsidR="00C42CDB" w:rsidRPr="00535CE0" w14:paraId="7FE9278B" w14:textId="77777777" w:rsidTr="2C9CA232">
        <w:tc>
          <w:tcPr>
            <w:tcW w:w="2405" w:type="dxa"/>
          </w:tcPr>
          <w:p w14:paraId="32BDB30A" w14:textId="7EE3C56D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28A54EF" w14:textId="7A2382BC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Celkové náklady reformy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3</w:t>
            </w:r>
            <w:r w:rsidR="000C14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6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4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mil Kč</w:t>
            </w:r>
          </w:p>
        </w:tc>
      </w:tr>
      <w:tr w:rsidR="00C42CDB" w:rsidRPr="00535CE0" w14:paraId="36FF1187" w14:textId="77777777" w:rsidTr="2C9CA232">
        <w:tc>
          <w:tcPr>
            <w:tcW w:w="2405" w:type="dxa"/>
          </w:tcPr>
          <w:p w14:paraId="2E9EEDB8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21266D1" w14:textId="18459575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Žádný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rámci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reformy nezakládá veřejnou podporu</w:t>
            </w:r>
            <w:r w:rsidR="003A17B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 Všechny služby jsou poskytovány na nekomerčním základě mezi jednotlivými státní organizacemi a úřady.</w:t>
            </w:r>
            <w:r w:rsidR="009E6435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Nebude tedy poskytnuta žádná státní podpora. (</w:t>
            </w:r>
            <w:proofErr w:type="spellStart"/>
            <w:r w:rsidR="009E6435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Ref</w:t>
            </w:r>
            <w:proofErr w:type="spellEnd"/>
            <w:r w:rsidR="009E6435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 GT D/31)</w:t>
            </w:r>
          </w:p>
        </w:tc>
      </w:tr>
      <w:tr w:rsidR="00C42CDB" w:rsidRPr="00535CE0" w14:paraId="2FC23F8B" w14:textId="77777777" w:rsidTr="2C9CA232">
        <w:tc>
          <w:tcPr>
            <w:tcW w:w="2405" w:type="dxa"/>
          </w:tcPr>
          <w:p w14:paraId="72504B52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0D667C7B" w14:textId="2B649310" w:rsidR="00C42CDB" w:rsidRPr="00535CE0" w:rsidRDefault="00C42CDB" w:rsidP="33C5CFFC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47 měsíců. Předpokládané dokončení je ve 4Q 202</w:t>
            </w:r>
            <w:r w:rsidR="1038EDE6"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1A080271" w14:textId="77777777" w:rsidR="002A784F" w:rsidRDefault="002A784F" w:rsidP="002A784F">
      <w:pPr>
        <w:rPr>
          <w:rFonts w:eastAsiaTheme="minorEastAsia"/>
          <w:i/>
          <w:iCs/>
          <w:szCs w:val="20"/>
        </w:rPr>
      </w:pPr>
    </w:p>
    <w:p w14:paraId="6E5F467B" w14:textId="5E37F7ED" w:rsidR="002A784F" w:rsidRPr="003A17B4" w:rsidRDefault="002A784F" w:rsidP="002A784F">
      <w:pPr>
        <w:rPr>
          <w:rFonts w:asciiTheme="minorHAnsi" w:eastAsiaTheme="minorEastAsia" w:hAnsiTheme="minorHAnsi" w:cstheme="minorHAnsi"/>
          <w:i/>
          <w:iCs/>
          <w:sz w:val="20"/>
          <w:szCs w:val="20"/>
        </w:rPr>
      </w:pPr>
      <w:r w:rsidRPr="003A17B4">
        <w:rPr>
          <w:rFonts w:asciiTheme="minorHAnsi" w:eastAsiaTheme="minorEastAsia" w:hAnsiTheme="minorHAnsi" w:cstheme="minorHAnsi"/>
          <w:i/>
          <w:iCs/>
          <w:sz w:val="20"/>
          <w:szCs w:val="20"/>
        </w:rPr>
        <w:t>Přehled realizovaných projektů v rámci reformy</w:t>
      </w:r>
    </w:p>
    <w:tbl>
      <w:tblPr>
        <w:tblW w:w="9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8"/>
        <w:gridCol w:w="1513"/>
        <w:gridCol w:w="47"/>
      </w:tblGrid>
      <w:tr w:rsidR="007B6CF7" w:rsidRPr="002A784F" w14:paraId="33943983" w14:textId="77777777" w:rsidTr="007B6CF7">
        <w:trPr>
          <w:gridAfter w:val="1"/>
          <w:wAfter w:w="47" w:type="dxa"/>
          <w:trHeight w:val="360"/>
        </w:trPr>
        <w:tc>
          <w:tcPr>
            <w:tcW w:w="7928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vAlign w:val="center"/>
            <w:hideMark/>
          </w:tcPr>
          <w:p w14:paraId="396C1BAA" w14:textId="77777777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2A784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513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33B09391" w14:textId="7C9A0342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2A784F" w14:paraId="41A81DC0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586F20D8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Digitální Česko KC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0ABEBFFD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90,00</w:t>
            </w:r>
          </w:p>
        </w:tc>
      </w:tr>
      <w:tr w:rsidR="007B6CF7" w:rsidRPr="002A784F" w14:paraId="23CE2781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698A364C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Dohledové centrum eGovernmentu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344986D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80,00</w:t>
            </w:r>
          </w:p>
        </w:tc>
      </w:tr>
      <w:tr w:rsidR="007B6CF7" w:rsidRPr="002A784F" w14:paraId="2F89F968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36CE40AD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Národní centrum elektronického zdravotnictví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780B7B8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108,00</w:t>
            </w:r>
          </w:p>
        </w:tc>
      </w:tr>
      <w:tr w:rsidR="007B6CF7" w:rsidRPr="002A784F" w14:paraId="631A3AC7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5B31E5E5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Podpora tvorby a aktualizací Informačních koncepcí úřadů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61878DB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70,00</w:t>
            </w:r>
          </w:p>
        </w:tc>
      </w:tr>
      <w:tr w:rsidR="007B6CF7" w:rsidRPr="002A784F" w14:paraId="6A0ED990" w14:textId="77777777" w:rsidTr="007B6CF7">
        <w:trPr>
          <w:trHeight w:val="34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vAlign w:val="bottom"/>
            <w:hideMark/>
          </w:tcPr>
          <w:p w14:paraId="004DD19E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Zajištění kompetence bezpečného vývoje pro digitální systém státní správy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7D1F7B24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16,00</w:t>
            </w:r>
          </w:p>
        </w:tc>
      </w:tr>
    </w:tbl>
    <w:p w14:paraId="53E3B3F4" w14:textId="77777777" w:rsidR="002A784F" w:rsidRPr="00535CE0" w:rsidRDefault="002A784F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D68DE07" w14:textId="4D1B0EE6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lastRenderedPageBreak/>
        <w:t>Budování a</w:t>
      </w:r>
      <w:r w:rsidR="00EE51EC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 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rozvoj systémů podporujících elektronizaci zdravotnictví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0FF8AC91" w14:textId="77777777" w:rsidTr="3A842B16">
        <w:tc>
          <w:tcPr>
            <w:tcW w:w="2405" w:type="dxa"/>
          </w:tcPr>
          <w:p w14:paraId="4B1A9DB1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7205F66" w14:textId="462F0E1D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Urychlit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usnadnit zavádění elektronických služeb prostřednictvím propojené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systematicky vytvářené infrastruktury elektronizace zdravotnictví včetně stabilizace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standardizace datového fondu zdravotnictví.  </w:t>
            </w:r>
          </w:p>
        </w:tc>
      </w:tr>
      <w:tr w:rsidR="00C42CDB" w:rsidRPr="00535CE0" w14:paraId="254D3574" w14:textId="77777777" w:rsidTr="3A842B16">
        <w:tc>
          <w:tcPr>
            <w:tcW w:w="2405" w:type="dxa"/>
          </w:tcPr>
          <w:p w14:paraId="5200E85A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7DEAEF3" w14:textId="4758C8C2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Rozvoj resortní infrastruktury elektronického zdravotnictví ČR. Infrastruktura sestává zejména z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referenčních registrů Poskytovatelů zdravotních služeb, zdravotníků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pacientů, vzájemně propojených s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referenčními registry eGovernmentu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dalšími systémy jako například správa souhlasů.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</w:p>
          <w:p w14:paraId="04EA431F" w14:textId="217F1CC2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Vybudování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rozvoj zdravotnických registrů (Hygienické registry, registry NZIS). Jedná se o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zdravotnické registry hygienické služby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informační systémy související s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řešením pandemických situací, zdravotnické registry onkologických, kardiovaskulárních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dalších onemocnění).</w:t>
            </w:r>
          </w:p>
          <w:p w14:paraId="2A1DC17F" w14:textId="39D6488B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Vybudování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rozvoj informačního systému pro podporu řízení hygienické služby ve čtrnácti regionech ČR (Informační systém KHS).</w:t>
            </w:r>
          </w:p>
          <w:p w14:paraId="5294F8AE" w14:textId="5741EDCD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Rozšíření stávající funkcionality eReceptů o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recepty na omamné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psychotropní látky. Druhým cílem je zavádění služby elektronické poukazy, v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nepovinném režimu umožnit elektronické předepisování poukazů na zdravotnické prostředky pro všechny osoby oprávněné předepisovat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umožnit i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výdej takto předepsaných prostředků u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poskytovatelů zdravotních služeb i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smluvních výdejen.</w:t>
            </w:r>
          </w:p>
          <w:p w14:paraId="3815195B" w14:textId="0692BE8B" w:rsidR="00C42CDB" w:rsidRPr="00AD592F" w:rsidRDefault="00C42CDB" w:rsidP="6D35A5C4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Vybudování infrastruktury pro podporu systému péče o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pacienty se vzácnými chorobami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zajištění odborných kapacit.</w:t>
            </w:r>
          </w:p>
          <w:p w14:paraId="46A482E2" w14:textId="210D23CE" w:rsidR="0073550F" w:rsidRPr="00535CE0" w:rsidRDefault="0073550F" w:rsidP="3A842B16">
            <w:pPr>
              <w:pStyle w:val="K-TextInfo"/>
              <w:numPr>
                <w:ilvl w:val="0"/>
                <w:numId w:val="21"/>
              </w:numPr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</w:pPr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Během budování výše </w:t>
            </w:r>
            <w:proofErr w:type="spellStart"/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uvedenách</w:t>
            </w:r>
            <w:proofErr w:type="spellEnd"/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</w:t>
            </w:r>
            <w:r w:rsidR="00A16FF2"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>systémů a infrastruktury</w:t>
            </w:r>
            <w:r w:rsidRPr="3A842B16">
              <w:rPr>
                <w:rStyle w:val="K-TextChar"/>
                <w:rFonts w:asciiTheme="minorHAnsi" w:eastAsiaTheme="minorEastAsia" w:hAnsiTheme="minorHAnsi" w:cstheme="minorBidi"/>
                <w:i w:val="0"/>
                <w:color w:val="auto"/>
                <w:sz w:val="20"/>
                <w:szCs w:val="20"/>
              </w:rPr>
              <w:t xml:space="preserve"> bude od počátku dbáno na zajišťování kybernetické bezpečnosti dle příslušných předpisů.</w:t>
            </w:r>
          </w:p>
          <w:p w14:paraId="1C7A925A" w14:textId="2064F128" w:rsidR="00C42CDB" w:rsidRPr="00535CE0" w:rsidRDefault="00C42CDB" w:rsidP="6D35A5C4">
            <w:pPr>
              <w:pStyle w:val="K-TextInfo"/>
              <w:numPr>
                <w:ilvl w:val="0"/>
                <w:numId w:val="21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Zajištění vzdělávacích programů pro rozšíření využívání elektronických zdravotnických služeb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digitálních služeb ve zdravotnictví zaměřených především na zdravotnický personál.</w:t>
            </w:r>
          </w:p>
        </w:tc>
      </w:tr>
      <w:tr w:rsidR="00C42CDB" w:rsidRPr="00535CE0" w14:paraId="0150A8A3" w14:textId="77777777" w:rsidTr="3A842B16">
        <w:tc>
          <w:tcPr>
            <w:tcW w:w="2405" w:type="dxa"/>
          </w:tcPr>
          <w:p w14:paraId="1E0863CE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42E9A64F" w14:textId="7D8009B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Reforma je složena ze sedmi vzájemně propojených či na sebe navazujících projektů majících společného jmenovatele – vytvoření provázané infrastruktury využívající společná data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sdílené funkcionality.</w:t>
            </w:r>
          </w:p>
          <w:p w14:paraId="189E01B0" w14:textId="0FD637A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Projekty jsou realizovány organizacemi zřizovanými Ministerstvem zdravotnictví – ÚZIS, SÚKL ve spolupráci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krajskými hygienickými stanicemi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00936081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poskytovateli </w:t>
            </w:r>
            <w:r w:rsidR="00CA574F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zdravotních služeb především pak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Všeobecnou fakultní nemocnicí.</w:t>
            </w:r>
          </w:p>
          <w:p w14:paraId="4126BE79" w14:textId="77777777" w:rsidR="00C42CDB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Jejich koordinaci bude vykonávat Národní centrum elektronizace zdravotnictví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ve spolupráci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programovou kanceláří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vnitra jako gestorem digitalizace veřejné správy.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bude úzce spolupracovat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programovou kanceláří programu Digitální Česko, která bude mít ve vrcholných řídících strukturách projektů svého zástupce, který bude monitorovat vývoj projektu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00B38061" w14:textId="3C1792C5" w:rsidR="00B17097" w:rsidRPr="00AD592F" w:rsidRDefault="00B1709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</w:t>
            </w:r>
            <w:r w:rsidR="009A51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kroků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 podobě </w:t>
            </w:r>
            <w:r w:rsidR="009A51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přípravy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architektonického modelu služby či systému (</w:t>
            </w:r>
            <w:r w:rsidR="009A51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získání Souhlasného stanoviska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odboru hlavního architekta eGovernmentu) a</w:t>
            </w:r>
            <w:r w:rsidR="00047F03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podání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06CABBCD" w14:textId="77777777" w:rsidTr="3A842B16">
        <w:trPr>
          <w:trHeight w:val="70"/>
        </w:trPr>
        <w:tc>
          <w:tcPr>
            <w:tcW w:w="2405" w:type="dxa"/>
          </w:tcPr>
          <w:p w14:paraId="0E622CD1" w14:textId="45B082DD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675E045B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1CDA11FB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zdravotnictví</w:t>
            </w:r>
          </w:p>
          <w:p w14:paraId="74F0902A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Národní centrum elektronického zdravotnictví</w:t>
            </w:r>
          </w:p>
          <w:p w14:paraId="7ED6414B" w14:textId="77777777" w:rsidR="0062461C" w:rsidRPr="0062461C" w:rsidRDefault="0062461C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Institut postgraduálního vzdělávání ve zdravotnictví</w:t>
            </w:r>
          </w:p>
          <w:p w14:paraId="36221B2A" w14:textId="6F66686E" w:rsidR="005C4FB7" w:rsidRPr="00AD592F" w:rsidRDefault="0062461C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Všeobecná fakultní nemocnice v</w:t>
            </w:r>
            <w:r w:rsidR="005C4FB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Praze</w:t>
            </w:r>
          </w:p>
          <w:p w14:paraId="4BD78E1F" w14:textId="6653C10E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hygienické stanice</w:t>
            </w:r>
          </w:p>
          <w:p w14:paraId="277426A3" w14:textId="512ADE0F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Ústav zdravotnických informací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statistiky</w:t>
            </w:r>
          </w:p>
          <w:p w14:paraId="2DFAF9DB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Státní ústav pro kontrolu léčiv</w:t>
            </w:r>
          </w:p>
          <w:p w14:paraId="10501AB5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42758950" w14:textId="77777777" w:rsidR="000B5901" w:rsidRDefault="000B5901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6C1D448E" w14:textId="463A37A5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Poskytovatelé zdravotních služeb</w:t>
            </w:r>
          </w:p>
          <w:p w14:paraId="39DBDB45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Kraje, které jsou zřizovateli nebo zakladateli poskytovatelů zdravotních služeb. </w:t>
            </w:r>
          </w:p>
          <w:p w14:paraId="06A32A1A" w14:textId="77777777" w:rsidR="00C42CDB" w:rsidRPr="00AD592F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Municipality, které jsou zřizovateli nebo zakladateli poskytovatelů zdravotních služeb.</w:t>
            </w:r>
          </w:p>
          <w:p w14:paraId="4277BE42" w14:textId="16A8848E" w:rsidR="00765514" w:rsidRPr="00535CE0" w:rsidRDefault="000B5901" w:rsidP="3A842B16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Státní pokladna – centrum sdílených služeb,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3FF118AE" w14:textId="77777777" w:rsidTr="3A842B16">
        <w:tc>
          <w:tcPr>
            <w:tcW w:w="2405" w:type="dxa"/>
          </w:tcPr>
          <w:p w14:paraId="2A936870" w14:textId="2F3D128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741A56AB" w14:textId="0A70DD1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317BD0FD" w14:textId="1E218A24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spočívá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eskalaci na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 následném zapojení specialistů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na jednotlivé problémové domény případně specialistů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dalších kompetenčních center.</w:t>
            </w:r>
          </w:p>
          <w:p w14:paraId="760D3EEB" w14:textId="0114AFE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 tím související delší vydávání souhlasných stanovisek</w:t>
            </w:r>
          </w:p>
          <w:p w14:paraId="7533A25F" w14:textId="46ED0913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Zahlcení OHA bude prostřednictvím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eskalováno na Radu vlády pro informační společnost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požadavkem na navýšení kapacit OHA.</w:t>
            </w:r>
          </w:p>
          <w:p w14:paraId="58E91105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003EC60F" w14:textId="3E9B04B8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Eliminace tohoto rizika spočívá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zapojení architektů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specialistů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dalších kompetenčních center do příprav,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předkonzultací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konzultací architektonických návrhů.</w:t>
            </w:r>
          </w:p>
          <w:p w14:paraId="0340EDBE" w14:textId="1088143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6CED3FA7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64AFE9A2" w14:textId="7B09005C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4BA2CF22" w14:textId="2DC7E754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současně personální kapacity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příp. dalších kompetenčních center, která budou moci poskytnout specialisty pro řešení situace.</w:t>
            </w:r>
          </w:p>
        </w:tc>
      </w:tr>
      <w:tr w:rsidR="00C42CDB" w:rsidRPr="00535CE0" w14:paraId="5DDDE414" w14:textId="77777777" w:rsidTr="3A842B16">
        <w:tc>
          <w:tcPr>
            <w:tcW w:w="2405" w:type="dxa"/>
          </w:tcPr>
          <w:p w14:paraId="1F4C9013" w14:textId="1B26DBD8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73FD99B" w14:textId="13C838C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poskytovatelé zdravotnických služeb, ministerstvo zdravotnictví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Krajské hygienické stanice. </w:t>
            </w:r>
          </w:p>
          <w:p w14:paraId="478BEBB2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elektronického zdravotnictví.</w:t>
            </w:r>
          </w:p>
        </w:tc>
      </w:tr>
      <w:tr w:rsidR="00C42CDB" w:rsidRPr="00535CE0" w14:paraId="7D788B44" w14:textId="77777777" w:rsidTr="3A842B16">
        <w:tc>
          <w:tcPr>
            <w:tcW w:w="2405" w:type="dxa"/>
          </w:tcPr>
          <w:p w14:paraId="2483B9FF" w14:textId="42D94D8B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6C83203C" w14:textId="6ED038AC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Celkové náklady reformy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RRF jsou 3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 mil. Kč.</w:t>
            </w:r>
          </w:p>
        </w:tc>
      </w:tr>
      <w:tr w:rsidR="00C42CDB" w:rsidRPr="00535CE0" w14:paraId="74BB48AB" w14:textId="77777777" w:rsidTr="3A842B16">
        <w:tc>
          <w:tcPr>
            <w:tcW w:w="2405" w:type="dxa"/>
          </w:tcPr>
          <w:p w14:paraId="14839815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76E1228" w14:textId="4C6A9B7D" w:rsidR="00C42CDB" w:rsidRPr="00137447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Reforma nezakládá veřejnou podporu.</w:t>
            </w:r>
            <w:r w:rsidR="009E6435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 rámci jednotlivých projektů bude docházet k datovému propojování státních organizací a subjektů vlastněných státem v jednotlivých případech poskytujících zdravotnické služby dle </w:t>
            </w:r>
            <w:r w:rsidR="009E6435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GT b/i/14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 Tato propojení budou realizován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a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 souladu s pravidly pro zadávání veřejných zakázek (otevřen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že stát bude za pořizované služby platit tržní ceny, nebude tedy poskytnuta žádná státní podpora </w:t>
            </w:r>
          </w:p>
        </w:tc>
      </w:tr>
      <w:tr w:rsidR="00C42CDB" w:rsidRPr="00535CE0" w14:paraId="1FC0C9C8" w14:textId="77777777" w:rsidTr="3A842B16">
        <w:tc>
          <w:tcPr>
            <w:tcW w:w="2405" w:type="dxa"/>
          </w:tcPr>
          <w:p w14:paraId="4FDFB48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Uveďte dobu implementace</w:t>
            </w:r>
          </w:p>
        </w:tc>
        <w:tc>
          <w:tcPr>
            <w:tcW w:w="7223" w:type="dxa"/>
          </w:tcPr>
          <w:p w14:paraId="541E0C0A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4209B195" w14:textId="29D3A819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5607718C" w14:textId="77777777" w:rsidR="002A784F" w:rsidRPr="003A17B4" w:rsidRDefault="002A784F" w:rsidP="002A784F">
      <w:pPr>
        <w:rPr>
          <w:rFonts w:asciiTheme="minorHAnsi" w:eastAsiaTheme="minorEastAsia" w:hAnsiTheme="minorHAnsi" w:cstheme="minorHAnsi"/>
          <w:i/>
          <w:iCs/>
          <w:sz w:val="20"/>
          <w:szCs w:val="20"/>
        </w:rPr>
      </w:pPr>
      <w:r w:rsidRPr="003A17B4">
        <w:rPr>
          <w:rFonts w:asciiTheme="minorHAnsi" w:eastAsiaTheme="minorEastAsia" w:hAnsiTheme="minorHAnsi" w:cstheme="minorHAnsi"/>
          <w:i/>
          <w:iCs/>
          <w:sz w:val="20"/>
          <w:szCs w:val="20"/>
        </w:rPr>
        <w:t>Přehled realizovaných projektů v rámci reformy</w:t>
      </w:r>
    </w:p>
    <w:tbl>
      <w:tblPr>
        <w:tblW w:w="9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4"/>
        <w:gridCol w:w="1276"/>
      </w:tblGrid>
      <w:tr w:rsidR="007B6CF7" w:rsidRPr="002A784F" w14:paraId="50BCCF7C" w14:textId="77777777" w:rsidTr="007B6CF7">
        <w:trPr>
          <w:trHeight w:val="360"/>
        </w:trPr>
        <w:tc>
          <w:tcPr>
            <w:tcW w:w="8354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vAlign w:val="center"/>
            <w:hideMark/>
          </w:tcPr>
          <w:p w14:paraId="4D5E3E06" w14:textId="77777777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2A784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276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0F1476B3" w14:textId="56F76B14" w:rsidR="007B6CF7" w:rsidRPr="002A784F" w:rsidRDefault="007B6CF7" w:rsidP="002A784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2A784F" w14:paraId="237FE39B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670B0DE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Digitalizace a optimalizace systému zdravotní péče o pacienty se vzácnými chorobami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5A27F963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8,00</w:t>
            </w:r>
          </w:p>
        </w:tc>
      </w:tr>
      <w:tr w:rsidR="007B6CF7" w:rsidRPr="002A784F" w14:paraId="555D8B34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C4B6DD9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Hygienické registry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54AE2089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25,00</w:t>
            </w:r>
          </w:p>
        </w:tc>
      </w:tr>
      <w:tr w:rsidR="007B6CF7" w:rsidRPr="002A784F" w14:paraId="09E8C1A4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0B238DD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Rezortní informační systém KHS MZČR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2F294EDE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30,00</w:t>
            </w:r>
          </w:p>
        </w:tc>
      </w:tr>
      <w:tr w:rsidR="007B6CF7" w:rsidRPr="002A784F" w14:paraId="521FE4AE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1595A04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Rozvoj rezortní infrastruktury elektronického zdravotnictví ČR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57790484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150,00</w:t>
            </w:r>
          </w:p>
        </w:tc>
      </w:tr>
      <w:tr w:rsidR="007B6CF7" w:rsidRPr="002A784F" w14:paraId="5A3977CE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2C94D881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Rozvoj technologické platformy registrů NZIS, modernizace vytěžování jejich obsahu a rozšíření jejich informační kapacity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6F130DC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50,00</w:t>
            </w:r>
          </w:p>
        </w:tc>
      </w:tr>
      <w:tr w:rsidR="007B6CF7" w:rsidRPr="002A784F" w14:paraId="176C50D4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69B607C1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Sdílený lékový </w:t>
            </w:r>
            <w:proofErr w:type="gramStart"/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záznam - rozšíření</w:t>
            </w:r>
            <w:proofErr w:type="gramEnd"/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služby v oblasti správy souhlasů, evidence přístupů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B617367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50,00</w:t>
            </w:r>
          </w:p>
        </w:tc>
      </w:tr>
      <w:tr w:rsidR="007B6CF7" w:rsidRPr="002A784F" w14:paraId="248EEEEE" w14:textId="77777777" w:rsidTr="007B6CF7">
        <w:trPr>
          <w:trHeight w:val="34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3165A32B" w14:textId="77777777" w:rsidR="007B6CF7" w:rsidRPr="002A784F" w:rsidRDefault="007B6CF7" w:rsidP="002A784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A784F">
              <w:rPr>
                <w:rFonts w:ascii="Calibri" w:hAnsi="Calibri" w:cs="Calibri"/>
                <w:color w:val="000000"/>
                <w:sz w:val="20"/>
                <w:szCs w:val="20"/>
              </w:rPr>
              <w:t>Vzdělávací programy pro zvyšování kvality a efektivity využívání služeb elektronického zdravotnictví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3A3EFEE1" w14:textId="77777777" w:rsidR="007B6CF7" w:rsidRPr="002A784F" w:rsidRDefault="007B6CF7" w:rsidP="002A784F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2A784F">
              <w:rPr>
                <w:rFonts w:ascii="Calibri" w:hAnsi="Calibri" w:cs="Calibri"/>
                <w:sz w:val="20"/>
                <w:szCs w:val="20"/>
              </w:rPr>
              <w:t>12,00</w:t>
            </w:r>
          </w:p>
        </w:tc>
      </w:tr>
    </w:tbl>
    <w:p w14:paraId="2BF33B1F" w14:textId="77777777" w:rsidR="002A784F" w:rsidRPr="00535CE0" w:rsidRDefault="002A784F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08EE7640" w14:textId="769BEF08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b) Popis investic</w:t>
      </w:r>
    </w:p>
    <w:p w14:paraId="3F3B35EA" w14:textId="4E14CCAE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Budování a</w:t>
      </w:r>
      <w:r w:rsidR="00EE51EC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 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rozvoj základních registrů a</w:t>
      </w:r>
      <w:r w:rsidR="00EE51EC"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 </w:t>
      </w: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zázemí pro eGovernment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57EB7AEB" w14:textId="77777777" w:rsidTr="33C5CFFC">
        <w:tc>
          <w:tcPr>
            <w:tcW w:w="2405" w:type="dxa"/>
          </w:tcPr>
          <w:p w14:paraId="5D90227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D87A5AB" w14:textId="0218F18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Vytvořit efektivní systémové, technologické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znalostí prostředí pro digitalizaci agend vykonávaných veřejnou správou. </w:t>
            </w:r>
          </w:p>
        </w:tc>
      </w:tr>
      <w:tr w:rsidR="00C42CDB" w:rsidRPr="00535CE0" w14:paraId="0D288CE0" w14:textId="77777777" w:rsidTr="33C5CFFC">
        <w:tc>
          <w:tcPr>
            <w:tcW w:w="2405" w:type="dxa"/>
          </w:tcPr>
          <w:p w14:paraId="7FD7757D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7C340BD" w14:textId="13FD49BD" w:rsidR="00C42CDB" w:rsidRDefault="00C42CDB" w:rsidP="6D35A5C4">
            <w:pPr>
              <w:pStyle w:val="K-TextInfo"/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</w:pP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Rozvoj základních registrů (Registr osob, Registr obyvatel, Registr práv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povinností, Registr územní identifikace, adres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nemovitostí, Informační systém ORG), jejich modernizace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rozšíření v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souladu novými požadavky na rozsah jimi poskytovaných referenčních údajů. Součástí je i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budování Informačního systému sdílené služby, který propojuje data z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jednotlivých agendových systémů, a</w:t>
            </w:r>
            <w:r w:rsidR="00EE51EC"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Style w:val="K-TextChar"/>
                <w:rFonts w:asciiTheme="minorHAnsi" w:eastAsiaTheme="minorEastAsia" w:hAnsiTheme="minorHAnsi" w:cstheme="minorBidi"/>
                <w:i w:val="0"/>
                <w:color w:val="000000" w:themeColor="text1"/>
                <w:sz w:val="20"/>
                <w:szCs w:val="20"/>
              </w:rPr>
              <w:t>tak vytváří základ propojeného datového fondu.</w:t>
            </w:r>
          </w:p>
          <w:p w14:paraId="39D9B5C8" w14:textId="77777777" w:rsidR="00096511" w:rsidRPr="00535CE0" w:rsidRDefault="00096511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Vytváření propojeného datového fondu ČR a propojení mezirezortních průřezových agend, tak aby občan nemusel obíhat úřady, ale data putovala napříč úřady.</w:t>
            </w:r>
          </w:p>
          <w:p w14:paraId="68973DBE" w14:textId="781B950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technologické infrastruktury veřejné správy včetně radikálního navýšení její přenosové kapacity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souvislosti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rozvojem sítí nové generace, implementací nových zákaznických služeb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 vysoce náročných na přenosovou kapacitu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propustnost infrastruktury (např.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souvislosti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digitalizací stavebního řízení je předpokládáno desetinásobné navýšení datového toku na centrálním uzlu oproti stavu r. 2020).  </w:t>
            </w:r>
          </w:p>
        </w:tc>
      </w:tr>
      <w:tr w:rsidR="00C42CDB" w:rsidRPr="00535CE0" w14:paraId="2AF651E3" w14:textId="77777777" w:rsidTr="33C5CFFC">
        <w:tc>
          <w:tcPr>
            <w:tcW w:w="2405" w:type="dxa"/>
          </w:tcPr>
          <w:p w14:paraId="67B12199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162DB94" w14:textId="7D380F48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je složena z</w:t>
            </w:r>
            <w:r w:rsidR="7DB313A3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patnácti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vzájemně propojených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 sebe navazujících projektů (detailnější informace o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Celkovou koordinaci bude vykonávat programová kancelář Digitální Česko ve spolupráci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Ministerstvem vnitra jako gestorem digitalizace veřejné správy</w:t>
            </w:r>
            <w:r w:rsidR="00D6798F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Radou základních registrů – pracovní skupinou Rady vlády pro informační společnost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v případě </w:t>
            </w:r>
            <w:r w:rsidR="00253D48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průřezových infrastrukturních 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projektů</w:t>
            </w:r>
            <w:r w:rsidR="00253D48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009E4C9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– 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Pracovní</w:t>
            </w:r>
            <w:r w:rsidR="009E4C9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 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výbor</w:t>
            </w:r>
            <w:r w:rsidR="009E4C9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em</w:t>
            </w:r>
            <w:r w:rsidR="00D856C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 rozvoj celkového prostředí podporujícího digitální technologie</w:t>
            </w:r>
            <w:r w:rsidR="00D838C9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při Radě vlády pro informační společnost.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Koordinaci projektů na rozvoji Základních registrů (jako celku) na operativní úrovni pak bude realizovat Rada základních registrů.</w:t>
            </w:r>
            <w:r w:rsidR="00254FF5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Koordinaci průřezových infrastrukturních projektů pak bude realizovat Pracovní výbor pro rozvoj celkového prostředí podporujícího digitální technologie příp. k tomuto účelu nově zřízená pra</w:t>
            </w:r>
            <w:r w:rsidR="00EC7227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covní skupina při Radě vlády pro informační společnost.</w:t>
            </w:r>
          </w:p>
          <w:p w14:paraId="0C09655E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čase vč. stavu naplňování jeho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188E6CF2" w14:textId="4D2145EE" w:rsidR="00047F03" w:rsidRPr="00AD592F" w:rsidRDefault="00047F03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návrhu architektonického modelu systému (souhlasné Stanovisko odboru hlavního architekta eGovernmentu) a podání informace na vládu o záměru učinit výdaj (na základě Usnesení vlády č. 86/2020).  </w:t>
            </w:r>
          </w:p>
        </w:tc>
      </w:tr>
      <w:tr w:rsidR="00C42CDB" w:rsidRPr="00535CE0" w14:paraId="3EB1A86B" w14:textId="77777777" w:rsidTr="33C5CFFC">
        <w:trPr>
          <w:trHeight w:val="70"/>
        </w:trPr>
        <w:tc>
          <w:tcPr>
            <w:tcW w:w="2405" w:type="dxa"/>
          </w:tcPr>
          <w:p w14:paraId="46B0405D" w14:textId="727108B6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72A213E3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4EE1DF14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Český statistický úřad</w:t>
            </w:r>
          </w:p>
          <w:p w14:paraId="4A37E698" w14:textId="10848CE9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Český úřad zeměměři</w:t>
            </w:r>
            <w:r w:rsidR="0035647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ký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katastrální</w:t>
            </w:r>
          </w:p>
          <w:p w14:paraId="5D963760" w14:textId="28DD8848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práce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sociálních věcí</w:t>
            </w:r>
          </w:p>
          <w:p w14:paraId="66D735C4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69367C83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Správa základních registrů</w:t>
            </w:r>
          </w:p>
          <w:p w14:paraId="6A53A566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Úřad pro ochranu osobních údajů</w:t>
            </w:r>
          </w:p>
          <w:p w14:paraId="25FD24E8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1843702A" w14:textId="77777777" w:rsidR="000913CD" w:rsidRDefault="000913CD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7B7D8C81" w14:textId="54A6A637" w:rsidR="00C42CDB" w:rsidRPr="000913CD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Orgány veřejné správy</w:t>
            </w:r>
          </w:p>
          <w:p w14:paraId="1A8421DC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úřady</w:t>
            </w:r>
          </w:p>
          <w:p w14:paraId="5A13A519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</w:tc>
      </w:tr>
      <w:tr w:rsidR="00C42CDB" w:rsidRPr="00535CE0" w14:paraId="716FD0EE" w14:textId="77777777" w:rsidTr="33C5CFFC">
        <w:tc>
          <w:tcPr>
            <w:tcW w:w="2405" w:type="dxa"/>
          </w:tcPr>
          <w:p w14:paraId="4096DFC5" w14:textId="0FBD8E09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77136CAB" w14:textId="4803650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3F3CCFBC" w14:textId="34D3795C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1AFA43A1" w14:textId="4597DF1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0E013349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5F19290C" w14:textId="2A68F72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63488DAB" w14:textId="2E47229A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4F23BB10" w14:textId="77777777" w:rsidTr="33C5CFFC">
        <w:tc>
          <w:tcPr>
            <w:tcW w:w="2405" w:type="dxa"/>
          </w:tcPr>
          <w:p w14:paraId="69AF254E" w14:textId="04E6955C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7F37226F" w14:textId="614E24B4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orgány veřejné správy využívající data základních registrů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propojeného datového fondu vč. krajských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municipalit. </w:t>
            </w:r>
          </w:p>
          <w:p w14:paraId="0130FB42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jejichž součástí jsou data ze základních registrů či propojeného datového fondu. Základním přínosem je princip „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only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once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“.</w:t>
            </w:r>
          </w:p>
        </w:tc>
      </w:tr>
      <w:tr w:rsidR="00C42CDB" w:rsidRPr="00535CE0" w14:paraId="62EEE942" w14:textId="77777777" w:rsidTr="33C5CFFC">
        <w:tc>
          <w:tcPr>
            <w:tcW w:w="2405" w:type="dxa"/>
          </w:tcPr>
          <w:p w14:paraId="28CC3579" w14:textId="57967408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D2C2E09" w14:textId="777AD06B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3C5414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</w:t>
            </w:r>
            <w:r w:rsidR="004457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</w:t>
            </w:r>
            <w:r w:rsidR="002A784F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84</w:t>
            </w:r>
            <w:r w:rsidR="004457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2A784F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16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63A2498E" w14:textId="77777777" w:rsidTr="33C5CFFC">
        <w:tc>
          <w:tcPr>
            <w:tcW w:w="2405" w:type="dxa"/>
          </w:tcPr>
          <w:p w14:paraId="02776897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7646BF5F" w14:textId="77777777" w:rsidR="00244664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nezakládá veřejnou podporu.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57C011A6" w14:textId="7E71FEBE" w:rsidR="00244664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Jednotlivé projekty budou realizovány v souladu s pravidly pro zadávání veřejných zakázek (otevřen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zajištěno, že stát bude za pořizované služby platit tržní ceny, nebude tedy poskytnuta žádná státní podpora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39F413A4" w14:textId="20868622" w:rsidR="00C42CDB" w:rsidRPr="00137447" w:rsidRDefault="00244664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Projekty v rámci této investice </w:t>
            </w:r>
            <w:proofErr w:type="spellStart"/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vytvářejní</w:t>
            </w:r>
            <w:proofErr w:type="spellEnd"/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základní stavební kameny a předpoklady pro digitalizaci veřejné moci. Na tomto základě lze státní podporu považovat za vyloučenou dle GT A/a/13.</w:t>
            </w:r>
          </w:p>
        </w:tc>
      </w:tr>
      <w:tr w:rsidR="00C42CDB" w:rsidRPr="00535CE0" w14:paraId="12B508BA" w14:textId="77777777" w:rsidTr="33C5CFFC">
        <w:tc>
          <w:tcPr>
            <w:tcW w:w="2405" w:type="dxa"/>
          </w:tcPr>
          <w:p w14:paraId="63ECA84C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Uveďte dobu implementace</w:t>
            </w:r>
          </w:p>
        </w:tc>
        <w:tc>
          <w:tcPr>
            <w:tcW w:w="7223" w:type="dxa"/>
          </w:tcPr>
          <w:p w14:paraId="0901520A" w14:textId="5A324E93" w:rsidR="00C42CDB" w:rsidRPr="00535CE0" w:rsidRDefault="00C42CDB" w:rsidP="33C5CFFC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Plánovaná doba realizace je </w:t>
            </w:r>
            <w:r w:rsidR="006C146B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61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měsíců. Předpokládané dokončení je ve </w:t>
            </w:r>
            <w:r w:rsidR="006C146B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Q 202</w:t>
            </w:r>
            <w:r w:rsidR="006C146B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6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0CCF9CC1" w14:textId="1C5C89F5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211C5685" w14:textId="37F0B6E1" w:rsidR="002A784F" w:rsidRPr="002A784F" w:rsidRDefault="002A784F" w:rsidP="002A784F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2A784F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6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0"/>
        <w:gridCol w:w="1559"/>
      </w:tblGrid>
      <w:tr w:rsidR="007B6CF7" w:rsidRPr="002A784F" w14:paraId="77497238" w14:textId="77777777" w:rsidTr="007B6CF7">
        <w:trPr>
          <w:trHeight w:val="360"/>
        </w:trPr>
        <w:tc>
          <w:tcPr>
            <w:tcW w:w="8070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vAlign w:val="center"/>
            <w:hideMark/>
          </w:tcPr>
          <w:p w14:paraId="0ABCA423" w14:textId="77777777" w:rsidR="007B6CF7" w:rsidRPr="002A784F" w:rsidRDefault="007B6CF7" w:rsidP="002A784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559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27883090" w14:textId="443A41DC" w:rsidR="007B6CF7" w:rsidRPr="007B6CF7" w:rsidRDefault="007B6CF7" w:rsidP="002A784F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7B6CF7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2A784F" w14:paraId="626E98BD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57AFD66A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CMS – posílení centrálních komponent v souvislosti se zavedením digitálního stavebního řízení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0BB08352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600,75</w:t>
            </w:r>
          </w:p>
        </w:tc>
      </w:tr>
      <w:tr w:rsidR="007B6CF7" w:rsidRPr="002A784F" w14:paraId="0BC70CD4" w14:textId="77777777" w:rsidTr="007B6CF7">
        <w:trPr>
          <w:trHeight w:val="3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7E66DCA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Informační systém cloud </w:t>
            </w:r>
            <w:proofErr w:type="spell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computingu</w:t>
            </w:r>
            <w:proofErr w:type="spellEnd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 Portál eGovernment cloud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47873FD1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23,18</w:t>
            </w:r>
          </w:p>
        </w:tc>
      </w:tr>
      <w:tr w:rsidR="007B6CF7" w:rsidRPr="002A784F" w14:paraId="7CE20635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6E43D1CB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Modernizace a optimalizace MPLS komunikační a informační infrastruktury MV (ITS)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7B1285E3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570,00</w:t>
            </w:r>
          </w:p>
        </w:tc>
      </w:tr>
      <w:tr w:rsidR="007B6CF7" w:rsidRPr="002A784F" w14:paraId="7BF364E3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6152D2C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MPSV - Pořízení</w:t>
            </w:r>
            <w:proofErr w:type="gramEnd"/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softwarově definovaného DC a obnova systémových prostředků DC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4A4A1278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82,64</w:t>
            </w:r>
          </w:p>
        </w:tc>
      </w:tr>
      <w:tr w:rsidR="007B6CF7" w:rsidRPr="002A784F" w14:paraId="7C31EFE9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37256B8" w14:textId="77777777" w:rsidR="007B6CF7" w:rsidRPr="00D17D91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D17D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Národní certifikační autorita (NCA)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018388DA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40,00</w:t>
            </w:r>
          </w:p>
        </w:tc>
      </w:tr>
      <w:tr w:rsidR="007B6CF7" w:rsidRPr="002A784F" w14:paraId="169FE50F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22CDB69E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Navyšování kapacity datových center a datových úložišť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5EE8369C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243,00</w:t>
            </w:r>
          </w:p>
        </w:tc>
      </w:tr>
      <w:tr w:rsidR="007B6CF7" w:rsidRPr="002A784F" w14:paraId="1190A475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F231D7C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Obměna HW/SW na ZR (dodatečné požadavky)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0D1D285D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150,00</w:t>
            </w:r>
          </w:p>
        </w:tc>
      </w:tr>
      <w:tr w:rsidR="007B6CF7" w:rsidRPr="002A784F" w14:paraId="13FA5068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501C975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ROS - 2020+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24242B8A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38,84</w:t>
            </w:r>
          </w:p>
        </w:tc>
      </w:tr>
      <w:tr w:rsidR="007B6CF7" w:rsidRPr="002A784F" w14:paraId="4DE419DF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4EB67B9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ROS - IAIS</w:t>
            </w:r>
            <w:proofErr w:type="gramEnd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- 2020+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78D73097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10,74</w:t>
            </w:r>
          </w:p>
        </w:tc>
      </w:tr>
      <w:tr w:rsidR="007B6CF7" w:rsidRPr="002A784F" w14:paraId="231A5BEF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2C15FFF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Rozvoj </w:t>
            </w:r>
            <w:proofErr w:type="gramStart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NIA - systém</w:t>
            </w:r>
            <w:proofErr w:type="gramEnd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plní požadavky zákona 250/2017 Sb. o elektronické identifikaci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1D2DF613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</w:tr>
      <w:tr w:rsidR="007B6CF7" w:rsidRPr="002A784F" w14:paraId="5A26231A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545AA27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Rozvoj ROB a souvisejících AIS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608C35FB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60,00</w:t>
            </w:r>
          </w:p>
        </w:tc>
      </w:tr>
      <w:tr w:rsidR="007B6CF7" w:rsidRPr="002A784F" w14:paraId="7C7D7624" w14:textId="77777777" w:rsidTr="007B6CF7">
        <w:trPr>
          <w:trHeight w:val="32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041D95C2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RÚIAN 2020+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6A470B44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45,00</w:t>
            </w:r>
          </w:p>
        </w:tc>
      </w:tr>
      <w:tr w:rsidR="007B6CF7" w:rsidRPr="002A784F" w14:paraId="7CE2603D" w14:textId="77777777" w:rsidTr="007B6CF7">
        <w:trPr>
          <w:trHeight w:val="3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42A412E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SZR - ISZR</w:t>
            </w:r>
            <w:proofErr w:type="gramEnd"/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ISSS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9B6D369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183,00</w:t>
            </w:r>
          </w:p>
        </w:tc>
      </w:tr>
      <w:tr w:rsidR="007B6CF7" w:rsidRPr="002A784F" w14:paraId="582E243E" w14:textId="77777777" w:rsidTr="007B6CF7">
        <w:trPr>
          <w:trHeight w:val="4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1392F4DB" w14:textId="77777777" w:rsidR="007B6CF7" w:rsidRPr="002A784F" w:rsidRDefault="007B6C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sz w:val="20"/>
                <w:szCs w:val="20"/>
              </w:rPr>
              <w:t xml:space="preserve">Vybudování 1.etapy státní částí eGovernment cloudu (Druhá etapa datového centra </w:t>
            </w:r>
            <w:proofErr w:type="gramStart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>eGovernmentu - Zeleneč</w:t>
            </w:r>
            <w:proofErr w:type="gramEnd"/>
            <w:r w:rsidRPr="002A784F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25EF0387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222,00</w:t>
            </w:r>
          </w:p>
        </w:tc>
      </w:tr>
      <w:tr w:rsidR="007B6CF7" w:rsidRPr="002A784F" w14:paraId="10102B76" w14:textId="77777777" w:rsidTr="007B6CF7">
        <w:trPr>
          <w:trHeight w:val="340"/>
        </w:trPr>
        <w:tc>
          <w:tcPr>
            <w:tcW w:w="8070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7D313177" w14:textId="77777777" w:rsidR="007B6CF7" w:rsidRPr="002A784F" w:rsidRDefault="007B6C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A784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Vybudování referenčního rozhraní PPDF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vAlign w:val="bottom"/>
            <w:hideMark/>
          </w:tcPr>
          <w:p w14:paraId="352B691A" w14:textId="77777777" w:rsidR="007B6CF7" w:rsidRPr="007B6CF7" w:rsidRDefault="007B6CF7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B6CF7">
              <w:rPr>
                <w:rFonts w:asciiTheme="minorHAnsi" w:hAnsiTheme="minorHAnsi" w:cstheme="minorHAnsi"/>
                <w:sz w:val="20"/>
                <w:szCs w:val="20"/>
              </w:rPr>
              <w:t>255,00</w:t>
            </w:r>
          </w:p>
        </w:tc>
      </w:tr>
    </w:tbl>
    <w:p w14:paraId="25254031" w14:textId="77777777" w:rsidR="002A784F" w:rsidRPr="00535CE0" w:rsidRDefault="002A784F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13BD5A6E" w14:textId="7E50862D" w:rsidR="00C42CDB" w:rsidRPr="003A17B4" w:rsidRDefault="00C42CDB" w:rsidP="33C5CFFC">
      <w:pPr>
        <w:spacing w:after="120"/>
        <w:rPr>
          <w:rStyle w:val="K-Nadpis3Char"/>
          <w:rFonts w:asciiTheme="minorHAnsi" w:eastAsiaTheme="minorEastAsia" w:hAnsiTheme="minorHAnsi" w:cstheme="minorBidi"/>
          <w:sz w:val="22"/>
          <w:szCs w:val="22"/>
        </w:rPr>
      </w:pP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Budování a</w:t>
      </w:r>
      <w:r w:rsidR="00EE51EC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 </w:t>
      </w: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rozvoj </w:t>
      </w:r>
      <w:r w:rsidR="2482F149"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>jednotlivých</w:t>
      </w:r>
      <w:r w:rsidRPr="33C5CFFC">
        <w:rPr>
          <w:rStyle w:val="K-Nadpis3Char"/>
          <w:rFonts w:asciiTheme="minorHAnsi" w:eastAsiaTheme="minorEastAsia" w:hAnsiTheme="minorHAnsi" w:cstheme="minorBidi"/>
          <w:sz w:val="22"/>
          <w:szCs w:val="22"/>
        </w:rPr>
        <w:t xml:space="preserve"> informačních systémů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0A68B5B3" w14:textId="77777777" w:rsidTr="3A842B16">
        <w:tc>
          <w:tcPr>
            <w:tcW w:w="2405" w:type="dxa"/>
          </w:tcPr>
          <w:p w14:paraId="6242D7E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96247C9" w14:textId="2F5CB5D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 rámci veřejné správy existuje výrazný technologický deficit u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agendových informačních systémů, které jsou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mnoha případech staré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více jak 10 let, postavené na dnes již nepodporovaných technologiích, budované jako monolitické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velice obtížně propojitelné či připojitelné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centrálním službám. Tyto systémy pak brání plné digitalizaci jednotlivých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institucí.</w:t>
            </w:r>
          </w:p>
        </w:tc>
      </w:tr>
      <w:tr w:rsidR="00C42CDB" w:rsidRPr="00535CE0" w14:paraId="6B6AB891" w14:textId="77777777" w:rsidTr="3A842B16">
        <w:tc>
          <w:tcPr>
            <w:tcW w:w="2405" w:type="dxa"/>
          </w:tcPr>
          <w:p w14:paraId="6E0F5909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DD79345" w14:textId="52A5D51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Vybudovat moderní informační systémy postavené na modulární architektuře podporující snadnou propojitelnost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 úřadů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institucí.</w:t>
            </w:r>
          </w:p>
          <w:p w14:paraId="3239B893" w14:textId="6B517F10" w:rsidR="00C42CDB" w:rsidRPr="00535CE0" w:rsidRDefault="00C42CDB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Vytvoření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rozvoj stávajících či nových funkcionalit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backendových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informačních systémů jednotlivých orgánů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institucí, které slouží především k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vlastnímu výkonu agend. Hlavní důraz je zde kladen na komplexní digitalizaci těchto systémů,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tedy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úřadů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vzájemné předávání dat mezi systémy prostřednictvím propojeného datového fondu. </w:t>
            </w:r>
          </w:p>
        </w:tc>
      </w:tr>
      <w:tr w:rsidR="00C42CDB" w:rsidRPr="00535CE0" w14:paraId="0C5F33C3" w14:textId="77777777" w:rsidTr="3A842B16">
        <w:tc>
          <w:tcPr>
            <w:tcW w:w="2405" w:type="dxa"/>
          </w:tcPr>
          <w:p w14:paraId="7837725B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022B0B9E" w14:textId="2395681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je složena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255A767B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šestnácti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projektů, které jsou částečně vzájemně propojené či na sebe navazující (detailnější informace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jednotlivých projektech viz Příloha). Jejich koordinaci bude vykonávat programová kancelář Digitální Česko ve spolupráci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Ministerstvem vnitra jako gestorem digitalizace veřejné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jednotlivými gestory projektů. </w:t>
            </w:r>
          </w:p>
          <w:p w14:paraId="7E03ECA4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486957EE" w14:textId="0E2335D2" w:rsidR="00047F03" w:rsidRPr="00AD592F" w:rsidRDefault="00047F03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tvorby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architektonického modelu systému (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souhlasné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tanovisko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odboru hlavního architekta eGovernmentu) a </w:t>
            </w:r>
            <w:r w:rsidR="00E21279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podání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informace na vládu o záměru učinit výdaj (na základě Usnesení vlády č. 86/2020).  </w:t>
            </w:r>
          </w:p>
        </w:tc>
      </w:tr>
      <w:tr w:rsidR="00C42CDB" w:rsidRPr="00535CE0" w14:paraId="62FDF4FA" w14:textId="77777777" w:rsidTr="3A842B16">
        <w:trPr>
          <w:trHeight w:val="70"/>
        </w:trPr>
        <w:tc>
          <w:tcPr>
            <w:tcW w:w="2405" w:type="dxa"/>
          </w:tcPr>
          <w:p w14:paraId="3B517258" w14:textId="3886CB6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3E9C5DC7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0FC683E5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Česká správa sociálního zabezpečení</w:t>
            </w:r>
          </w:p>
          <w:p w14:paraId="4DBEB18C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kultury</w:t>
            </w:r>
          </w:p>
          <w:p w14:paraId="27AE1B08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5D4FCD35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zahraničních věcí</w:t>
            </w:r>
          </w:p>
          <w:p w14:paraId="59805926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2BE8DA0D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Jednotlivé krajské úřady</w:t>
            </w:r>
          </w:p>
          <w:p w14:paraId="1F01F6F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</w:t>
            </w:r>
          </w:p>
          <w:p w14:paraId="7163AF0A" w14:textId="0018CF85" w:rsidR="00C42CDB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Muzea</w:t>
            </w:r>
          </w:p>
          <w:p w14:paraId="52DDCB6D" w14:textId="1CE96E5E" w:rsidR="00E81962" w:rsidRDefault="00E81962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296D590C" w14:textId="0D9D70E7" w:rsidR="004634D8" w:rsidRPr="00535CE0" w:rsidRDefault="004634D8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Organizace zřizované orgány veřejné správy</w:t>
            </w:r>
          </w:p>
        </w:tc>
      </w:tr>
      <w:tr w:rsidR="00C42CDB" w:rsidRPr="00535CE0" w14:paraId="6AB5FBA6" w14:textId="77777777" w:rsidTr="3A842B16">
        <w:tc>
          <w:tcPr>
            <w:tcW w:w="2405" w:type="dxa"/>
          </w:tcPr>
          <w:p w14:paraId="43AC0FEF" w14:textId="132C96C0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3AEC19FE" w14:textId="028ECCB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schvalování nové legislativy</w:t>
            </w:r>
          </w:p>
          <w:p w14:paraId="0EADFAC5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437A14B5" w14:textId="40AC083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Rychlé ustanovení vlády po volbách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10/2021</w:t>
            </w:r>
          </w:p>
          <w:p w14:paraId="3D7945FC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707EB367" w14:textId="538A94D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47B574F9" w14:textId="5839C352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1755465B" w14:textId="19DD3538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 tím související delší vydávání souhlasných stanovisek </w:t>
            </w:r>
          </w:p>
          <w:p w14:paraId="3D78D8FE" w14:textId="61949EB3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vydávání stanovisek OHA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Radu vlády pro informační společnost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požadavkem na doplnění kapacit OHA.</w:t>
            </w:r>
          </w:p>
          <w:p w14:paraId="60294A22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2B0DED98" w14:textId="14AC3DDE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kompetenčních center. </w:t>
            </w:r>
          </w:p>
          <w:p w14:paraId="5060A1A1" w14:textId="348BFDC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26258D48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 xml:space="preserve">Riziko je nutné akceptovat. </w:t>
            </w:r>
          </w:p>
          <w:p w14:paraId="09A9DD4C" w14:textId="137DF108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549B73CA" w14:textId="15B6D850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11C6CDEB" w14:textId="77777777" w:rsidTr="3A842B16">
        <w:tc>
          <w:tcPr>
            <w:tcW w:w="2405" w:type="dxa"/>
          </w:tcPr>
          <w:p w14:paraId="62840564" w14:textId="5107335F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7DCFB15B" w14:textId="3221200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hlavní nositelé projektů, neboť se jedná především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systémy zaměřené na digitalizaci vnitřního chodu úřadu, příp. výkonu agend vykonávaných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rámci přenesené působnosti. </w:t>
            </w:r>
          </w:p>
          <w:p w14:paraId="23D3DCB5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hlavních nositelů projektů.</w:t>
            </w:r>
          </w:p>
        </w:tc>
      </w:tr>
      <w:tr w:rsidR="00C42CDB" w:rsidRPr="00535CE0" w14:paraId="5C83777E" w14:textId="77777777" w:rsidTr="3A842B16">
        <w:tc>
          <w:tcPr>
            <w:tcW w:w="2405" w:type="dxa"/>
          </w:tcPr>
          <w:p w14:paraId="12D672C3" w14:textId="58A23A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47FD53C5" w14:textId="35C70D0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31</w:t>
            </w:r>
            <w:r w:rsidR="004457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29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7D25C347" w14:textId="77777777" w:rsidTr="3A842B16">
        <w:tc>
          <w:tcPr>
            <w:tcW w:w="2405" w:type="dxa"/>
          </w:tcPr>
          <w:p w14:paraId="3A8C0F31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3F210ADA" w14:textId="77777777" w:rsidR="00505945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nezakládá veřejnou podporu.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</w:p>
          <w:p w14:paraId="2A2F8C4A" w14:textId="2D296CE9" w:rsidR="00C42CDB" w:rsidRPr="00137447" w:rsidRDefault="00505945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Agendové informační systémy slouží k výkonu veřejné moci. Státní podporu lze tedy považovat za vyloučenou, neboť se jedná o digitalizaci výkonu státní moci dle GT A/a/13. Zároveň budou j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ednotlivé projekty realizovány v souladu s pravidly pro zadávání veřejných zakázek (otevřen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že stát bude za pořizované služby platit tržní ceny, nebude tedy poskytnuta žádná státní podpora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18C649AB" w14:textId="77777777" w:rsidTr="3A842B16">
        <w:tc>
          <w:tcPr>
            <w:tcW w:w="2405" w:type="dxa"/>
          </w:tcPr>
          <w:p w14:paraId="2CC1772D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1505C0E8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Plánovaná doba realizace je 58 měsíců. Předpokládané dokončení je ve 4Q 2025.</w:t>
            </w:r>
          </w:p>
        </w:tc>
      </w:tr>
    </w:tbl>
    <w:p w14:paraId="0A04E03E" w14:textId="26690101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495C3C5" w14:textId="77777777" w:rsidR="009B54CC" w:rsidRPr="002A784F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9B54CC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5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4"/>
        <w:gridCol w:w="1234"/>
      </w:tblGrid>
      <w:tr w:rsidR="007B6CF7" w:rsidRPr="009B54CC" w14:paraId="06E1CA42" w14:textId="77777777" w:rsidTr="007B6CF7">
        <w:trPr>
          <w:trHeight w:val="360"/>
        </w:trPr>
        <w:tc>
          <w:tcPr>
            <w:tcW w:w="8354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hideMark/>
          </w:tcPr>
          <w:p w14:paraId="46B97B39" w14:textId="77777777" w:rsidR="007B6CF7" w:rsidRPr="009B54CC" w:rsidRDefault="007B6CF7" w:rsidP="009B54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234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593E69E7" w14:textId="3A5B4403" w:rsidR="007B6CF7" w:rsidRPr="009B54CC" w:rsidRDefault="007B6CF7" w:rsidP="009B54CC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9B54CC" w14:paraId="27D2E473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1F190D29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Agendový integrovaný cizinecký agendový systém (ICAS)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5C7DD632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300,00</w:t>
            </w:r>
          </w:p>
        </w:tc>
      </w:tr>
      <w:tr w:rsidR="007B6CF7" w:rsidRPr="009B54CC" w14:paraId="2B3AF339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092D1CA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Centralizace OSVČ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71216B4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80,00</w:t>
            </w:r>
          </w:p>
        </w:tc>
      </w:tr>
      <w:tr w:rsidR="007B6CF7" w:rsidRPr="009B54CC" w14:paraId="6EE6F7CC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F9191ED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EESSI v národních APV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23D2331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120,00</w:t>
            </w:r>
          </w:p>
        </w:tc>
      </w:tr>
      <w:tr w:rsidR="007B6CF7" w:rsidRPr="009B54CC" w14:paraId="08A9A3EF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2DBD4A9E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GRIS - Grantový</w:t>
            </w:r>
            <w:proofErr w:type="gram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informační systém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3E564C7E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20,00</w:t>
            </w:r>
          </w:p>
        </w:tc>
      </w:tr>
      <w:tr w:rsidR="007B6CF7" w:rsidRPr="009B54CC" w14:paraId="71E58D33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F02B6CD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LPS - Lékařská</w:t>
            </w:r>
            <w:proofErr w:type="gram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posudková služba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A33A40A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98,00</w:t>
            </w:r>
          </w:p>
        </w:tc>
      </w:tr>
      <w:tr w:rsidR="007B6CF7" w:rsidRPr="009B54CC" w14:paraId="5B53EE98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E66D950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Odkládání historických </w:t>
            </w:r>
            <w:proofErr w:type="gram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dat - optimalizace</w:t>
            </w:r>
            <w:proofErr w:type="gram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agend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41964C26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50,00</w:t>
            </w:r>
          </w:p>
        </w:tc>
      </w:tr>
      <w:tr w:rsidR="007B6CF7" w:rsidRPr="009B54CC" w14:paraId="7CA08F51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3DF523A5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Rezortní systém elektronické spisové služby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4AB03848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55,00</w:t>
            </w:r>
          </w:p>
        </w:tc>
      </w:tr>
      <w:tr w:rsidR="007B6CF7" w:rsidRPr="009B54CC" w14:paraId="6FE97D4F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36A72158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Roll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 CAAIS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3B341464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34,00</w:t>
            </w:r>
          </w:p>
        </w:tc>
      </w:tr>
      <w:tr w:rsidR="007B6CF7" w:rsidRPr="009B54CC" w14:paraId="07E2B6F7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B79326A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Roll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out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CzechPOINT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2.0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30EAFDF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54,00</w:t>
            </w:r>
          </w:p>
        </w:tc>
      </w:tr>
      <w:tr w:rsidR="007B6CF7" w:rsidRPr="009B54CC" w14:paraId="6E517D9D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1F91DE46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SIS_0_Centrální autentizační bod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4902143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4,00</w:t>
            </w:r>
          </w:p>
        </w:tc>
      </w:tr>
      <w:tr w:rsidR="007B6CF7" w:rsidRPr="009B54CC" w14:paraId="03279D07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hideMark/>
          </w:tcPr>
          <w:p w14:paraId="474CE2C0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SIS_5_Soustava statistických registrů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39DA153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20,00</w:t>
            </w:r>
          </w:p>
        </w:tc>
      </w:tr>
      <w:tr w:rsidR="007B6CF7" w:rsidRPr="009B54CC" w14:paraId="591E776D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single" w:sz="8" w:space="0" w:color="D9E1F2"/>
            </w:tcBorders>
            <w:shd w:val="clear" w:color="auto" w:fill="auto"/>
            <w:noWrap/>
            <w:hideMark/>
          </w:tcPr>
          <w:p w14:paraId="21BFC978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Správa a evidence muzejních sbírek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1633A526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77,00</w:t>
            </w:r>
          </w:p>
        </w:tc>
      </w:tr>
      <w:tr w:rsidR="007B6CF7" w:rsidRPr="009B54CC" w14:paraId="68C1DA82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0D87A53" w14:textId="0B7565D9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agendového informačního systému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ePasy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dle novely Zákona o cestovních dokladech č. 329/199 Sb.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32347FA2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2,80</w:t>
            </w:r>
          </w:p>
        </w:tc>
      </w:tr>
      <w:tr w:rsidR="007B6CF7" w:rsidRPr="009B54CC" w14:paraId="2B1D31E9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6FE8A512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agendového informačního systému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ePasy</w:t>
            </w:r>
            <w:proofErr w:type="spellEnd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dle NAP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7EF45F7E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2,00</w:t>
            </w:r>
          </w:p>
        </w:tc>
      </w:tr>
      <w:tr w:rsidR="007B6CF7" w:rsidRPr="009B54CC" w14:paraId="032A7C9B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1A107BD5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Úprava agendového informačního systému EVC2 dle programu </w:t>
            </w:r>
            <w:proofErr w:type="spellStart"/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euINIS</w:t>
            </w:r>
            <w:proofErr w:type="spellEnd"/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456B10A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3,32</w:t>
            </w:r>
          </w:p>
        </w:tc>
      </w:tr>
      <w:tr w:rsidR="007B6CF7" w:rsidRPr="009B54CC" w14:paraId="7DFF5022" w14:textId="77777777" w:rsidTr="007B6CF7">
        <w:trPr>
          <w:trHeight w:val="320"/>
        </w:trPr>
        <w:tc>
          <w:tcPr>
            <w:tcW w:w="835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hideMark/>
          </w:tcPr>
          <w:p w14:paraId="0FFAF8BD" w14:textId="77777777" w:rsidR="007B6CF7" w:rsidRPr="009B54CC" w:rsidRDefault="007B6CF7" w:rsidP="009B54CC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Úprava agendového informačního systému EVC2 dle prováděcího rozhodnutí EK z 30.4.2020 o zavedení digitální pečeti na jednotném vzoru víz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E695D39" w14:textId="77777777" w:rsidR="007B6CF7" w:rsidRPr="009B54CC" w:rsidRDefault="007B6CF7" w:rsidP="009B54CC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11,17</w:t>
            </w:r>
          </w:p>
        </w:tc>
      </w:tr>
    </w:tbl>
    <w:p w14:paraId="2558392A" w14:textId="77777777" w:rsidR="009B54CC" w:rsidRPr="00535CE0" w:rsidRDefault="009B54CC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781B6A0F" w14:textId="27B45D97" w:rsidR="00C42CDB" w:rsidRPr="003A17B4" w:rsidRDefault="00C42CDB" w:rsidP="003A17B4">
      <w:pPr>
        <w:spacing w:after="120"/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lastRenderedPageBreak/>
        <w:t>Kybernetická bezpečnost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1D27621E" w14:textId="77777777" w:rsidTr="33C5CFFC">
        <w:tc>
          <w:tcPr>
            <w:tcW w:w="2405" w:type="dxa"/>
          </w:tcPr>
          <w:p w14:paraId="4EC0C2DA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3FFF358" w14:textId="48137B1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Nedostatečné zajištění kybernetické bezpečnosti centrálních úřadů, institucí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poskytovatelů zdravotnických služeb. </w:t>
            </w:r>
            <w:r w:rsidR="00CA201E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Dle Zprávy o stavu kybernetické bezpečnosti za rok 2019, kterou publikoval NÚKIB, dochází k nárůstu počtu kybernetických útoků proti institucím, organizacím a firmám v České republice. Terčem kybernetických útoků se v roce 2020 opakovaně stala i zdravotnická zařízení. S ohledem na zvyšující se počet kybernetických útoků je žádoucí u zmíněných subjektů kontinuálně pracovat na navyšovaní úrovně kybernetické bezpečnosti.</w:t>
            </w:r>
          </w:p>
        </w:tc>
      </w:tr>
      <w:tr w:rsidR="00C42CDB" w:rsidRPr="00535CE0" w14:paraId="678CE67B" w14:textId="77777777" w:rsidTr="33C5CFFC">
        <w:tc>
          <w:tcPr>
            <w:tcW w:w="2405" w:type="dxa"/>
          </w:tcPr>
          <w:p w14:paraId="0AEBE900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7565F26" w14:textId="284EB2F7" w:rsidR="00C42CDB" w:rsidRPr="00535CE0" w:rsidRDefault="00261952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Zvýšit úroveň kybernetické bezpečnosti u centrálních úřadů, institucí, poskytovatelů zdravotnických služeb a dalších subjektů dle zákona o kybernetické bezpečnosti a souvisejících předpisů. </w:t>
            </w:r>
          </w:p>
        </w:tc>
      </w:tr>
      <w:tr w:rsidR="00C42CDB" w:rsidRPr="00535CE0" w14:paraId="25445EC3" w14:textId="77777777" w:rsidTr="33C5CFFC">
        <w:tc>
          <w:tcPr>
            <w:tcW w:w="2405" w:type="dxa"/>
          </w:tcPr>
          <w:p w14:paraId="2372E6EF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60CF8BC7" w14:textId="77777777" w:rsidR="00BC66D9" w:rsidRDefault="009A4494" w:rsidP="3A842B16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Budování digitalizované infrastruktury veřejné správy musí probíhat s maximálním důrazem na zajištění kybernetické bezpečnosti již v počátcích samotné výstavby. Samotný chod celé infrastruktury a její správa však musí také dbát na vysokou míru zabezpečení proti kybernetickým hrozbám. V tomto směru je potřeba reflektovat aktuální bezpečnostní situaci, pravidelně provádět koordinovanou a kontinuální analýzu hrozeb a rizik a na jejím základě přijímat patřičná opatření. </w:t>
            </w:r>
          </w:p>
          <w:p w14:paraId="0A122808" w14:textId="1F21484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je složena ze </w:t>
            </w:r>
            <w:r w:rsidR="71DD9D14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šesti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částečně vzájemně propojených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jednoho samostatného programu (detailněji viz Příloha). </w:t>
            </w:r>
            <w:r w:rsidR="00DC4FF8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Tyto projekty (a program) budou realizovány s ohledem na vize a cíle definované Národní strategií kybernetické bezpečnosti České republiky</w:t>
            </w:r>
            <w:r w:rsidR="00CC013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DC4FF8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zákon o kybernetické bezpečnosti</w:t>
            </w:r>
            <w:r w:rsidR="00CC013D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související předpisy</w:t>
            </w:r>
            <w:r w:rsidR="00DC4FF8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Jejich koordinaci bude vykonávat programová kancelář Digitální Česko ve spolupráci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Národním centrem elektronizace zdravotnictví, Ministerstvem vnitra jako gestorem kybernetické bezpečnosti veřejné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centrálních systémů kybernetické bezpečnosti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zahraničních věcí. </w:t>
            </w:r>
          </w:p>
          <w:p w14:paraId="75968023" w14:textId="1E2BD91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29BEB8A0" w14:textId="28C77A7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Nositelem programu Kybernetické bezpečnosti poskytovatelů zdravotní péče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Praze je Ministerstvo zdravotnictví ve spolupráci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Národním centrem elektronizace zdravotnictví.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vytvoří </w:t>
            </w:r>
            <w:r w:rsidR="004C1832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 základě Minimálního bezpečnostního standardu (</w:t>
            </w:r>
            <w:r w:rsidR="00FE1A1B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vydaného NÚKIB) vlastní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standardy kybernetické bezpečnosti</w:t>
            </w:r>
            <w:r w:rsidR="009A3A80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se zahrnutím specifik </w:t>
            </w:r>
            <w:r w:rsidR="00694969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poskytovatelů </w:t>
            </w:r>
            <w:r w:rsidR="2EB9A0C8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zdravo</w:t>
            </w:r>
            <w:r w:rsidR="2659E728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</w:t>
            </w:r>
            <w:r w:rsidR="2EB9A0C8" w:rsidRPr="024975F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ní</w:t>
            </w:r>
            <w:r w:rsidR="00694969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péče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 </w:t>
            </w:r>
            <w:r w:rsidRPr="3A842B16">
              <w:rPr>
                <w:rFonts w:asciiTheme="minorHAnsi" w:eastAsiaTheme="minorEastAsia" w:hAnsiTheme="minorHAnsi" w:cstheme="minorBidi"/>
                <w:color w:val="auto"/>
                <w:sz w:val="20"/>
                <w:szCs w:val="20"/>
              </w:rPr>
              <w:t xml:space="preserve"> </w:t>
            </w:r>
          </w:p>
          <w:p w14:paraId="14BD99FC" w14:textId="1F5366C6" w:rsidR="00C42CDB" w:rsidRPr="00535CE0" w:rsidRDefault="00C42CDB" w:rsidP="6D35A5C4">
            <w:pPr>
              <w:pStyle w:val="K-TextInfo"/>
              <w:spacing w:after="0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do oblasti kybernetické bezpečnosti je zaměřena především na centrální orgány státní správy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resortu Ministerstva zdravotnictví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 poskytovatele zdravotních služeb ve smyslu zákona č. 372/2011 Sb., působící na území hl. m. Prahy, přičemž cílem investice je zajištění rozvoje kybernetické bezpečnosti těchto organizací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jimi provozovaných informačních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obecně zvýšení odolnosti státní správy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organizací poskytujících zdravotní služby. </w:t>
            </w:r>
          </w:p>
          <w:p w14:paraId="48C91371" w14:textId="5CA36D23" w:rsidR="00C42CDB" w:rsidRPr="00535CE0" w:rsidRDefault="00C42CDB" w:rsidP="3A842B16">
            <w:pPr>
              <w:pStyle w:val="K-TextInfo"/>
              <w:spacing w:after="0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Inovativnost investice spočívá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nastolení komplexního přístupu k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zajištění kybernetické bezpečnosti napříč sektorem zdravotních služeb, přičemž bude pokrývat výraznou většinu komponent jak centrální, tak i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lokální ICT infrastruktury ve zdravotnictví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cílovém regionu. Zaměří se na (i) zajištění podmínek pro bezproblémové fungování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informačních služeb;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ii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budování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 znalostní základny, umožňující prevenci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detekci hrozeb, včetně definice účelného postupu pro jejich předcházení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mitigaci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;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iii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podporu partnerů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plnění závazků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oblasti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eHealth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souladu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legislativou, legislativou EU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přijatými strategiemi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této oblasti; (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iv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) zajištění rozvoje bezpečnostních infrastruktury informačních systémů provozovatelů základní služby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celkové bezpečnosti informační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komunikační infrastruktury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sektoru zdravotnictví; (v) budování důvěry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efektivního modelu spolupráce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národním </w:t>
            </w:r>
            <w:r w:rsidR="008B032D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vládním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CERT (národním koordinačním místem pro okamžitou 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reakci na kybernetické bezpečnostní incidenty provozovaným Národním úřadem pro kybernetickou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informační bezpečnost)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resortním kompetenčním centrem kybernetické bezpečnosti (součást Národního centra elektronického zdravotnictví).</w:t>
            </w:r>
          </w:p>
          <w:p w14:paraId="04C02984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Dílčí projekty budu realizovány poskytovateli zdravotních služeb ve spolupráci se specializovanými organizacemi za podmínek KPI stanovených Národním centrem elektronického zdravotnictví.</w:t>
            </w:r>
          </w:p>
          <w:p w14:paraId="64FBA70C" w14:textId="09047E34" w:rsidR="00E21279" w:rsidRPr="00AD592F" w:rsidRDefault="00E21279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tvorby architektonického modelu služby či systému (jako podkladu pro Stanovisko odboru hlavního architekta eGovernmentu) a podání informace na vládu o záměru učinit výdaj (na základě Usnesení vlády č. 86/2020).  </w:t>
            </w:r>
          </w:p>
        </w:tc>
      </w:tr>
      <w:tr w:rsidR="00C42CDB" w:rsidRPr="00535CE0" w14:paraId="5E2C5C1B" w14:textId="77777777" w:rsidTr="33C5CFFC">
        <w:trPr>
          <w:trHeight w:val="70"/>
        </w:trPr>
        <w:tc>
          <w:tcPr>
            <w:tcW w:w="2405" w:type="dxa"/>
          </w:tcPr>
          <w:p w14:paraId="4AF42BCA" w14:textId="5742260A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1440D321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programů jsou:</w:t>
            </w:r>
          </w:p>
          <w:p w14:paraId="15F05E4D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</w:t>
            </w:r>
          </w:p>
          <w:p w14:paraId="415E641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Ministerstvo zdravotnictví </w:t>
            </w:r>
          </w:p>
          <w:p w14:paraId="5D33E349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Hlavními nositeli jednotlivých projektů jsou:</w:t>
            </w:r>
          </w:p>
          <w:p w14:paraId="2AA3422F" w14:textId="47D8ECF8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vnitra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jím zřizované organizace</w:t>
            </w:r>
          </w:p>
          <w:p w14:paraId="542ED6AC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Ministerstvo zahraničních věcí</w:t>
            </w:r>
          </w:p>
          <w:p w14:paraId="23EE56E8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centrum elektronizace zdravotnictví</w:t>
            </w:r>
          </w:p>
          <w:p w14:paraId="0988D4A2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Poskytovatelé zdravotnických služeb</w:t>
            </w:r>
          </w:p>
          <w:p w14:paraId="6151EFDD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 realizace projektů budou dále zapojeni:</w:t>
            </w:r>
          </w:p>
          <w:p w14:paraId="5745BF89" w14:textId="423BBEE0" w:rsidR="00D77658" w:rsidRDefault="00D77658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Národní úřad pro kybernetickou a informační bezpečnost</w:t>
            </w:r>
          </w:p>
          <w:p w14:paraId="09167018" w14:textId="51910047" w:rsidR="00E81962" w:rsidRDefault="00E81962" w:rsidP="3A842B16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NAKIT,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s.p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  <w:p w14:paraId="1F6BE726" w14:textId="1E845F39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Krajské úřady, které jsou zřizovateli poskytovatelů zdravotnických služeb</w:t>
            </w:r>
          </w:p>
          <w:p w14:paraId="098F6BEF" w14:textId="77777777" w:rsidR="00C42CDB" w:rsidRPr="00535CE0" w:rsidRDefault="00C42CDB" w:rsidP="6D35A5C4">
            <w:pPr>
              <w:pStyle w:val="K-TextInfo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Municipality, které jsou zřizovateli poskytovatelů zdravotnických služeb</w:t>
            </w:r>
          </w:p>
        </w:tc>
      </w:tr>
      <w:tr w:rsidR="00C42CDB" w:rsidRPr="00535CE0" w14:paraId="37C50E15" w14:textId="77777777" w:rsidTr="33C5CFFC">
        <w:tc>
          <w:tcPr>
            <w:tcW w:w="2405" w:type="dxa"/>
          </w:tcPr>
          <w:p w14:paraId="66D65F0F" w14:textId="0AD9D6D4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4909A7D4" w14:textId="1851B81A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127840A4" w14:textId="3854ECAC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přípravě zadávacích dokumentací využity eskalační procedury na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následně využity personální kapacity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dalších kompetenčních center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2A549824" w14:textId="320D4D6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Zahlcení OHA při vydávání stanovisek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 tím související delší vydávání souhlasných stanovisek </w:t>
            </w:r>
          </w:p>
          <w:p w14:paraId="0A5D5846" w14:textId="09B24BB9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přípravě vydávání stanovisek OHA využity eskalační procedury na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na programovou kancelář Digitální Česko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Radu vlády pro informační společnost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požadavkem na doplnění kapacit OHA.</w:t>
            </w:r>
          </w:p>
          <w:p w14:paraId="3A103BF0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1BD83D1B" w14:textId="2BEF6D9C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</w:p>
          <w:p w14:paraId="51AD0342" w14:textId="6C1928B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 </w:t>
            </w:r>
          </w:p>
          <w:p w14:paraId="7562DBA2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Riziko je nutné akceptovat. </w:t>
            </w:r>
          </w:p>
          <w:p w14:paraId="6C90BBD4" w14:textId="56631DA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0782961A" w14:textId="38C82422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K eliminaci rizika slouží vícestupňový dohled nad realizací jednotlivých projektů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současně personální kapacity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NCeZ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příp. dalších kompetenčních center, která budou moci poskytnout specialisty pro řešení situace.</w:t>
            </w:r>
          </w:p>
        </w:tc>
      </w:tr>
      <w:tr w:rsidR="00C42CDB" w:rsidRPr="00535CE0" w14:paraId="59D1B3D4" w14:textId="77777777" w:rsidTr="33C5CFFC">
        <w:tc>
          <w:tcPr>
            <w:tcW w:w="2405" w:type="dxa"/>
          </w:tcPr>
          <w:p w14:paraId="1DB9FCAB" w14:textId="4F03AE8C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031EF914" w14:textId="0CCB051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Primární cílovou skupinou jsou hlavní nositelé projektů, neboť se jedná především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systémy zaměřené na digitalizaci vnitřního chodu úřadu, příp. výkonu agend vykonávaných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rámci přenesené působnosti. </w:t>
            </w:r>
          </w:p>
          <w:p w14:paraId="56461648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Sekundární cílovou skupinou je široká veřejnost využívající služby hlavních nositelů projektů.</w:t>
            </w:r>
          </w:p>
        </w:tc>
      </w:tr>
      <w:tr w:rsidR="00C42CDB" w:rsidRPr="00535CE0" w14:paraId="26652A46" w14:textId="77777777" w:rsidTr="33C5CFFC">
        <w:tc>
          <w:tcPr>
            <w:tcW w:w="2405" w:type="dxa"/>
          </w:tcPr>
          <w:p w14:paraId="5CECBD88" w14:textId="2984AD0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012FEB5E" w14:textId="6E3469D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E9585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26</w:t>
            </w:r>
            <w:r w:rsidR="06A58C81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94,96</w:t>
            </w:r>
            <w:r w:rsidR="00E9585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mil. Kč.</w:t>
            </w:r>
          </w:p>
        </w:tc>
      </w:tr>
      <w:tr w:rsidR="00C42CDB" w:rsidRPr="00535CE0" w14:paraId="640C2755" w14:textId="77777777" w:rsidTr="33C5CFFC">
        <w:tc>
          <w:tcPr>
            <w:tcW w:w="2405" w:type="dxa"/>
          </w:tcPr>
          <w:p w14:paraId="121390F5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CE8FE01" w14:textId="77777777" w:rsidR="00505945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nezakládá veřejnou podporu. </w:t>
            </w:r>
          </w:p>
          <w:p w14:paraId="13ACB799" w14:textId="4603619F" w:rsidR="00C42CDB" w:rsidRPr="00535CE0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udou realizovány v souladu s pravidly pro zadávání veřejných zakázek (otevřen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že stát bude za pořizované služby platit tržní ceny, nebude tedy poskytnuta žádná státní podpora</w:t>
            </w: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="00505945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Zároveň realizace projektů přispívá k bezpečnému výkonu veřejné moci. Státní podporu lze tedy považovat za vyloučenou dle GT A/a/13.</w:t>
            </w:r>
          </w:p>
        </w:tc>
      </w:tr>
      <w:tr w:rsidR="00C42CDB" w:rsidRPr="00535CE0" w14:paraId="45111658" w14:textId="77777777" w:rsidTr="33C5CFFC">
        <w:tc>
          <w:tcPr>
            <w:tcW w:w="2405" w:type="dxa"/>
          </w:tcPr>
          <w:p w14:paraId="414DD9A8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2A3E83B" w14:textId="20F0372A" w:rsidR="00C42CDB" w:rsidRPr="00535CE0" w:rsidRDefault="00C42CDB" w:rsidP="33C5CFFC">
            <w:pPr>
              <w:pStyle w:val="K-TextInf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Plánovaná doba realizace je 58 měsíců. Předpokládané dokončení je ve 4Q </w:t>
            </w:r>
            <w:r w:rsidRPr="07B310C3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202</w:t>
            </w:r>
            <w:r w:rsidR="00FA57A1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5</w:t>
            </w:r>
            <w:r w:rsidRPr="33C5CFF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3B9311EC" w14:textId="7A6D64E9" w:rsidR="00C42CDB" w:rsidRDefault="00C42CDB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580A7126" w14:textId="77777777" w:rsidR="009B54CC" w:rsidRPr="002A784F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9B54CC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4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8"/>
        <w:gridCol w:w="1559"/>
      </w:tblGrid>
      <w:tr w:rsidR="007B6CF7" w:rsidRPr="009B54CC" w14:paraId="28D4B782" w14:textId="77777777" w:rsidTr="007B6CF7">
        <w:trPr>
          <w:trHeight w:val="360"/>
        </w:trPr>
        <w:tc>
          <w:tcPr>
            <w:tcW w:w="7928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single" w:sz="4" w:space="0" w:color="FFFFFF" w:themeColor="background1"/>
            </w:tcBorders>
            <w:shd w:val="clear" w:color="D9E1F2" w:fill="333F4F"/>
            <w:noWrap/>
            <w:hideMark/>
          </w:tcPr>
          <w:p w14:paraId="72C2D356" w14:textId="77777777" w:rsidR="007B6CF7" w:rsidRPr="009B54CC" w:rsidRDefault="007B6CF7" w:rsidP="009B54C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9B54CC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1559" w:type="dxa"/>
            <w:tcBorders>
              <w:top w:val="single" w:sz="8" w:space="0" w:color="D9E1F2"/>
              <w:left w:val="single" w:sz="4" w:space="0" w:color="FFFFFF" w:themeColor="background1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29B9805E" w14:textId="70E753EC" w:rsidR="007B6CF7" w:rsidRPr="009B54CC" w:rsidRDefault="007B6CF7" w:rsidP="009B54CC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9B54CC" w14:paraId="7D02BD4B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0390B911" w14:textId="2DD7B879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Digitální transformace úřadu za účelem zvýšení kybernetické bezpečnosti a zlepšení poskytování služeb občanovi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5F627AC9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804,96</w:t>
            </w:r>
          </w:p>
        </w:tc>
      </w:tr>
      <w:tr w:rsidR="007B6CF7" w:rsidRPr="009B54CC" w14:paraId="1ED5891F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6D24D477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Implementace požadavků zákona č. 181/2014 Sb., o kybernetické bezpečnosti, kybernetická bezpečnost SZR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12BCFE5B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60,00</w:t>
            </w:r>
          </w:p>
        </w:tc>
      </w:tr>
      <w:tr w:rsidR="007B6CF7" w:rsidRPr="009B54CC" w14:paraId="07DF16F9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00FA2F93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Kybernetická </w:t>
            </w:r>
            <w:proofErr w:type="gramStart"/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bezpečnost - zákon</w:t>
            </w:r>
            <w:proofErr w:type="gramEnd"/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č. 181/2014 Sb.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28A3E140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350,00</w:t>
            </w:r>
          </w:p>
        </w:tc>
      </w:tr>
      <w:tr w:rsidR="007B6CF7" w:rsidRPr="009B54CC" w14:paraId="770F62D1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1480FAEE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Kybernetická bezpečnost IIS ČSSZ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325D7C1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40,00</w:t>
            </w:r>
          </w:p>
        </w:tc>
      </w:tr>
      <w:tr w:rsidR="007B6CF7" w:rsidRPr="009B54CC" w14:paraId="23DE41BB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244EEA7B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Kybernetická bezpečnost nemocnic v Praze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73B5160F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990,00</w:t>
            </w:r>
          </w:p>
        </w:tc>
      </w:tr>
      <w:tr w:rsidR="007B6CF7" w:rsidRPr="009B54CC" w14:paraId="3221C868" w14:textId="77777777" w:rsidTr="007B6CF7">
        <w:trPr>
          <w:trHeight w:val="32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208C5B48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Modernizace a zabezpečení provozní infrastruktury a digitalizace Policie ČR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0507CD36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400,00</w:t>
            </w:r>
          </w:p>
        </w:tc>
      </w:tr>
      <w:tr w:rsidR="007B6CF7" w:rsidRPr="009B54CC" w14:paraId="6704C8D8" w14:textId="77777777" w:rsidTr="007B6CF7">
        <w:trPr>
          <w:trHeight w:val="340"/>
        </w:trPr>
        <w:tc>
          <w:tcPr>
            <w:tcW w:w="7928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hideMark/>
          </w:tcPr>
          <w:p w14:paraId="55120D21" w14:textId="77777777" w:rsidR="007B6CF7" w:rsidRPr="009B54CC" w:rsidRDefault="007B6CF7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9B54CC">
              <w:rPr>
                <w:rFonts w:ascii="Calibri" w:hAnsi="Calibri" w:cs="Calibri"/>
                <w:color w:val="000000"/>
                <w:sz w:val="20"/>
                <w:szCs w:val="20"/>
              </w:rPr>
              <w:t>Zajištění zvýšení kybernetické bezpečnosti Policie ČR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hideMark/>
          </w:tcPr>
          <w:p w14:paraId="68989305" w14:textId="77777777" w:rsidR="007B6CF7" w:rsidRPr="009B54CC" w:rsidRDefault="007B6CF7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9B54CC">
              <w:rPr>
                <w:rFonts w:ascii="Calibri" w:hAnsi="Calibri" w:cs="Calibri"/>
                <w:sz w:val="20"/>
                <w:szCs w:val="20"/>
              </w:rPr>
              <w:t>50,00</w:t>
            </w:r>
          </w:p>
        </w:tc>
      </w:tr>
    </w:tbl>
    <w:p w14:paraId="40A282C8" w14:textId="77777777" w:rsidR="009B54CC" w:rsidRPr="00535CE0" w:rsidRDefault="009B54CC" w:rsidP="6D35A5C4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1423706A" w14:textId="3A810AAB" w:rsidR="00C42CDB" w:rsidRPr="003A17B4" w:rsidRDefault="00C42CDB" w:rsidP="003A17B4">
      <w:pPr>
        <w:spacing w:after="200" w:line="276" w:lineRule="auto"/>
        <w:rPr>
          <w:rStyle w:val="K-Nadpis3Char"/>
          <w:rFonts w:eastAsiaTheme="minorEastAsia"/>
          <w:bCs/>
          <w:color w:val="auto"/>
          <w:szCs w:val="20"/>
        </w:rPr>
      </w:pPr>
      <w:r w:rsidRPr="003A17B4">
        <w:rPr>
          <w:rStyle w:val="K-Nadpis3Char"/>
          <w:rFonts w:asciiTheme="minorHAnsi" w:eastAsiaTheme="minorEastAsia" w:hAnsiTheme="minorHAnsi" w:cstheme="minorBidi"/>
          <w:bCs/>
          <w:sz w:val="22"/>
          <w:szCs w:val="22"/>
        </w:rPr>
        <w:t>Vytvoření předpokladů pro digitální justici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42CDB" w:rsidRPr="00535CE0" w14:paraId="33B38A82" w14:textId="77777777" w:rsidTr="4F9FC08E">
        <w:tc>
          <w:tcPr>
            <w:tcW w:w="2405" w:type="dxa"/>
          </w:tcPr>
          <w:p w14:paraId="2E9C58A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F016604" w14:textId="4857671A" w:rsidR="00C42CDB" w:rsidRPr="00535CE0" w:rsidRDefault="00C42CDB" w:rsidP="6D35A5C4">
            <w:pPr>
              <w:pStyle w:val="K-TextInfo"/>
              <w:rPr>
                <w:rStyle w:val="K-Nadpis3Char"/>
                <w:rFonts w:asciiTheme="minorHAnsi" w:eastAsiaTheme="minorEastAsia" w:hAnsiTheme="minorHAnsi" w:cstheme="minorBidi"/>
                <w:b w:val="0"/>
                <w:i w:val="0"/>
                <w:iCs w:val="0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 současnosti resort justice nedisponuje dostačujícími technickými prostředky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infrastrukturou, aby byl schopen poskytovat své služby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 době omezení fyzických kontaktů na požadované úrovni.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tohoto důvodu je třeba posílit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modernizovat pracovní zázemí.</w:t>
            </w:r>
            <w:r w:rsidRPr="6D35A5C4">
              <w:rPr>
                <w:rStyle w:val="K-Nadpis3Char"/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="00C42CDB" w:rsidRPr="00535CE0" w14:paraId="2456EB92" w14:textId="77777777" w:rsidTr="4F9FC08E">
        <w:tc>
          <w:tcPr>
            <w:tcW w:w="2405" w:type="dxa"/>
          </w:tcPr>
          <w:p w14:paraId="09D57C0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5E035050" w14:textId="7F6AE55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color w:val="2196FF" w:themeColor="accent2" w:themeTint="99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Cílem projektu je zajištění moderního pracovního prostředí pro zaměstnance resortu justice na takové úrovni, aby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krizových situacích, jakou je například pandemie Covid-19, nedocházelo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omezování práceschopnosti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snižování kvality poskytovaných služeb. </w:t>
            </w:r>
          </w:p>
          <w:p w14:paraId="402CE301" w14:textId="21E591FE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Rozšířením videokonferenčních setů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resortu justice chceme dosáhnout vyšší odolnosti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flexibility veškerých pracovních procesů. </w:t>
            </w:r>
          </w:p>
          <w:p w14:paraId="4299E0EE" w14:textId="011A824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>Vzhledem k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vyššímu využití distanční práce je nezbytné posílení centrální infrastruktury,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to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důvodu její nedostatečné kapacity pro souběžné zapojení potřebného počtu zaměstnanců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resortu. </w:t>
            </w:r>
          </w:p>
        </w:tc>
      </w:tr>
      <w:tr w:rsidR="00C42CDB" w:rsidRPr="00535CE0" w14:paraId="2C31475B" w14:textId="77777777" w:rsidTr="4F9FC08E">
        <w:tc>
          <w:tcPr>
            <w:tcW w:w="2405" w:type="dxa"/>
          </w:tcPr>
          <w:p w14:paraId="3598031A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23BBC5BA" w14:textId="6272EF99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je složena ze </w:t>
            </w:r>
            <w:r w:rsidR="002118B6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tří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vzájemně propojených projektů (detailnější informace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jednotlivých projektech viz Příloha). Jejich koordinaci bude vykonávat Ministerstvo spravedlnosti ve spolupráci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programovou kanceláří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Ministerstvem vnitra jako gestorem digitalizace veřejné správy. </w:t>
            </w:r>
          </w:p>
          <w:p w14:paraId="632CA310" w14:textId="77777777" w:rsidR="00C42CDB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Programová kancelář programu Digitální Česko bude mít ve vrcholných řídících strukturách projektů svého zástupce, který bude monitorovat vývoj projektu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čase vč. stavu naplňování jeho indikátorů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případě problémů je bude neprodleně eskalovat na úroveň vládního zmocněnce pro IT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digitalizaci. Vedení programové kanceláře bude o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běhu projektu informováno na pravidelné cca měsíční bázi.</w:t>
            </w:r>
          </w:p>
          <w:p w14:paraId="759D3CC5" w14:textId="46BE2A08" w:rsidR="00E21279" w:rsidRPr="00AD592F" w:rsidRDefault="00E21279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Jednotlivé projekty jsou v různých fázích přípravy. Vždy však mají připravenou a schválenou interní projektovou dokumentaci. Většina projektů je pak ve stádiu příprav zadávací dokumentace a dalších nezbytných administrativních kroků v podobě tvorby architektonického modelu (jako podkladu pro Stanovisko odboru hlavního architekta eGovernmentu) a podání informace na vládu o záměru učinit výdaj (na základě Usnesení vlády č. 86/2020).  </w:t>
            </w:r>
          </w:p>
        </w:tc>
      </w:tr>
      <w:tr w:rsidR="00C42CDB" w:rsidRPr="00535CE0" w14:paraId="064F230F" w14:textId="77777777" w:rsidTr="4F9FC08E">
        <w:trPr>
          <w:trHeight w:val="70"/>
        </w:trPr>
        <w:tc>
          <w:tcPr>
            <w:tcW w:w="2405" w:type="dxa"/>
          </w:tcPr>
          <w:p w14:paraId="798B3636" w14:textId="54B32761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zapojení zúčastněných stran</w:t>
            </w:r>
          </w:p>
        </w:tc>
        <w:tc>
          <w:tcPr>
            <w:tcW w:w="7223" w:type="dxa"/>
          </w:tcPr>
          <w:p w14:paraId="6CABB2BF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Hlavním nositelem investice je Ministerstvo spravedlnosti – odbor informatiky.</w:t>
            </w:r>
          </w:p>
          <w:p w14:paraId="11F5306B" w14:textId="4F450BA1" w:rsidR="0012550F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Spolupracujícími útvary jsou pak odbor investic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majetku Ministerstva spravedlnosti ČR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ostatními věcně příslušnými odbory dotčených složek.</w:t>
            </w:r>
          </w:p>
        </w:tc>
      </w:tr>
      <w:tr w:rsidR="00C42CDB" w:rsidRPr="00535CE0" w14:paraId="314415AE" w14:textId="77777777" w:rsidTr="4F9FC08E">
        <w:tc>
          <w:tcPr>
            <w:tcW w:w="2405" w:type="dxa"/>
          </w:tcPr>
          <w:p w14:paraId="2500B40B" w14:textId="7E5BAA94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rizika</w:t>
            </w:r>
          </w:p>
        </w:tc>
        <w:tc>
          <w:tcPr>
            <w:tcW w:w="7223" w:type="dxa"/>
          </w:tcPr>
          <w:p w14:paraId="2707C950" w14:textId="682D4E5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jednotlivých zadávacích dokumentací</w:t>
            </w:r>
          </w:p>
          <w:p w14:paraId="70C2C831" w14:textId="336BD899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při hrozícím skluzu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přípravě zadávacích dokumentací využity eskalační procedury na programovou kancelář Digitální Česko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následně využity personální kapacity kompetenčních center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závislosti na potřebných odbornostech.</w:t>
            </w:r>
          </w:p>
          <w:p w14:paraId="7B870099" w14:textId="123E089F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Nedostatečně detailní vypracování technických specifikací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zadávacích dokumentací; identifikace hodnotících kritérií u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analýzy</w:t>
            </w:r>
          </w:p>
          <w:p w14:paraId="052EF714" w14:textId="7D6841A5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Příprava detailní zadávací dokumentace na široké multioborové základně, příp. i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 využitím externích specialistů.</w:t>
            </w:r>
          </w:p>
          <w:p w14:paraId="75C979BA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Potenciální nutnost úpravy legislativy</w:t>
            </w:r>
          </w:p>
          <w:p w14:paraId="4D4FCF01" w14:textId="7B82E662" w:rsidR="00C42CDB" w:rsidRPr="00535CE0" w:rsidRDefault="00C42CDB" w:rsidP="3A842B16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Provedení interní legislativní analýzy jako jednoho z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prvních kroků realizace projektu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na jejím základě provést případné úpravy </w:t>
            </w:r>
            <w:proofErr w:type="spellStart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scope</w:t>
            </w:r>
            <w:proofErr w:type="spellEnd"/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projektu a</w:t>
            </w:r>
            <w:r w:rsidR="00EE51EC"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3A842B16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jeho harmonogramu.</w:t>
            </w:r>
          </w:p>
          <w:p w14:paraId="09C52BB7" w14:textId="45F44E96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Zajištění bezpečnosti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ochrany osobních údajů</w:t>
            </w:r>
          </w:p>
          <w:p w14:paraId="6C2AB07E" w14:textId="457180A4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Již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rámci návrhu budou do projektu zapojeni specialisté na kybernetickou bezpečnost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ochranu osobních údajů,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případě nedostatečných interních kapacit pak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využitím kompetenčních center.</w:t>
            </w:r>
          </w:p>
          <w:p w14:paraId="3CC1C7A3" w14:textId="77777777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Nekvalitní architektonické návrhy, které si vyžádají opakované projednávání</w:t>
            </w:r>
          </w:p>
          <w:p w14:paraId="71148769" w14:textId="5752F59C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 eliminaci rizika budou využívány konzultace architektonických návrhů s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příslušnými pracovníky kompetenčních center. </w:t>
            </w:r>
          </w:p>
          <w:p w14:paraId="3B9BC71F" w14:textId="75F97371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Posun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realizaci zadávacích řízení vč. rozhodování ÚOHS. </w:t>
            </w:r>
          </w:p>
          <w:p w14:paraId="6232D364" w14:textId="77777777" w:rsidR="00C42CDB" w:rsidRPr="00535CE0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Při zachování výše uvedených principů je riziko je nutné akceptovat </w:t>
            </w:r>
          </w:p>
          <w:p w14:paraId="52E48914" w14:textId="26F6274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Skluz v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implementaci jednotlivých systémů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služeb</w:t>
            </w:r>
          </w:p>
          <w:p w14:paraId="53745740" w14:textId="0294B66A" w:rsidR="00C42CDB" w:rsidRPr="00596825" w:rsidRDefault="00C42CDB" w:rsidP="6D35A5C4">
            <w:pPr>
              <w:pStyle w:val="K-TextInfo"/>
              <w:numPr>
                <w:ilvl w:val="0"/>
                <w:numId w:val="22"/>
              </w:numPr>
              <w:rPr>
                <w:rFonts w:asciiTheme="minorHAnsi" w:eastAsiaTheme="minorEastAsia" w:hAnsiTheme="minorHAnsi" w:cstheme="minorBidi"/>
                <w:color w:val="2196FF" w:themeColor="accent2" w:themeTint="99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 eliminaci rizika slouží vícestupňový dohled nad realizací jednotlivých projektů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současně personální kapacity kompetenčních center, která budou moci poskytnout specialisty pro řešení situace.</w:t>
            </w:r>
          </w:p>
        </w:tc>
      </w:tr>
      <w:tr w:rsidR="00C42CDB" w:rsidRPr="00535CE0" w14:paraId="27108A01" w14:textId="77777777" w:rsidTr="4F9FC08E">
        <w:tc>
          <w:tcPr>
            <w:tcW w:w="2405" w:type="dxa"/>
          </w:tcPr>
          <w:p w14:paraId="1C008F7A" w14:textId="08EE2A2C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Cílové skupiny populace a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ekonomické subjekty</w:t>
            </w:r>
          </w:p>
        </w:tc>
        <w:tc>
          <w:tcPr>
            <w:tcW w:w="7223" w:type="dxa"/>
          </w:tcPr>
          <w:p w14:paraId="5C8CF7F0" w14:textId="7DF5C602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Zaměstnanci resortu justice, právní zástupci, notáři, soudci, státní zástupci, občané a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firmy.</w:t>
            </w:r>
          </w:p>
        </w:tc>
      </w:tr>
      <w:tr w:rsidR="00C42CDB" w:rsidRPr="00535CE0" w14:paraId="6B9DFA43" w14:textId="77777777" w:rsidTr="4F9FC08E">
        <w:tc>
          <w:tcPr>
            <w:tcW w:w="2405" w:type="dxa"/>
          </w:tcPr>
          <w:p w14:paraId="408B1DB5" w14:textId="7A1D7D85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</w:t>
            </w:r>
            <w:r w:rsidR="00EE51EC"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RRF za celé období</w:t>
            </w:r>
          </w:p>
        </w:tc>
        <w:tc>
          <w:tcPr>
            <w:tcW w:w="7223" w:type="dxa"/>
          </w:tcPr>
          <w:p w14:paraId="33FF7E53" w14:textId="06614F10" w:rsidR="00C42CDB" w:rsidRPr="00535CE0" w:rsidRDefault="00C42CDB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Celkové náklady </w:t>
            </w:r>
            <w:r w:rsidR="00F91777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hrazené z</w:t>
            </w:r>
            <w:r w:rsidR="00EE51EC"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RRF jsou 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154</w:t>
            </w:r>
            <w:r w:rsidR="00C933EA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</w:t>
            </w:r>
            <w:r w:rsidR="009B54C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96</w:t>
            </w:r>
            <w:r w:rsidRPr="6D35A5C4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mil. Kč.</w:t>
            </w:r>
          </w:p>
        </w:tc>
      </w:tr>
      <w:tr w:rsidR="00C42CDB" w:rsidRPr="00535CE0" w14:paraId="46A920C2" w14:textId="77777777" w:rsidTr="4F9FC08E">
        <w:tc>
          <w:tcPr>
            <w:tcW w:w="2405" w:type="dxa"/>
          </w:tcPr>
          <w:p w14:paraId="2696BA7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16F3800" w14:textId="77777777" w:rsidR="00505945" w:rsidRDefault="00137447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Investice nezakládá veřejnou podporu. </w:t>
            </w:r>
          </w:p>
          <w:p w14:paraId="7F7BAD02" w14:textId="6A777B40" w:rsidR="00C42CDB" w:rsidRPr="00535CE0" w:rsidRDefault="00505945" w:rsidP="6D35A5C4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V rámci jednotlivých projektů (seznam viz níže) lze státní podporu považovat za vyloučenou, neboť se jedná o digitalizaci výkonu státní moci dle GT A/a/13. Zároveň budou j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ednotlivé projekty realizovány v souladu s pravidly pro zadávání veřejných zakázek (otevřen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výběrov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á</w:t>
            </w:r>
            <w:r w:rsidR="00137447" w:rsidRP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řízení) a zásadami řádného finančního řízení. Tím bude zajištěno, že stát bude za pořizované služby platit tržní ceny, nebude tedy poskytnuta žádná státní podpora</w:t>
            </w:r>
            <w:r w:rsidR="00137447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</w:p>
        </w:tc>
      </w:tr>
      <w:tr w:rsidR="00C42CDB" w:rsidRPr="00535CE0" w14:paraId="41421F0A" w14:textId="77777777" w:rsidTr="4F9FC08E">
        <w:tc>
          <w:tcPr>
            <w:tcW w:w="2405" w:type="dxa"/>
          </w:tcPr>
          <w:p w14:paraId="615A9634" w14:textId="77777777" w:rsidR="00C42CDB" w:rsidRPr="00535CE0" w:rsidRDefault="00C42CDB" w:rsidP="6D35A5C4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D35A5C4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B414006" w14:textId="7926577D" w:rsidR="00C42CDB" w:rsidRPr="00535CE0" w:rsidRDefault="3FFDE2D2" w:rsidP="4F9FC08E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sz w:val="20"/>
                <w:szCs w:val="20"/>
              </w:rPr>
            </w:pPr>
            <w:r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48 </w:t>
            </w:r>
            <w:r w:rsidR="00C42CDB"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měsíců; do 31. 12. 202</w:t>
            </w:r>
            <w:r w:rsidR="2C108F1E"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4</w:t>
            </w:r>
            <w:r w:rsidR="00C42CDB" w:rsidRPr="4F9FC08E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</w:tc>
      </w:tr>
    </w:tbl>
    <w:p w14:paraId="6D845F1C" w14:textId="77777777" w:rsidR="009B54CC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</w:p>
    <w:p w14:paraId="26FF9896" w14:textId="368D806B" w:rsidR="009B54CC" w:rsidRPr="002A784F" w:rsidRDefault="009B54CC" w:rsidP="009B54CC">
      <w:pPr>
        <w:pStyle w:val="K-Text"/>
        <w:spacing w:line="240" w:lineRule="auto"/>
        <w:rPr>
          <w:rFonts w:asciiTheme="minorHAnsi" w:eastAsiaTheme="minorEastAsia" w:hAnsiTheme="minorHAnsi" w:cstheme="minorBidi"/>
          <w:i/>
          <w:iCs w:val="0"/>
          <w:sz w:val="20"/>
          <w:szCs w:val="20"/>
        </w:rPr>
      </w:pPr>
      <w:r w:rsidRPr="009B54CC">
        <w:rPr>
          <w:rFonts w:asciiTheme="minorHAnsi" w:eastAsiaTheme="minorEastAsia" w:hAnsiTheme="minorHAnsi" w:cstheme="minorBidi"/>
          <w:i/>
          <w:iCs w:val="0"/>
          <w:sz w:val="20"/>
          <w:szCs w:val="20"/>
        </w:rPr>
        <w:t>Přehled realizovaných projektů v rámci investice</w:t>
      </w:r>
    </w:p>
    <w:tbl>
      <w:tblPr>
        <w:tblW w:w="95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4"/>
        <w:gridCol w:w="2919"/>
      </w:tblGrid>
      <w:tr w:rsidR="007B6CF7" w:rsidRPr="009B54CC" w14:paraId="605E69A6" w14:textId="77777777" w:rsidTr="007B6CF7">
        <w:trPr>
          <w:trHeight w:val="360"/>
        </w:trPr>
        <w:tc>
          <w:tcPr>
            <w:tcW w:w="6604" w:type="dxa"/>
            <w:tcBorders>
              <w:top w:val="single" w:sz="8" w:space="0" w:color="D9E1F2"/>
              <w:left w:val="single" w:sz="8" w:space="0" w:color="D9E1F2"/>
              <w:bottom w:val="single" w:sz="8" w:space="0" w:color="D9E1F2"/>
              <w:right w:val="nil"/>
            </w:tcBorders>
            <w:shd w:val="clear" w:color="D9E1F2" w:fill="333F4F"/>
            <w:noWrap/>
            <w:vAlign w:val="center"/>
            <w:hideMark/>
          </w:tcPr>
          <w:p w14:paraId="3ED3D681" w14:textId="77777777" w:rsidR="007B6CF7" w:rsidRPr="009B54CC" w:rsidRDefault="007B6CF7" w:rsidP="00B27DED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  <w:t>Projekt</w:t>
            </w:r>
          </w:p>
        </w:tc>
        <w:tc>
          <w:tcPr>
            <w:tcW w:w="2919" w:type="dxa"/>
            <w:tcBorders>
              <w:top w:val="single" w:sz="8" w:space="0" w:color="D9E1F2"/>
              <w:left w:val="nil"/>
              <w:bottom w:val="single" w:sz="8" w:space="0" w:color="D9E1F2"/>
              <w:right w:val="single" w:sz="8" w:space="0" w:color="D9E1F2"/>
            </w:tcBorders>
            <w:shd w:val="clear" w:color="D9E1F2" w:fill="333F4F"/>
            <w:noWrap/>
            <w:vAlign w:val="bottom"/>
            <w:hideMark/>
          </w:tcPr>
          <w:p w14:paraId="5FD8E37C" w14:textId="77777777" w:rsidR="007B6CF7" w:rsidRPr="009B54CC" w:rsidRDefault="007B6CF7" w:rsidP="007B6CF7">
            <w:pPr>
              <w:ind w:left="827" w:hanging="827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4D75E8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Cena bez DPH v mil Kč</w:t>
            </w:r>
          </w:p>
        </w:tc>
      </w:tr>
      <w:tr w:rsidR="007B6CF7" w:rsidRPr="009B54CC" w14:paraId="0EE012D4" w14:textId="77777777" w:rsidTr="007B6CF7">
        <w:trPr>
          <w:trHeight w:val="320"/>
        </w:trPr>
        <w:tc>
          <w:tcPr>
            <w:tcW w:w="660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auto" w:fill="auto"/>
            <w:noWrap/>
            <w:vAlign w:val="bottom"/>
            <w:hideMark/>
          </w:tcPr>
          <w:p w14:paraId="2107F22D" w14:textId="77777777" w:rsidR="007B6CF7" w:rsidRPr="009B54CC" w:rsidRDefault="007B6CF7" w:rsidP="00B27DE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Digitální transformace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48E27F44" w14:textId="77777777" w:rsidR="007B6CF7" w:rsidRPr="009B54CC" w:rsidRDefault="007B6CF7" w:rsidP="00B27DE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90,91</w:t>
            </w:r>
          </w:p>
        </w:tc>
      </w:tr>
      <w:tr w:rsidR="007B6CF7" w:rsidRPr="009B54CC" w14:paraId="767F78E8" w14:textId="77777777" w:rsidTr="007B6CF7">
        <w:trPr>
          <w:trHeight w:val="320"/>
        </w:trPr>
        <w:tc>
          <w:tcPr>
            <w:tcW w:w="660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453F0EA1" w14:textId="77777777" w:rsidR="007B6CF7" w:rsidRPr="009B54CC" w:rsidRDefault="007B6CF7" w:rsidP="00B27DE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Posílení infrastruktury pro digitální pracoviště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1F21187F" w14:textId="77777777" w:rsidR="007B6CF7" w:rsidRPr="009B54CC" w:rsidRDefault="007B6CF7" w:rsidP="00B27DE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33,06</w:t>
            </w:r>
          </w:p>
        </w:tc>
      </w:tr>
      <w:tr w:rsidR="007B6CF7" w:rsidRPr="009B54CC" w14:paraId="55121B2D" w14:textId="77777777" w:rsidTr="007B6CF7">
        <w:trPr>
          <w:trHeight w:val="320"/>
        </w:trPr>
        <w:tc>
          <w:tcPr>
            <w:tcW w:w="6604" w:type="dxa"/>
            <w:tcBorders>
              <w:top w:val="nil"/>
              <w:left w:val="single" w:sz="8" w:space="0" w:color="D9E1F2"/>
              <w:bottom w:val="single" w:sz="8" w:space="0" w:color="D9E1F2"/>
              <w:right w:val="nil"/>
            </w:tcBorders>
            <w:shd w:val="clear" w:color="000000" w:fill="FFFFFF"/>
            <w:noWrap/>
            <w:vAlign w:val="bottom"/>
            <w:hideMark/>
          </w:tcPr>
          <w:p w14:paraId="134E5358" w14:textId="77777777" w:rsidR="007B6CF7" w:rsidRPr="009B54CC" w:rsidRDefault="007B6CF7" w:rsidP="00B27DE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Videokonference</w:t>
            </w:r>
          </w:p>
        </w:tc>
        <w:tc>
          <w:tcPr>
            <w:tcW w:w="2919" w:type="dxa"/>
            <w:tcBorders>
              <w:top w:val="nil"/>
              <w:left w:val="nil"/>
              <w:bottom w:val="single" w:sz="8" w:space="0" w:color="D9E1F2"/>
              <w:right w:val="single" w:sz="8" w:space="0" w:color="D9E1F2"/>
            </w:tcBorders>
            <w:shd w:val="clear" w:color="000000" w:fill="FFFFFF"/>
            <w:noWrap/>
            <w:vAlign w:val="bottom"/>
            <w:hideMark/>
          </w:tcPr>
          <w:p w14:paraId="3EE02292" w14:textId="77777777" w:rsidR="007B6CF7" w:rsidRPr="009B54CC" w:rsidRDefault="007B6CF7" w:rsidP="00B27DED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9B54CC">
              <w:rPr>
                <w:rFonts w:asciiTheme="minorHAnsi" w:hAnsiTheme="minorHAnsi" w:cstheme="minorHAnsi"/>
                <w:sz w:val="20"/>
                <w:szCs w:val="20"/>
              </w:rPr>
              <w:t>30,99</w:t>
            </w:r>
          </w:p>
        </w:tc>
      </w:tr>
    </w:tbl>
    <w:p w14:paraId="225A6A96" w14:textId="77777777" w:rsidR="009B54CC" w:rsidRDefault="009B54CC" w:rsidP="6D35A5C4">
      <w:pPr>
        <w:pStyle w:val="K-1"/>
        <w:rPr>
          <w:rFonts w:eastAsiaTheme="minorEastAsia" w:cstheme="minorBidi"/>
          <w:sz w:val="20"/>
          <w:szCs w:val="20"/>
        </w:rPr>
      </w:pPr>
    </w:p>
    <w:p w14:paraId="304A4189" w14:textId="7ADD9999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4. Strategická autonomie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>bezpečnostní problematika</w:t>
      </w:r>
    </w:p>
    <w:p w14:paraId="2BC0F0C0" w14:textId="23B3D9D3" w:rsidR="00C42CDB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Komponenta jako celek je zcela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aktuálními opatřeními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trendy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oblasti kybernetické bezpečnosti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mnohé z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nich rozvíjí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implementuje. Pravidla pro strategickou autonomii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oblasti informačních systémů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digitálních služeb nejsou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současnosti jasně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závazně definována. Projekty využívající (příp. budou využívat) cloudové služby tak využívají výhradně cloudová centra provozovaná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rámci EU.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rámci této komponenty bude realizován i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projekt technologického rozšíření eGovernment Cloudu. Do tohoto prostředí pak budou následně přeneseny klíčové informační systémy veřejné správy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nově připravovanou národní cloudovou legislativou.</w:t>
      </w:r>
    </w:p>
    <w:p w14:paraId="1686192F" w14:textId="77777777" w:rsidR="00FD054F" w:rsidRPr="00FD054F" w:rsidRDefault="00FD054F" w:rsidP="00FD054F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FD054F">
        <w:rPr>
          <w:rFonts w:eastAsiaTheme="minorEastAsia" w:cstheme="minorBidi"/>
          <w:sz w:val="24"/>
          <w:szCs w:val="24"/>
        </w:rPr>
        <w:t xml:space="preserve">4.1 </w:t>
      </w:r>
      <w:proofErr w:type="spellStart"/>
      <w:r w:rsidRPr="00FD054F">
        <w:rPr>
          <w:rFonts w:eastAsiaTheme="minorEastAsia" w:cstheme="minorBidi"/>
          <w:sz w:val="24"/>
          <w:szCs w:val="24"/>
        </w:rPr>
        <w:t>Security</w:t>
      </w:r>
      <w:proofErr w:type="spellEnd"/>
      <w:r w:rsidRPr="00FD054F">
        <w:rPr>
          <w:rFonts w:eastAsiaTheme="minorEastAsia" w:cstheme="minorBidi"/>
          <w:sz w:val="24"/>
          <w:szCs w:val="24"/>
        </w:rPr>
        <w:t xml:space="preserve"> </w:t>
      </w:r>
      <w:proofErr w:type="spellStart"/>
      <w:r w:rsidRPr="00FD054F">
        <w:rPr>
          <w:rFonts w:eastAsiaTheme="minorEastAsia" w:cstheme="minorBidi"/>
          <w:sz w:val="24"/>
          <w:szCs w:val="24"/>
        </w:rPr>
        <w:t>self-assessment</w:t>
      </w:r>
      <w:proofErr w:type="spellEnd"/>
      <w:r w:rsidRPr="00FD054F">
        <w:rPr>
          <w:rFonts w:eastAsiaTheme="minorEastAsia" w:cstheme="minorBidi"/>
          <w:sz w:val="24"/>
          <w:szCs w:val="24"/>
        </w:rPr>
        <w:t xml:space="preserve"> </w:t>
      </w:r>
    </w:p>
    <w:p w14:paraId="3180DEF1" w14:textId="3AAB58E3" w:rsidR="00FD054F" w:rsidRPr="00FD054F" w:rsidRDefault="00FD054F" w:rsidP="00FD054F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V rámci realizace dílčích částí komponenty </w:t>
      </w:r>
      <w:r>
        <w:rPr>
          <w:rFonts w:asciiTheme="minorHAnsi" w:eastAsiaTheme="minorEastAsia" w:hAnsiTheme="minorHAnsi" w:cstheme="minorHAnsi"/>
          <w:sz w:val="20"/>
          <w:szCs w:val="20"/>
        </w:rPr>
        <w:t>v souvislosti s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rozšíření</w:t>
      </w:r>
      <w:r>
        <w:rPr>
          <w:rFonts w:asciiTheme="minorHAnsi" w:eastAsiaTheme="minorEastAsia" w:hAnsiTheme="minorHAnsi" w:cstheme="minorHAnsi"/>
          <w:sz w:val="20"/>
          <w:szCs w:val="20"/>
        </w:rPr>
        <w:t>m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eGovernment Cloudu, ale i dílčích částí využívajících, případně která budou využívat</w:t>
      </w:r>
      <w:r>
        <w:rPr>
          <w:rFonts w:asciiTheme="minorHAnsi" w:eastAsiaTheme="minorEastAsia" w:hAnsiTheme="minorHAnsi" w:cstheme="minorHAnsi"/>
          <w:sz w:val="20"/>
          <w:szCs w:val="20"/>
        </w:rPr>
        <w:t>,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cloudové služby výhradně </w:t>
      </w:r>
      <w:r>
        <w:rPr>
          <w:rFonts w:asciiTheme="minorHAnsi" w:eastAsiaTheme="minorEastAsia" w:hAnsiTheme="minorHAnsi" w:cstheme="minorHAnsi"/>
          <w:sz w:val="20"/>
          <w:szCs w:val="20"/>
        </w:rPr>
        <w:t xml:space="preserve">od 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cloudových poskytovatelů provozovaných v rámci EU platí plně pravidla a požadavky platné národní legislativy pro využívání cloudových služeb v rámci eGovernmentu </w:t>
      </w:r>
      <w:r>
        <w:rPr>
          <w:rFonts w:asciiTheme="minorHAnsi" w:eastAsiaTheme="minorEastAsia" w:hAnsiTheme="minorHAnsi" w:cstheme="minorHAnsi"/>
          <w:sz w:val="20"/>
          <w:szCs w:val="20"/>
        </w:rPr>
        <w:t>(Z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>ákon 365/2000 Sb. o informačních systémech veřejné správy a o změně některých dalších zákonů</w:t>
      </w:r>
      <w:r>
        <w:rPr>
          <w:rFonts w:asciiTheme="minorHAnsi" w:eastAsiaTheme="minorEastAsia" w:hAnsiTheme="minorHAnsi" w:cstheme="minorHAnsi"/>
          <w:sz w:val="20"/>
          <w:szCs w:val="20"/>
        </w:rPr>
        <w:t>)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>. Bezpečnost informací je řešena v souladu se zákony č. 181/2014 Sb. o kybernetické bezpečnosti a o změně souvisejících zákonů, a jeho prováděcí vyhlášk</w:t>
      </w:r>
      <w:r>
        <w:rPr>
          <w:rFonts w:asciiTheme="minorHAnsi" w:eastAsiaTheme="minorEastAsia" w:hAnsiTheme="minorHAnsi" w:cstheme="minorHAnsi"/>
          <w:sz w:val="20"/>
          <w:szCs w:val="20"/>
        </w:rPr>
        <w:t>o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u č. 82/2018 Sb. Vyhláška o bezpečnostních opatřeních, kybernetických bezpečnostních incidentech, reaktivních opatřeních, náležitostech podání v oblasti kybernetické bezpečnosti a likvidaci dat (vyhláška o kybernetické bezpečnosti), zákon č. 110/2020 Sb. Zákon o zpracování osobních údajů atd.). </w:t>
      </w:r>
    </w:p>
    <w:p w14:paraId="0CDB9B2B" w14:textId="77777777" w:rsidR="00D97D89" w:rsidRPr="00D97D89" w:rsidRDefault="00FD054F" w:rsidP="00D97D89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D054F">
        <w:rPr>
          <w:rFonts w:asciiTheme="minorHAnsi" w:eastAsiaTheme="minorEastAsia" w:hAnsiTheme="minorHAnsi" w:cstheme="minorHAnsi"/>
          <w:sz w:val="20"/>
          <w:szCs w:val="20"/>
        </w:rPr>
        <w:t>V souvislosti s doporučením čl. 18 odst. 4 písm. G) nařízení o RRF (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Recovery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and </w:t>
      </w:r>
      <w:proofErr w:type="spellStart"/>
      <w:r w:rsidRPr="00FD054F">
        <w:rPr>
          <w:rFonts w:asciiTheme="minorHAnsi" w:eastAsiaTheme="minorEastAsia" w:hAnsiTheme="minorHAnsi" w:cstheme="minorHAnsi"/>
          <w:sz w:val="20"/>
          <w:szCs w:val="20"/>
        </w:rPr>
        <w:t>Resilience</w:t>
      </w:r>
      <w:proofErr w:type="spellEnd"/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Facility) 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 xml:space="preserve">všechny 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odpovědné subjekty 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 xml:space="preserve">zajistí identifikaci a eliminaci bezpečnostních rizik v souladu s výše uvedenými 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>pravidl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 xml:space="preserve">y a legislativou. </w:t>
      </w:r>
      <w:r w:rsidR="00D97D89" w:rsidRPr="00D97D89">
        <w:rPr>
          <w:rFonts w:asciiTheme="minorHAnsi" w:eastAsiaTheme="minorEastAsia" w:hAnsiTheme="minorHAnsi" w:cstheme="minorHAnsi"/>
          <w:sz w:val="20"/>
          <w:szCs w:val="20"/>
        </w:rPr>
        <w:t>V rámci projektů je identifikován aktuální stav vlastních opatření pro zajištění bezpečnosti informací a dále budou stanoveny cíle pro jejich zlepšení.</w:t>
      </w:r>
    </w:p>
    <w:p w14:paraId="45B84B52" w14:textId="16175780" w:rsidR="00FD054F" w:rsidRPr="009B54CC" w:rsidRDefault="00FD054F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Stanovená pravidla </w:t>
      </w:r>
      <w:r w:rsidR="00D97D89">
        <w:rPr>
          <w:rFonts w:asciiTheme="minorHAnsi" w:eastAsiaTheme="minorEastAsia" w:hAnsiTheme="minorHAnsi" w:cstheme="minorHAnsi"/>
          <w:sz w:val="20"/>
          <w:szCs w:val="20"/>
        </w:rPr>
        <w:t>bude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 plně respektovat požadavky platné národní legislativy pro bezpečnost informací</w:t>
      </w:r>
      <w:r>
        <w:rPr>
          <w:rFonts w:asciiTheme="minorHAnsi" w:eastAsiaTheme="minorEastAsia" w:hAnsiTheme="minorHAnsi" w:cstheme="minorHAnsi"/>
          <w:sz w:val="20"/>
          <w:szCs w:val="20"/>
        </w:rPr>
        <w:t>, která e plně harmonizovaná s evropskou legislativou</w:t>
      </w:r>
      <w:r w:rsidRPr="00FD054F">
        <w:rPr>
          <w:rFonts w:asciiTheme="minorHAnsi" w:eastAsiaTheme="minorEastAsia" w:hAnsiTheme="minorHAnsi" w:cstheme="minorHAnsi"/>
          <w:sz w:val="20"/>
          <w:szCs w:val="20"/>
        </w:rPr>
        <w:t xml:space="preserve">. Stanovená pravidla nezakládají nové požadavky na bezpečnost informací. Kontrolní cíle a techniky jsou odvozeny přímo z dlouhodobých požadavků stanovených ve strategiích, politikách a pokynech pro bezpečnost informací dotčených informačních systémů a digitálních služeb. </w:t>
      </w:r>
    </w:p>
    <w:p w14:paraId="7DD71B95" w14:textId="71966618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lastRenderedPageBreak/>
        <w:t>5. Přeshraniční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 xml:space="preserve">mezinárodní projekty </w:t>
      </w:r>
    </w:p>
    <w:p w14:paraId="404A1F23" w14:textId="428A37CE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Investice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reformy ani jejich jednotlivé části nemají charakter přeshraniční spolupráce. Jednotlivé projekty pak vytvářejí prostředí pro realizaci projektů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přeshraniční spoluprací (např. projekt Interoperabilita ve zdravotnictví). </w:t>
      </w:r>
    </w:p>
    <w:p w14:paraId="7226C19A" w14:textId="77777777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 xml:space="preserve">6. Zelený rozměr komponenty </w:t>
      </w:r>
    </w:p>
    <w:p w14:paraId="53DE32F2" w14:textId="536FA27B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Veškeré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investice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rámci komponenty je možné považovat z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pohledu zelené tranzice za neutrální. Nemají tedy měřitelný vliv na cíle zohledňování klimatických změn.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obecné rovině pak lze konstatovat, že svým zaměřením přispívají ke snižování emisí skleníkových plynů. Velká část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této komponentě vytváří prostředí pro tvorbu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realizaci služeb snižujících mobilitu obyvatelstva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souvislosti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cestami na úřad. Navrhovaná opatření jsou tak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požadavkem na zavádění nových technologií pro dosažení cílů zelené agendy. </w:t>
      </w:r>
    </w:p>
    <w:p w14:paraId="17A9D01A" w14:textId="77777777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 xml:space="preserve">7. Digitální rozměr komponenty </w:t>
      </w:r>
    </w:p>
    <w:p w14:paraId="68A139DA" w14:textId="70AC143F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Komponenta je zcela zaměřena na digitální tranzici veřejného sektoru, především pak na vytváření předpokladů pro digitální tranzici. Cíle jednotlivých reforem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 nejsou ve své podstatě přímo měřitelné prostřednictvím DESI, ale vytvářením prostředí pro poskytování služeb občanům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firmám, které umožňuje jednoduchou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uživatelsky přívětivou komunikaci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veřejnými orgány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institucemi. Tímto postupem pak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investice této komponenty výrazně posilují odolnost státní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veřejné správy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celkově urychlují proces odbavení úřední záležitosti, tudíž přispívají k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vyšší ekonomické efektivitě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snižování administrativních nákladů jak na straně veřejné správy, tak u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cílových skupin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podobě široké občanské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podnikatelské veřejnosti.</w:t>
      </w:r>
    </w:p>
    <w:p w14:paraId="0C355A2F" w14:textId="1F95B177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Komponenta naplňuje Digitální agendu, výrazně zlepšuje podmínky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předpoklady pro rozvoj eGovernmentu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v jednotlivých částech pak přímo přispívá k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jeho rozvoji. Její obsah je zcela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souladu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programem Digitální Česko jako základního kamene národního digitálního plánu. Jednotlivé reformy jsou tematickým souhrnem vybraných digitálních záměrů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projektů. Investice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reformy popsané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jednotlivých přílohách jsou pak, s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ohledem na parametry RRF, projekty programu Digitální Česko, jejichž realizaci akcelerovala možnost je financovat z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prostředků Národního plánu obnovy.</w:t>
      </w:r>
    </w:p>
    <w:p w14:paraId="557DF677" w14:textId="4965A7F2" w:rsidR="6D35A5C4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  <w:lang w:val="en-US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Dopad na digitální přechod je popsán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tabulce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příloze.</w:t>
      </w:r>
    </w:p>
    <w:p w14:paraId="70DBCCE9" w14:textId="77777777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r w:rsidRPr="008C1949">
        <w:rPr>
          <w:rFonts w:eastAsiaTheme="minorEastAsia" w:cstheme="minorBidi"/>
          <w:sz w:val="24"/>
          <w:szCs w:val="24"/>
        </w:rPr>
        <w:t>8. Uplatnění zásady „významně nepoškozovat“</w:t>
      </w:r>
    </w:p>
    <w:p w14:paraId="3B50F829" w14:textId="0DA79A0F" w:rsidR="00C42CDB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Veškeré reformy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investice vyhovují principu „do no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significant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 </w:t>
      </w:r>
      <w:proofErr w:type="spellStart"/>
      <w:r w:rsidRPr="009B54CC">
        <w:rPr>
          <w:rFonts w:asciiTheme="minorHAnsi" w:eastAsiaTheme="minorEastAsia" w:hAnsiTheme="minorHAnsi" w:cstheme="minorHAnsi"/>
          <w:sz w:val="20"/>
          <w:szCs w:val="20"/>
        </w:rPr>
        <w:t>harm</w:t>
      </w:r>
      <w:proofErr w:type="spellEnd"/>
      <w:r w:rsidRPr="009B54CC">
        <w:rPr>
          <w:rFonts w:asciiTheme="minorHAnsi" w:eastAsiaTheme="minorEastAsia" w:hAnsiTheme="minorHAnsi" w:cstheme="minorHAnsi"/>
          <w:sz w:val="20"/>
          <w:szCs w:val="20"/>
        </w:rPr>
        <w:t xml:space="preserve">“. </w:t>
      </w:r>
    </w:p>
    <w:p w14:paraId="5D533D96" w14:textId="5BE8D26B" w:rsidR="6D35A5C4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Princip DNSH je popsán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příloze.</w:t>
      </w:r>
    </w:p>
    <w:p w14:paraId="04CFE7FE" w14:textId="5C0F9332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bookmarkStart w:id="2" w:name="_Hlk67516678"/>
      <w:r w:rsidRPr="008C1949">
        <w:rPr>
          <w:rFonts w:eastAsiaTheme="minorEastAsia" w:cstheme="minorBidi"/>
          <w:sz w:val="24"/>
          <w:szCs w:val="24"/>
        </w:rPr>
        <w:t>9. Milníky, cíle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r w:rsidRPr="008C1949">
        <w:rPr>
          <w:rFonts w:eastAsiaTheme="minorEastAsia" w:cstheme="minorBidi"/>
          <w:sz w:val="24"/>
          <w:szCs w:val="24"/>
        </w:rPr>
        <w:t xml:space="preserve">harmonogram </w:t>
      </w:r>
    </w:p>
    <w:bookmarkEnd w:id="2"/>
    <w:p w14:paraId="458F5367" w14:textId="0DDD351B" w:rsidR="6D35A5C4" w:rsidRPr="009B54CC" w:rsidRDefault="00C42CDB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r w:rsidRPr="009B54CC">
        <w:rPr>
          <w:rFonts w:asciiTheme="minorHAnsi" w:eastAsiaTheme="minorEastAsia" w:hAnsiTheme="minorHAnsi" w:cstheme="minorHAnsi"/>
          <w:sz w:val="20"/>
          <w:szCs w:val="20"/>
        </w:rPr>
        <w:t>Milníky, cíle a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časová osa jsou popsány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tabulce v</w:t>
      </w:r>
      <w:r w:rsidR="00EE51EC" w:rsidRPr="009B54CC">
        <w:rPr>
          <w:rFonts w:asciiTheme="minorHAnsi" w:eastAsiaTheme="minorEastAsia" w:hAnsiTheme="minorHAnsi" w:cstheme="minorHAnsi"/>
          <w:sz w:val="20"/>
          <w:szCs w:val="20"/>
        </w:rPr>
        <w:t> </w:t>
      </w:r>
      <w:r w:rsidRPr="009B54CC">
        <w:rPr>
          <w:rFonts w:asciiTheme="minorHAnsi" w:eastAsiaTheme="minorEastAsia" w:hAnsiTheme="minorHAnsi" w:cstheme="minorHAnsi"/>
          <w:sz w:val="20"/>
          <w:szCs w:val="20"/>
        </w:rPr>
        <w:t>příloze.</w:t>
      </w:r>
    </w:p>
    <w:p w14:paraId="538D2812" w14:textId="741EB4E3" w:rsidR="00C42CDB" w:rsidRPr="008C1949" w:rsidRDefault="00C42CDB" w:rsidP="008C1949">
      <w:pPr>
        <w:pStyle w:val="K-1"/>
        <w:spacing w:after="120"/>
        <w:rPr>
          <w:rFonts w:eastAsiaTheme="minorEastAsia" w:cstheme="minorBidi"/>
          <w:sz w:val="24"/>
          <w:szCs w:val="24"/>
        </w:rPr>
      </w:pPr>
      <w:bookmarkStart w:id="3" w:name="_Hlk67516698"/>
      <w:r w:rsidRPr="008C1949">
        <w:rPr>
          <w:rFonts w:eastAsiaTheme="minorEastAsia" w:cstheme="minorBidi"/>
          <w:sz w:val="24"/>
          <w:szCs w:val="24"/>
        </w:rPr>
        <w:t>10. Financování a</w:t>
      </w:r>
      <w:r w:rsidR="00EE51EC" w:rsidRPr="008C1949">
        <w:rPr>
          <w:rFonts w:eastAsiaTheme="minorEastAsia" w:cstheme="minorBidi"/>
          <w:sz w:val="24"/>
          <w:szCs w:val="24"/>
        </w:rPr>
        <w:t> </w:t>
      </w:r>
      <w:proofErr w:type="spellStart"/>
      <w:r w:rsidRPr="008C1949">
        <w:rPr>
          <w:rFonts w:eastAsiaTheme="minorEastAsia" w:cstheme="minorBidi"/>
          <w:sz w:val="24"/>
          <w:szCs w:val="24"/>
        </w:rPr>
        <w:t>costing</w:t>
      </w:r>
      <w:proofErr w:type="spellEnd"/>
      <w:r w:rsidRPr="008C1949">
        <w:rPr>
          <w:rFonts w:eastAsiaTheme="minorEastAsia" w:cstheme="minorBidi"/>
          <w:sz w:val="24"/>
          <w:szCs w:val="24"/>
        </w:rPr>
        <w:t xml:space="preserve"> </w:t>
      </w:r>
    </w:p>
    <w:p w14:paraId="04128D36" w14:textId="77777777" w:rsidR="000E35BA" w:rsidRPr="009B54CC" w:rsidRDefault="000E35BA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  <w:bookmarkStart w:id="4" w:name="_nj1ks6p3kwye"/>
      <w:bookmarkStart w:id="5" w:name="_30j0zll"/>
      <w:bookmarkStart w:id="6" w:name="_1fob9te"/>
      <w:bookmarkStart w:id="7" w:name="_Toc68035740"/>
      <w:bookmarkStart w:id="8" w:name="_Toc68035916"/>
      <w:bookmarkStart w:id="9" w:name="_Toc68035741"/>
      <w:bookmarkStart w:id="10" w:name="_Toc68035917"/>
      <w:bookmarkStart w:id="11" w:name="_Toc68035746"/>
      <w:bookmarkStart w:id="12" w:name="_Toc68035922"/>
      <w:bookmarkStart w:id="13" w:name="_Toc68035762"/>
      <w:bookmarkStart w:id="14" w:name="_Toc68035938"/>
      <w:bookmarkStart w:id="15" w:name="_Toc68035763"/>
      <w:bookmarkStart w:id="16" w:name="_Toc68035939"/>
      <w:bookmarkStart w:id="17" w:name="_Toc68035764"/>
      <w:bookmarkStart w:id="18" w:name="_Toc68035940"/>
      <w:bookmarkStart w:id="19" w:name="_Toc68035765"/>
      <w:bookmarkStart w:id="20" w:name="_Toc68035941"/>
      <w:bookmarkStart w:id="21" w:name="_Toc68035766"/>
      <w:bookmarkStart w:id="22" w:name="_Toc68035942"/>
      <w:bookmarkStart w:id="23" w:name="_Toc68035767"/>
      <w:bookmarkStart w:id="24" w:name="_Toc68035943"/>
      <w:bookmarkStart w:id="25" w:name="_Toc68035768"/>
      <w:bookmarkStart w:id="26" w:name="_Toc68035944"/>
      <w:bookmarkStart w:id="27" w:name="_Toc68035769"/>
      <w:bookmarkStart w:id="28" w:name="_Toc68035945"/>
      <w:bookmarkStart w:id="29" w:name="_Toc68035770"/>
      <w:bookmarkStart w:id="30" w:name="_Toc68035946"/>
      <w:bookmarkStart w:id="31" w:name="_Toc68035771"/>
      <w:bookmarkStart w:id="32" w:name="_Toc68035947"/>
      <w:bookmarkStart w:id="33" w:name="_Toc68035773"/>
      <w:bookmarkStart w:id="34" w:name="_Toc68035949"/>
      <w:bookmarkStart w:id="35" w:name="_Toc68035774"/>
      <w:bookmarkStart w:id="36" w:name="_Toc68035950"/>
      <w:bookmarkStart w:id="37" w:name="_Toc68035778"/>
      <w:bookmarkStart w:id="38" w:name="_Toc68035954"/>
      <w:bookmarkStart w:id="39" w:name="_Toc68035779"/>
      <w:bookmarkStart w:id="40" w:name="_Toc68035955"/>
      <w:bookmarkStart w:id="41" w:name="_Toc68035780"/>
      <w:bookmarkStart w:id="42" w:name="_Toc68035956"/>
      <w:bookmarkStart w:id="43" w:name="_Toc68035781"/>
      <w:bookmarkStart w:id="44" w:name="_Toc68035957"/>
      <w:bookmarkStart w:id="45" w:name="_Toc68035782"/>
      <w:bookmarkStart w:id="46" w:name="_Toc68035958"/>
      <w:bookmarkStart w:id="47" w:name="_Toc68035783"/>
      <w:bookmarkStart w:id="48" w:name="_Toc68035959"/>
      <w:bookmarkStart w:id="49" w:name="_Toc68035784"/>
      <w:bookmarkStart w:id="50" w:name="_Toc68035960"/>
      <w:bookmarkStart w:id="51" w:name="_Toc68035785"/>
      <w:bookmarkStart w:id="52" w:name="_Toc68035961"/>
      <w:bookmarkStart w:id="53" w:name="_Toc68035786"/>
      <w:bookmarkStart w:id="54" w:name="_Toc68035962"/>
      <w:bookmarkStart w:id="55" w:name="_Toc68035787"/>
      <w:bookmarkStart w:id="56" w:name="_Toc68035963"/>
      <w:bookmarkStart w:id="57" w:name="_Toc68035788"/>
      <w:bookmarkStart w:id="58" w:name="_Toc68035964"/>
      <w:bookmarkStart w:id="59" w:name="_Toc68035789"/>
      <w:bookmarkStart w:id="60" w:name="_Toc68035965"/>
      <w:bookmarkStart w:id="61" w:name="_Toc68035790"/>
      <w:bookmarkStart w:id="62" w:name="_Toc68035966"/>
      <w:bookmarkStart w:id="63" w:name="_Toc68035791"/>
      <w:bookmarkStart w:id="64" w:name="_Toc68035967"/>
      <w:bookmarkStart w:id="65" w:name="_Toc68035792"/>
      <w:bookmarkStart w:id="66" w:name="_Toc68035968"/>
      <w:bookmarkStart w:id="67" w:name="_Toc68035793"/>
      <w:bookmarkStart w:id="68" w:name="_Toc68035969"/>
      <w:bookmarkStart w:id="69" w:name="_Toc68035794"/>
      <w:bookmarkStart w:id="70" w:name="_Toc68035970"/>
      <w:bookmarkStart w:id="71" w:name="_Toc68035795"/>
      <w:bookmarkStart w:id="72" w:name="_Toc68035971"/>
      <w:bookmarkStart w:id="73" w:name="_Toc68035796"/>
      <w:bookmarkStart w:id="74" w:name="_Toc68035972"/>
      <w:bookmarkStart w:id="75" w:name="_Toc68035797"/>
      <w:bookmarkStart w:id="76" w:name="_Toc68035973"/>
      <w:bookmarkStart w:id="77" w:name="_Toc68035798"/>
      <w:bookmarkStart w:id="78" w:name="_Toc68035974"/>
      <w:bookmarkStart w:id="79" w:name="_Toc68035799"/>
      <w:bookmarkStart w:id="80" w:name="_Toc68035975"/>
      <w:bookmarkStart w:id="81" w:name="_Toc68035800"/>
      <w:bookmarkStart w:id="82" w:name="_Toc68035976"/>
      <w:bookmarkStart w:id="83" w:name="_Toc68035801"/>
      <w:bookmarkStart w:id="84" w:name="_Toc68035977"/>
      <w:bookmarkStart w:id="85" w:name="_Toc68035802"/>
      <w:bookmarkStart w:id="86" w:name="_Toc68035978"/>
      <w:bookmarkStart w:id="87" w:name="_Toc68035803"/>
      <w:bookmarkStart w:id="88" w:name="_Toc68035979"/>
      <w:bookmarkStart w:id="89" w:name="_Toc68035804"/>
      <w:bookmarkStart w:id="90" w:name="_Toc68035980"/>
      <w:bookmarkStart w:id="91" w:name="_Toc68035805"/>
      <w:bookmarkStart w:id="92" w:name="_Toc68035981"/>
      <w:bookmarkStart w:id="93" w:name="_Toc68035806"/>
      <w:bookmarkStart w:id="94" w:name="_Toc68035982"/>
      <w:bookmarkStart w:id="95" w:name="_Toc68035807"/>
      <w:bookmarkStart w:id="96" w:name="_Toc68035983"/>
      <w:bookmarkStart w:id="97" w:name="_Toc68035808"/>
      <w:bookmarkStart w:id="98" w:name="_Toc68035984"/>
      <w:bookmarkStart w:id="99" w:name="_Toc68035809"/>
      <w:bookmarkStart w:id="100" w:name="_Toc68035985"/>
      <w:bookmarkStart w:id="101" w:name="_Toc68035810"/>
      <w:bookmarkStart w:id="102" w:name="_Toc68035986"/>
      <w:bookmarkStart w:id="103" w:name="_Toc68035811"/>
      <w:bookmarkStart w:id="104" w:name="_Toc68035987"/>
      <w:bookmarkStart w:id="105" w:name="_Toc68035812"/>
      <w:bookmarkStart w:id="106" w:name="_Toc68035988"/>
      <w:bookmarkStart w:id="107" w:name="_Toc68035813"/>
      <w:bookmarkStart w:id="108" w:name="_Toc68035989"/>
      <w:bookmarkStart w:id="109" w:name="_Toc68035814"/>
      <w:bookmarkStart w:id="110" w:name="_Toc68035990"/>
      <w:bookmarkStart w:id="111" w:name="_Toc68035815"/>
      <w:bookmarkStart w:id="112" w:name="_Toc68035991"/>
      <w:bookmarkStart w:id="113" w:name="_Toc68035816"/>
      <w:bookmarkStart w:id="114" w:name="_Toc68035992"/>
      <w:bookmarkStart w:id="115" w:name="_Toc68035817"/>
      <w:bookmarkStart w:id="116" w:name="_Toc68035993"/>
      <w:bookmarkStart w:id="117" w:name="_Toc68035818"/>
      <w:bookmarkStart w:id="118" w:name="_Toc68035994"/>
      <w:bookmarkStart w:id="119" w:name="_Toc68035819"/>
      <w:bookmarkStart w:id="120" w:name="_Toc68035995"/>
      <w:bookmarkStart w:id="121" w:name="_Toc66646721"/>
      <w:bookmarkStart w:id="122" w:name="_Toc66647251"/>
      <w:bookmarkStart w:id="123" w:name="_Toc66647613"/>
      <w:bookmarkStart w:id="124" w:name="_Toc66647739"/>
      <w:bookmarkStart w:id="125" w:name="_Toc66647788"/>
      <w:bookmarkStart w:id="126" w:name="_Toc66860970"/>
      <w:bookmarkStart w:id="127" w:name="_Toc66862914"/>
      <w:bookmarkStart w:id="128" w:name="_Toc66900245"/>
      <w:bookmarkStart w:id="129" w:name="_Toc66901827"/>
      <w:bookmarkStart w:id="130" w:name="_Toc67437533"/>
      <w:bookmarkStart w:id="131" w:name="_Toc67437571"/>
      <w:bookmarkStart w:id="132" w:name="_Toc67457119"/>
      <w:bookmarkStart w:id="133" w:name="_Toc67464643"/>
      <w:bookmarkStart w:id="134" w:name="_Toc67474540"/>
      <w:bookmarkStart w:id="135" w:name="_Toc68035820"/>
      <w:bookmarkStart w:id="136" w:name="_Toc68035996"/>
      <w:bookmarkStart w:id="137" w:name="_Toc66647740"/>
      <w:bookmarkStart w:id="138" w:name="_Toc66647789"/>
      <w:bookmarkStart w:id="139" w:name="_Toc66860971"/>
      <w:bookmarkStart w:id="140" w:name="_Toc66862915"/>
      <w:bookmarkStart w:id="141" w:name="_Toc66900246"/>
      <w:bookmarkStart w:id="142" w:name="_Toc66901828"/>
      <w:bookmarkStart w:id="143" w:name="_Toc67437534"/>
      <w:bookmarkStart w:id="144" w:name="_Toc67437572"/>
      <w:bookmarkStart w:id="145" w:name="_Toc67457120"/>
      <w:bookmarkStart w:id="146" w:name="_Toc67464644"/>
      <w:bookmarkStart w:id="147" w:name="_Toc67474541"/>
      <w:bookmarkStart w:id="148" w:name="_Toc68035821"/>
      <w:bookmarkStart w:id="149" w:name="_Toc68035997"/>
      <w:bookmarkStart w:id="150" w:name="_Toc68035822"/>
      <w:bookmarkStart w:id="151" w:name="_Toc68035998"/>
      <w:bookmarkStart w:id="152" w:name="_Toc68035823"/>
      <w:bookmarkStart w:id="153" w:name="_Toc68035999"/>
      <w:bookmarkStart w:id="154" w:name="_Toc68035824"/>
      <w:bookmarkStart w:id="155" w:name="_Toc68036000"/>
      <w:bookmarkStart w:id="156" w:name="_Toc68035825"/>
      <w:bookmarkStart w:id="157" w:name="_Toc68036001"/>
      <w:bookmarkStart w:id="158" w:name="_Toc68035826"/>
      <w:bookmarkStart w:id="159" w:name="_Toc68036002"/>
      <w:bookmarkStart w:id="160" w:name="_Toc68035827"/>
      <w:bookmarkStart w:id="161" w:name="_Toc68036003"/>
      <w:bookmarkStart w:id="162" w:name="_Toc68035828"/>
      <w:bookmarkStart w:id="163" w:name="_Toc68036004"/>
      <w:bookmarkStart w:id="164" w:name="_Toc68035829"/>
      <w:bookmarkStart w:id="165" w:name="_Toc68036005"/>
      <w:bookmarkStart w:id="166" w:name="_Toc68035830"/>
      <w:bookmarkStart w:id="167" w:name="_Toc68036006"/>
      <w:bookmarkStart w:id="168" w:name="_Toc68035831"/>
      <w:bookmarkStart w:id="169" w:name="_Toc68036007"/>
      <w:bookmarkStart w:id="170" w:name="_Toc68035832"/>
      <w:bookmarkStart w:id="171" w:name="_Toc68036008"/>
      <w:bookmarkStart w:id="172" w:name="_Toc68035833"/>
      <w:bookmarkStart w:id="173" w:name="_Toc68036009"/>
      <w:bookmarkStart w:id="174" w:name="_Toc68035834"/>
      <w:bookmarkStart w:id="175" w:name="_Toc68036010"/>
      <w:bookmarkStart w:id="176" w:name="_Toc68035835"/>
      <w:bookmarkStart w:id="177" w:name="_Toc68036011"/>
      <w:bookmarkStart w:id="178" w:name="_Toc68035836"/>
      <w:bookmarkStart w:id="179" w:name="_Toc68036012"/>
      <w:bookmarkStart w:id="180" w:name="_Toc68035837"/>
      <w:bookmarkStart w:id="181" w:name="_Toc68036013"/>
      <w:bookmarkStart w:id="182" w:name="_Toc68035838"/>
      <w:bookmarkStart w:id="183" w:name="_Toc68036014"/>
      <w:bookmarkStart w:id="184" w:name="_Toc68035839"/>
      <w:bookmarkStart w:id="185" w:name="_Toc68036015"/>
      <w:bookmarkStart w:id="186" w:name="_Toc68035841"/>
      <w:bookmarkStart w:id="187" w:name="_Toc68036017"/>
      <w:bookmarkStart w:id="188" w:name="_Toc68035842"/>
      <w:bookmarkStart w:id="189" w:name="_Toc68036018"/>
      <w:bookmarkStart w:id="190" w:name="_Toc68035843"/>
      <w:bookmarkStart w:id="191" w:name="_Toc68036019"/>
      <w:bookmarkStart w:id="192" w:name="_Toc66647256"/>
      <w:bookmarkStart w:id="193" w:name="_Toc66647618"/>
      <w:bookmarkStart w:id="194" w:name="_Toc66647745"/>
      <w:bookmarkStart w:id="195" w:name="_Toc66647794"/>
      <w:bookmarkStart w:id="196" w:name="_Toc66860976"/>
      <w:bookmarkStart w:id="197" w:name="_Toc66862920"/>
      <w:bookmarkStart w:id="198" w:name="_Toc66900251"/>
      <w:bookmarkStart w:id="199" w:name="_Toc66901833"/>
      <w:bookmarkStart w:id="200" w:name="_Toc67437539"/>
      <w:bookmarkStart w:id="201" w:name="_Toc67437577"/>
      <w:bookmarkStart w:id="202" w:name="_Toc67457125"/>
      <w:bookmarkStart w:id="203" w:name="_Toc67464646"/>
      <w:bookmarkStart w:id="204" w:name="_Toc68035844"/>
      <w:bookmarkStart w:id="205" w:name="_Toc68036020"/>
      <w:bookmarkStart w:id="206" w:name="_Toc66647257"/>
      <w:bookmarkStart w:id="207" w:name="_Toc66647619"/>
      <w:bookmarkStart w:id="208" w:name="_Toc66647746"/>
      <w:bookmarkStart w:id="209" w:name="_Toc66647795"/>
      <w:bookmarkStart w:id="210" w:name="_Toc66860977"/>
      <w:bookmarkStart w:id="211" w:name="_Toc66862921"/>
      <w:bookmarkStart w:id="212" w:name="_Toc66900252"/>
      <w:bookmarkStart w:id="213" w:name="_Toc66901834"/>
      <w:bookmarkStart w:id="214" w:name="_Toc67437540"/>
      <w:bookmarkStart w:id="215" w:name="_Toc67437578"/>
      <w:bookmarkStart w:id="216" w:name="_Toc67457126"/>
      <w:bookmarkStart w:id="217" w:name="_Toc67464647"/>
      <w:bookmarkStart w:id="218" w:name="_Toc68035845"/>
      <w:bookmarkStart w:id="219" w:name="_Toc68036021"/>
      <w:bookmarkStart w:id="220" w:name="_Toc68035846"/>
      <w:bookmarkStart w:id="221" w:name="_Toc68036022"/>
      <w:bookmarkStart w:id="222" w:name="_Toc68035847"/>
      <w:bookmarkStart w:id="223" w:name="_Toc68036023"/>
      <w:bookmarkStart w:id="224" w:name="_Toc68035848"/>
      <w:bookmarkStart w:id="225" w:name="_Toc68036024"/>
      <w:bookmarkStart w:id="226" w:name="_Toc68035849"/>
      <w:bookmarkStart w:id="227" w:name="_Toc68036025"/>
      <w:bookmarkStart w:id="228" w:name="_Toc68035850"/>
      <w:bookmarkStart w:id="229" w:name="_Toc68036026"/>
      <w:bookmarkStart w:id="230" w:name="_Toc68035851"/>
      <w:bookmarkStart w:id="231" w:name="_Toc68036027"/>
      <w:bookmarkStart w:id="232" w:name="_Toc68035852"/>
      <w:bookmarkStart w:id="233" w:name="_Toc68036028"/>
      <w:bookmarkStart w:id="234" w:name="_Toc68035853"/>
      <w:bookmarkStart w:id="235" w:name="_Toc68036029"/>
      <w:bookmarkStart w:id="236" w:name="_Toc68035854"/>
      <w:bookmarkStart w:id="237" w:name="_Toc68036030"/>
      <w:bookmarkStart w:id="238" w:name="_Toc68035855"/>
      <w:bookmarkStart w:id="239" w:name="_Toc68036031"/>
      <w:bookmarkStart w:id="240" w:name="_Toc68035856"/>
      <w:bookmarkStart w:id="241" w:name="_Toc68036032"/>
      <w:bookmarkStart w:id="242" w:name="_Toc68035857"/>
      <w:bookmarkStart w:id="243" w:name="_Toc68036033"/>
      <w:bookmarkStart w:id="244" w:name="_Toc68035858"/>
      <w:bookmarkStart w:id="245" w:name="_Toc68036034"/>
      <w:bookmarkStart w:id="246" w:name="_Toc68035859"/>
      <w:bookmarkStart w:id="247" w:name="_Toc68036035"/>
      <w:bookmarkStart w:id="248" w:name="_Toc68035860"/>
      <w:bookmarkStart w:id="249" w:name="_Toc68036036"/>
      <w:bookmarkStart w:id="250" w:name="_Toc68035861"/>
      <w:bookmarkStart w:id="251" w:name="_Toc68036037"/>
      <w:bookmarkStart w:id="252" w:name="_Toc68035862"/>
      <w:bookmarkStart w:id="253" w:name="_Toc6803603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r w:rsidRPr="009B54CC">
        <w:rPr>
          <w:rFonts w:asciiTheme="minorHAnsi" w:eastAsiaTheme="minorEastAsia" w:hAnsiTheme="minorHAnsi" w:cstheme="minorHAnsi"/>
          <w:sz w:val="20"/>
          <w:szCs w:val="20"/>
        </w:rPr>
        <w:t>Financování a náklady jsou popsány v tabulce v příloze a v přiložených souborech prokazujících věrohodnost stanovených nákladů.</w:t>
      </w:r>
    </w:p>
    <w:p w14:paraId="44DB8791" w14:textId="77777777" w:rsidR="00266EBF" w:rsidRPr="009B54CC" w:rsidRDefault="00266EBF" w:rsidP="009B54CC">
      <w:pPr>
        <w:spacing w:after="120"/>
        <w:jc w:val="both"/>
        <w:rPr>
          <w:rFonts w:asciiTheme="minorHAnsi" w:eastAsiaTheme="minorEastAsia" w:hAnsiTheme="minorHAnsi" w:cstheme="minorHAnsi"/>
          <w:sz w:val="20"/>
          <w:szCs w:val="20"/>
        </w:rPr>
      </w:pPr>
    </w:p>
    <w:p w14:paraId="04F0F8BD" w14:textId="77777777" w:rsidR="003466D7" w:rsidRPr="0060344B" w:rsidRDefault="003466D7" w:rsidP="6D35A5C4">
      <w:pPr>
        <w:pStyle w:val="Nadpis2"/>
        <w:numPr>
          <w:ilvl w:val="1"/>
          <w:numId w:val="0"/>
        </w:numPr>
        <w:ind w:left="576"/>
        <w:rPr>
          <w:rFonts w:asciiTheme="minorHAnsi" w:eastAsiaTheme="minorEastAsia" w:hAnsiTheme="minorHAnsi" w:cstheme="minorBidi"/>
        </w:rPr>
      </w:pPr>
    </w:p>
    <w:p w14:paraId="48B23D11" w14:textId="77777777" w:rsidR="004A7F97" w:rsidRPr="0060344B" w:rsidRDefault="004A7F97" w:rsidP="6D35A5C4">
      <w:pPr>
        <w:spacing w:after="200"/>
        <w:jc w:val="right"/>
        <w:rPr>
          <w:rStyle w:val="normaltextrun"/>
          <w:rFonts w:eastAsiaTheme="minorEastAsia"/>
          <w:b/>
          <w:bCs/>
          <w:sz w:val="28"/>
          <w:szCs w:val="28"/>
        </w:rPr>
      </w:pPr>
    </w:p>
    <w:sectPr w:rsidR="004A7F97" w:rsidRPr="0060344B" w:rsidSect="00E36E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4DAF0" w14:textId="77777777" w:rsidR="005F7543" w:rsidRDefault="005F7543" w:rsidP="007F3563">
      <w:r>
        <w:separator/>
      </w:r>
    </w:p>
    <w:p w14:paraId="77201F0C" w14:textId="77777777" w:rsidR="005F7543" w:rsidRDefault="005F7543"/>
  </w:endnote>
  <w:endnote w:type="continuationSeparator" w:id="0">
    <w:p w14:paraId="004DAB6E" w14:textId="77777777" w:rsidR="005F7543" w:rsidRDefault="005F7543" w:rsidP="007F3563">
      <w:r>
        <w:continuationSeparator/>
      </w:r>
    </w:p>
    <w:p w14:paraId="3EB63855" w14:textId="77777777" w:rsidR="005F7543" w:rsidRDefault="005F7543"/>
  </w:endnote>
  <w:endnote w:type="continuationNotice" w:id="1">
    <w:p w14:paraId="4D4CDB74" w14:textId="77777777" w:rsidR="005F7543" w:rsidRDefault="005F7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Times New Roman"/>
    <w:charset w:val="00"/>
    <w:family w:val="auto"/>
    <w:pitch w:val="default"/>
  </w:font>
  <w:font w:name="&quot;Arial&quot;,sans-seri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nderson BCG Serif">
    <w:altName w:val="Constantia"/>
    <w:charset w:val="00"/>
    <w:family w:val="roman"/>
    <w:pitch w:val="variable"/>
    <w:sig w:usb0="00000001" w:usb1="D000E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7BCAC" w14:textId="77777777" w:rsidR="00B27DED" w:rsidRDefault="00B27D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685360"/>
      <w:docPartObj>
        <w:docPartGallery w:val="Page Numbers (Bottom of Page)"/>
        <w:docPartUnique/>
      </w:docPartObj>
    </w:sdtPr>
    <w:sdtEndPr/>
    <w:sdtContent>
      <w:p w14:paraId="35C2E05A" w14:textId="11B8D8DE" w:rsidR="00B27DED" w:rsidRDefault="00B27DE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EE9407D" w14:textId="77777777" w:rsidR="00B27DED" w:rsidRDefault="00B27DE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D5F1D" w14:textId="77777777" w:rsidR="00B27DED" w:rsidRDefault="00B27D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851C7" w14:textId="77777777" w:rsidR="005F7543" w:rsidRDefault="005F7543" w:rsidP="007F3563">
      <w:r>
        <w:separator/>
      </w:r>
    </w:p>
    <w:p w14:paraId="061624D3" w14:textId="77777777" w:rsidR="005F7543" w:rsidRDefault="005F7543"/>
  </w:footnote>
  <w:footnote w:type="continuationSeparator" w:id="0">
    <w:p w14:paraId="0B02E984" w14:textId="77777777" w:rsidR="005F7543" w:rsidRDefault="005F7543" w:rsidP="007F3563">
      <w:r>
        <w:continuationSeparator/>
      </w:r>
    </w:p>
    <w:p w14:paraId="09C528E6" w14:textId="77777777" w:rsidR="005F7543" w:rsidRDefault="005F7543"/>
  </w:footnote>
  <w:footnote w:type="continuationNotice" w:id="1">
    <w:p w14:paraId="0FB2F6E4" w14:textId="77777777" w:rsidR="005F7543" w:rsidRDefault="005F75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384B" w14:textId="53CFAB12" w:rsidR="00B27DED" w:rsidRDefault="00B27D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5B9BB85B" wp14:editId="0E038326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1EA090" w14:textId="240279B3" w:rsidR="00B27DED" w:rsidRPr="00A60768" w:rsidRDefault="00B27DED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9BB85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8241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Cy9LP9JAgAA&#10;bgQAAA4AAAAAAAAAAAAAAAAALgIAAGRycy9lMm9Eb2MueG1sUEsBAi0AFAAGAAgAAAAhADSBOhba&#10;AAAAAwEAAA8AAAAAAAAAAAAAAAAAowQAAGRycy9kb3ducmV2LnhtbFBLBQYAAAAABAAEAPMAAACq&#10;BQAAAAA=&#10;" filled="f" stroked="f">
              <v:textbox style="mso-fit-shape-to-text:t" inset="5pt,0,0,0">
                <w:txbxContent>
                  <w:p w14:paraId="1A1EA090" w14:textId="240279B3" w:rsidR="00B27DED" w:rsidRPr="00A60768" w:rsidRDefault="00B27DED">
                    <w:pPr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A7B37" w14:textId="25B0C808" w:rsidR="00B27DED" w:rsidRDefault="00B27DE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A5F7D" w14:textId="7383A21C" w:rsidR="00B27DED" w:rsidRDefault="00B27DE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EF10F3" wp14:editId="505EDB2C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0160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D295D9" w14:textId="6CCB5A94" w:rsidR="00B27DED" w:rsidRPr="00A60768" w:rsidRDefault="00B27DED">
                          <w:pPr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</w:pPr>
                          <w:r w:rsidRPr="00A60768">
                            <w:rPr>
                              <w:rFonts w:ascii="Calibri" w:eastAsia="Calibri" w:hAnsi="Calibri" w:cs="Calibri"/>
                              <w:color w:val="00000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EF10F3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9" type="#_x0000_t202" alt="Veřejně přístupné informac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GARwIAAG4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1Z6atfUr5DU5a6EXJGTkukngnn74TFzKAP&#10;7IG/xVFU1GSceouzNdmvf/OHeEiJV84azGDGNZaEs+qjhsTnJ2fDMLLxAsPujeXe0Jv6ijDY0Aj1&#10;RDPE+WpvFpbqeyzIJOTBk9AS2TLu9+aV73YBEko1mcQgDKYRfqbnRgbowFagctHeC2t6vj2EuqH9&#10;fIr0Fe1dbPjSmcnGg/yoSWC247EnHEMdVe0XMGzNr/cY9fI3Mf4J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BQlIGARwIAAG4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1FD295D9" w14:textId="6CCB5A94" w:rsidR="00B27DED" w:rsidRPr="00A60768" w:rsidRDefault="00B27DED">
                    <w:pPr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</w:pPr>
                    <w:r w:rsidRPr="00A60768">
                      <w:rPr>
                        <w:rFonts w:ascii="Calibri" w:eastAsia="Calibri" w:hAnsi="Calibri" w:cs="Calibri"/>
                        <w:color w:val="00000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C23B5"/>
    <w:multiLevelType w:val="multilevel"/>
    <w:tmpl w:val="E8A48D7C"/>
    <w:numStyleLink w:val="VariantaA-sla"/>
  </w:abstractNum>
  <w:abstractNum w:abstractNumId="1" w15:restartNumberingAfterBreak="0">
    <w:nsid w:val="00E45872"/>
    <w:multiLevelType w:val="multilevel"/>
    <w:tmpl w:val="9942151C"/>
    <w:lvl w:ilvl="0">
      <w:start w:val="1"/>
      <w:numFmt w:val="bullet"/>
      <w:lvlText w:val="§"/>
      <w:lvlJc w:val="left"/>
      <w:pPr>
        <w:ind w:left="2345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" w15:restartNumberingAfterBreak="0">
    <w:nsid w:val="027615B3"/>
    <w:multiLevelType w:val="hybridMultilevel"/>
    <w:tmpl w:val="3DF8B068"/>
    <w:lvl w:ilvl="0" w:tplc="04050011">
      <w:start w:val="2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800707"/>
    <w:multiLevelType w:val="hybridMultilevel"/>
    <w:tmpl w:val="95BE00D2"/>
    <w:lvl w:ilvl="0" w:tplc="CEB6A0A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56EDF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EE7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86ED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04AC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B66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4468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3C16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AE7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0580F"/>
    <w:multiLevelType w:val="hybridMultilevel"/>
    <w:tmpl w:val="DAAA6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41A20"/>
    <w:multiLevelType w:val="hybridMultilevel"/>
    <w:tmpl w:val="014054BA"/>
    <w:lvl w:ilvl="0" w:tplc="273C7C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D1B93"/>
    <w:multiLevelType w:val="multilevel"/>
    <w:tmpl w:val="E8A48D7C"/>
    <w:styleLink w:val="VariantaA-sla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7" w15:restartNumberingAfterBreak="0">
    <w:nsid w:val="047951C9"/>
    <w:multiLevelType w:val="hybridMultilevel"/>
    <w:tmpl w:val="C3A66B6C"/>
    <w:lvl w:ilvl="0" w:tplc="B5B8F10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A42BB6"/>
    <w:multiLevelType w:val="hybridMultilevel"/>
    <w:tmpl w:val="32346882"/>
    <w:lvl w:ilvl="0" w:tplc="305A3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0422C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2A06E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D046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F9EE2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26CA87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12287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CB0E3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D28D8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4D331EF"/>
    <w:multiLevelType w:val="multilevel"/>
    <w:tmpl w:val="C7A828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05B50DC1"/>
    <w:multiLevelType w:val="hybridMultilevel"/>
    <w:tmpl w:val="CBEE1D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EF4491"/>
    <w:multiLevelType w:val="hybridMultilevel"/>
    <w:tmpl w:val="64360652"/>
    <w:lvl w:ilvl="0" w:tplc="77325D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F81F5F"/>
    <w:multiLevelType w:val="hybridMultilevel"/>
    <w:tmpl w:val="8FA89B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60F1851"/>
    <w:multiLevelType w:val="hybridMultilevel"/>
    <w:tmpl w:val="7A68511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1069B"/>
    <w:multiLevelType w:val="hybridMultilevel"/>
    <w:tmpl w:val="2F645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0206C4"/>
    <w:multiLevelType w:val="multilevel"/>
    <w:tmpl w:val="82C6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07295459"/>
    <w:multiLevelType w:val="hybridMultilevel"/>
    <w:tmpl w:val="64F0CF70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074045C0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7B0099F"/>
    <w:multiLevelType w:val="hybridMultilevel"/>
    <w:tmpl w:val="78D4FD46"/>
    <w:lvl w:ilvl="0" w:tplc="CAA248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52EB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EBC455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8CEFF6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B94AF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CDE698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EE38983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B68A48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A1EC899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 w15:restartNumberingAfterBreak="0">
    <w:nsid w:val="07C4216A"/>
    <w:multiLevelType w:val="hybridMultilevel"/>
    <w:tmpl w:val="11008294"/>
    <w:lvl w:ilvl="0" w:tplc="DAE62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802A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D60308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C0E73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9CE5B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D7222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E6EC0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916DE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5E1E098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08A600BE"/>
    <w:multiLevelType w:val="hybridMultilevel"/>
    <w:tmpl w:val="2EF4B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8BF49C0"/>
    <w:multiLevelType w:val="multilevel"/>
    <w:tmpl w:val="1D84AB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08EE5525"/>
    <w:multiLevelType w:val="multilevel"/>
    <w:tmpl w:val="EE7A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09886285"/>
    <w:multiLevelType w:val="multilevel"/>
    <w:tmpl w:val="A9BAAF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b/>
        <w:color w:val="000000" w:themeColor="text1"/>
      </w:rPr>
    </w:lvl>
    <w:lvl w:ilvl="1">
      <w:start w:val="3"/>
      <w:numFmt w:val="decimal"/>
      <w:lvlText w:val="%1.%2."/>
      <w:lvlJc w:val="left"/>
      <w:pPr>
        <w:ind w:left="365" w:hanging="72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10" w:hanging="720"/>
      </w:pPr>
      <w:rPr>
        <w:rFonts w:hint="default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5" w:hanging="108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-3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-335" w:hanging="144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-69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-685" w:hanging="180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-680" w:hanging="2160"/>
      </w:pPr>
      <w:rPr>
        <w:rFonts w:hint="default"/>
        <w:b/>
        <w:color w:val="000000" w:themeColor="text1"/>
      </w:rPr>
    </w:lvl>
  </w:abstractNum>
  <w:abstractNum w:abstractNumId="24" w15:restartNumberingAfterBreak="0">
    <w:nsid w:val="09F400B1"/>
    <w:multiLevelType w:val="hybridMultilevel"/>
    <w:tmpl w:val="51103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B1F4449"/>
    <w:multiLevelType w:val="hybridMultilevel"/>
    <w:tmpl w:val="DBF4C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BDB04CF"/>
    <w:multiLevelType w:val="hybridMultilevel"/>
    <w:tmpl w:val="04EE6FC4"/>
    <w:lvl w:ilvl="0" w:tplc="00E0D4E6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0C066C5D"/>
    <w:multiLevelType w:val="hybridMultilevel"/>
    <w:tmpl w:val="F7C4D446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C862000"/>
    <w:multiLevelType w:val="multilevel"/>
    <w:tmpl w:val="953A6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0C890AD6"/>
    <w:multiLevelType w:val="hybridMultilevel"/>
    <w:tmpl w:val="092C4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CB11F54"/>
    <w:multiLevelType w:val="hybridMultilevel"/>
    <w:tmpl w:val="3DBE0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D0A6FDB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0D1F0D20"/>
    <w:multiLevelType w:val="hybridMultilevel"/>
    <w:tmpl w:val="787EE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ED07213"/>
    <w:multiLevelType w:val="hybridMultilevel"/>
    <w:tmpl w:val="4EF0A5EE"/>
    <w:lvl w:ilvl="0" w:tplc="13AACB9A">
      <w:start w:val="1"/>
      <w:numFmt w:val="lowerLetter"/>
      <w:pStyle w:val="Odrkyabc"/>
      <w:lvlText w:val="%1)"/>
      <w:lvlJc w:val="left"/>
      <w:pPr>
        <w:tabs>
          <w:tab w:val="num" w:pos="680"/>
        </w:tabs>
        <w:ind w:left="680" w:hanging="396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FCD625A"/>
    <w:multiLevelType w:val="hybridMultilevel"/>
    <w:tmpl w:val="FC6ED01E"/>
    <w:lvl w:ilvl="0" w:tplc="081A408E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10C3866"/>
    <w:multiLevelType w:val="hybridMultilevel"/>
    <w:tmpl w:val="D16493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14F410F"/>
    <w:multiLevelType w:val="hybridMultilevel"/>
    <w:tmpl w:val="E3D855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1797B3A"/>
    <w:multiLevelType w:val="hybridMultilevel"/>
    <w:tmpl w:val="41746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2173131"/>
    <w:multiLevelType w:val="hybridMultilevel"/>
    <w:tmpl w:val="B2F01D8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12B670F7"/>
    <w:multiLevelType w:val="hybridMultilevel"/>
    <w:tmpl w:val="13921F4E"/>
    <w:lvl w:ilvl="0" w:tplc="C6A41D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2BC6F23"/>
    <w:multiLevelType w:val="hybridMultilevel"/>
    <w:tmpl w:val="D200E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30316F8"/>
    <w:multiLevelType w:val="multilevel"/>
    <w:tmpl w:val="3320A8B2"/>
    <w:numStyleLink w:val="VariantaB-odrky"/>
  </w:abstractNum>
  <w:abstractNum w:abstractNumId="42" w15:restartNumberingAfterBreak="0">
    <w:nsid w:val="13501B3A"/>
    <w:multiLevelType w:val="hybridMultilevel"/>
    <w:tmpl w:val="709A2E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3E269B8"/>
    <w:multiLevelType w:val="hybridMultilevel"/>
    <w:tmpl w:val="EE1C3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13F54B63"/>
    <w:multiLevelType w:val="hybridMultilevel"/>
    <w:tmpl w:val="935232B0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41F2184"/>
    <w:multiLevelType w:val="multilevel"/>
    <w:tmpl w:val="6D62C7A6"/>
    <w:lvl w:ilvl="0">
      <w:start w:val="1"/>
      <w:numFmt w:val="none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6" w15:restartNumberingAfterBreak="0">
    <w:nsid w:val="143E3EAA"/>
    <w:multiLevelType w:val="hybridMultilevel"/>
    <w:tmpl w:val="74B47D4C"/>
    <w:lvl w:ilvl="0" w:tplc="8EFCD666">
      <w:start w:val="1"/>
      <w:numFmt w:val="decimal"/>
      <w:lvlText w:val="%1."/>
      <w:lvlJc w:val="left"/>
      <w:pPr>
        <w:ind w:left="720" w:hanging="360"/>
      </w:pPr>
    </w:lvl>
    <w:lvl w:ilvl="1" w:tplc="7FA44342">
      <w:start w:val="1"/>
      <w:numFmt w:val="lowerLetter"/>
      <w:lvlText w:val="%2."/>
      <w:lvlJc w:val="left"/>
      <w:pPr>
        <w:ind w:left="1440" w:hanging="360"/>
      </w:pPr>
    </w:lvl>
    <w:lvl w:ilvl="2" w:tplc="CCC6634A">
      <w:start w:val="1"/>
      <w:numFmt w:val="lowerRoman"/>
      <w:lvlText w:val="%3."/>
      <w:lvlJc w:val="right"/>
      <w:pPr>
        <w:ind w:left="2160" w:hanging="180"/>
      </w:pPr>
    </w:lvl>
    <w:lvl w:ilvl="3" w:tplc="A044CCBC">
      <w:start w:val="1"/>
      <w:numFmt w:val="decimal"/>
      <w:lvlText w:val="%4."/>
      <w:lvlJc w:val="left"/>
      <w:pPr>
        <w:ind w:left="2880" w:hanging="360"/>
      </w:pPr>
    </w:lvl>
    <w:lvl w:ilvl="4" w:tplc="DB12BC38">
      <w:start w:val="1"/>
      <w:numFmt w:val="lowerLetter"/>
      <w:lvlText w:val="%5."/>
      <w:lvlJc w:val="left"/>
      <w:pPr>
        <w:ind w:left="3600" w:hanging="360"/>
      </w:pPr>
    </w:lvl>
    <w:lvl w:ilvl="5" w:tplc="67FED0FA">
      <w:start w:val="1"/>
      <w:numFmt w:val="lowerRoman"/>
      <w:lvlText w:val="%6."/>
      <w:lvlJc w:val="right"/>
      <w:pPr>
        <w:ind w:left="4320" w:hanging="180"/>
      </w:pPr>
    </w:lvl>
    <w:lvl w:ilvl="6" w:tplc="ABF8D2B6">
      <w:start w:val="1"/>
      <w:numFmt w:val="decimal"/>
      <w:lvlText w:val="%7."/>
      <w:lvlJc w:val="left"/>
      <w:pPr>
        <w:ind w:left="5040" w:hanging="360"/>
      </w:pPr>
    </w:lvl>
    <w:lvl w:ilvl="7" w:tplc="21401AE8">
      <w:start w:val="1"/>
      <w:numFmt w:val="lowerLetter"/>
      <w:lvlText w:val="%8."/>
      <w:lvlJc w:val="left"/>
      <w:pPr>
        <w:ind w:left="5760" w:hanging="360"/>
      </w:pPr>
    </w:lvl>
    <w:lvl w:ilvl="8" w:tplc="B958FC6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48" w15:restartNumberingAfterBreak="0">
    <w:nsid w:val="16376351"/>
    <w:multiLevelType w:val="hybridMultilevel"/>
    <w:tmpl w:val="D73E08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17430B39"/>
    <w:multiLevelType w:val="hybridMultilevel"/>
    <w:tmpl w:val="CDD61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443E55"/>
    <w:multiLevelType w:val="hybridMultilevel"/>
    <w:tmpl w:val="F1D051BA"/>
    <w:lvl w:ilvl="0" w:tplc="54BC07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1872DA"/>
    <w:multiLevelType w:val="multilevel"/>
    <w:tmpl w:val="E8A48D7C"/>
    <w:numStyleLink w:val="VariantaA-sla"/>
  </w:abstractNum>
  <w:abstractNum w:abstractNumId="52" w15:restartNumberingAfterBreak="0">
    <w:nsid w:val="19A16392"/>
    <w:multiLevelType w:val="hybridMultilevel"/>
    <w:tmpl w:val="3B1ABC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1A5B5123"/>
    <w:multiLevelType w:val="hybridMultilevel"/>
    <w:tmpl w:val="FFBA4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F030DB"/>
    <w:multiLevelType w:val="hybridMultilevel"/>
    <w:tmpl w:val="06BA5ABE"/>
    <w:lvl w:ilvl="0" w:tplc="7BD6463A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BA5502D"/>
    <w:multiLevelType w:val="hybridMultilevel"/>
    <w:tmpl w:val="1EC4B8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F9295E"/>
    <w:multiLevelType w:val="hybridMultilevel"/>
    <w:tmpl w:val="5E8E0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D087A0C"/>
    <w:multiLevelType w:val="hybridMultilevel"/>
    <w:tmpl w:val="D42E6FE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1D3064B1"/>
    <w:multiLevelType w:val="hybridMultilevel"/>
    <w:tmpl w:val="F1E6C8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D8B1196"/>
    <w:multiLevelType w:val="hybridMultilevel"/>
    <w:tmpl w:val="9702B0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DBC7352"/>
    <w:multiLevelType w:val="multilevel"/>
    <w:tmpl w:val="E8C2F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E1B1E0D"/>
    <w:multiLevelType w:val="hybridMultilevel"/>
    <w:tmpl w:val="18C805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E206164"/>
    <w:multiLevelType w:val="hybridMultilevel"/>
    <w:tmpl w:val="2436A0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1E671FD6"/>
    <w:multiLevelType w:val="multilevel"/>
    <w:tmpl w:val="26563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203C5A65"/>
    <w:multiLevelType w:val="multilevel"/>
    <w:tmpl w:val="E530225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b/>
        <w:color w:val="auto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5" w15:restartNumberingAfterBreak="0">
    <w:nsid w:val="204F27A7"/>
    <w:multiLevelType w:val="hybridMultilevel"/>
    <w:tmpl w:val="351A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097015F"/>
    <w:multiLevelType w:val="hybridMultilevel"/>
    <w:tmpl w:val="AFF606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0B5085B"/>
    <w:multiLevelType w:val="hybridMultilevel"/>
    <w:tmpl w:val="6154666A"/>
    <w:lvl w:ilvl="0" w:tplc="ABC05C1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2990E80"/>
    <w:multiLevelType w:val="hybridMultilevel"/>
    <w:tmpl w:val="F7C62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31B7405"/>
    <w:multiLevelType w:val="hybridMultilevel"/>
    <w:tmpl w:val="8CB0A7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37C7AE1"/>
    <w:multiLevelType w:val="hybridMultilevel"/>
    <w:tmpl w:val="68BA1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3A36490"/>
    <w:multiLevelType w:val="hybridMultilevel"/>
    <w:tmpl w:val="B7D27336"/>
    <w:lvl w:ilvl="0" w:tplc="705026D2">
      <w:start w:val="1"/>
      <w:numFmt w:val="bullet"/>
      <w:pStyle w:val="Odrka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4807F54"/>
    <w:multiLevelType w:val="multilevel"/>
    <w:tmpl w:val="11E619EA"/>
    <w:lvl w:ilvl="0">
      <w:start w:val="1"/>
      <w:numFmt w:val="lowerLetter"/>
      <w:pStyle w:val="Bullet3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568489F"/>
    <w:multiLevelType w:val="hybridMultilevel"/>
    <w:tmpl w:val="887694C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5816CC8"/>
    <w:multiLevelType w:val="multilevel"/>
    <w:tmpl w:val="1E5403D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25986F90"/>
    <w:multiLevelType w:val="hybridMultilevel"/>
    <w:tmpl w:val="722C602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6250F77"/>
    <w:multiLevelType w:val="hybridMultilevel"/>
    <w:tmpl w:val="0F2A3B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6567AF0"/>
    <w:multiLevelType w:val="hybridMultilevel"/>
    <w:tmpl w:val="3392AEE8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8" w15:restartNumberingAfterBreak="0">
    <w:nsid w:val="26B63E73"/>
    <w:multiLevelType w:val="hybridMultilevel"/>
    <w:tmpl w:val="2264D278"/>
    <w:lvl w:ilvl="0" w:tplc="04F4688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6AC171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49A28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0E697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D84ECB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054C5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C7A23D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D941B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78E40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289A5EA2"/>
    <w:multiLevelType w:val="multilevel"/>
    <w:tmpl w:val="E8BAE50A"/>
    <w:numStyleLink w:val="VariantaA-odrky"/>
  </w:abstractNum>
  <w:abstractNum w:abstractNumId="80" w15:restartNumberingAfterBreak="0">
    <w:nsid w:val="28D830A4"/>
    <w:multiLevelType w:val="multilevel"/>
    <w:tmpl w:val="7D7213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1" w15:restartNumberingAfterBreak="0">
    <w:nsid w:val="2B0F235F"/>
    <w:multiLevelType w:val="hybridMultilevel"/>
    <w:tmpl w:val="7D84A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B354F4B"/>
    <w:multiLevelType w:val="multilevel"/>
    <w:tmpl w:val="65A61CEA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2B853F54"/>
    <w:multiLevelType w:val="hybridMultilevel"/>
    <w:tmpl w:val="491C3E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BC4273A"/>
    <w:multiLevelType w:val="multilevel"/>
    <w:tmpl w:val="314CA7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5" w15:restartNumberingAfterBreak="0">
    <w:nsid w:val="2C1E345F"/>
    <w:multiLevelType w:val="hybridMultilevel"/>
    <w:tmpl w:val="CFFA6AF8"/>
    <w:lvl w:ilvl="0" w:tplc="1164756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9A08C6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2F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82B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020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B6C2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C63A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BA4C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E6A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2D2759D7"/>
    <w:multiLevelType w:val="hybridMultilevel"/>
    <w:tmpl w:val="DFB6C838"/>
    <w:lvl w:ilvl="0" w:tplc="E3D61CF2">
      <w:start w:val="202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7" w15:restartNumberingAfterBreak="0">
    <w:nsid w:val="2DDF131F"/>
    <w:multiLevelType w:val="multilevel"/>
    <w:tmpl w:val="8A9E5F8A"/>
    <w:lvl w:ilvl="0">
      <w:start w:val="1"/>
      <w:numFmt w:val="decimal"/>
      <w:lvlText w:val="%1."/>
      <w:lvlJc w:val="left"/>
      <w:pPr>
        <w:ind w:left="1434" w:hanging="360"/>
      </w:pPr>
    </w:lvl>
    <w:lvl w:ilvl="1">
      <w:start w:val="1"/>
      <w:numFmt w:val="lowerLetter"/>
      <w:lvlText w:val="%2."/>
      <w:lvlJc w:val="left"/>
      <w:pPr>
        <w:ind w:left="2154" w:hanging="360"/>
      </w:pPr>
    </w:lvl>
    <w:lvl w:ilvl="2">
      <w:start w:val="1"/>
      <w:numFmt w:val="lowerRoman"/>
      <w:lvlText w:val="%3."/>
      <w:lvlJc w:val="right"/>
      <w:pPr>
        <w:ind w:left="2874" w:hanging="180"/>
      </w:pPr>
    </w:lvl>
    <w:lvl w:ilvl="3">
      <w:start w:val="1"/>
      <w:numFmt w:val="decimal"/>
      <w:lvlText w:val="%4."/>
      <w:lvlJc w:val="left"/>
      <w:pPr>
        <w:ind w:left="3594" w:hanging="360"/>
      </w:pPr>
    </w:lvl>
    <w:lvl w:ilvl="4">
      <w:start w:val="1"/>
      <w:numFmt w:val="lowerLetter"/>
      <w:lvlText w:val="%5."/>
      <w:lvlJc w:val="left"/>
      <w:pPr>
        <w:ind w:left="4314" w:hanging="360"/>
      </w:pPr>
    </w:lvl>
    <w:lvl w:ilvl="5">
      <w:start w:val="1"/>
      <w:numFmt w:val="lowerRoman"/>
      <w:lvlText w:val="%6."/>
      <w:lvlJc w:val="right"/>
      <w:pPr>
        <w:ind w:left="5034" w:hanging="180"/>
      </w:pPr>
    </w:lvl>
    <w:lvl w:ilvl="6">
      <w:start w:val="1"/>
      <w:numFmt w:val="decimal"/>
      <w:lvlText w:val="%7."/>
      <w:lvlJc w:val="left"/>
      <w:pPr>
        <w:ind w:left="5754" w:hanging="360"/>
      </w:pPr>
    </w:lvl>
    <w:lvl w:ilvl="7">
      <w:start w:val="1"/>
      <w:numFmt w:val="lowerLetter"/>
      <w:lvlText w:val="%8."/>
      <w:lvlJc w:val="left"/>
      <w:pPr>
        <w:ind w:left="6474" w:hanging="360"/>
      </w:pPr>
    </w:lvl>
    <w:lvl w:ilvl="8">
      <w:start w:val="1"/>
      <w:numFmt w:val="lowerRoman"/>
      <w:lvlText w:val="%9."/>
      <w:lvlJc w:val="right"/>
      <w:pPr>
        <w:ind w:left="7194" w:hanging="180"/>
      </w:pPr>
    </w:lvl>
  </w:abstractNum>
  <w:abstractNum w:abstractNumId="88" w15:restartNumberingAfterBreak="0">
    <w:nsid w:val="2F492F94"/>
    <w:multiLevelType w:val="hybridMultilevel"/>
    <w:tmpl w:val="FDDC9778"/>
    <w:lvl w:ilvl="0" w:tplc="7FE04E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4D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0A0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1E25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0AA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88FE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218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1447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76E3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0667839"/>
    <w:multiLevelType w:val="hybridMultilevel"/>
    <w:tmpl w:val="D92CF6D4"/>
    <w:lvl w:ilvl="0" w:tplc="E63874C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0B13368"/>
    <w:multiLevelType w:val="hybridMultilevel"/>
    <w:tmpl w:val="6B46BD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0F202D3"/>
    <w:multiLevelType w:val="hybridMultilevel"/>
    <w:tmpl w:val="6EBA5D06"/>
    <w:lvl w:ilvl="0" w:tplc="6CB276E4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2" w15:restartNumberingAfterBreak="0">
    <w:nsid w:val="316E7DE4"/>
    <w:multiLevelType w:val="hybridMultilevel"/>
    <w:tmpl w:val="D6C043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31FF37DE"/>
    <w:multiLevelType w:val="hybridMultilevel"/>
    <w:tmpl w:val="0FF69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29B2D34"/>
    <w:multiLevelType w:val="hybridMultilevel"/>
    <w:tmpl w:val="EB688B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4236E6B"/>
    <w:multiLevelType w:val="hybridMultilevel"/>
    <w:tmpl w:val="7E561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4636F86"/>
    <w:multiLevelType w:val="hybridMultilevel"/>
    <w:tmpl w:val="4F12D558"/>
    <w:lvl w:ilvl="0" w:tplc="516E7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310AB4C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BE83E7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474CA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41C69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FEAED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0AC44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6D2AC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683A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8" w15:restartNumberingAfterBreak="0">
    <w:nsid w:val="346E0CB8"/>
    <w:multiLevelType w:val="hybridMultilevel"/>
    <w:tmpl w:val="FD4CEC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4707081"/>
    <w:multiLevelType w:val="hybridMultilevel"/>
    <w:tmpl w:val="DABCE9F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47B0CC3"/>
    <w:multiLevelType w:val="hybridMultilevel"/>
    <w:tmpl w:val="A45602DE"/>
    <w:lvl w:ilvl="0" w:tplc="040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1" w15:restartNumberingAfterBreak="0">
    <w:nsid w:val="34C234B9"/>
    <w:multiLevelType w:val="hybridMultilevel"/>
    <w:tmpl w:val="95CC43D6"/>
    <w:lvl w:ilvl="0" w:tplc="02B0780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2" w15:restartNumberingAfterBreak="0">
    <w:nsid w:val="34D05C0F"/>
    <w:multiLevelType w:val="hybridMultilevel"/>
    <w:tmpl w:val="8E98C1A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5DB45A8"/>
    <w:multiLevelType w:val="hybridMultilevel"/>
    <w:tmpl w:val="589EFC98"/>
    <w:lvl w:ilvl="0" w:tplc="32B221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62744EA"/>
    <w:multiLevelType w:val="hybridMultilevel"/>
    <w:tmpl w:val="051EA1E4"/>
    <w:lvl w:ilvl="0" w:tplc="04050001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864" w:hanging="360"/>
      </w:pPr>
      <w:rPr>
        <w:rFonts w:ascii="Wingdings" w:hAnsi="Wingdings" w:hint="default"/>
      </w:rPr>
    </w:lvl>
  </w:abstractNum>
  <w:abstractNum w:abstractNumId="105" w15:restartNumberingAfterBreak="0">
    <w:nsid w:val="36E51E42"/>
    <w:multiLevelType w:val="hybridMultilevel"/>
    <w:tmpl w:val="13B8E6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731005E"/>
    <w:multiLevelType w:val="hybridMultilevel"/>
    <w:tmpl w:val="938A87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7556A2B"/>
    <w:multiLevelType w:val="hybridMultilevel"/>
    <w:tmpl w:val="758270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15A9906">
      <w:start w:val="1"/>
      <w:numFmt w:val="lowerLetter"/>
      <w:lvlText w:val="%2."/>
      <w:lvlJc w:val="left"/>
      <w:pPr>
        <w:ind w:left="1440" w:hanging="360"/>
      </w:pPr>
    </w:lvl>
    <w:lvl w:ilvl="2" w:tplc="0BFC13E0">
      <w:start w:val="1"/>
      <w:numFmt w:val="lowerRoman"/>
      <w:lvlText w:val="%3."/>
      <w:lvlJc w:val="right"/>
      <w:pPr>
        <w:ind w:left="2160" w:hanging="180"/>
      </w:pPr>
    </w:lvl>
    <w:lvl w:ilvl="3" w:tplc="E3C47B2E">
      <w:start w:val="1"/>
      <w:numFmt w:val="decimal"/>
      <w:lvlText w:val="%4."/>
      <w:lvlJc w:val="left"/>
      <w:pPr>
        <w:ind w:left="2880" w:hanging="360"/>
      </w:pPr>
    </w:lvl>
    <w:lvl w:ilvl="4" w:tplc="31BA21F0">
      <w:start w:val="1"/>
      <w:numFmt w:val="lowerLetter"/>
      <w:lvlText w:val="%5."/>
      <w:lvlJc w:val="left"/>
      <w:pPr>
        <w:ind w:left="3600" w:hanging="360"/>
      </w:pPr>
    </w:lvl>
    <w:lvl w:ilvl="5" w:tplc="61FA2D0C">
      <w:start w:val="1"/>
      <w:numFmt w:val="lowerRoman"/>
      <w:lvlText w:val="%6."/>
      <w:lvlJc w:val="right"/>
      <w:pPr>
        <w:ind w:left="4320" w:hanging="180"/>
      </w:pPr>
    </w:lvl>
    <w:lvl w:ilvl="6" w:tplc="A4F620E2">
      <w:start w:val="1"/>
      <w:numFmt w:val="decimal"/>
      <w:lvlText w:val="%7."/>
      <w:lvlJc w:val="left"/>
      <w:pPr>
        <w:ind w:left="5040" w:hanging="360"/>
      </w:pPr>
    </w:lvl>
    <w:lvl w:ilvl="7" w:tplc="C4E414FC">
      <w:start w:val="1"/>
      <w:numFmt w:val="lowerLetter"/>
      <w:lvlText w:val="%8."/>
      <w:lvlJc w:val="left"/>
      <w:pPr>
        <w:ind w:left="5760" w:hanging="360"/>
      </w:pPr>
    </w:lvl>
    <w:lvl w:ilvl="8" w:tplc="514C671C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7F042AD"/>
    <w:multiLevelType w:val="multilevel"/>
    <w:tmpl w:val="6B6201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3B0B4A7B"/>
    <w:multiLevelType w:val="hybridMultilevel"/>
    <w:tmpl w:val="004E0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D22F2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B47640B"/>
    <w:multiLevelType w:val="multilevel"/>
    <w:tmpl w:val="9DE4CF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11" w15:restartNumberingAfterBreak="0">
    <w:nsid w:val="3BEF712A"/>
    <w:multiLevelType w:val="multilevel"/>
    <w:tmpl w:val="40C2A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2" w15:restartNumberingAfterBreak="0">
    <w:nsid w:val="3C055198"/>
    <w:multiLevelType w:val="multilevel"/>
    <w:tmpl w:val="EE7A5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3" w15:restartNumberingAfterBreak="0">
    <w:nsid w:val="3C526605"/>
    <w:multiLevelType w:val="hybridMultilevel"/>
    <w:tmpl w:val="58983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D2E3D09"/>
    <w:multiLevelType w:val="hybridMultilevel"/>
    <w:tmpl w:val="A8880A84"/>
    <w:lvl w:ilvl="0" w:tplc="0B620A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3D617B43"/>
    <w:multiLevelType w:val="hybridMultilevel"/>
    <w:tmpl w:val="072A5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3DC905ED"/>
    <w:multiLevelType w:val="hybridMultilevel"/>
    <w:tmpl w:val="B7F6E590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DFA55AC"/>
    <w:multiLevelType w:val="hybridMultilevel"/>
    <w:tmpl w:val="615C98E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3934F3D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E51754D"/>
    <w:multiLevelType w:val="hybridMultilevel"/>
    <w:tmpl w:val="978AF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3EF03ABC"/>
    <w:multiLevelType w:val="hybridMultilevel"/>
    <w:tmpl w:val="2BD888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3FFC77F9"/>
    <w:multiLevelType w:val="multilevel"/>
    <w:tmpl w:val="BC64CB56"/>
    <w:lvl w:ilvl="0">
      <w:start w:val="1"/>
      <w:numFmt w:val="bullet"/>
      <w:pStyle w:val="Bullet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40203F75"/>
    <w:multiLevelType w:val="hybridMultilevel"/>
    <w:tmpl w:val="4A366182"/>
    <w:lvl w:ilvl="0" w:tplc="2698EE2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182F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DA2E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BAB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50D9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8CD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A6E4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E6EB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0211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0274749"/>
    <w:multiLevelType w:val="hybridMultilevel"/>
    <w:tmpl w:val="028E6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14D5676"/>
    <w:multiLevelType w:val="hybridMultilevel"/>
    <w:tmpl w:val="87624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429D3310"/>
    <w:multiLevelType w:val="hybridMultilevel"/>
    <w:tmpl w:val="3BCECB82"/>
    <w:lvl w:ilvl="0" w:tplc="94200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F0E04E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3800F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BC6F3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12ACC8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A4ADA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49C25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11EE3BB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806C3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6" w15:restartNumberingAfterBreak="0">
    <w:nsid w:val="42E8702A"/>
    <w:multiLevelType w:val="hybridMultilevel"/>
    <w:tmpl w:val="B3EC17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3F300B5"/>
    <w:multiLevelType w:val="hybridMultilevel"/>
    <w:tmpl w:val="B1E4F5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44FE7BA9"/>
    <w:multiLevelType w:val="hybridMultilevel"/>
    <w:tmpl w:val="40046646"/>
    <w:lvl w:ilvl="0" w:tplc="FD4E40E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5A03C9B"/>
    <w:multiLevelType w:val="hybridMultilevel"/>
    <w:tmpl w:val="731EB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46F601F4"/>
    <w:multiLevelType w:val="hybridMultilevel"/>
    <w:tmpl w:val="2994A148"/>
    <w:lvl w:ilvl="0" w:tplc="763422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1" w15:restartNumberingAfterBreak="0">
    <w:nsid w:val="475018A6"/>
    <w:multiLevelType w:val="hybridMultilevel"/>
    <w:tmpl w:val="C1AC7D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82B59FA"/>
    <w:multiLevelType w:val="hybridMultilevel"/>
    <w:tmpl w:val="8C621A9E"/>
    <w:lvl w:ilvl="0" w:tplc="3FD08F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85769BB"/>
    <w:multiLevelType w:val="hybridMultilevel"/>
    <w:tmpl w:val="EF5C35C8"/>
    <w:lvl w:ilvl="0" w:tplc="8DDE205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7942C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DE404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32F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B662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8CBA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0C15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3C39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8BB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88C5BAF"/>
    <w:multiLevelType w:val="multilevel"/>
    <w:tmpl w:val="314236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48B16960"/>
    <w:multiLevelType w:val="hybridMultilevel"/>
    <w:tmpl w:val="D89EAFBC"/>
    <w:lvl w:ilvl="0" w:tplc="E8246AD4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6" w15:restartNumberingAfterBreak="0">
    <w:nsid w:val="496E4251"/>
    <w:multiLevelType w:val="hybridMultilevel"/>
    <w:tmpl w:val="D7FEB2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4979737E"/>
    <w:multiLevelType w:val="hybridMultilevel"/>
    <w:tmpl w:val="4B2059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A75F94"/>
    <w:multiLevelType w:val="hybridMultilevel"/>
    <w:tmpl w:val="F4841E3C"/>
    <w:lvl w:ilvl="0" w:tplc="0C92B4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9E76422"/>
    <w:multiLevelType w:val="hybridMultilevel"/>
    <w:tmpl w:val="8A6E1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4A334652"/>
    <w:multiLevelType w:val="hybridMultilevel"/>
    <w:tmpl w:val="F1FE5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4AEC7401"/>
    <w:multiLevelType w:val="hybridMultilevel"/>
    <w:tmpl w:val="4FCA4908"/>
    <w:lvl w:ilvl="0" w:tplc="F7DC5B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D026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D1C728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CC2DD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D58E00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F9A06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90C91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96441C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02475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2" w15:restartNumberingAfterBreak="0">
    <w:nsid w:val="4AF144B5"/>
    <w:multiLevelType w:val="hybridMultilevel"/>
    <w:tmpl w:val="F3581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1116DD"/>
    <w:multiLevelType w:val="hybridMultilevel"/>
    <w:tmpl w:val="C7D0F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4B2D3C69"/>
    <w:multiLevelType w:val="hybridMultilevel"/>
    <w:tmpl w:val="F90E11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4BAC4AC1"/>
    <w:multiLevelType w:val="hybridMultilevel"/>
    <w:tmpl w:val="33A229AA"/>
    <w:lvl w:ilvl="0" w:tplc="DC460A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E5A03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808698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C104356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192C0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AF0027E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6528145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CACEE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9D6CC1C6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6" w15:restartNumberingAfterBreak="0">
    <w:nsid w:val="4BFB1B5E"/>
    <w:multiLevelType w:val="hybridMultilevel"/>
    <w:tmpl w:val="593E11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4D4C11B3"/>
    <w:multiLevelType w:val="hybridMultilevel"/>
    <w:tmpl w:val="5038D4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4E2A68BD"/>
    <w:multiLevelType w:val="multilevel"/>
    <w:tmpl w:val="B930FD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9" w15:restartNumberingAfterBreak="0">
    <w:nsid w:val="4EED13B9"/>
    <w:multiLevelType w:val="hybridMultilevel"/>
    <w:tmpl w:val="68DE99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1" w15:restartNumberingAfterBreak="0">
    <w:nsid w:val="4FF418EE"/>
    <w:multiLevelType w:val="hybridMultilevel"/>
    <w:tmpl w:val="22E86F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510D3914"/>
    <w:multiLevelType w:val="hybridMultilevel"/>
    <w:tmpl w:val="DC2892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1B12AA2"/>
    <w:multiLevelType w:val="hybridMultilevel"/>
    <w:tmpl w:val="E7F8D1A6"/>
    <w:lvl w:ilvl="0" w:tplc="CD6E9F6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1F26F75"/>
    <w:multiLevelType w:val="hybridMultilevel"/>
    <w:tmpl w:val="B044AB16"/>
    <w:lvl w:ilvl="0" w:tplc="D6ACFD54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25F3C34"/>
    <w:multiLevelType w:val="hybridMultilevel"/>
    <w:tmpl w:val="C512F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3861237"/>
    <w:multiLevelType w:val="multilevel"/>
    <w:tmpl w:val="D5EC45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3D01997"/>
    <w:multiLevelType w:val="hybridMultilevel"/>
    <w:tmpl w:val="D4766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541B4A5A"/>
    <w:multiLevelType w:val="hybridMultilevel"/>
    <w:tmpl w:val="5CDCE9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54F74753"/>
    <w:multiLevelType w:val="hybridMultilevel"/>
    <w:tmpl w:val="1C1CD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55F572F4"/>
    <w:multiLevelType w:val="hybridMultilevel"/>
    <w:tmpl w:val="745EA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56D02B73"/>
    <w:multiLevelType w:val="hybridMultilevel"/>
    <w:tmpl w:val="3E06D5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5839424F"/>
    <w:multiLevelType w:val="multilevel"/>
    <w:tmpl w:val="27C8A03A"/>
    <w:lvl w:ilvl="0">
      <w:start w:val="4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3" w15:restartNumberingAfterBreak="0">
    <w:nsid w:val="589219C5"/>
    <w:multiLevelType w:val="multilevel"/>
    <w:tmpl w:val="90C44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4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65" w15:restartNumberingAfterBreak="0">
    <w:nsid w:val="59071930"/>
    <w:multiLevelType w:val="hybridMultilevel"/>
    <w:tmpl w:val="F35819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591D66AA"/>
    <w:multiLevelType w:val="hybridMultilevel"/>
    <w:tmpl w:val="ABB26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596830A6"/>
    <w:multiLevelType w:val="hybridMultilevel"/>
    <w:tmpl w:val="FAB477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59763A65"/>
    <w:multiLevelType w:val="multilevel"/>
    <w:tmpl w:val="035897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9" w15:restartNumberingAfterBreak="0">
    <w:nsid w:val="59EE46DD"/>
    <w:multiLevelType w:val="multilevel"/>
    <w:tmpl w:val="B5D0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0" w15:restartNumberingAfterBreak="0">
    <w:nsid w:val="59F672A1"/>
    <w:multiLevelType w:val="hybridMultilevel"/>
    <w:tmpl w:val="118431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5A042368"/>
    <w:multiLevelType w:val="hybridMultilevel"/>
    <w:tmpl w:val="78D4FD46"/>
    <w:lvl w:ilvl="0" w:tplc="D9C88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18AEE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A401C1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059A5A0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A3E5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9608526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7BB2E47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61FEE5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1F1AA1A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72" w15:restartNumberingAfterBreak="0">
    <w:nsid w:val="5AF35F43"/>
    <w:multiLevelType w:val="multilevel"/>
    <w:tmpl w:val="0D8ABE32"/>
    <w:numStyleLink w:val="VariantaB-sla"/>
  </w:abstractNum>
  <w:abstractNum w:abstractNumId="173" w15:restartNumberingAfterBreak="0">
    <w:nsid w:val="5B993398"/>
    <w:multiLevelType w:val="hybridMultilevel"/>
    <w:tmpl w:val="2842EF8E"/>
    <w:lvl w:ilvl="0" w:tplc="E078FF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4E3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F88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341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6003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FCC7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FE2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E56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202A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5C7C41A4"/>
    <w:multiLevelType w:val="hybridMultilevel"/>
    <w:tmpl w:val="F46A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5CE87E99"/>
    <w:multiLevelType w:val="hybridMultilevel"/>
    <w:tmpl w:val="2E142642"/>
    <w:lvl w:ilvl="0" w:tplc="547C6A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2C0ED4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28DE13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8303F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F7AB1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6FF227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20AB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4AC5B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36827E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6" w15:restartNumberingAfterBreak="0">
    <w:nsid w:val="5D5A0642"/>
    <w:multiLevelType w:val="hybridMultilevel"/>
    <w:tmpl w:val="BA8032FC"/>
    <w:lvl w:ilvl="0" w:tplc="51662F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5E7F7455"/>
    <w:multiLevelType w:val="hybridMultilevel"/>
    <w:tmpl w:val="4BE282B8"/>
    <w:lvl w:ilvl="0" w:tplc="451A8C22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5EC43FE5"/>
    <w:multiLevelType w:val="hybridMultilevel"/>
    <w:tmpl w:val="96C0B4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5F191C2D"/>
    <w:multiLevelType w:val="hybridMultilevel"/>
    <w:tmpl w:val="4680EA1A"/>
    <w:lvl w:ilvl="0" w:tplc="6C683B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380DB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3A3E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124F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0B5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1E09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86B0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7A610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5F3821B3"/>
    <w:multiLevelType w:val="hybridMultilevel"/>
    <w:tmpl w:val="1402FE0E"/>
    <w:lvl w:ilvl="0" w:tplc="953457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4C2FF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A9E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180E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6482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6C6C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329A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5CE0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40A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5F632349"/>
    <w:multiLevelType w:val="hybridMultilevel"/>
    <w:tmpl w:val="CF848F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607822A2"/>
    <w:multiLevelType w:val="hybridMultilevel"/>
    <w:tmpl w:val="9DA41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0BC696E"/>
    <w:multiLevelType w:val="hybridMultilevel"/>
    <w:tmpl w:val="D2B01F9E"/>
    <w:lvl w:ilvl="0" w:tplc="366ACE3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4" w15:restartNumberingAfterBreak="0">
    <w:nsid w:val="61F24831"/>
    <w:multiLevelType w:val="hybridMultilevel"/>
    <w:tmpl w:val="78D4FD46"/>
    <w:lvl w:ilvl="0" w:tplc="5060F2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C7C250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FD401FA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EB7C7F7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6A68B9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E3A8359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B32ADF3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AAB67D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D146270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85" w15:restartNumberingAfterBreak="0">
    <w:nsid w:val="63CC5FB6"/>
    <w:multiLevelType w:val="hybridMultilevel"/>
    <w:tmpl w:val="49DE5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64834C75"/>
    <w:multiLevelType w:val="hybridMultilevel"/>
    <w:tmpl w:val="BD3AFD6C"/>
    <w:lvl w:ilvl="0" w:tplc="02B07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4AF6A46"/>
    <w:multiLevelType w:val="multilevel"/>
    <w:tmpl w:val="A3F6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8" w15:restartNumberingAfterBreak="0">
    <w:nsid w:val="6563513C"/>
    <w:multiLevelType w:val="hybridMultilevel"/>
    <w:tmpl w:val="41B8B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66AE6AC8"/>
    <w:multiLevelType w:val="hybridMultilevel"/>
    <w:tmpl w:val="63AC32AE"/>
    <w:lvl w:ilvl="0" w:tplc="A244A40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66CC7AF2"/>
    <w:multiLevelType w:val="hybridMultilevel"/>
    <w:tmpl w:val="809C675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8850541"/>
    <w:multiLevelType w:val="hybridMultilevel"/>
    <w:tmpl w:val="90C2F1B6"/>
    <w:lvl w:ilvl="0" w:tplc="B2D070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88577FF"/>
    <w:multiLevelType w:val="hybridMultilevel"/>
    <w:tmpl w:val="87D45D38"/>
    <w:lvl w:ilvl="0" w:tplc="B29C7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B8E98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9CBF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7A13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7CFC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5294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C443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6C8C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7627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8D5738B"/>
    <w:multiLevelType w:val="multilevel"/>
    <w:tmpl w:val="EA3A78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4" w15:restartNumberingAfterBreak="0">
    <w:nsid w:val="68E31454"/>
    <w:multiLevelType w:val="hybridMultilevel"/>
    <w:tmpl w:val="0AA6C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69B6478F"/>
    <w:multiLevelType w:val="hybridMultilevel"/>
    <w:tmpl w:val="E42623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69C61886"/>
    <w:multiLevelType w:val="hybridMultilevel"/>
    <w:tmpl w:val="5FE8DF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6A3C547A"/>
    <w:multiLevelType w:val="hybridMultilevel"/>
    <w:tmpl w:val="A02C5E7E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B5B8F104">
      <w:start w:val="1"/>
      <w:numFmt w:val="bullet"/>
      <w:lvlText w:val="-"/>
      <w:lvlJc w:val="left"/>
      <w:pPr>
        <w:ind w:left="2148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8" w15:restartNumberingAfterBreak="0">
    <w:nsid w:val="6AE76B83"/>
    <w:multiLevelType w:val="hybridMultilevel"/>
    <w:tmpl w:val="4AFE64E2"/>
    <w:lvl w:ilvl="0" w:tplc="333017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6A87A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116C8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E38E73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6EEBA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7F8B79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B608D4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802A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C1A27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9" w15:restartNumberingAfterBreak="0">
    <w:nsid w:val="6B377A94"/>
    <w:multiLevelType w:val="hybridMultilevel"/>
    <w:tmpl w:val="39806C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6C1821B5"/>
    <w:multiLevelType w:val="hybridMultilevel"/>
    <w:tmpl w:val="C6762262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01" w15:restartNumberingAfterBreak="0">
    <w:nsid w:val="6C386F69"/>
    <w:multiLevelType w:val="hybridMultilevel"/>
    <w:tmpl w:val="9FF61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6C413E15"/>
    <w:multiLevelType w:val="multilevel"/>
    <w:tmpl w:val="D6C4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3" w15:restartNumberingAfterBreak="0">
    <w:nsid w:val="6C960A49"/>
    <w:multiLevelType w:val="hybridMultilevel"/>
    <w:tmpl w:val="92B6F3E6"/>
    <w:lvl w:ilvl="0" w:tplc="4C2CB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4049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34C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4C7C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46B1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609F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40C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C48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A5ECE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6DAC25BB"/>
    <w:multiLevelType w:val="hybridMultilevel"/>
    <w:tmpl w:val="7E54E1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5" w15:restartNumberingAfterBreak="0">
    <w:nsid w:val="6FF972DF"/>
    <w:multiLevelType w:val="hybridMultilevel"/>
    <w:tmpl w:val="092660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6" w15:restartNumberingAfterBreak="0">
    <w:nsid w:val="70B9491F"/>
    <w:multiLevelType w:val="multilevel"/>
    <w:tmpl w:val="FD3CA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7" w15:restartNumberingAfterBreak="0">
    <w:nsid w:val="71481EFA"/>
    <w:multiLevelType w:val="multilevel"/>
    <w:tmpl w:val="31283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1E404A0"/>
    <w:multiLevelType w:val="hybridMultilevel"/>
    <w:tmpl w:val="2188D572"/>
    <w:lvl w:ilvl="0" w:tplc="EE50357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2172937"/>
    <w:multiLevelType w:val="hybridMultilevel"/>
    <w:tmpl w:val="AC0E4740"/>
    <w:lvl w:ilvl="0" w:tplc="D466C2EE">
      <w:start w:val="1"/>
      <w:numFmt w:val="bullet"/>
      <w:lvlText w:val="-"/>
      <w:lvlJc w:val="left"/>
      <w:pPr>
        <w:ind w:left="720" w:hanging="360"/>
      </w:pPr>
      <w:rPr>
        <w:rFonts w:ascii="&quot;Arial&quot;,sans-serif" w:hAnsi="&quot;Arial&quot;,sans-serif" w:hint="default"/>
      </w:rPr>
    </w:lvl>
    <w:lvl w:ilvl="1" w:tplc="DB4C9F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C88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382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B086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4EFC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28D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0E57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DAB3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25D2FB0"/>
    <w:multiLevelType w:val="hybridMultilevel"/>
    <w:tmpl w:val="64DCD8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 w15:restartNumberingAfterBreak="0">
    <w:nsid w:val="749F4D87"/>
    <w:multiLevelType w:val="hybridMultilevel"/>
    <w:tmpl w:val="09F41F2C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2" w15:restartNumberingAfterBreak="0">
    <w:nsid w:val="74AF29F5"/>
    <w:multiLevelType w:val="hybridMultilevel"/>
    <w:tmpl w:val="CBC4AD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4C4660B"/>
    <w:multiLevelType w:val="hybridMultilevel"/>
    <w:tmpl w:val="6B728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4" w15:restartNumberingAfterBreak="0">
    <w:nsid w:val="74F36579"/>
    <w:multiLevelType w:val="hybridMultilevel"/>
    <w:tmpl w:val="527482C8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5" w15:restartNumberingAfterBreak="0">
    <w:nsid w:val="752E3C6C"/>
    <w:multiLevelType w:val="multilevel"/>
    <w:tmpl w:val="97786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6" w15:restartNumberingAfterBreak="0">
    <w:nsid w:val="754F1B74"/>
    <w:multiLevelType w:val="hybridMultilevel"/>
    <w:tmpl w:val="CC183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7" w15:restartNumberingAfterBreak="0">
    <w:nsid w:val="75A17727"/>
    <w:multiLevelType w:val="hybridMultilevel"/>
    <w:tmpl w:val="E15ABA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72930D3"/>
    <w:multiLevelType w:val="hybridMultilevel"/>
    <w:tmpl w:val="B8867414"/>
    <w:lvl w:ilvl="0" w:tplc="911C50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2E3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34B0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E81F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C435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969D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24A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DABD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28E9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9" w15:restartNumberingAfterBreak="0">
    <w:nsid w:val="77316BB7"/>
    <w:multiLevelType w:val="hybridMultilevel"/>
    <w:tmpl w:val="381CEF9E"/>
    <w:lvl w:ilvl="0" w:tplc="268643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F494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BE92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346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006E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7EEAE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EC4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0FF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B85B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0" w15:restartNumberingAfterBreak="0">
    <w:nsid w:val="78E94296"/>
    <w:multiLevelType w:val="hybridMultilevel"/>
    <w:tmpl w:val="7CE256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9F92338"/>
    <w:multiLevelType w:val="hybridMultilevel"/>
    <w:tmpl w:val="78D4FD46"/>
    <w:lvl w:ilvl="0" w:tplc="E03048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73E07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D7F6926E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plc="30E2BDB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plc="E5DAA0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plc="826CEB1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plc="03E0270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plc="62023C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plc="CB60AF8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2" w15:restartNumberingAfterBreak="0">
    <w:nsid w:val="7C075D81"/>
    <w:multiLevelType w:val="hybridMultilevel"/>
    <w:tmpl w:val="F3D021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C4E105E"/>
    <w:multiLevelType w:val="hybridMultilevel"/>
    <w:tmpl w:val="2C76334C"/>
    <w:lvl w:ilvl="0" w:tplc="76342214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4" w15:restartNumberingAfterBreak="0">
    <w:nsid w:val="7CC032FF"/>
    <w:multiLevelType w:val="hybridMultilevel"/>
    <w:tmpl w:val="48066D8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5" w15:restartNumberingAfterBreak="0">
    <w:nsid w:val="7D527377"/>
    <w:multiLevelType w:val="hybridMultilevel"/>
    <w:tmpl w:val="9D3A46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7DAD1B12"/>
    <w:multiLevelType w:val="multilevel"/>
    <w:tmpl w:val="555E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7DEE61B0"/>
    <w:multiLevelType w:val="multilevel"/>
    <w:tmpl w:val="AD4A6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8" w15:restartNumberingAfterBreak="0">
    <w:nsid w:val="7EC05A0A"/>
    <w:multiLevelType w:val="hybridMultilevel"/>
    <w:tmpl w:val="0BAAF4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7ED75EB5"/>
    <w:multiLevelType w:val="hybridMultilevel"/>
    <w:tmpl w:val="297AA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0" w15:restartNumberingAfterBreak="0">
    <w:nsid w:val="7EF5504A"/>
    <w:multiLevelType w:val="hybridMultilevel"/>
    <w:tmpl w:val="E86C07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1" w15:restartNumberingAfterBreak="0">
    <w:nsid w:val="7F594298"/>
    <w:multiLevelType w:val="hybridMultilevel"/>
    <w:tmpl w:val="04EE7828"/>
    <w:lvl w:ilvl="0" w:tplc="F0CA0E6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26E3576">
      <w:start w:val="1"/>
      <w:numFmt w:val="lowerLetter"/>
      <w:lvlText w:val="%2."/>
      <w:lvlJc w:val="left"/>
      <w:pPr>
        <w:ind w:left="1080" w:hanging="360"/>
      </w:pPr>
    </w:lvl>
    <w:lvl w:ilvl="2" w:tplc="6958BEB2">
      <w:start w:val="1"/>
      <w:numFmt w:val="lowerRoman"/>
      <w:lvlText w:val="%3."/>
      <w:lvlJc w:val="right"/>
      <w:pPr>
        <w:ind w:left="1800" w:hanging="180"/>
      </w:pPr>
    </w:lvl>
    <w:lvl w:ilvl="3" w:tplc="46324950">
      <w:start w:val="1"/>
      <w:numFmt w:val="decimal"/>
      <w:lvlText w:val="%4."/>
      <w:lvlJc w:val="left"/>
      <w:pPr>
        <w:ind w:left="2520" w:hanging="360"/>
      </w:pPr>
    </w:lvl>
    <w:lvl w:ilvl="4" w:tplc="0936B0A4">
      <w:start w:val="1"/>
      <w:numFmt w:val="lowerLetter"/>
      <w:lvlText w:val="%5."/>
      <w:lvlJc w:val="left"/>
      <w:pPr>
        <w:ind w:left="3240" w:hanging="360"/>
      </w:pPr>
    </w:lvl>
    <w:lvl w:ilvl="5" w:tplc="F078E396">
      <w:start w:val="1"/>
      <w:numFmt w:val="lowerRoman"/>
      <w:lvlText w:val="%6."/>
      <w:lvlJc w:val="right"/>
      <w:pPr>
        <w:ind w:left="3960" w:hanging="180"/>
      </w:pPr>
    </w:lvl>
    <w:lvl w:ilvl="6" w:tplc="8A3A38DA">
      <w:start w:val="1"/>
      <w:numFmt w:val="decimal"/>
      <w:lvlText w:val="%7."/>
      <w:lvlJc w:val="left"/>
      <w:pPr>
        <w:ind w:left="4680" w:hanging="360"/>
      </w:pPr>
    </w:lvl>
    <w:lvl w:ilvl="7" w:tplc="541E99AA">
      <w:start w:val="1"/>
      <w:numFmt w:val="lowerLetter"/>
      <w:lvlText w:val="%8."/>
      <w:lvlJc w:val="left"/>
      <w:pPr>
        <w:ind w:left="5400" w:hanging="360"/>
      </w:pPr>
    </w:lvl>
    <w:lvl w:ilvl="8" w:tplc="7C3229FA">
      <w:start w:val="1"/>
      <w:numFmt w:val="lowerRoman"/>
      <w:lvlText w:val="%9."/>
      <w:lvlJc w:val="right"/>
      <w:pPr>
        <w:ind w:left="6120" w:hanging="180"/>
      </w:pPr>
    </w:lvl>
  </w:abstractNum>
  <w:abstractNum w:abstractNumId="232" w15:restartNumberingAfterBreak="0">
    <w:nsid w:val="7F786EDC"/>
    <w:multiLevelType w:val="hybridMultilevel"/>
    <w:tmpl w:val="87D2E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164"/>
  </w:num>
  <w:num w:numId="3">
    <w:abstractNumId w:val="150"/>
  </w:num>
  <w:num w:numId="4">
    <w:abstractNumId w:val="6"/>
  </w:num>
  <w:num w:numId="5">
    <w:abstractNumId w:val="172"/>
  </w:num>
  <w:num w:numId="6">
    <w:abstractNumId w:val="79"/>
  </w:num>
  <w:num w:numId="7">
    <w:abstractNumId w:val="51"/>
  </w:num>
  <w:num w:numId="8">
    <w:abstractNumId w:val="41"/>
  </w:num>
  <w:num w:numId="9">
    <w:abstractNumId w:val="71"/>
  </w:num>
  <w:num w:numId="10">
    <w:abstractNumId w:val="45"/>
  </w:num>
  <w:num w:numId="11">
    <w:abstractNumId w:val="45"/>
    <w:lvlOverride w:ilvl="0">
      <w:lvl w:ilvl="0">
        <w:start w:val="1"/>
        <w:numFmt w:val="none"/>
        <w:pStyle w:val="Nadpis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1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2">
    <w:abstractNumId w:val="114"/>
  </w:num>
  <w:num w:numId="13">
    <w:abstractNumId w:val="147"/>
  </w:num>
  <w:num w:numId="14">
    <w:abstractNumId w:val="159"/>
  </w:num>
  <w:num w:numId="15">
    <w:abstractNumId w:val="92"/>
  </w:num>
  <w:num w:numId="16">
    <w:abstractNumId w:val="93"/>
  </w:num>
  <w:num w:numId="17">
    <w:abstractNumId w:val="42"/>
  </w:num>
  <w:num w:numId="18">
    <w:abstractNumId w:val="188"/>
  </w:num>
  <w:num w:numId="19">
    <w:abstractNumId w:val="70"/>
  </w:num>
  <w:num w:numId="20">
    <w:abstractNumId w:val="195"/>
  </w:num>
  <w:num w:numId="21">
    <w:abstractNumId w:val="4"/>
  </w:num>
  <w:num w:numId="22">
    <w:abstractNumId w:val="5"/>
  </w:num>
  <w:num w:numId="23">
    <w:abstractNumId w:val="225"/>
  </w:num>
  <w:num w:numId="24">
    <w:abstractNumId w:val="85"/>
  </w:num>
  <w:num w:numId="25">
    <w:abstractNumId w:val="3"/>
  </w:num>
  <w:num w:numId="26">
    <w:abstractNumId w:val="203"/>
  </w:num>
  <w:num w:numId="27">
    <w:abstractNumId w:val="180"/>
  </w:num>
  <w:num w:numId="28">
    <w:abstractNumId w:val="1"/>
  </w:num>
  <w:num w:numId="29">
    <w:abstractNumId w:val="197"/>
  </w:num>
  <w:num w:numId="30">
    <w:abstractNumId w:val="161"/>
  </w:num>
  <w:num w:numId="31">
    <w:abstractNumId w:val="48"/>
  </w:num>
  <w:num w:numId="32">
    <w:abstractNumId w:val="100"/>
  </w:num>
  <w:num w:numId="33">
    <w:abstractNumId w:val="52"/>
  </w:num>
  <w:num w:numId="34">
    <w:abstractNumId w:val="7"/>
  </w:num>
  <w:num w:numId="35">
    <w:abstractNumId w:val="77"/>
  </w:num>
  <w:num w:numId="36">
    <w:abstractNumId w:val="110"/>
  </w:num>
  <w:num w:numId="37">
    <w:abstractNumId w:val="227"/>
  </w:num>
  <w:num w:numId="38">
    <w:abstractNumId w:val="84"/>
  </w:num>
  <w:num w:numId="39">
    <w:abstractNumId w:val="21"/>
  </w:num>
  <w:num w:numId="40">
    <w:abstractNumId w:val="28"/>
  </w:num>
  <w:num w:numId="41">
    <w:abstractNumId w:val="215"/>
  </w:num>
  <w:num w:numId="42">
    <w:abstractNumId w:val="60"/>
  </w:num>
  <w:num w:numId="43">
    <w:abstractNumId w:val="63"/>
  </w:num>
  <w:num w:numId="44">
    <w:abstractNumId w:val="137"/>
  </w:num>
  <w:num w:numId="45">
    <w:abstractNumId w:val="226"/>
  </w:num>
  <w:num w:numId="46">
    <w:abstractNumId w:val="193"/>
  </w:num>
  <w:num w:numId="47">
    <w:abstractNumId w:val="207"/>
  </w:num>
  <w:num w:numId="48">
    <w:abstractNumId w:val="46"/>
  </w:num>
  <w:num w:numId="49">
    <w:abstractNumId w:val="109"/>
  </w:num>
  <w:num w:numId="50">
    <w:abstractNumId w:val="142"/>
  </w:num>
  <w:num w:numId="51">
    <w:abstractNumId w:val="126"/>
  </w:num>
  <w:num w:numId="52">
    <w:abstractNumId w:val="89"/>
  </w:num>
  <w:num w:numId="53">
    <w:abstractNumId w:val="170"/>
  </w:num>
  <w:num w:numId="54">
    <w:abstractNumId w:val="165"/>
  </w:num>
  <w:num w:numId="55">
    <w:abstractNumId w:val="153"/>
  </w:num>
  <w:num w:numId="56">
    <w:abstractNumId w:val="35"/>
  </w:num>
  <w:num w:numId="57">
    <w:abstractNumId w:val="99"/>
  </w:num>
  <w:num w:numId="58">
    <w:abstractNumId w:val="27"/>
  </w:num>
  <w:num w:numId="59">
    <w:abstractNumId w:val="30"/>
  </w:num>
  <w:num w:numId="60">
    <w:abstractNumId w:val="228"/>
  </w:num>
  <w:num w:numId="61">
    <w:abstractNumId w:val="44"/>
  </w:num>
  <w:num w:numId="62">
    <w:abstractNumId w:val="191"/>
  </w:num>
  <w:num w:numId="63">
    <w:abstractNumId w:val="10"/>
  </w:num>
  <w:num w:numId="64">
    <w:abstractNumId w:val="53"/>
  </w:num>
  <w:num w:numId="65">
    <w:abstractNumId w:val="50"/>
  </w:num>
  <w:num w:numId="66">
    <w:abstractNumId w:val="139"/>
  </w:num>
  <w:num w:numId="67">
    <w:abstractNumId w:val="120"/>
  </w:num>
  <w:num w:numId="68">
    <w:abstractNumId w:val="54"/>
  </w:num>
  <w:num w:numId="69">
    <w:abstractNumId w:val="38"/>
  </w:num>
  <w:num w:numId="70">
    <w:abstractNumId w:val="118"/>
  </w:num>
  <w:num w:numId="71">
    <w:abstractNumId w:val="210"/>
  </w:num>
  <w:num w:numId="72">
    <w:abstractNumId w:val="119"/>
  </w:num>
  <w:num w:numId="73">
    <w:abstractNumId w:val="33"/>
  </w:num>
  <w:num w:numId="74">
    <w:abstractNumId w:val="116"/>
  </w:num>
  <w:num w:numId="75">
    <w:abstractNumId w:val="182"/>
  </w:num>
  <w:num w:numId="76">
    <w:abstractNumId w:val="154"/>
  </w:num>
  <w:num w:numId="77">
    <w:abstractNumId w:val="104"/>
  </w:num>
  <w:num w:numId="78">
    <w:abstractNumId w:val="124"/>
  </w:num>
  <w:num w:numId="79">
    <w:abstractNumId w:val="75"/>
  </w:num>
  <w:num w:numId="80">
    <w:abstractNumId w:val="128"/>
  </w:num>
  <w:num w:numId="81">
    <w:abstractNumId w:val="115"/>
  </w:num>
  <w:num w:numId="82">
    <w:abstractNumId w:val="23"/>
  </w:num>
  <w:num w:numId="83">
    <w:abstractNumId w:val="1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56"/>
  </w:num>
  <w:num w:numId="85">
    <w:abstractNumId w:val="131"/>
  </w:num>
  <w:num w:numId="86">
    <w:abstractNumId w:val="113"/>
  </w:num>
  <w:num w:numId="87">
    <w:abstractNumId w:val="86"/>
  </w:num>
  <w:num w:numId="88">
    <w:abstractNumId w:val="183"/>
  </w:num>
  <w:num w:numId="89">
    <w:abstractNumId w:val="122"/>
  </w:num>
  <w:num w:numId="90">
    <w:abstractNumId w:val="219"/>
  </w:num>
  <w:num w:numId="91">
    <w:abstractNumId w:val="173"/>
  </w:num>
  <w:num w:numId="92">
    <w:abstractNumId w:val="19"/>
  </w:num>
  <w:num w:numId="93">
    <w:abstractNumId w:val="105"/>
  </w:num>
  <w:num w:numId="94">
    <w:abstractNumId w:val="78"/>
  </w:num>
  <w:num w:numId="95">
    <w:abstractNumId w:val="175"/>
  </w:num>
  <w:num w:numId="96">
    <w:abstractNumId w:val="8"/>
  </w:num>
  <w:num w:numId="97">
    <w:abstractNumId w:val="141"/>
  </w:num>
  <w:num w:numId="98">
    <w:abstractNumId w:val="97"/>
  </w:num>
  <w:num w:numId="99">
    <w:abstractNumId w:val="125"/>
  </w:num>
  <w:num w:numId="100">
    <w:abstractNumId w:val="123"/>
  </w:num>
  <w:num w:numId="101">
    <w:abstractNumId w:val="67"/>
  </w:num>
  <w:num w:numId="102">
    <w:abstractNumId w:val="9"/>
  </w:num>
  <w:num w:numId="103">
    <w:abstractNumId w:val="66"/>
  </w:num>
  <w:num w:numId="104">
    <w:abstractNumId w:val="160"/>
  </w:num>
  <w:num w:numId="105">
    <w:abstractNumId w:val="96"/>
  </w:num>
  <w:num w:numId="106">
    <w:abstractNumId w:val="158"/>
  </w:num>
  <w:num w:numId="107">
    <w:abstractNumId w:val="34"/>
  </w:num>
  <w:num w:numId="108">
    <w:abstractNumId w:val="13"/>
  </w:num>
  <w:num w:numId="109">
    <w:abstractNumId w:val="107"/>
  </w:num>
  <w:num w:numId="110">
    <w:abstractNumId w:val="231"/>
  </w:num>
  <w:num w:numId="111">
    <w:abstractNumId w:val="146"/>
  </w:num>
  <w:num w:numId="112">
    <w:abstractNumId w:val="73"/>
  </w:num>
  <w:num w:numId="113">
    <w:abstractNumId w:val="14"/>
  </w:num>
  <w:num w:numId="114">
    <w:abstractNumId w:val="133"/>
  </w:num>
  <w:num w:numId="115">
    <w:abstractNumId w:val="209"/>
  </w:num>
  <w:num w:numId="116">
    <w:abstractNumId w:val="218"/>
  </w:num>
  <w:num w:numId="117">
    <w:abstractNumId w:val="127"/>
  </w:num>
  <w:num w:numId="118">
    <w:abstractNumId w:val="143"/>
  </w:num>
  <w:num w:numId="119">
    <w:abstractNumId w:val="25"/>
  </w:num>
  <w:num w:numId="120">
    <w:abstractNumId w:val="24"/>
  </w:num>
  <w:num w:numId="121">
    <w:abstractNumId w:val="222"/>
  </w:num>
  <w:num w:numId="122">
    <w:abstractNumId w:val="181"/>
  </w:num>
  <w:num w:numId="123">
    <w:abstractNumId w:val="212"/>
  </w:num>
  <w:num w:numId="124">
    <w:abstractNumId w:val="186"/>
  </w:num>
  <w:num w:numId="125">
    <w:abstractNumId w:val="101"/>
  </w:num>
  <w:num w:numId="126">
    <w:abstractNumId w:val="20"/>
  </w:num>
  <w:num w:numId="127">
    <w:abstractNumId w:val="81"/>
  </w:num>
  <w:num w:numId="128">
    <w:abstractNumId w:val="178"/>
  </w:num>
  <w:num w:numId="129">
    <w:abstractNumId w:val="76"/>
  </w:num>
  <w:num w:numId="130">
    <w:abstractNumId w:val="58"/>
  </w:num>
  <w:num w:numId="131">
    <w:abstractNumId w:val="176"/>
  </w:num>
  <w:num w:numId="132">
    <w:abstractNumId w:val="138"/>
  </w:num>
  <w:num w:numId="133">
    <w:abstractNumId w:val="229"/>
  </w:num>
  <w:num w:numId="134">
    <w:abstractNumId w:val="98"/>
  </w:num>
  <w:num w:numId="135">
    <w:abstractNumId w:val="232"/>
  </w:num>
  <w:num w:numId="136">
    <w:abstractNumId w:val="61"/>
  </w:num>
  <w:num w:numId="137">
    <w:abstractNumId w:val="230"/>
  </w:num>
  <w:num w:numId="138">
    <w:abstractNumId w:val="83"/>
  </w:num>
  <w:num w:numId="139">
    <w:abstractNumId w:val="32"/>
  </w:num>
  <w:num w:numId="140">
    <w:abstractNumId w:val="16"/>
  </w:num>
  <w:num w:numId="141">
    <w:abstractNumId w:val="132"/>
  </w:num>
  <w:num w:numId="142">
    <w:abstractNumId w:val="167"/>
  </w:num>
  <w:num w:numId="143">
    <w:abstractNumId w:val="12"/>
  </w:num>
  <w:num w:numId="144">
    <w:abstractNumId w:val="39"/>
  </w:num>
  <w:num w:numId="145">
    <w:abstractNumId w:val="185"/>
  </w:num>
  <w:num w:numId="146">
    <w:abstractNumId w:val="204"/>
  </w:num>
  <w:num w:numId="147">
    <w:abstractNumId w:val="149"/>
  </w:num>
  <w:num w:numId="148">
    <w:abstractNumId w:val="144"/>
  </w:num>
  <w:num w:numId="149">
    <w:abstractNumId w:val="59"/>
  </w:num>
  <w:num w:numId="150">
    <w:abstractNumId w:val="152"/>
  </w:num>
  <w:num w:numId="151">
    <w:abstractNumId w:val="224"/>
  </w:num>
  <w:num w:numId="152">
    <w:abstractNumId w:val="55"/>
  </w:num>
  <w:num w:numId="153">
    <w:abstractNumId w:val="201"/>
  </w:num>
  <w:num w:numId="154">
    <w:abstractNumId w:val="90"/>
  </w:num>
  <w:num w:numId="155">
    <w:abstractNumId w:val="68"/>
  </w:num>
  <w:num w:numId="156">
    <w:abstractNumId w:val="106"/>
  </w:num>
  <w:num w:numId="157">
    <w:abstractNumId w:val="135"/>
  </w:num>
  <w:num w:numId="158">
    <w:abstractNumId w:val="26"/>
  </w:num>
  <w:num w:numId="159">
    <w:abstractNumId w:val="91"/>
  </w:num>
  <w:num w:numId="160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211"/>
  </w:num>
  <w:num w:numId="162">
    <w:abstractNumId w:val="151"/>
  </w:num>
  <w:num w:numId="163">
    <w:abstractNumId w:val="208"/>
  </w:num>
  <w:num w:numId="164">
    <w:abstractNumId w:val="199"/>
  </w:num>
  <w:num w:numId="165">
    <w:abstractNumId w:val="80"/>
  </w:num>
  <w:num w:numId="166">
    <w:abstractNumId w:val="168"/>
  </w:num>
  <w:num w:numId="167">
    <w:abstractNumId w:val="82"/>
  </w:num>
  <w:num w:numId="168">
    <w:abstractNumId w:val="69"/>
  </w:num>
  <w:num w:numId="169">
    <w:abstractNumId w:val="166"/>
  </w:num>
  <w:num w:numId="170">
    <w:abstractNumId w:val="129"/>
  </w:num>
  <w:num w:numId="171">
    <w:abstractNumId w:val="174"/>
  </w:num>
  <w:num w:numId="172">
    <w:abstractNumId w:val="220"/>
  </w:num>
  <w:num w:numId="173">
    <w:abstractNumId w:val="189"/>
  </w:num>
  <w:num w:numId="174">
    <w:abstractNumId w:val="2"/>
  </w:num>
  <w:num w:numId="175">
    <w:abstractNumId w:val="74"/>
  </w:num>
  <w:num w:numId="176">
    <w:abstractNumId w:val="134"/>
  </w:num>
  <w:num w:numId="177">
    <w:abstractNumId w:val="148"/>
  </w:num>
  <w:num w:numId="178">
    <w:abstractNumId w:val="156"/>
  </w:num>
  <w:num w:numId="179">
    <w:abstractNumId w:val="108"/>
  </w:num>
  <w:num w:numId="180">
    <w:abstractNumId w:val="103"/>
  </w:num>
  <w:num w:numId="181">
    <w:abstractNumId w:val="36"/>
  </w:num>
  <w:num w:numId="182">
    <w:abstractNumId w:val="40"/>
  </w:num>
  <w:num w:numId="183">
    <w:abstractNumId w:val="190"/>
  </w:num>
  <w:num w:numId="184">
    <w:abstractNumId w:val="213"/>
  </w:num>
  <w:num w:numId="185">
    <w:abstractNumId w:val="136"/>
  </w:num>
  <w:num w:numId="186">
    <w:abstractNumId w:val="196"/>
  </w:num>
  <w:num w:numId="187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65"/>
  </w:num>
  <w:num w:numId="190">
    <w:abstractNumId w:val="94"/>
  </w:num>
  <w:num w:numId="191">
    <w:abstractNumId w:val="217"/>
  </w:num>
  <w:num w:numId="192">
    <w:abstractNumId w:val="102"/>
  </w:num>
  <w:num w:numId="193">
    <w:abstractNumId w:val="130"/>
  </w:num>
  <w:num w:numId="194">
    <w:abstractNumId w:val="223"/>
  </w:num>
  <w:num w:numId="195">
    <w:abstractNumId w:val="57"/>
  </w:num>
  <w:num w:numId="196">
    <w:abstractNumId w:val="11"/>
  </w:num>
  <w:num w:numId="197">
    <w:abstractNumId w:val="64"/>
  </w:num>
  <w:num w:numId="198">
    <w:abstractNumId w:val="202"/>
  </w:num>
  <w:num w:numId="199">
    <w:abstractNumId w:val="111"/>
  </w:num>
  <w:num w:numId="200">
    <w:abstractNumId w:val="198"/>
  </w:num>
  <w:num w:numId="201">
    <w:abstractNumId w:val="206"/>
  </w:num>
  <w:num w:numId="202">
    <w:abstractNumId w:val="17"/>
  </w:num>
  <w:num w:numId="203">
    <w:abstractNumId w:val="49"/>
  </w:num>
  <w:num w:numId="204">
    <w:abstractNumId w:val="145"/>
  </w:num>
  <w:num w:numId="205">
    <w:abstractNumId w:val="184"/>
  </w:num>
  <w:num w:numId="206">
    <w:abstractNumId w:val="163"/>
  </w:num>
  <w:num w:numId="207">
    <w:abstractNumId w:val="221"/>
  </w:num>
  <w:num w:numId="208">
    <w:abstractNumId w:val="171"/>
  </w:num>
  <w:num w:numId="209">
    <w:abstractNumId w:val="18"/>
  </w:num>
  <w:num w:numId="210">
    <w:abstractNumId w:val="214"/>
  </w:num>
  <w:num w:numId="211">
    <w:abstractNumId w:val="200"/>
  </w:num>
  <w:num w:numId="212">
    <w:abstractNumId w:val="194"/>
  </w:num>
  <w:num w:numId="213">
    <w:abstractNumId w:val="155"/>
  </w:num>
  <w:num w:numId="214">
    <w:abstractNumId w:val="62"/>
  </w:num>
  <w:num w:numId="215">
    <w:abstractNumId w:val="140"/>
  </w:num>
  <w:num w:numId="216">
    <w:abstractNumId w:val="216"/>
  </w:num>
  <w:num w:numId="217">
    <w:abstractNumId w:val="31"/>
  </w:num>
  <w:num w:numId="218">
    <w:abstractNumId w:val="112"/>
  </w:num>
  <w:num w:numId="219">
    <w:abstractNumId w:val="169"/>
  </w:num>
  <w:num w:numId="220">
    <w:abstractNumId w:val="187"/>
  </w:num>
  <w:num w:numId="221">
    <w:abstractNumId w:val="15"/>
  </w:num>
  <w:num w:numId="222">
    <w:abstractNumId w:val="37"/>
  </w:num>
  <w:num w:numId="223">
    <w:abstractNumId w:val="205"/>
  </w:num>
  <w:num w:numId="224">
    <w:abstractNumId w:val="22"/>
  </w:num>
  <w:num w:numId="225">
    <w:abstractNumId w:val="43"/>
  </w:num>
  <w:num w:numId="226">
    <w:abstractNumId w:val="179"/>
  </w:num>
  <w:num w:numId="227">
    <w:abstractNumId w:val="192"/>
  </w:num>
  <w:num w:numId="228">
    <w:abstractNumId w:val="88"/>
  </w:num>
  <w:num w:numId="229">
    <w:abstractNumId w:val="157"/>
  </w:num>
  <w:num w:numId="230">
    <w:abstractNumId w:val="117"/>
  </w:num>
  <w:num w:numId="231">
    <w:abstractNumId w:val="45"/>
  </w:num>
  <w:num w:numId="232">
    <w:abstractNumId w:val="0"/>
  </w:num>
  <w:num w:numId="233">
    <w:abstractNumId w:val="95"/>
  </w:num>
  <w:num w:numId="234">
    <w:abstractNumId w:val="87"/>
  </w:num>
  <w:num w:numId="235">
    <w:abstractNumId w:val="162"/>
  </w:num>
  <w:num w:numId="236">
    <w:abstractNumId w:val="121"/>
  </w:num>
  <w:num w:numId="237">
    <w:abstractNumId w:val="72"/>
  </w:num>
  <w:numIdMacAtCleanup w:val="2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proofState w:spelling="clean" w:grammar="clean"/>
  <w:attachedTemplate r:id="rId1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084"/>
    <w:rsid w:val="00011E16"/>
    <w:rsid w:val="00012CEA"/>
    <w:rsid w:val="00015CE4"/>
    <w:rsid w:val="0002519F"/>
    <w:rsid w:val="0002674B"/>
    <w:rsid w:val="000304C5"/>
    <w:rsid w:val="00040430"/>
    <w:rsid w:val="0004162E"/>
    <w:rsid w:val="000460F8"/>
    <w:rsid w:val="0004786B"/>
    <w:rsid w:val="00047F03"/>
    <w:rsid w:val="00061096"/>
    <w:rsid w:val="00063405"/>
    <w:rsid w:val="00064FB7"/>
    <w:rsid w:val="00065FFD"/>
    <w:rsid w:val="000737B6"/>
    <w:rsid w:val="000809B9"/>
    <w:rsid w:val="000849E0"/>
    <w:rsid w:val="00087A2B"/>
    <w:rsid w:val="00090B40"/>
    <w:rsid w:val="000913CD"/>
    <w:rsid w:val="00095A0A"/>
    <w:rsid w:val="00096511"/>
    <w:rsid w:val="000A0730"/>
    <w:rsid w:val="000A58A6"/>
    <w:rsid w:val="000B17DB"/>
    <w:rsid w:val="000B1B3D"/>
    <w:rsid w:val="000B3E85"/>
    <w:rsid w:val="000B4961"/>
    <w:rsid w:val="000B5901"/>
    <w:rsid w:val="000C1477"/>
    <w:rsid w:val="000C1F51"/>
    <w:rsid w:val="000C4CAF"/>
    <w:rsid w:val="000D22E0"/>
    <w:rsid w:val="000D47BD"/>
    <w:rsid w:val="000E0BF4"/>
    <w:rsid w:val="000E35BA"/>
    <w:rsid w:val="000E75D3"/>
    <w:rsid w:val="000F155B"/>
    <w:rsid w:val="000F4BF9"/>
    <w:rsid w:val="001057B2"/>
    <w:rsid w:val="00116B80"/>
    <w:rsid w:val="00121485"/>
    <w:rsid w:val="00123A51"/>
    <w:rsid w:val="0012550F"/>
    <w:rsid w:val="00137447"/>
    <w:rsid w:val="00153508"/>
    <w:rsid w:val="00154EB2"/>
    <w:rsid w:val="00165A0E"/>
    <w:rsid w:val="00170074"/>
    <w:rsid w:val="00174CDE"/>
    <w:rsid w:val="0017602D"/>
    <w:rsid w:val="0018051B"/>
    <w:rsid w:val="001836E1"/>
    <w:rsid w:val="001967BB"/>
    <w:rsid w:val="001A2E96"/>
    <w:rsid w:val="001A797B"/>
    <w:rsid w:val="001B1E4A"/>
    <w:rsid w:val="001B6E21"/>
    <w:rsid w:val="001B7F39"/>
    <w:rsid w:val="001C617E"/>
    <w:rsid w:val="001D27C0"/>
    <w:rsid w:val="001E55BB"/>
    <w:rsid w:val="001E7299"/>
    <w:rsid w:val="001E74C3"/>
    <w:rsid w:val="001F1E27"/>
    <w:rsid w:val="001F6937"/>
    <w:rsid w:val="002118B6"/>
    <w:rsid w:val="00217614"/>
    <w:rsid w:val="00220DE3"/>
    <w:rsid w:val="00230123"/>
    <w:rsid w:val="002348AE"/>
    <w:rsid w:val="00240208"/>
    <w:rsid w:val="00243E71"/>
    <w:rsid w:val="00244664"/>
    <w:rsid w:val="002501E0"/>
    <w:rsid w:val="0025290D"/>
    <w:rsid w:val="00253D48"/>
    <w:rsid w:val="00254FF5"/>
    <w:rsid w:val="00260372"/>
    <w:rsid w:val="00261952"/>
    <w:rsid w:val="00261C3D"/>
    <w:rsid w:val="00262DAF"/>
    <w:rsid w:val="00266EBF"/>
    <w:rsid w:val="002677C4"/>
    <w:rsid w:val="002755A9"/>
    <w:rsid w:val="002767A9"/>
    <w:rsid w:val="00292FA2"/>
    <w:rsid w:val="002A33D2"/>
    <w:rsid w:val="002A457B"/>
    <w:rsid w:val="002A70A3"/>
    <w:rsid w:val="002A784F"/>
    <w:rsid w:val="002B3084"/>
    <w:rsid w:val="002B4F64"/>
    <w:rsid w:val="002B50EE"/>
    <w:rsid w:val="002C00B6"/>
    <w:rsid w:val="002C0BDB"/>
    <w:rsid w:val="002D32AD"/>
    <w:rsid w:val="002D392C"/>
    <w:rsid w:val="002D4BBC"/>
    <w:rsid w:val="002E2442"/>
    <w:rsid w:val="002F0E8C"/>
    <w:rsid w:val="002F5C22"/>
    <w:rsid w:val="002F7E3D"/>
    <w:rsid w:val="00303B13"/>
    <w:rsid w:val="00310FA0"/>
    <w:rsid w:val="00320481"/>
    <w:rsid w:val="00321BA2"/>
    <w:rsid w:val="00322A36"/>
    <w:rsid w:val="003250CB"/>
    <w:rsid w:val="00341390"/>
    <w:rsid w:val="00341782"/>
    <w:rsid w:val="00343DCE"/>
    <w:rsid w:val="0034582A"/>
    <w:rsid w:val="003466D7"/>
    <w:rsid w:val="0035462C"/>
    <w:rsid w:val="003547F3"/>
    <w:rsid w:val="0035647D"/>
    <w:rsid w:val="00363201"/>
    <w:rsid w:val="003701A4"/>
    <w:rsid w:val="00375F1F"/>
    <w:rsid w:val="003763A2"/>
    <w:rsid w:val="00386254"/>
    <w:rsid w:val="0039063C"/>
    <w:rsid w:val="003A17B4"/>
    <w:rsid w:val="003A3366"/>
    <w:rsid w:val="003A46A8"/>
    <w:rsid w:val="003A7EBE"/>
    <w:rsid w:val="003B3100"/>
    <w:rsid w:val="003B565A"/>
    <w:rsid w:val="003C5414"/>
    <w:rsid w:val="003C700D"/>
    <w:rsid w:val="003E75DA"/>
    <w:rsid w:val="003E7635"/>
    <w:rsid w:val="003F2D84"/>
    <w:rsid w:val="00400408"/>
    <w:rsid w:val="00400502"/>
    <w:rsid w:val="0040182E"/>
    <w:rsid w:val="004136D9"/>
    <w:rsid w:val="0041427F"/>
    <w:rsid w:val="0042190B"/>
    <w:rsid w:val="00422958"/>
    <w:rsid w:val="0042456E"/>
    <w:rsid w:val="00427DB0"/>
    <w:rsid w:val="00437ABA"/>
    <w:rsid w:val="004412C8"/>
    <w:rsid w:val="00443196"/>
    <w:rsid w:val="00445125"/>
    <w:rsid w:val="004457EA"/>
    <w:rsid w:val="004467AA"/>
    <w:rsid w:val="00450492"/>
    <w:rsid w:val="004509E5"/>
    <w:rsid w:val="00455594"/>
    <w:rsid w:val="00455B67"/>
    <w:rsid w:val="00456A7C"/>
    <w:rsid w:val="004634D8"/>
    <w:rsid w:val="00475018"/>
    <w:rsid w:val="0048151C"/>
    <w:rsid w:val="0048233C"/>
    <w:rsid w:val="00482E87"/>
    <w:rsid w:val="00484068"/>
    <w:rsid w:val="0048498C"/>
    <w:rsid w:val="00486FB9"/>
    <w:rsid w:val="00495DA1"/>
    <w:rsid w:val="004A7F97"/>
    <w:rsid w:val="004B5B33"/>
    <w:rsid w:val="004B7BA8"/>
    <w:rsid w:val="004C1832"/>
    <w:rsid w:val="004C212A"/>
    <w:rsid w:val="004C2FE0"/>
    <w:rsid w:val="004C71E4"/>
    <w:rsid w:val="004D4989"/>
    <w:rsid w:val="004D7811"/>
    <w:rsid w:val="004E6EB1"/>
    <w:rsid w:val="004F2270"/>
    <w:rsid w:val="004F3625"/>
    <w:rsid w:val="00500232"/>
    <w:rsid w:val="00504668"/>
    <w:rsid w:val="00505945"/>
    <w:rsid w:val="0050633D"/>
    <w:rsid w:val="00511736"/>
    <w:rsid w:val="00517549"/>
    <w:rsid w:val="00520B41"/>
    <w:rsid w:val="00523644"/>
    <w:rsid w:val="00524C56"/>
    <w:rsid w:val="0052746F"/>
    <w:rsid w:val="00535A6F"/>
    <w:rsid w:val="00535CE0"/>
    <w:rsid w:val="00542BB8"/>
    <w:rsid w:val="005455E1"/>
    <w:rsid w:val="005502BD"/>
    <w:rsid w:val="00556787"/>
    <w:rsid w:val="00562881"/>
    <w:rsid w:val="005769D6"/>
    <w:rsid w:val="005943AD"/>
    <w:rsid w:val="005954D4"/>
    <w:rsid w:val="00596825"/>
    <w:rsid w:val="005A27A2"/>
    <w:rsid w:val="005A5256"/>
    <w:rsid w:val="005B2771"/>
    <w:rsid w:val="005B387A"/>
    <w:rsid w:val="005C1CD9"/>
    <w:rsid w:val="005C2560"/>
    <w:rsid w:val="005C4FB7"/>
    <w:rsid w:val="005E6AD7"/>
    <w:rsid w:val="005F526B"/>
    <w:rsid w:val="005F602A"/>
    <w:rsid w:val="005F7543"/>
    <w:rsid w:val="005F7585"/>
    <w:rsid w:val="0060344B"/>
    <w:rsid w:val="00610C49"/>
    <w:rsid w:val="00621BB7"/>
    <w:rsid w:val="0062461C"/>
    <w:rsid w:val="00624ECB"/>
    <w:rsid w:val="00645C9D"/>
    <w:rsid w:val="00647B2D"/>
    <w:rsid w:val="00650C6C"/>
    <w:rsid w:val="00652FE6"/>
    <w:rsid w:val="00653CB9"/>
    <w:rsid w:val="006548ED"/>
    <w:rsid w:val="00657A4A"/>
    <w:rsid w:val="00664670"/>
    <w:rsid w:val="00670468"/>
    <w:rsid w:val="00677048"/>
    <w:rsid w:val="0068437C"/>
    <w:rsid w:val="00694969"/>
    <w:rsid w:val="006B7208"/>
    <w:rsid w:val="006C146B"/>
    <w:rsid w:val="006D04EF"/>
    <w:rsid w:val="006D3F2D"/>
    <w:rsid w:val="006D6CA9"/>
    <w:rsid w:val="006E2FB0"/>
    <w:rsid w:val="00705DC6"/>
    <w:rsid w:val="007102D2"/>
    <w:rsid w:val="00713948"/>
    <w:rsid w:val="00720D4E"/>
    <w:rsid w:val="00725693"/>
    <w:rsid w:val="00727FAA"/>
    <w:rsid w:val="0073550F"/>
    <w:rsid w:val="00746805"/>
    <w:rsid w:val="00747DD8"/>
    <w:rsid w:val="00751C89"/>
    <w:rsid w:val="00753A27"/>
    <w:rsid w:val="007546BA"/>
    <w:rsid w:val="00757A6F"/>
    <w:rsid w:val="00757EE5"/>
    <w:rsid w:val="00764B62"/>
    <w:rsid w:val="00765381"/>
    <w:rsid w:val="00765514"/>
    <w:rsid w:val="00770320"/>
    <w:rsid w:val="00772309"/>
    <w:rsid w:val="00772A1B"/>
    <w:rsid w:val="007732FC"/>
    <w:rsid w:val="0079342A"/>
    <w:rsid w:val="0079382D"/>
    <w:rsid w:val="007A7FC1"/>
    <w:rsid w:val="007B4949"/>
    <w:rsid w:val="007B6853"/>
    <w:rsid w:val="007B6CF7"/>
    <w:rsid w:val="007B7CD6"/>
    <w:rsid w:val="007C7035"/>
    <w:rsid w:val="007CF47A"/>
    <w:rsid w:val="007E4530"/>
    <w:rsid w:val="007E6D97"/>
    <w:rsid w:val="007F0BC6"/>
    <w:rsid w:val="007F2140"/>
    <w:rsid w:val="007F3563"/>
    <w:rsid w:val="00800376"/>
    <w:rsid w:val="00801B1F"/>
    <w:rsid w:val="0080308C"/>
    <w:rsid w:val="0082768B"/>
    <w:rsid w:val="00831374"/>
    <w:rsid w:val="00832AE2"/>
    <w:rsid w:val="00834FE1"/>
    <w:rsid w:val="00842896"/>
    <w:rsid w:val="00857580"/>
    <w:rsid w:val="00865238"/>
    <w:rsid w:val="008667BF"/>
    <w:rsid w:val="00884E7D"/>
    <w:rsid w:val="00886B9F"/>
    <w:rsid w:val="008906BC"/>
    <w:rsid w:val="00895645"/>
    <w:rsid w:val="00896764"/>
    <w:rsid w:val="008A0902"/>
    <w:rsid w:val="008A5B73"/>
    <w:rsid w:val="008A6221"/>
    <w:rsid w:val="008A7917"/>
    <w:rsid w:val="008B032D"/>
    <w:rsid w:val="008B2B92"/>
    <w:rsid w:val="008B65B6"/>
    <w:rsid w:val="008C1949"/>
    <w:rsid w:val="008C3782"/>
    <w:rsid w:val="008C747D"/>
    <w:rsid w:val="008D4A32"/>
    <w:rsid w:val="008D593A"/>
    <w:rsid w:val="008E0B36"/>
    <w:rsid w:val="008E5388"/>
    <w:rsid w:val="008E700B"/>
    <w:rsid w:val="008E7760"/>
    <w:rsid w:val="008E785C"/>
    <w:rsid w:val="00907769"/>
    <w:rsid w:val="00916DCB"/>
    <w:rsid w:val="00922001"/>
    <w:rsid w:val="00922C17"/>
    <w:rsid w:val="009303FA"/>
    <w:rsid w:val="009357DD"/>
    <w:rsid w:val="00936081"/>
    <w:rsid w:val="00937764"/>
    <w:rsid w:val="00940AF8"/>
    <w:rsid w:val="00942DDD"/>
    <w:rsid w:val="009513FB"/>
    <w:rsid w:val="009516A8"/>
    <w:rsid w:val="00963FB5"/>
    <w:rsid w:val="0096502B"/>
    <w:rsid w:val="00965908"/>
    <w:rsid w:val="0097033A"/>
    <w:rsid w:val="00972433"/>
    <w:rsid w:val="0097705C"/>
    <w:rsid w:val="009823B0"/>
    <w:rsid w:val="009939C4"/>
    <w:rsid w:val="009A38CD"/>
    <w:rsid w:val="009A3A80"/>
    <w:rsid w:val="009A4494"/>
    <w:rsid w:val="009A517D"/>
    <w:rsid w:val="009B1405"/>
    <w:rsid w:val="009B4860"/>
    <w:rsid w:val="009B54CC"/>
    <w:rsid w:val="009B5F0F"/>
    <w:rsid w:val="009D2137"/>
    <w:rsid w:val="009D4960"/>
    <w:rsid w:val="009D5B6B"/>
    <w:rsid w:val="009D7A71"/>
    <w:rsid w:val="009E4C90"/>
    <w:rsid w:val="009E564C"/>
    <w:rsid w:val="009E6435"/>
    <w:rsid w:val="009F2385"/>
    <w:rsid w:val="009F393D"/>
    <w:rsid w:val="009F7F46"/>
    <w:rsid w:val="00A000BF"/>
    <w:rsid w:val="00A012E2"/>
    <w:rsid w:val="00A020D3"/>
    <w:rsid w:val="00A0587E"/>
    <w:rsid w:val="00A0796F"/>
    <w:rsid w:val="00A12790"/>
    <w:rsid w:val="00A16FF2"/>
    <w:rsid w:val="00A21538"/>
    <w:rsid w:val="00A275BC"/>
    <w:rsid w:val="00A464B4"/>
    <w:rsid w:val="00A528B0"/>
    <w:rsid w:val="00A566D7"/>
    <w:rsid w:val="00A60768"/>
    <w:rsid w:val="00A60ECD"/>
    <w:rsid w:val="00A63D6B"/>
    <w:rsid w:val="00A6457B"/>
    <w:rsid w:val="00A84B52"/>
    <w:rsid w:val="00A8660F"/>
    <w:rsid w:val="00A86963"/>
    <w:rsid w:val="00A9488C"/>
    <w:rsid w:val="00A94A61"/>
    <w:rsid w:val="00A95C48"/>
    <w:rsid w:val="00A976D1"/>
    <w:rsid w:val="00AA6BA8"/>
    <w:rsid w:val="00AA7056"/>
    <w:rsid w:val="00AB31C6"/>
    <w:rsid w:val="00AB523B"/>
    <w:rsid w:val="00AC14EC"/>
    <w:rsid w:val="00AC1ABD"/>
    <w:rsid w:val="00AC638D"/>
    <w:rsid w:val="00AC7DC5"/>
    <w:rsid w:val="00AD58FF"/>
    <w:rsid w:val="00AD592F"/>
    <w:rsid w:val="00AD7E40"/>
    <w:rsid w:val="00AE17C9"/>
    <w:rsid w:val="00AF2C26"/>
    <w:rsid w:val="00AF3504"/>
    <w:rsid w:val="00B03688"/>
    <w:rsid w:val="00B04624"/>
    <w:rsid w:val="00B1124D"/>
    <w:rsid w:val="00B1477A"/>
    <w:rsid w:val="00B17097"/>
    <w:rsid w:val="00B20824"/>
    <w:rsid w:val="00B20993"/>
    <w:rsid w:val="00B27DED"/>
    <w:rsid w:val="00B42E96"/>
    <w:rsid w:val="00B43144"/>
    <w:rsid w:val="00B50EE6"/>
    <w:rsid w:val="00B50F6B"/>
    <w:rsid w:val="00B5128E"/>
    <w:rsid w:val="00B52185"/>
    <w:rsid w:val="00B57F84"/>
    <w:rsid w:val="00B6366E"/>
    <w:rsid w:val="00B74C62"/>
    <w:rsid w:val="00B84160"/>
    <w:rsid w:val="00B903BF"/>
    <w:rsid w:val="00B91C72"/>
    <w:rsid w:val="00B9517C"/>
    <w:rsid w:val="00B9753A"/>
    <w:rsid w:val="00BA6339"/>
    <w:rsid w:val="00BB479C"/>
    <w:rsid w:val="00BB4CD0"/>
    <w:rsid w:val="00BC2A70"/>
    <w:rsid w:val="00BC66D9"/>
    <w:rsid w:val="00BD75A2"/>
    <w:rsid w:val="00BD7B84"/>
    <w:rsid w:val="00BE5214"/>
    <w:rsid w:val="00BE65AF"/>
    <w:rsid w:val="00C04D0C"/>
    <w:rsid w:val="00C0761F"/>
    <w:rsid w:val="00C2017A"/>
    <w:rsid w:val="00C20470"/>
    <w:rsid w:val="00C25654"/>
    <w:rsid w:val="00C34B2F"/>
    <w:rsid w:val="00C42CDB"/>
    <w:rsid w:val="00C4331F"/>
    <w:rsid w:val="00C4641B"/>
    <w:rsid w:val="00C53A2B"/>
    <w:rsid w:val="00C55371"/>
    <w:rsid w:val="00C5609A"/>
    <w:rsid w:val="00C6690E"/>
    <w:rsid w:val="00C703C5"/>
    <w:rsid w:val="00C726B0"/>
    <w:rsid w:val="00C740E1"/>
    <w:rsid w:val="00C77036"/>
    <w:rsid w:val="00C778C7"/>
    <w:rsid w:val="00C805F2"/>
    <w:rsid w:val="00C85F22"/>
    <w:rsid w:val="00C87828"/>
    <w:rsid w:val="00C933EA"/>
    <w:rsid w:val="00CA201E"/>
    <w:rsid w:val="00CA38AC"/>
    <w:rsid w:val="00CA574F"/>
    <w:rsid w:val="00CB780B"/>
    <w:rsid w:val="00CC013D"/>
    <w:rsid w:val="00CC2A6E"/>
    <w:rsid w:val="00CC44B8"/>
    <w:rsid w:val="00CC5E40"/>
    <w:rsid w:val="00CC6A00"/>
    <w:rsid w:val="00CD2431"/>
    <w:rsid w:val="00CD6A76"/>
    <w:rsid w:val="00CD73FB"/>
    <w:rsid w:val="00CE61AD"/>
    <w:rsid w:val="00CF0AB0"/>
    <w:rsid w:val="00CF1FBD"/>
    <w:rsid w:val="00D047E4"/>
    <w:rsid w:val="00D1368A"/>
    <w:rsid w:val="00D1569F"/>
    <w:rsid w:val="00D171DE"/>
    <w:rsid w:val="00D17D91"/>
    <w:rsid w:val="00D20B1E"/>
    <w:rsid w:val="00D21391"/>
    <w:rsid w:val="00D22462"/>
    <w:rsid w:val="00D230AC"/>
    <w:rsid w:val="00D31E3C"/>
    <w:rsid w:val="00D32489"/>
    <w:rsid w:val="00D32D8B"/>
    <w:rsid w:val="00D41597"/>
    <w:rsid w:val="00D6798F"/>
    <w:rsid w:val="00D73CB8"/>
    <w:rsid w:val="00D77658"/>
    <w:rsid w:val="00D838C9"/>
    <w:rsid w:val="00D856C5"/>
    <w:rsid w:val="00D91849"/>
    <w:rsid w:val="00D97D89"/>
    <w:rsid w:val="00DA7591"/>
    <w:rsid w:val="00DA76E2"/>
    <w:rsid w:val="00DA796F"/>
    <w:rsid w:val="00DC46AB"/>
    <w:rsid w:val="00DC4FF8"/>
    <w:rsid w:val="00DC5748"/>
    <w:rsid w:val="00DD42E9"/>
    <w:rsid w:val="00DD6C05"/>
    <w:rsid w:val="00DE7F61"/>
    <w:rsid w:val="00E05D2F"/>
    <w:rsid w:val="00E1257A"/>
    <w:rsid w:val="00E15D08"/>
    <w:rsid w:val="00E21279"/>
    <w:rsid w:val="00E32798"/>
    <w:rsid w:val="00E358F2"/>
    <w:rsid w:val="00E36E77"/>
    <w:rsid w:val="00E51C91"/>
    <w:rsid w:val="00E650F5"/>
    <w:rsid w:val="00E667C1"/>
    <w:rsid w:val="00E81962"/>
    <w:rsid w:val="00E9585C"/>
    <w:rsid w:val="00EA36EB"/>
    <w:rsid w:val="00EA48D0"/>
    <w:rsid w:val="00EA6370"/>
    <w:rsid w:val="00EB04BD"/>
    <w:rsid w:val="00EB0A81"/>
    <w:rsid w:val="00EB0C8B"/>
    <w:rsid w:val="00EB5176"/>
    <w:rsid w:val="00EB6791"/>
    <w:rsid w:val="00EC3F88"/>
    <w:rsid w:val="00EC7227"/>
    <w:rsid w:val="00ED36D8"/>
    <w:rsid w:val="00ED5819"/>
    <w:rsid w:val="00EE51EC"/>
    <w:rsid w:val="00EE6BD7"/>
    <w:rsid w:val="00EF3CDD"/>
    <w:rsid w:val="00EF4664"/>
    <w:rsid w:val="00EF700B"/>
    <w:rsid w:val="00F008BB"/>
    <w:rsid w:val="00F05B68"/>
    <w:rsid w:val="00F0689D"/>
    <w:rsid w:val="00F20277"/>
    <w:rsid w:val="00F24C34"/>
    <w:rsid w:val="00F36FB6"/>
    <w:rsid w:val="00F44523"/>
    <w:rsid w:val="00F51497"/>
    <w:rsid w:val="00F52860"/>
    <w:rsid w:val="00F54210"/>
    <w:rsid w:val="00F6594F"/>
    <w:rsid w:val="00F72B2A"/>
    <w:rsid w:val="00F814D4"/>
    <w:rsid w:val="00F91777"/>
    <w:rsid w:val="00FA57A1"/>
    <w:rsid w:val="00FB01B5"/>
    <w:rsid w:val="00FB0474"/>
    <w:rsid w:val="00FB1D8F"/>
    <w:rsid w:val="00FD054F"/>
    <w:rsid w:val="00FD57D6"/>
    <w:rsid w:val="00FD7526"/>
    <w:rsid w:val="00FD7867"/>
    <w:rsid w:val="00FE1A1B"/>
    <w:rsid w:val="00FE4277"/>
    <w:rsid w:val="00FF6141"/>
    <w:rsid w:val="015E4324"/>
    <w:rsid w:val="024975F0"/>
    <w:rsid w:val="02CD191C"/>
    <w:rsid w:val="06A58C81"/>
    <w:rsid w:val="06BE2C8E"/>
    <w:rsid w:val="07B310C3"/>
    <w:rsid w:val="0D0B241B"/>
    <w:rsid w:val="0EC58833"/>
    <w:rsid w:val="1038EDE6"/>
    <w:rsid w:val="1400F9C1"/>
    <w:rsid w:val="18DF5FFE"/>
    <w:rsid w:val="19EA44BA"/>
    <w:rsid w:val="1AF7038C"/>
    <w:rsid w:val="1BFBC0D7"/>
    <w:rsid w:val="1E843D05"/>
    <w:rsid w:val="23D5A633"/>
    <w:rsid w:val="2482F149"/>
    <w:rsid w:val="255A767B"/>
    <w:rsid w:val="2659E728"/>
    <w:rsid w:val="26ABD722"/>
    <w:rsid w:val="270C29F5"/>
    <w:rsid w:val="2C108F1E"/>
    <w:rsid w:val="2C9CA232"/>
    <w:rsid w:val="2E000CE9"/>
    <w:rsid w:val="2EB9A0C8"/>
    <w:rsid w:val="33A4AA70"/>
    <w:rsid w:val="33C5CFFC"/>
    <w:rsid w:val="3598BC28"/>
    <w:rsid w:val="35CB65FF"/>
    <w:rsid w:val="3665D4D9"/>
    <w:rsid w:val="3A842B16"/>
    <w:rsid w:val="3AB71694"/>
    <w:rsid w:val="3C5B009F"/>
    <w:rsid w:val="3FFDE2D2"/>
    <w:rsid w:val="40E918CA"/>
    <w:rsid w:val="417239C1"/>
    <w:rsid w:val="434E7437"/>
    <w:rsid w:val="452205A5"/>
    <w:rsid w:val="4F9FC08E"/>
    <w:rsid w:val="4FE312BA"/>
    <w:rsid w:val="504EE00D"/>
    <w:rsid w:val="56405040"/>
    <w:rsid w:val="566AC2CA"/>
    <w:rsid w:val="56AFD2EA"/>
    <w:rsid w:val="5863D773"/>
    <w:rsid w:val="5999AD6C"/>
    <w:rsid w:val="5F338D04"/>
    <w:rsid w:val="622944C6"/>
    <w:rsid w:val="62465929"/>
    <w:rsid w:val="633EB697"/>
    <w:rsid w:val="69B96F17"/>
    <w:rsid w:val="6AD4CA37"/>
    <w:rsid w:val="6D11CE98"/>
    <w:rsid w:val="6D35A5C4"/>
    <w:rsid w:val="6DC50AA0"/>
    <w:rsid w:val="70AEE3B9"/>
    <w:rsid w:val="71DD9D14"/>
    <w:rsid w:val="73C60EB7"/>
    <w:rsid w:val="73F7A73F"/>
    <w:rsid w:val="7898E83B"/>
    <w:rsid w:val="78CDD555"/>
    <w:rsid w:val="7964426B"/>
    <w:rsid w:val="7DB313A3"/>
    <w:rsid w:val="7DDF4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73FB7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43144"/>
    <w:pPr>
      <w:keepNext/>
      <w:keepLines/>
      <w:pageBreakBefore/>
      <w:numPr>
        <w:numId w:val="10"/>
      </w:numPr>
      <w:spacing w:before="160"/>
      <w:ind w:left="0" w:firstLine="0"/>
      <w:outlineLvl w:val="0"/>
    </w:pPr>
    <w:rPr>
      <w:rFonts w:asciiTheme="majorHAnsi" w:eastAsiaTheme="majorEastAsia" w:hAnsiTheme="majorHAnsi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43144"/>
    <w:pPr>
      <w:keepNext/>
      <w:keepLines/>
      <w:numPr>
        <w:ilvl w:val="1"/>
        <w:numId w:val="10"/>
      </w:numPr>
      <w:spacing w:before="16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43144"/>
    <w:pPr>
      <w:keepNext/>
      <w:keepLines/>
      <w:numPr>
        <w:ilvl w:val="2"/>
        <w:numId w:val="10"/>
      </w:numPr>
      <w:spacing w:before="160"/>
      <w:outlineLvl w:val="2"/>
    </w:pPr>
    <w:rPr>
      <w:rFonts w:asciiTheme="majorHAnsi" w:eastAsiaTheme="majorEastAsia" w:hAnsiTheme="majorHAnsi" w:cstheme="majorBidi"/>
      <w:b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43144"/>
    <w:pPr>
      <w:keepNext/>
      <w:keepLines/>
      <w:numPr>
        <w:ilvl w:val="3"/>
        <w:numId w:val="11"/>
      </w:numPr>
      <w:spacing w:before="160"/>
      <w:ind w:left="862" w:hanging="862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3CB9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6690E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6690E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95C48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95C48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Conclusion de partie,_Odstavec se seznamem,Seznam - odrážky,Fiche List Paragraph,List Paragraph (Czech Tourism),Název grafu,nad 1,Odstavec se seznamem2,List Paragraph,Odstavec_muj1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43144"/>
    <w:rPr>
      <w:rFonts w:asciiTheme="majorHAnsi" w:eastAsiaTheme="majorEastAsia" w:hAnsiTheme="majorHAnsi" w:cstheme="majorBidi"/>
      <w:b/>
      <w:caps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9"/>
    <w:rsid w:val="00B43144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9"/>
    <w:rsid w:val="00B43144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B43144"/>
    <w:rPr>
      <w:rFonts w:asciiTheme="majorHAnsi" w:eastAsiaTheme="majorEastAsia" w:hAnsiTheme="majorHAnsi" w:cstheme="majorBidi"/>
      <w:b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653CB9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6Char">
    <w:name w:val="Nadpis 6 Char"/>
    <w:basedOn w:val="Standardnpsmoodstavce"/>
    <w:link w:val="Nadpis6"/>
    <w:uiPriority w:val="9"/>
    <w:rsid w:val="003250CB"/>
    <w:rPr>
      <w:rFonts w:asciiTheme="majorHAnsi" w:eastAsiaTheme="majorEastAsia" w:hAnsiTheme="majorHAnsi" w:cstheme="majorBidi"/>
      <w:i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3250CB"/>
    <w:rPr>
      <w:rFonts w:asciiTheme="majorHAnsi" w:eastAsiaTheme="majorEastAsia" w:hAnsiTheme="majorHAnsi" w:cstheme="majorBidi"/>
      <w:iCs/>
      <w:color w:val="000000" w:themeColor="text1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3250CB"/>
    <w:rPr>
      <w:rFonts w:asciiTheme="majorHAnsi" w:eastAsiaTheme="majorEastAsia" w:hAnsiTheme="majorHAnsi" w:cstheme="majorBidi"/>
      <w:b/>
      <w:color w:val="272727" w:themeColor="text1" w:themeTint="D8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C55371"/>
    <w:pPr>
      <w:keepNext/>
      <w:keepLines/>
      <w:contextualSpacing/>
    </w:pPr>
    <w:rPr>
      <w:rFonts w:asciiTheme="majorHAnsi" w:eastAsiaTheme="majorEastAsia" w:hAnsiTheme="majorHAnsi" w:cstheme="majorBidi"/>
      <w:color w:val="004B8D" w:themeColor="text2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C55371"/>
    <w:rPr>
      <w:rFonts w:asciiTheme="majorHAnsi" w:eastAsiaTheme="majorEastAsia" w:hAnsiTheme="majorHAnsi" w:cstheme="majorBidi"/>
      <w:color w:val="004B8D" w:themeColor="text2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C55371"/>
    <w:pPr>
      <w:keepLines/>
      <w:pBdr>
        <w:top w:val="single" w:sz="4" w:space="10" w:color="004B8D" w:themeColor="accent2"/>
        <w:bottom w:val="single" w:sz="4" w:space="10" w:color="004B8D" w:themeColor="accent2"/>
      </w:pBdr>
      <w:spacing w:before="240" w:after="240"/>
      <w:ind w:left="357" w:right="357"/>
    </w:pPr>
    <w:rPr>
      <w:i/>
      <w:iCs/>
      <w:color w:val="004B8D" w:themeColor="text2"/>
    </w:rPr>
  </w:style>
  <w:style w:type="character" w:customStyle="1" w:styleId="VrazncittChar">
    <w:name w:val="Výrazný citát Char"/>
    <w:basedOn w:val="Standardnpsmoodstavce"/>
    <w:link w:val="Vrazncitt"/>
    <w:uiPriority w:val="28"/>
    <w:rsid w:val="00C55371"/>
    <w:rPr>
      <w:i/>
      <w:iCs/>
      <w:color w:val="004B8D" w:themeColor="text2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ind w:left="357" w:hanging="357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ind w:left="851" w:hanging="494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ind w:left="1474" w:hanging="623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tabs>
        <w:tab w:val="num" w:pos="1474"/>
      </w:tabs>
      <w:ind w:left="2268" w:hanging="794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ind w:left="3232" w:hanging="964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C55371"/>
    <w:pPr>
      <w:keepNext/>
      <w:keepLines/>
      <w:spacing w:before="160"/>
    </w:pPr>
    <w:rPr>
      <w:rFonts w:asciiTheme="majorHAnsi" w:hAnsiTheme="majorHAnsi"/>
      <w:b/>
      <w:color w:val="004B8D" w:themeColor="text2"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aliases w:val="Text v bloku A"/>
    <w:basedOn w:val="Normln"/>
    <w:uiPriority w:val="29"/>
    <w:unhideWhenUsed/>
    <w:rsid w:val="00C55371"/>
    <w:pPr>
      <w:pBdr>
        <w:top w:val="single" w:sz="2" w:space="4" w:color="004B8D" w:themeColor="accent2"/>
        <w:left w:val="single" w:sz="2" w:space="8" w:color="004B8D" w:themeColor="accent2"/>
        <w:bottom w:val="single" w:sz="2" w:space="4" w:color="004B8D" w:themeColor="accent2"/>
        <w:right w:val="single" w:sz="2" w:space="8" w:color="004B8D" w:themeColor="accent2"/>
      </w:pBdr>
      <w:ind w:left="357" w:right="357"/>
    </w:pPr>
    <w:rPr>
      <w:rFonts w:eastAsiaTheme="minorEastAsia"/>
      <w:i/>
      <w:iCs/>
      <w:color w:val="004B8D" w:themeColor="accent2"/>
    </w:rPr>
  </w:style>
  <w:style w:type="character" w:styleId="Sledovanodkaz">
    <w:name w:val="FollowedHyperlink"/>
    <w:basedOn w:val="Standardnpsmoodstavce"/>
    <w:uiPriority w:val="99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TextvblokuB">
    <w:name w:val="Text v bloku B"/>
    <w:basedOn w:val="Normln"/>
    <w:uiPriority w:val="29"/>
    <w:qFormat/>
    <w:rsid w:val="00C55371"/>
    <w:pPr>
      <w:pBdr>
        <w:top w:val="single" w:sz="2" w:space="4" w:color="004B8D" w:themeColor="accent2"/>
        <w:left w:val="single" w:sz="2" w:space="8" w:color="004B8D" w:themeColor="accent2"/>
        <w:bottom w:val="single" w:sz="2" w:space="4" w:color="004B8D" w:themeColor="accent2"/>
        <w:right w:val="single" w:sz="2" w:space="8" w:color="004B8D" w:themeColor="accent2"/>
      </w:pBdr>
      <w:shd w:val="clear" w:color="auto" w:fill="004B8D" w:themeFill="accent2"/>
      <w:ind w:left="357" w:right="357"/>
    </w:pPr>
    <w:rPr>
      <w:color w:val="FFFFFF" w:themeColor="background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</w:pPr>
  </w:style>
  <w:style w:type="paragraph" w:styleId="Zhlav">
    <w:name w:val="header"/>
    <w:basedOn w:val="Normln"/>
    <w:link w:val="ZhlavChar"/>
    <w:uiPriority w:val="99"/>
    <w:unhideWhenUsed/>
    <w:rsid w:val="007F35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F3563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7F35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F3563"/>
    <w:rPr>
      <w:color w:val="000000" w:themeColor="text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A5B73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Nad Char,Odstavec cíl se seznamem Char,Odstavec se seznamem5 Char,Conclusion de partie Char,_Odstavec se seznamem Char,Seznam - odrážky Char,Fiche List Paragraph Char,List Paragraph (Czech Tourism) Char,Název grafu Char"/>
    <w:link w:val="Odstavecseseznamem"/>
    <w:uiPriority w:val="34"/>
    <w:qFormat/>
    <w:locked/>
    <w:rsid w:val="0052746F"/>
    <w:rPr>
      <w:color w:val="000000" w:themeColor="text1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4F3625"/>
    <w:rPr>
      <w:szCs w:val="20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4F3625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4F3625"/>
    <w:rPr>
      <w:vertAlign w:val="superscript"/>
    </w:rPr>
  </w:style>
  <w:style w:type="character" w:styleId="Siln">
    <w:name w:val="Strong"/>
    <w:basedOn w:val="Standardnpsmoodstavce"/>
    <w:uiPriority w:val="22"/>
    <w:qFormat/>
    <w:rsid w:val="00B903BF"/>
    <w:rPr>
      <w:b/>
      <w:bCs/>
    </w:rPr>
  </w:style>
  <w:style w:type="table" w:styleId="Mkatabulky">
    <w:name w:val="Table Grid"/>
    <w:aliases w:val="SGS Table Basic 1,CV table"/>
    <w:basedOn w:val="Normlntabulka"/>
    <w:uiPriority w:val="39"/>
    <w:rsid w:val="00E1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832AE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832AE2"/>
  </w:style>
  <w:style w:type="character" w:customStyle="1" w:styleId="spellingerror">
    <w:name w:val="spellingerror"/>
    <w:basedOn w:val="Standardnpsmoodstavce"/>
    <w:rsid w:val="00832AE2"/>
  </w:style>
  <w:style w:type="character" w:customStyle="1" w:styleId="eop">
    <w:name w:val="eop"/>
    <w:basedOn w:val="Standardnpsmoodstavce"/>
    <w:rsid w:val="00832AE2"/>
  </w:style>
  <w:style w:type="paragraph" w:customStyle="1" w:styleId="oj-normal">
    <w:name w:val="oj-normal"/>
    <w:basedOn w:val="Normln"/>
    <w:rsid w:val="00EA48D0"/>
    <w:pPr>
      <w:spacing w:before="100" w:beforeAutospacing="1" w:after="100" w:afterAutospacing="1"/>
    </w:pPr>
  </w:style>
  <w:style w:type="paragraph" w:customStyle="1" w:styleId="00Body">
    <w:name w:val="00 Body"/>
    <w:basedOn w:val="Normln"/>
    <w:link w:val="00BodyChar"/>
    <w:qFormat/>
    <w:rsid w:val="00A012E2"/>
    <w:pPr>
      <w:spacing w:before="180" w:after="180" w:line="264" w:lineRule="auto"/>
    </w:pPr>
    <w:rPr>
      <w:rFonts w:ascii="arial (body)" w:hAnsi="arial (body)"/>
      <w:szCs w:val="20"/>
      <w:lang w:val="en-US"/>
    </w:rPr>
  </w:style>
  <w:style w:type="character" w:customStyle="1" w:styleId="00BodyChar">
    <w:name w:val="00 Body Char"/>
    <w:basedOn w:val="Standardnpsmoodstavce"/>
    <w:link w:val="00Body"/>
    <w:rsid w:val="00A012E2"/>
    <w:rPr>
      <w:rFonts w:ascii="arial (body)" w:eastAsia="Times New Roman" w:hAnsi="arial (body)" w:cs="Times New Roman"/>
      <w:szCs w:val="20"/>
      <w:lang w:val="en-US"/>
    </w:rPr>
  </w:style>
  <w:style w:type="character" w:customStyle="1" w:styleId="scxw84907031">
    <w:name w:val="scxw84907031"/>
    <w:basedOn w:val="Standardnpsmoodstavce"/>
    <w:rsid w:val="00261C3D"/>
  </w:style>
  <w:style w:type="character" w:styleId="Odkaznakoment">
    <w:name w:val="annotation reference"/>
    <w:basedOn w:val="Standardnpsmoodstavce"/>
    <w:uiPriority w:val="99"/>
    <w:qFormat/>
    <w:rsid w:val="001E55BB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1E55BB"/>
    <w:pPr>
      <w:spacing w:before="100" w:beforeAutospacing="1" w:after="100" w:afterAutospacing="1"/>
    </w:pPr>
  </w:style>
  <w:style w:type="paragraph" w:customStyle="1" w:styleId="xmsonormal">
    <w:name w:val="x_msonormal"/>
    <w:basedOn w:val="Normln"/>
    <w:rsid w:val="001E55BB"/>
    <w:pPr>
      <w:spacing w:before="100" w:beforeAutospacing="1" w:after="100" w:afterAutospacing="1"/>
    </w:pPr>
  </w:style>
  <w:style w:type="character" w:customStyle="1" w:styleId="scxw81695220">
    <w:name w:val="scxw81695220"/>
    <w:basedOn w:val="Standardnpsmoodstavce"/>
    <w:rsid w:val="001E55BB"/>
  </w:style>
  <w:style w:type="paragraph" w:styleId="Textkomente">
    <w:name w:val="annotation text"/>
    <w:basedOn w:val="Normln"/>
    <w:link w:val="TextkomenteChar"/>
    <w:uiPriority w:val="99"/>
    <w:unhideWhenUsed/>
    <w:rsid w:val="001E55BB"/>
    <w:pPr>
      <w:suppressAutoHyphens/>
      <w:overflowPunct w:val="0"/>
      <w:textAlignment w:val="baseline"/>
    </w:pPr>
    <w:rPr>
      <w:szCs w:val="20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55B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5BB"/>
    <w:rPr>
      <w:rFonts w:ascii="Segoe UI" w:hAnsi="Segoe UI" w:cs="Segoe UI"/>
      <w:color w:val="000000" w:themeColor="text1"/>
      <w:sz w:val="18"/>
      <w:szCs w:val="18"/>
    </w:rPr>
  </w:style>
  <w:style w:type="paragraph" w:customStyle="1" w:styleId="Default">
    <w:name w:val="Default"/>
    <w:link w:val="DefaultChar"/>
    <w:rsid w:val="00FD7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FD7867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TextChar">
    <w:name w:val="K-Text Char"/>
    <w:basedOn w:val="Standardnpsmoodstavce"/>
    <w:link w:val="K-Text"/>
    <w:locked/>
    <w:rsid w:val="00F24C34"/>
    <w:rPr>
      <w:rFonts w:ascii="Times New Roman" w:hAnsi="Times New Roman" w:cs="Times New Roman"/>
      <w:iCs/>
      <w:sz w:val="23"/>
      <w:szCs w:val="23"/>
    </w:rPr>
  </w:style>
  <w:style w:type="paragraph" w:customStyle="1" w:styleId="K-Text">
    <w:name w:val="K-Text"/>
    <w:basedOn w:val="Normln"/>
    <w:link w:val="K-TextChar"/>
    <w:qFormat/>
    <w:rsid w:val="00F24C34"/>
    <w:pPr>
      <w:spacing w:after="120" w:line="292" w:lineRule="auto"/>
    </w:pPr>
    <w:rPr>
      <w:iCs/>
      <w:sz w:val="23"/>
      <w:szCs w:val="23"/>
    </w:rPr>
  </w:style>
  <w:style w:type="character" w:customStyle="1" w:styleId="Nevyeenzmnka10">
    <w:name w:val="Nevyřešená zmínka10"/>
    <w:basedOn w:val="Standardnpsmoodstavce"/>
    <w:uiPriority w:val="99"/>
    <w:semiHidden/>
    <w:unhideWhenUsed/>
    <w:rsid w:val="00C42CDB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6D3F2D"/>
    <w:pPr>
      <w:numPr>
        <w:numId w:val="0"/>
      </w:numPr>
    </w:pPr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6D3F2D"/>
    <w:pPr>
      <w:numPr>
        <w:ilvl w:val="0"/>
        <w:numId w:val="0"/>
      </w:numPr>
    </w:pPr>
  </w:style>
  <w:style w:type="character" w:customStyle="1" w:styleId="K-Nadpis1Char">
    <w:name w:val="K-Nadpis1 Char"/>
    <w:basedOn w:val="Nadpis1Char"/>
    <w:link w:val="K-Nadpis1"/>
    <w:rsid w:val="006D3F2D"/>
    <w:rPr>
      <w:rFonts w:ascii="Times New Roman" w:eastAsiaTheme="majorEastAsia" w:hAnsi="Times New Roman" w:cs="Times New Roman"/>
      <w:b/>
      <w:caps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C42CDB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6D3F2D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K-Nadpis3Char">
    <w:name w:val="K-Nadpis3 Char"/>
    <w:basedOn w:val="DefaultChar"/>
    <w:link w:val="K-Nadpis3"/>
    <w:rsid w:val="00C42CDB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C42CD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C42CDB"/>
    <w:pPr>
      <w:spacing w:after="120"/>
      <w:jc w:val="both"/>
    </w:pPr>
    <w:rPr>
      <w:b/>
      <w:bCs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C42CD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C42CDB"/>
  </w:style>
  <w:style w:type="character" w:customStyle="1" w:styleId="K-TabulkaChar">
    <w:name w:val="K-Tabulka Char"/>
    <w:basedOn w:val="DefaultChar"/>
    <w:link w:val="K-Tabulka"/>
    <w:rsid w:val="00C42CD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C42CDB"/>
    <w:rPr>
      <w:rFonts w:ascii="Times New Roman" w:hAnsi="Times New Roman" w:cs="Times New Roman"/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2CDB"/>
    <w:pPr>
      <w:suppressAutoHyphens w:val="0"/>
      <w:overflowPunct/>
      <w:spacing w:after="160"/>
      <w:textAlignment w:val="auto"/>
    </w:pPr>
    <w:rPr>
      <w:rFonts w:asciiTheme="minorHAnsi" w:eastAsiaTheme="minorHAnsi" w:hAnsiTheme="minorHAnsi" w:cstheme="minorBidi"/>
      <w:b/>
      <w:bCs/>
      <w:color w:val="000000" w:themeColor="text1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2CDB"/>
    <w:rPr>
      <w:rFonts w:ascii="Times New Roman" w:eastAsia="Times New Roman" w:hAnsi="Times New Roman" w:cs="Times New Roman"/>
      <w:b/>
      <w:bCs/>
      <w:color w:val="000000" w:themeColor="text1"/>
      <w:sz w:val="20"/>
      <w:szCs w:val="20"/>
      <w:lang w:eastAsia="zh-CN"/>
    </w:rPr>
  </w:style>
  <w:style w:type="paragraph" w:styleId="Revize">
    <w:name w:val="Revision"/>
    <w:hidden/>
    <w:uiPriority w:val="99"/>
    <w:semiHidden/>
    <w:rsid w:val="00C42CDB"/>
    <w:pPr>
      <w:spacing w:after="0" w:line="240" w:lineRule="auto"/>
    </w:pPr>
    <w:rPr>
      <w:color w:val="000000" w:themeColor="text1"/>
    </w:rPr>
  </w:style>
  <w:style w:type="character" w:customStyle="1" w:styleId="apple-converted-space">
    <w:name w:val="apple-converted-space"/>
    <w:basedOn w:val="Standardnpsmoodstavce"/>
    <w:rsid w:val="00C42CDB"/>
  </w:style>
  <w:style w:type="character" w:customStyle="1" w:styleId="CharStyle11">
    <w:name w:val="Char Style 11"/>
    <w:basedOn w:val="Standardnpsmoodstavce"/>
    <w:link w:val="Style10"/>
    <w:rsid w:val="00C42CDB"/>
    <w:rPr>
      <w:shd w:val="clear" w:color="auto" w:fill="FFFFFF"/>
    </w:rPr>
  </w:style>
  <w:style w:type="paragraph" w:customStyle="1" w:styleId="Style10">
    <w:name w:val="Style 10"/>
    <w:basedOn w:val="Normln"/>
    <w:link w:val="CharStyle11"/>
    <w:qFormat/>
    <w:rsid w:val="00C42CDB"/>
    <w:pPr>
      <w:widowControl w:val="0"/>
      <w:shd w:val="clear" w:color="auto" w:fill="FFFFFF"/>
      <w:spacing w:before="420" w:after="260" w:line="244" w:lineRule="exact"/>
      <w:ind w:hanging="440"/>
    </w:pPr>
  </w:style>
  <w:style w:type="character" w:customStyle="1" w:styleId="CharStyle17">
    <w:name w:val="Char Style 17"/>
    <w:basedOn w:val="Standardnpsmoodstavce"/>
    <w:link w:val="Style18"/>
    <w:rsid w:val="00C42CDB"/>
    <w:rPr>
      <w:i/>
      <w:iCs/>
      <w:sz w:val="23"/>
      <w:szCs w:val="23"/>
      <w:shd w:val="clear" w:color="auto" w:fill="FFFFFF"/>
    </w:rPr>
  </w:style>
  <w:style w:type="paragraph" w:customStyle="1" w:styleId="Style18">
    <w:name w:val="Style 18"/>
    <w:basedOn w:val="Normln"/>
    <w:link w:val="CharStyle17"/>
    <w:rsid w:val="00C42CDB"/>
    <w:pPr>
      <w:widowControl w:val="0"/>
      <w:shd w:val="clear" w:color="auto" w:fill="FFFFFF"/>
      <w:spacing w:before="320" w:after="180" w:line="298" w:lineRule="exact"/>
    </w:pPr>
    <w:rPr>
      <w:i/>
      <w:iCs/>
      <w:sz w:val="23"/>
      <w:szCs w:val="23"/>
    </w:rPr>
  </w:style>
  <w:style w:type="character" w:styleId="PromnnHTML">
    <w:name w:val="HTML Variable"/>
    <w:basedOn w:val="Standardnpsmoodstavce"/>
    <w:uiPriority w:val="99"/>
    <w:semiHidden/>
    <w:unhideWhenUsed/>
    <w:rsid w:val="00C42CDB"/>
    <w:rPr>
      <w:i/>
      <w:iCs/>
    </w:rPr>
  </w:style>
  <w:style w:type="paragraph" w:styleId="Titulek">
    <w:name w:val="caption"/>
    <w:basedOn w:val="Normln"/>
    <w:next w:val="Normln"/>
    <w:link w:val="TitulekChar"/>
    <w:uiPriority w:val="35"/>
    <w:unhideWhenUsed/>
    <w:qFormat/>
    <w:rsid w:val="00C42CDB"/>
    <w:pPr>
      <w:spacing w:after="200"/>
    </w:pPr>
    <w:rPr>
      <w:i/>
      <w:iCs/>
      <w:noProof/>
      <w:color w:val="004B8D" w:themeColor="text2"/>
      <w:sz w:val="18"/>
      <w:szCs w:val="18"/>
    </w:rPr>
  </w:style>
  <w:style w:type="character" w:customStyle="1" w:styleId="TitulekChar">
    <w:name w:val="Titulek Char"/>
    <w:link w:val="Titulek"/>
    <w:rsid w:val="00C42CDB"/>
    <w:rPr>
      <w:i/>
      <w:iCs/>
      <w:noProof/>
      <w:color w:val="004B8D" w:themeColor="text2"/>
      <w:sz w:val="18"/>
      <w:szCs w:val="18"/>
    </w:rPr>
  </w:style>
  <w:style w:type="paragraph" w:customStyle="1" w:styleId="Odrkyabc">
    <w:name w:val="Odrážky abc"/>
    <w:basedOn w:val="Normln"/>
    <w:uiPriority w:val="99"/>
    <w:rsid w:val="00C42CDB"/>
    <w:pPr>
      <w:numPr>
        <w:numId w:val="73"/>
      </w:numPr>
      <w:spacing w:before="120" w:after="120"/>
    </w:pPr>
    <w:rPr>
      <w:rFonts w:ascii="Arial" w:hAnsi="Arial"/>
    </w:rPr>
  </w:style>
  <w:style w:type="character" w:customStyle="1" w:styleId="apple-style-span">
    <w:name w:val="apple-style-span"/>
    <w:basedOn w:val="Standardnpsmoodstavce"/>
    <w:rsid w:val="00C42CDB"/>
  </w:style>
  <w:style w:type="table" w:customStyle="1" w:styleId="Mkatabulky1">
    <w:name w:val="Mřížka tabulky1"/>
    <w:basedOn w:val="Normlntabulka"/>
    <w:next w:val="Mkatabulky"/>
    <w:uiPriority w:val="39"/>
    <w:rsid w:val="00C4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C4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ln"/>
    <w:link w:val="Bullet1Char"/>
    <w:qFormat/>
    <w:rsid w:val="00C42CDB"/>
    <w:pPr>
      <w:numPr>
        <w:numId w:val="76"/>
      </w:numPr>
      <w:spacing w:before="120" w:after="120"/>
    </w:pPr>
    <w:rPr>
      <w:rFonts w:ascii="Arial" w:hAnsi="Arial"/>
    </w:rPr>
  </w:style>
  <w:style w:type="paragraph" w:customStyle="1" w:styleId="Odrka1">
    <w:name w:val="Odrážka 1"/>
    <w:basedOn w:val="Bullet1"/>
    <w:link w:val="Odrka1Char"/>
    <w:qFormat/>
    <w:rsid w:val="00C42CDB"/>
  </w:style>
  <w:style w:type="character" w:customStyle="1" w:styleId="Odrka1Char">
    <w:name w:val="Odrážka 1 Char"/>
    <w:basedOn w:val="Standardnpsmoodstavce"/>
    <w:link w:val="Odrka1"/>
    <w:rsid w:val="00C42CDB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Bullet1Char">
    <w:name w:val="Bullet 1 Char"/>
    <w:basedOn w:val="Standardnpsmoodstavce"/>
    <w:link w:val="Bullet1"/>
    <w:uiPriority w:val="99"/>
    <w:rsid w:val="00C42CDB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contextualspellingandgrammarerror">
    <w:name w:val="contextualspellingandgrammarerror"/>
    <w:basedOn w:val="Standardnpsmoodstavce"/>
    <w:rsid w:val="00C42CDB"/>
  </w:style>
  <w:style w:type="character" w:customStyle="1" w:styleId="tabchar">
    <w:name w:val="tabchar"/>
    <w:basedOn w:val="Standardnpsmoodstavce"/>
    <w:rsid w:val="00C42CDB"/>
  </w:style>
  <w:style w:type="character" w:customStyle="1" w:styleId="scxw103030068">
    <w:name w:val="scxw103030068"/>
    <w:basedOn w:val="Standardnpsmoodstavce"/>
    <w:rsid w:val="00C42CDB"/>
  </w:style>
  <w:style w:type="character" w:styleId="Zstupntext">
    <w:name w:val="Placeholder Text"/>
    <w:basedOn w:val="Standardnpsmoodstavce"/>
    <w:uiPriority w:val="99"/>
    <w:semiHidden/>
    <w:rsid w:val="00C42CDB"/>
    <w:rPr>
      <w:color w:val="808080"/>
    </w:rPr>
  </w:style>
  <w:style w:type="paragraph" w:styleId="FormtovanvHTML">
    <w:name w:val="HTML Preformatted"/>
    <w:basedOn w:val="Normln"/>
    <w:link w:val="FormtovanvHTMLChar"/>
    <w:unhideWhenUsed/>
    <w:rsid w:val="00C42C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N w:val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rsid w:val="00C42CDB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scxw108177782">
    <w:name w:val="scxw108177782"/>
    <w:basedOn w:val="Standardnpsmoodstavce"/>
    <w:rsid w:val="00C42CDB"/>
  </w:style>
  <w:style w:type="character" w:customStyle="1" w:styleId="scxw124157007">
    <w:name w:val="scxw124157007"/>
    <w:basedOn w:val="Standardnpsmoodstavce"/>
    <w:rsid w:val="00C42CDB"/>
  </w:style>
  <w:style w:type="character" w:customStyle="1" w:styleId="scxw38832071">
    <w:name w:val="scxw38832071"/>
    <w:basedOn w:val="Standardnpsmoodstavce"/>
    <w:rsid w:val="00C42CDB"/>
  </w:style>
  <w:style w:type="character" w:customStyle="1" w:styleId="pagebreaktextspan">
    <w:name w:val="pagebreaktextspan"/>
    <w:basedOn w:val="Standardnpsmoodstavce"/>
    <w:rsid w:val="00C42CDB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C42CDB"/>
    <w:rPr>
      <w:color w:val="605E5C"/>
      <w:shd w:val="clear" w:color="auto" w:fill="E1DFDD"/>
    </w:rPr>
  </w:style>
  <w:style w:type="paragraph" w:customStyle="1" w:styleId="Dalodstavec">
    <w:name w:val="Další odstavec"/>
    <w:basedOn w:val="Normln"/>
    <w:link w:val="DalodstavecChar"/>
    <w:uiPriority w:val="1"/>
    <w:qFormat/>
    <w:rsid w:val="00C42CDB"/>
    <w:pPr>
      <w:spacing w:before="120" w:after="120" w:line="276" w:lineRule="auto"/>
    </w:pPr>
    <w:rPr>
      <w:rFonts w:ascii="Tahoma" w:eastAsia="Calibri" w:hAnsi="Tahoma"/>
    </w:rPr>
  </w:style>
  <w:style w:type="character" w:customStyle="1" w:styleId="DalodstavecChar">
    <w:name w:val="Další odstavec Char"/>
    <w:link w:val="Dalodstavec"/>
    <w:uiPriority w:val="1"/>
    <w:rsid w:val="00C42CDB"/>
    <w:rPr>
      <w:rFonts w:ascii="Tahoma" w:eastAsia="Calibri" w:hAnsi="Tahoma" w:cs="Times New Roman"/>
      <w:sz w:val="20"/>
    </w:rPr>
  </w:style>
  <w:style w:type="character" w:customStyle="1" w:styleId="jlqj4b">
    <w:name w:val="jlqj4b"/>
    <w:basedOn w:val="Standardnpsmoodstavce"/>
    <w:rsid w:val="00C42CDB"/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C42CDB"/>
    <w:pPr>
      <w:spacing w:line="240" w:lineRule="exact"/>
    </w:pPr>
    <w:rPr>
      <w:vertAlign w:val="superscript"/>
    </w:rPr>
  </w:style>
  <w:style w:type="paragraph" w:customStyle="1" w:styleId="Briefinglist1">
    <w:name w:val="Briefing list 1"/>
    <w:basedOn w:val="Normln"/>
    <w:rsid w:val="00C42CDB"/>
    <w:pPr>
      <w:keepLines/>
      <w:tabs>
        <w:tab w:val="left" w:pos="284"/>
      </w:tabs>
      <w:spacing w:after="120"/>
      <w:ind w:left="284" w:hanging="284"/>
    </w:pPr>
    <w:rPr>
      <w:rFonts w:ascii="Arial" w:hAnsi="Arial" w:cs="Arial"/>
      <w:lang w:val="en-GB"/>
    </w:rPr>
  </w:style>
  <w:style w:type="paragraph" w:styleId="Prosttext">
    <w:name w:val="Plain Text"/>
    <w:basedOn w:val="Normln"/>
    <w:link w:val="ProsttextChar"/>
    <w:uiPriority w:val="99"/>
    <w:unhideWhenUsed/>
    <w:rsid w:val="00C42CDB"/>
    <w:rPr>
      <w:rFonts w:ascii="Consolas" w:hAnsi="Consolas"/>
      <w:sz w:val="21"/>
      <w:szCs w:val="21"/>
      <w:lang w:val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42CDB"/>
    <w:rPr>
      <w:rFonts w:ascii="Consolas" w:eastAsia="Times New Roman" w:hAnsi="Consolas" w:cs="Times New Roman"/>
      <w:sz w:val="21"/>
      <w:szCs w:val="21"/>
      <w:lang w:val="en-US"/>
    </w:rPr>
  </w:style>
  <w:style w:type="paragraph" w:styleId="Bezmezer">
    <w:name w:val="No Spacing"/>
    <w:link w:val="BezmezerChar"/>
    <w:uiPriority w:val="1"/>
    <w:qFormat/>
    <w:rsid w:val="00C42CDB"/>
    <w:pPr>
      <w:spacing w:after="0" w:line="240" w:lineRule="auto"/>
    </w:pPr>
  </w:style>
  <w:style w:type="paragraph" w:styleId="Zkladntext3">
    <w:name w:val="Body Text 3"/>
    <w:basedOn w:val="Normln"/>
    <w:link w:val="Zkladntext3Char"/>
    <w:uiPriority w:val="99"/>
    <w:unhideWhenUsed/>
    <w:rsid w:val="00C42CD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C42CDB"/>
    <w:rPr>
      <w:color w:val="000000" w:themeColor="text1"/>
      <w:sz w:val="16"/>
      <w:szCs w:val="16"/>
    </w:rPr>
  </w:style>
  <w:style w:type="paragraph" w:customStyle="1" w:styleId="Bntext">
    <w:name w:val="Běžný text"/>
    <w:basedOn w:val="Zkladntextodsazen2"/>
    <w:link w:val="BntextChar"/>
    <w:qFormat/>
    <w:rsid w:val="00C42CDB"/>
    <w:pPr>
      <w:spacing w:before="120" w:line="276" w:lineRule="auto"/>
      <w:ind w:left="0" w:firstLine="578"/>
      <w:jc w:val="both"/>
    </w:pPr>
    <w:rPr>
      <w:rFonts w:ascii="Calibri" w:hAnsi="Calibri"/>
      <w:color w:val="212121"/>
      <w:lang w:val="en-US"/>
    </w:rPr>
  </w:style>
  <w:style w:type="character" w:customStyle="1" w:styleId="BntextChar">
    <w:name w:val="Běžný text Char"/>
    <w:basedOn w:val="Zkladntextodsazen2Char"/>
    <w:link w:val="Bntext"/>
    <w:rsid w:val="00C42CDB"/>
    <w:rPr>
      <w:rFonts w:ascii="Calibri" w:eastAsia="Times New Roman" w:hAnsi="Calibri" w:cs="Times New Roman"/>
      <w:color w:val="212121"/>
      <w:szCs w:val="24"/>
      <w:lang w:val="en-US"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C42CD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C42CDB"/>
    <w:rPr>
      <w:color w:val="000000" w:themeColor="text1"/>
    </w:rPr>
  </w:style>
  <w:style w:type="character" w:customStyle="1" w:styleId="superscript">
    <w:name w:val="superscript"/>
    <w:basedOn w:val="Standardnpsmoodstavce"/>
    <w:rsid w:val="00C42CDB"/>
  </w:style>
  <w:style w:type="paragraph" w:customStyle="1" w:styleId="txt">
    <w:name w:val="txt"/>
    <w:basedOn w:val="Normln"/>
    <w:link w:val="txtChar1"/>
    <w:rsid w:val="00C42CDB"/>
    <w:pPr>
      <w:spacing w:after="120"/>
      <w:ind w:firstLine="357"/>
    </w:pPr>
    <w:rPr>
      <w:rFonts w:ascii="Calibri" w:hAnsi="Calibri"/>
      <w:lang w:val="x-none" w:eastAsia="x-none"/>
    </w:rPr>
  </w:style>
  <w:style w:type="character" w:customStyle="1" w:styleId="txtChar1">
    <w:name w:val="txt Char1"/>
    <w:link w:val="txt"/>
    <w:rsid w:val="00C42CDB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oj-doc-ti">
    <w:name w:val="oj-doc-ti"/>
    <w:basedOn w:val="Normln"/>
    <w:rsid w:val="00C42CDB"/>
    <w:pPr>
      <w:spacing w:before="100" w:beforeAutospacing="1" w:after="100" w:afterAutospacing="1"/>
    </w:pPr>
  </w:style>
  <w:style w:type="character" w:customStyle="1" w:styleId="BezmezerChar">
    <w:name w:val="Bez mezer Char"/>
    <w:basedOn w:val="Standardnpsmoodstavce"/>
    <w:link w:val="Bezmezer"/>
    <w:uiPriority w:val="1"/>
    <w:rsid w:val="00C42CDB"/>
  </w:style>
  <w:style w:type="paragraph" w:styleId="Seznamobrzk">
    <w:name w:val="table of figures"/>
    <w:basedOn w:val="Normln"/>
    <w:next w:val="Normln"/>
    <w:uiPriority w:val="99"/>
    <w:unhideWhenUsed/>
    <w:rsid w:val="00C42CDB"/>
  </w:style>
  <w:style w:type="paragraph" w:customStyle="1" w:styleId="Odrka">
    <w:name w:val="Odrážka"/>
    <w:basedOn w:val="Odstavecseseznamem"/>
    <w:link w:val="OdrkaChar"/>
    <w:qFormat/>
    <w:rsid w:val="00562881"/>
    <w:pPr>
      <w:numPr>
        <w:numId w:val="9"/>
      </w:numPr>
      <w:contextualSpacing w:val="0"/>
    </w:pPr>
    <w:rPr>
      <w:bCs/>
    </w:rPr>
  </w:style>
  <w:style w:type="paragraph" w:customStyle="1" w:styleId="K-nzev">
    <w:name w:val="K - název"/>
    <w:basedOn w:val="K-Nadpis1"/>
    <w:link w:val="K-nzevChar"/>
    <w:qFormat/>
    <w:rsid w:val="00AC1ABD"/>
    <w:rPr>
      <w:rFonts w:asciiTheme="minorHAnsi" w:hAnsiTheme="minorHAnsi" w:cstheme="minorHAnsi"/>
      <w:caps w:val="0"/>
      <w:sz w:val="28"/>
    </w:rPr>
  </w:style>
  <w:style w:type="character" w:customStyle="1" w:styleId="OdrkaChar">
    <w:name w:val="Odrážka Char"/>
    <w:basedOn w:val="OdstavecseseznamemChar"/>
    <w:link w:val="Odrka"/>
    <w:rsid w:val="00562881"/>
    <w:rPr>
      <w:bCs/>
      <w:color w:val="000000" w:themeColor="text1"/>
      <w:sz w:val="20"/>
    </w:rPr>
  </w:style>
  <w:style w:type="paragraph" w:customStyle="1" w:styleId="K-1">
    <w:name w:val="K - 1"/>
    <w:basedOn w:val="K-Nadpis2"/>
    <w:link w:val="K-1Char"/>
    <w:qFormat/>
    <w:rsid w:val="00015CE4"/>
    <w:rPr>
      <w:rFonts w:asciiTheme="minorHAnsi" w:hAnsiTheme="minorHAnsi" w:cstheme="minorHAnsi"/>
      <w:sz w:val="22"/>
    </w:rPr>
  </w:style>
  <w:style w:type="character" w:customStyle="1" w:styleId="K-nzevChar">
    <w:name w:val="K - název Char"/>
    <w:basedOn w:val="K-Nadpis1Char"/>
    <w:link w:val="K-nzev"/>
    <w:rsid w:val="00AC1ABD"/>
    <w:rPr>
      <w:rFonts w:ascii="Times New Roman" w:eastAsiaTheme="majorEastAsia" w:hAnsi="Times New Roman" w:cstheme="minorHAnsi"/>
      <w:b/>
      <w:caps w:val="0"/>
      <w:color w:val="000000" w:themeColor="text1"/>
      <w:sz w:val="28"/>
      <w:szCs w:val="32"/>
    </w:rPr>
  </w:style>
  <w:style w:type="character" w:customStyle="1" w:styleId="K-1Char">
    <w:name w:val="K - 1 Char"/>
    <w:basedOn w:val="K-Nadpis2Char"/>
    <w:link w:val="K-1"/>
    <w:rsid w:val="00015CE4"/>
    <w:rPr>
      <w:rFonts w:asciiTheme="majorHAnsi" w:eastAsiaTheme="majorEastAsia" w:hAnsiTheme="majorHAnsi" w:cstheme="minorHAnsi"/>
      <w:b/>
      <w:color w:val="000000" w:themeColor="text1"/>
      <w:sz w:val="26"/>
      <w:szCs w:val="26"/>
    </w:rPr>
  </w:style>
  <w:style w:type="paragraph" w:customStyle="1" w:styleId="Bullet2">
    <w:name w:val="Bullet 2"/>
    <w:basedOn w:val="Normln"/>
    <w:qFormat/>
    <w:rsid w:val="00D1368A"/>
    <w:pPr>
      <w:numPr>
        <w:numId w:val="236"/>
      </w:numPr>
      <w:spacing w:before="60" w:after="60"/>
    </w:pPr>
    <w:rPr>
      <w:rFonts w:ascii="Henderson BCG Serif" w:hAnsi="Henderson BCG Serif"/>
      <w:sz w:val="22"/>
      <w:lang w:eastAsia="de-DE"/>
    </w:rPr>
  </w:style>
  <w:style w:type="paragraph" w:customStyle="1" w:styleId="Bullet3">
    <w:name w:val="Bullet 3"/>
    <w:basedOn w:val="Normln"/>
    <w:qFormat/>
    <w:rsid w:val="00D1368A"/>
    <w:pPr>
      <w:numPr>
        <w:numId w:val="237"/>
      </w:numPr>
      <w:spacing w:before="60" w:after="60"/>
    </w:pPr>
    <w:rPr>
      <w:rFonts w:ascii="Henderson BCG Serif" w:hAnsi="Henderson BCG Serif"/>
      <w:sz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7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9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3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Normal_color%20.dotm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8F37-9765-4A91-BE16-09FBBF3B70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D543CF2-4B6F-447B-AF9C-6784D2A70F04}">
  <ds:schemaRefs>
    <ds:schemaRef ds:uri="c901dcab-5c60-4e8e-adc9-0c7b361f0e15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513a4330-68e5-46ad-8e16-8cb7e185a001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F6FB955-7DC1-4031-8DFA-B2DCE436F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536C60-FBBD-4731-8E4F-89A51BB23C5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99C7626-8D8F-46AE-A216-3AB7848D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Normal_color .dotm</Template>
  <TotalTime>0</TotalTime>
  <Pages>20</Pages>
  <Words>9107</Words>
  <Characters>53735</Characters>
  <Application>Microsoft Office Word</Application>
  <DocSecurity>0</DocSecurity>
  <Lines>447</Lines>
  <Paragraphs>125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2021-06-24T07:25:00Z</dcterms:created>
  <dcterms:modified xsi:type="dcterms:W3CDTF">2024-02-01T08:22:00Z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6ffa64f4-9ef8-499b-ad6c-73a91d5ec702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2021-05-14T07:46:31Z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