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02576D0" w14:textId="6B79E472" w:rsidR="0042415F" w:rsidRPr="004B4B33" w:rsidRDefault="78F8E056" w:rsidP="3D78BE59">
      <w:pPr>
        <w:rPr>
          <w:rFonts w:asciiTheme="majorHAnsi" w:hAnsiTheme="majorHAnsi" w:cstheme="majorBidi"/>
          <w:b/>
          <w:bCs/>
        </w:rPr>
      </w:pPr>
      <w:bookmarkStart w:id="0" w:name="_GoBack"/>
      <w:bookmarkEnd w:id="0"/>
      <w:r w:rsidRPr="2807D2A1">
        <w:rPr>
          <w:rFonts w:asciiTheme="majorHAnsi" w:hAnsiTheme="majorHAnsi" w:cstheme="majorBidi"/>
          <w:b/>
          <w:bCs/>
        </w:rPr>
        <w:t>KOMPONENTA</w:t>
      </w:r>
      <w:r w:rsidR="004B4B33" w:rsidRPr="2807D2A1">
        <w:rPr>
          <w:rFonts w:asciiTheme="majorHAnsi" w:hAnsiTheme="majorHAnsi" w:cstheme="majorBidi"/>
          <w:b/>
          <w:bCs/>
        </w:rPr>
        <w:t xml:space="preserve"> </w:t>
      </w:r>
      <w:r w:rsidR="2093F198" w:rsidRPr="2807D2A1">
        <w:rPr>
          <w:rFonts w:asciiTheme="majorHAnsi" w:hAnsiTheme="majorHAnsi" w:cstheme="majorBidi"/>
          <w:b/>
          <w:bCs/>
        </w:rPr>
        <w:t>2.10</w:t>
      </w:r>
      <w:r w:rsidRPr="2807D2A1">
        <w:rPr>
          <w:rFonts w:asciiTheme="majorHAnsi" w:hAnsiTheme="majorHAnsi" w:cstheme="majorBidi"/>
          <w:b/>
          <w:bCs/>
        </w:rPr>
        <w:t xml:space="preserve">: </w:t>
      </w:r>
      <w:r w:rsidR="2D59DD7A" w:rsidRPr="2807D2A1">
        <w:rPr>
          <w:rFonts w:asciiTheme="majorHAnsi" w:hAnsiTheme="majorHAnsi" w:cstheme="majorBidi"/>
          <w:b/>
          <w:bCs/>
        </w:rPr>
        <w:t>DOSTUPNÉ</w:t>
      </w:r>
      <w:r w:rsidR="535E2CD5" w:rsidRPr="2807D2A1">
        <w:rPr>
          <w:rFonts w:asciiTheme="majorHAnsi" w:hAnsiTheme="majorHAnsi" w:cstheme="majorBidi"/>
          <w:b/>
          <w:bCs/>
        </w:rPr>
        <w:t xml:space="preserve"> </w:t>
      </w:r>
      <w:r w:rsidRPr="2807D2A1">
        <w:rPr>
          <w:rFonts w:asciiTheme="majorHAnsi" w:hAnsiTheme="majorHAnsi" w:cstheme="majorBidi"/>
          <w:b/>
          <w:bCs/>
        </w:rPr>
        <w:t xml:space="preserve">BYDLENÍ </w:t>
      </w:r>
    </w:p>
    <w:p w14:paraId="52D5B4DC" w14:textId="49AB4F79" w:rsidR="0042415F" w:rsidRPr="004B4B33" w:rsidRDefault="001D082B" w:rsidP="004B4B33">
      <w:pPr>
        <w:pStyle w:val="Odstavecseseznamem"/>
        <w:numPr>
          <w:ilvl w:val="0"/>
          <w:numId w:val="38"/>
        </w:numPr>
        <w:rPr>
          <w:rFonts w:asciiTheme="majorHAnsi" w:hAnsiTheme="majorHAnsi" w:cstheme="majorHAnsi"/>
          <w:b/>
        </w:rPr>
      </w:pPr>
      <w:r w:rsidRPr="004B4B33">
        <w:rPr>
          <w:rFonts w:asciiTheme="majorHAnsi" w:hAnsiTheme="majorHAnsi" w:cstheme="majorHAnsi"/>
          <w:b/>
        </w:rPr>
        <w:t>Popis komponenty</w:t>
      </w:r>
    </w:p>
    <w:tbl>
      <w:tblPr>
        <w:tblStyle w:val="Mkatabulky"/>
        <w:tblW w:w="0" w:type="auto"/>
        <w:tblInd w:w="250" w:type="dxa"/>
        <w:tblLook w:val="04A0" w:firstRow="1" w:lastRow="0" w:firstColumn="1" w:lastColumn="0" w:noHBand="0" w:noVBand="1"/>
      </w:tblPr>
      <w:tblGrid>
        <w:gridCol w:w="8522"/>
      </w:tblGrid>
      <w:tr w:rsidR="004B4B33" w:rsidRPr="004B4B33" w14:paraId="2DD8CAF2" w14:textId="77777777" w:rsidTr="1F3AD02E">
        <w:tc>
          <w:tcPr>
            <w:tcW w:w="8522" w:type="dxa"/>
          </w:tcPr>
          <w:p w14:paraId="46336C7D" w14:textId="062414B6" w:rsidR="004B4B33" w:rsidRPr="004B4B33" w:rsidRDefault="004B4B33" w:rsidP="4966BBAE">
            <w:pPr>
              <w:spacing w:before="240" w:after="240"/>
              <w:jc w:val="both"/>
              <w:rPr>
                <w:rFonts w:asciiTheme="majorHAnsi" w:hAnsiTheme="majorHAnsi" w:cstheme="majorBidi"/>
                <w:i/>
                <w:iCs/>
              </w:rPr>
            </w:pPr>
            <w:r w:rsidRPr="4966BBAE">
              <w:rPr>
                <w:rFonts w:asciiTheme="majorHAnsi" w:hAnsiTheme="majorHAnsi" w:cstheme="majorBidi"/>
                <w:b/>
                <w:bCs/>
              </w:rPr>
              <w:t xml:space="preserve">Oblast politiky </w:t>
            </w:r>
            <w:r w:rsidRPr="4966BBAE">
              <w:rPr>
                <w:rFonts w:asciiTheme="majorHAnsi" w:hAnsiTheme="majorHAnsi" w:cstheme="majorBidi"/>
                <w:i/>
                <w:iCs/>
              </w:rPr>
              <w:t xml:space="preserve">Housing; Affordable Housing; Social Cohesion; Energy Poverty </w:t>
            </w:r>
          </w:p>
          <w:p w14:paraId="3DD5D931" w14:textId="77777777" w:rsidR="004B4B33" w:rsidRPr="004B4B33" w:rsidRDefault="004B4B33" w:rsidP="004B4B33">
            <w:pPr>
              <w:spacing w:before="240" w:after="240"/>
              <w:jc w:val="both"/>
              <w:rPr>
                <w:rFonts w:asciiTheme="majorHAnsi" w:hAnsiTheme="majorHAnsi" w:cstheme="majorHAnsi"/>
                <w:b/>
              </w:rPr>
            </w:pPr>
            <w:r w:rsidRPr="004B4B33">
              <w:rPr>
                <w:rFonts w:asciiTheme="majorHAnsi" w:hAnsiTheme="majorHAnsi" w:cstheme="majorHAnsi"/>
                <w:b/>
              </w:rPr>
              <w:t>Cíl</w:t>
            </w:r>
          </w:p>
          <w:p w14:paraId="4FFA0836" w14:textId="5CE695EE" w:rsidR="004B4B33" w:rsidRPr="004B4B33" w:rsidRDefault="004B4B33" w:rsidP="5B41DABB">
            <w:pPr>
              <w:spacing w:before="240" w:after="240"/>
              <w:jc w:val="both"/>
              <w:rPr>
                <w:rFonts w:asciiTheme="majorHAnsi" w:hAnsiTheme="majorHAnsi" w:cstheme="majorBidi"/>
              </w:rPr>
            </w:pPr>
            <w:r w:rsidRPr="5B41DABB">
              <w:rPr>
                <w:rFonts w:asciiTheme="majorHAnsi" w:hAnsiTheme="majorHAnsi" w:cstheme="majorBidi"/>
              </w:rPr>
              <w:t>Cílem komponenty v</w:t>
            </w:r>
            <w:r w:rsidR="000D7449">
              <w:rPr>
                <w:rFonts w:asciiTheme="majorHAnsi" w:hAnsiTheme="majorHAnsi" w:cstheme="majorBidi"/>
              </w:rPr>
              <w:t> </w:t>
            </w:r>
            <w:r w:rsidRPr="5B41DABB">
              <w:rPr>
                <w:rFonts w:asciiTheme="majorHAnsi" w:hAnsiTheme="majorHAnsi" w:cstheme="majorBidi"/>
              </w:rPr>
              <w:t>obecném smyslu je řešení současné a</w:t>
            </w:r>
            <w:r w:rsidR="000D7449">
              <w:rPr>
                <w:rFonts w:asciiTheme="majorHAnsi" w:hAnsiTheme="majorHAnsi" w:cstheme="majorBidi"/>
              </w:rPr>
              <w:t> </w:t>
            </w:r>
            <w:r w:rsidRPr="5B41DABB">
              <w:rPr>
                <w:rFonts w:asciiTheme="majorHAnsi" w:hAnsiTheme="majorHAnsi" w:cstheme="majorBidi"/>
              </w:rPr>
              <w:t>eskalující krize dostupnosti bydlení a</w:t>
            </w:r>
            <w:r w:rsidR="000D7449">
              <w:rPr>
                <w:rFonts w:asciiTheme="majorHAnsi" w:hAnsiTheme="majorHAnsi" w:cstheme="majorBidi"/>
              </w:rPr>
              <w:t> </w:t>
            </w:r>
            <w:r w:rsidRPr="5B41DABB">
              <w:rPr>
                <w:rFonts w:asciiTheme="majorHAnsi" w:hAnsiTheme="majorHAnsi" w:cstheme="majorBidi"/>
              </w:rPr>
              <w:t>současně zmírnění dopadů energetické krize. Bydlení (nájemní i</w:t>
            </w:r>
            <w:r w:rsidR="000D7449">
              <w:rPr>
                <w:rFonts w:asciiTheme="majorHAnsi" w:hAnsiTheme="majorHAnsi" w:cstheme="majorBidi"/>
              </w:rPr>
              <w:t> </w:t>
            </w:r>
            <w:r w:rsidRPr="5B41DABB">
              <w:rPr>
                <w:rFonts w:asciiTheme="majorHAnsi" w:hAnsiTheme="majorHAnsi" w:cstheme="majorBidi"/>
              </w:rPr>
              <w:t>vlastnické) je v</w:t>
            </w:r>
            <w:r w:rsidR="000D7449">
              <w:rPr>
                <w:rFonts w:asciiTheme="majorHAnsi" w:hAnsiTheme="majorHAnsi" w:cstheme="majorBidi"/>
              </w:rPr>
              <w:t> </w:t>
            </w:r>
            <w:r w:rsidRPr="5B41DABB">
              <w:rPr>
                <w:rFonts w:asciiTheme="majorHAnsi" w:hAnsiTheme="majorHAnsi" w:cstheme="majorBidi"/>
              </w:rPr>
              <w:t>České republice finančně dostupné pro stále menší okruh lidí. Nedostupnost bydlení zasahuje také střední třídu, která nyní ve stále větší míře nedosahuje na hypoteční úvěry. To platí i</w:t>
            </w:r>
            <w:r w:rsidR="000D7449">
              <w:rPr>
                <w:rFonts w:asciiTheme="majorHAnsi" w:hAnsiTheme="majorHAnsi" w:cstheme="majorBidi"/>
              </w:rPr>
              <w:t> </w:t>
            </w:r>
            <w:r w:rsidRPr="5B41DABB">
              <w:rPr>
                <w:rFonts w:asciiTheme="majorHAnsi" w:hAnsiTheme="majorHAnsi" w:cstheme="majorBidi"/>
              </w:rPr>
              <w:t>pro běžné domácnosti v</w:t>
            </w:r>
            <w:r w:rsidR="000D7449">
              <w:rPr>
                <w:rFonts w:asciiTheme="majorHAnsi" w:hAnsiTheme="majorHAnsi" w:cstheme="majorBidi"/>
              </w:rPr>
              <w:t> </w:t>
            </w:r>
            <w:r w:rsidRPr="5B41DABB">
              <w:rPr>
                <w:rFonts w:asciiTheme="majorHAnsi" w:hAnsiTheme="majorHAnsi" w:cstheme="majorBidi"/>
              </w:rPr>
              <w:t>méně ekonomicky prosperujících metropolitních oblastech. Dlouhodobou závažnost problémů nedostupnosti bydlení, neexistence legislativní úpravy a</w:t>
            </w:r>
            <w:r w:rsidR="000D7449">
              <w:rPr>
                <w:rFonts w:asciiTheme="majorHAnsi" w:hAnsiTheme="majorHAnsi" w:cstheme="majorBidi"/>
              </w:rPr>
              <w:t> </w:t>
            </w:r>
            <w:r w:rsidRPr="5B41DABB">
              <w:rPr>
                <w:rFonts w:asciiTheme="majorHAnsi" w:hAnsiTheme="majorHAnsi" w:cstheme="majorBidi"/>
              </w:rPr>
              <w:t>deficitů vládnutí („governance“) v</w:t>
            </w:r>
            <w:r w:rsidR="000D7449">
              <w:rPr>
                <w:rFonts w:asciiTheme="majorHAnsi" w:hAnsiTheme="majorHAnsi" w:cstheme="majorBidi"/>
              </w:rPr>
              <w:t> </w:t>
            </w:r>
            <w:r w:rsidRPr="5B41DABB">
              <w:rPr>
                <w:rFonts w:asciiTheme="majorHAnsi" w:hAnsiTheme="majorHAnsi" w:cstheme="majorBidi"/>
              </w:rPr>
              <w:t>této oblasti opakovaně potvrdily jak analýzy OECD, tak hodnocení prováděná v</w:t>
            </w:r>
            <w:r w:rsidR="000D7449">
              <w:rPr>
                <w:rFonts w:asciiTheme="majorHAnsi" w:hAnsiTheme="majorHAnsi" w:cstheme="majorBidi"/>
              </w:rPr>
              <w:t> </w:t>
            </w:r>
            <w:r w:rsidRPr="5B41DABB">
              <w:rPr>
                <w:rFonts w:asciiTheme="majorHAnsi" w:hAnsiTheme="majorHAnsi" w:cstheme="majorBidi"/>
              </w:rPr>
              <w:t>rámci Evropského semestru.</w:t>
            </w:r>
            <w:r w:rsidRPr="5B41DABB">
              <w:rPr>
                <w:rFonts w:asciiTheme="majorHAnsi" w:hAnsiTheme="majorHAnsi" w:cstheme="majorBidi"/>
                <w:vertAlign w:val="superscript"/>
              </w:rPr>
              <w:footnoteReference w:id="1"/>
            </w:r>
            <w:r w:rsidRPr="5B41DABB">
              <w:rPr>
                <w:rFonts w:asciiTheme="majorHAnsi" w:hAnsiTheme="majorHAnsi" w:cstheme="majorBidi"/>
              </w:rPr>
              <w:t xml:space="preserve"> Zároveň mnoho domácností čelí vysokým výdajům na energie kvůli rostoucím cenám energií v</w:t>
            </w:r>
            <w:r w:rsidR="000D7449">
              <w:rPr>
                <w:rFonts w:asciiTheme="majorHAnsi" w:hAnsiTheme="majorHAnsi" w:cstheme="majorBidi"/>
              </w:rPr>
              <w:t> </w:t>
            </w:r>
            <w:r w:rsidRPr="5B41DABB">
              <w:rPr>
                <w:rFonts w:asciiTheme="majorHAnsi" w:hAnsiTheme="majorHAnsi" w:cstheme="majorBidi"/>
              </w:rPr>
              <w:t>kombinaci s</w:t>
            </w:r>
            <w:r w:rsidR="000D7449">
              <w:rPr>
                <w:rFonts w:asciiTheme="majorHAnsi" w:hAnsiTheme="majorHAnsi" w:cstheme="majorBidi"/>
              </w:rPr>
              <w:t> </w:t>
            </w:r>
            <w:r w:rsidRPr="5B41DABB">
              <w:rPr>
                <w:rFonts w:asciiTheme="majorHAnsi" w:hAnsiTheme="majorHAnsi" w:cstheme="majorBidi"/>
              </w:rPr>
              <w:t>nízkou energetickou účinností budov a</w:t>
            </w:r>
            <w:r w:rsidR="000D7449">
              <w:rPr>
                <w:rFonts w:asciiTheme="majorHAnsi" w:hAnsiTheme="majorHAnsi" w:cstheme="majorBidi"/>
              </w:rPr>
              <w:t> </w:t>
            </w:r>
            <w:r w:rsidRPr="5B41DABB">
              <w:rPr>
                <w:rFonts w:asciiTheme="majorHAnsi" w:hAnsiTheme="majorHAnsi" w:cstheme="majorBidi"/>
              </w:rPr>
              <w:t xml:space="preserve">závislosti na neefektivních zdrojích energie. </w:t>
            </w:r>
          </w:p>
          <w:p w14:paraId="4619F089" w14:textId="6D62DCB2" w:rsidR="004B4B33" w:rsidRPr="004B4B33" w:rsidRDefault="6CE1EBC0" w:rsidP="3D78BE59">
            <w:pPr>
              <w:spacing w:before="240" w:after="240"/>
              <w:jc w:val="both"/>
              <w:rPr>
                <w:rFonts w:asciiTheme="majorHAnsi" w:hAnsiTheme="majorHAnsi" w:cstheme="majorBidi"/>
              </w:rPr>
            </w:pPr>
            <w:r w:rsidRPr="5B41DABB">
              <w:rPr>
                <w:rFonts w:asciiTheme="majorHAnsi" w:hAnsiTheme="majorHAnsi" w:cstheme="majorBidi"/>
              </w:rPr>
              <w:t>C</w:t>
            </w:r>
            <w:r w:rsidR="004B4B33" w:rsidRPr="5B41DABB">
              <w:rPr>
                <w:rFonts w:asciiTheme="majorHAnsi" w:hAnsiTheme="majorHAnsi" w:cstheme="majorBidi"/>
              </w:rPr>
              <w:t>ílem komponenty je zlepšit dostupnost bydlení, a</w:t>
            </w:r>
            <w:r w:rsidR="000D7449">
              <w:rPr>
                <w:rFonts w:asciiTheme="majorHAnsi" w:hAnsiTheme="majorHAnsi" w:cstheme="majorBidi"/>
              </w:rPr>
              <w:t> </w:t>
            </w:r>
            <w:r w:rsidR="004B4B33" w:rsidRPr="5B41DABB">
              <w:rPr>
                <w:rFonts w:asciiTheme="majorHAnsi" w:hAnsiTheme="majorHAnsi" w:cstheme="majorBidi"/>
              </w:rPr>
              <w:t>to jak systémovou reformou (schválení zákona o</w:t>
            </w:r>
            <w:r w:rsidR="000D7449">
              <w:rPr>
                <w:rFonts w:asciiTheme="majorHAnsi" w:hAnsiTheme="majorHAnsi" w:cstheme="majorBidi"/>
              </w:rPr>
              <w:t> </w:t>
            </w:r>
            <w:r w:rsidR="004B4B33" w:rsidRPr="5B41DABB">
              <w:rPr>
                <w:rFonts w:asciiTheme="majorHAnsi" w:hAnsiTheme="majorHAnsi" w:cstheme="majorBidi"/>
              </w:rPr>
              <w:t>podpoře v</w:t>
            </w:r>
            <w:r w:rsidR="000D7449">
              <w:rPr>
                <w:rFonts w:asciiTheme="majorHAnsi" w:hAnsiTheme="majorHAnsi" w:cstheme="majorBidi"/>
              </w:rPr>
              <w:t> </w:t>
            </w:r>
            <w:r w:rsidR="004B4B33" w:rsidRPr="5B41DABB">
              <w:rPr>
                <w:rFonts w:asciiTheme="majorHAnsi" w:hAnsiTheme="majorHAnsi" w:cstheme="majorBidi"/>
              </w:rPr>
              <w:t>bydlení, nastavení metodické podpory a</w:t>
            </w:r>
            <w:r w:rsidR="000D7449">
              <w:rPr>
                <w:rFonts w:asciiTheme="majorHAnsi" w:hAnsiTheme="majorHAnsi" w:cstheme="majorBidi"/>
              </w:rPr>
              <w:t> </w:t>
            </w:r>
            <w:r w:rsidR="004B4B33" w:rsidRPr="5B41DABB">
              <w:rPr>
                <w:rFonts w:asciiTheme="majorHAnsi" w:hAnsiTheme="majorHAnsi" w:cstheme="majorBidi"/>
              </w:rPr>
              <w:t>řízení a</w:t>
            </w:r>
            <w:r w:rsidR="000D7449">
              <w:rPr>
                <w:rFonts w:asciiTheme="majorHAnsi" w:hAnsiTheme="majorHAnsi" w:cstheme="majorBidi"/>
              </w:rPr>
              <w:t> </w:t>
            </w:r>
            <w:r w:rsidR="004B4B33" w:rsidRPr="5B41DABB">
              <w:rPr>
                <w:rFonts w:asciiTheme="majorHAnsi" w:hAnsiTheme="majorHAnsi" w:cstheme="majorBidi"/>
              </w:rPr>
              <w:t>správy bytového fondu ve veřejném vlastnictví), tak prostřednictvím investic do renovací a</w:t>
            </w:r>
            <w:r w:rsidR="000D7449">
              <w:rPr>
                <w:rFonts w:asciiTheme="majorHAnsi" w:hAnsiTheme="majorHAnsi" w:cstheme="majorBidi"/>
              </w:rPr>
              <w:t> </w:t>
            </w:r>
            <w:r w:rsidR="004B4B33" w:rsidRPr="5B41DABB">
              <w:rPr>
                <w:rFonts w:asciiTheme="majorHAnsi" w:hAnsiTheme="majorHAnsi" w:cstheme="majorBidi"/>
              </w:rPr>
              <w:t>výstavby dostupného nájemního bydlení. V</w:t>
            </w:r>
            <w:r w:rsidR="000D7449">
              <w:rPr>
                <w:rFonts w:asciiTheme="majorHAnsi" w:hAnsiTheme="majorHAnsi" w:cstheme="majorBidi"/>
              </w:rPr>
              <w:t> </w:t>
            </w:r>
            <w:r w:rsidR="004B4B33" w:rsidRPr="5B41DABB">
              <w:rPr>
                <w:rFonts w:asciiTheme="majorHAnsi" w:hAnsiTheme="majorHAnsi" w:cstheme="majorBidi"/>
              </w:rPr>
              <w:t>oblasti investic je průlomovým opatřením vytvoření systému finančních schémat převážně návratného charakteru (dlouhodobé úvěrové financování, ekvita), který umožní výrazně navýšit investice do segmentu dostupného nájemního bydlení skrze multiplikační efekt při zapojení soukromého kapitálu a</w:t>
            </w:r>
            <w:r w:rsidR="000D7449">
              <w:rPr>
                <w:rFonts w:asciiTheme="majorHAnsi" w:hAnsiTheme="majorHAnsi" w:cstheme="majorBidi"/>
              </w:rPr>
              <w:t> </w:t>
            </w:r>
            <w:r w:rsidR="004B4B33" w:rsidRPr="5B41DABB">
              <w:rPr>
                <w:rFonts w:asciiTheme="majorHAnsi" w:hAnsiTheme="majorHAnsi" w:cstheme="majorBidi"/>
              </w:rPr>
              <w:t>dalších zdrojů kapitálu z</w:t>
            </w:r>
            <w:r w:rsidR="000D7449">
              <w:rPr>
                <w:rFonts w:asciiTheme="majorHAnsi" w:hAnsiTheme="majorHAnsi" w:cstheme="majorBidi"/>
              </w:rPr>
              <w:t> </w:t>
            </w:r>
            <w:r w:rsidR="004B4B33" w:rsidRPr="5B41DABB">
              <w:rPr>
                <w:rFonts w:asciiTheme="majorHAnsi" w:hAnsiTheme="majorHAnsi" w:cstheme="majorBidi"/>
              </w:rPr>
              <w:t xml:space="preserve">nadnárodních institucí (např. Evropská investiční banka apod.). </w:t>
            </w:r>
          </w:p>
          <w:p w14:paraId="29AE1110" w14:textId="5E3E9900" w:rsidR="004B4B33" w:rsidRPr="004B4B33" w:rsidRDefault="004B4B33" w:rsidP="5B41DABB">
            <w:pPr>
              <w:spacing w:before="240" w:after="240"/>
              <w:jc w:val="both"/>
              <w:rPr>
                <w:rFonts w:asciiTheme="majorHAnsi" w:hAnsiTheme="majorHAnsi" w:cstheme="majorBidi"/>
              </w:rPr>
            </w:pPr>
            <w:r w:rsidRPr="5B41DABB">
              <w:rPr>
                <w:rFonts w:asciiTheme="majorHAnsi" w:hAnsiTheme="majorHAnsi" w:cstheme="majorBidi"/>
              </w:rPr>
              <w:t>Problém nedostupnosti bydlení vyvolává řetězec negativních sociálně ekonomických dopadů s</w:t>
            </w:r>
            <w:r w:rsidR="000D7449">
              <w:rPr>
                <w:rFonts w:asciiTheme="majorHAnsi" w:hAnsiTheme="majorHAnsi" w:cstheme="majorBidi"/>
              </w:rPr>
              <w:t> </w:t>
            </w:r>
            <w:r w:rsidRPr="5B41DABB">
              <w:rPr>
                <w:rFonts w:asciiTheme="majorHAnsi" w:hAnsiTheme="majorHAnsi" w:cstheme="majorBidi"/>
              </w:rPr>
              <w:t>vysokými společenskými náklady:</w:t>
            </w:r>
          </w:p>
          <w:p w14:paraId="15D1616A" w14:textId="77777777" w:rsidR="004B4B33" w:rsidRPr="004B4B33" w:rsidRDefault="004B4B33" w:rsidP="004B4B33">
            <w:pPr>
              <w:numPr>
                <w:ilvl w:val="0"/>
                <w:numId w:val="22"/>
              </w:numPr>
              <w:jc w:val="both"/>
              <w:rPr>
                <w:rFonts w:asciiTheme="majorHAnsi" w:hAnsiTheme="majorHAnsi" w:cstheme="majorHAnsi"/>
              </w:rPr>
            </w:pPr>
            <w:r w:rsidRPr="004B4B33">
              <w:rPr>
                <w:rFonts w:asciiTheme="majorHAnsi" w:hAnsiTheme="majorHAnsi" w:cstheme="majorHAnsi"/>
              </w:rPr>
              <w:t xml:space="preserve">ekonomické externality: deficit konkurenceschopnosti, nedostatek lidských zdrojů, oslabení regionální hospodářské soudržnosti, náklady veřejných rozpočtů vyvolaných bytovou nouzí; </w:t>
            </w:r>
          </w:p>
          <w:p w14:paraId="1C92E7BE" w14:textId="34096133" w:rsidR="004B4B33" w:rsidRPr="004B4B33" w:rsidRDefault="004B4B33" w:rsidP="004B4B33">
            <w:pPr>
              <w:numPr>
                <w:ilvl w:val="0"/>
                <w:numId w:val="22"/>
              </w:numPr>
              <w:jc w:val="both"/>
              <w:rPr>
                <w:rFonts w:asciiTheme="majorHAnsi" w:hAnsiTheme="majorHAnsi" w:cstheme="majorHAnsi"/>
              </w:rPr>
            </w:pPr>
            <w:r w:rsidRPr="004B4B33">
              <w:rPr>
                <w:rFonts w:asciiTheme="majorHAnsi" w:hAnsiTheme="majorHAnsi" w:cstheme="majorHAnsi"/>
              </w:rPr>
              <w:t>sociální dopady: nerovné příležitosti, nestabilita domácností, energetická chudoba, v</w:t>
            </w:r>
            <w:r w:rsidR="000D7449">
              <w:rPr>
                <w:rFonts w:asciiTheme="majorHAnsi" w:hAnsiTheme="majorHAnsi" w:cstheme="majorHAnsi"/>
              </w:rPr>
              <w:t> </w:t>
            </w:r>
            <w:r w:rsidRPr="004B4B33">
              <w:rPr>
                <w:rFonts w:asciiTheme="majorHAnsi" w:hAnsiTheme="majorHAnsi" w:cstheme="majorHAnsi"/>
              </w:rPr>
              <w:t>případech závažné bytové nouze dokonce zhoršení zdravotního stavu, nižší úspěšnost ve vzdělávacím procesu, rozdělení rodin;</w:t>
            </w:r>
          </w:p>
          <w:p w14:paraId="4AD11B65" w14:textId="2434EB92" w:rsidR="004B4B33" w:rsidRPr="004B4B33" w:rsidRDefault="004B4B33" w:rsidP="004B4B33">
            <w:pPr>
              <w:numPr>
                <w:ilvl w:val="0"/>
                <w:numId w:val="22"/>
              </w:numPr>
              <w:jc w:val="both"/>
              <w:rPr>
                <w:rFonts w:asciiTheme="majorHAnsi" w:hAnsiTheme="majorHAnsi" w:cstheme="majorHAnsi"/>
              </w:rPr>
            </w:pPr>
            <w:r w:rsidRPr="004B4B33">
              <w:rPr>
                <w:rFonts w:asciiTheme="majorHAnsi" w:hAnsiTheme="majorHAnsi" w:cstheme="majorHAnsi"/>
              </w:rPr>
              <w:t>kulturní, krajinné a</w:t>
            </w:r>
            <w:r w:rsidR="000D7449">
              <w:rPr>
                <w:rFonts w:asciiTheme="majorHAnsi" w:hAnsiTheme="majorHAnsi" w:cstheme="majorHAnsi"/>
              </w:rPr>
              <w:t> </w:t>
            </w:r>
            <w:r w:rsidRPr="004B4B33">
              <w:rPr>
                <w:rFonts w:asciiTheme="majorHAnsi" w:hAnsiTheme="majorHAnsi" w:cstheme="majorHAnsi"/>
              </w:rPr>
              <w:t xml:space="preserve">urbanistické externality (v širším slova smyslu): tlak na suburbanizaci, vznik sídelních kaší, úpadek stavební kultury; </w:t>
            </w:r>
          </w:p>
          <w:p w14:paraId="5314D472" w14:textId="70659613" w:rsidR="004B4B33" w:rsidRPr="004B4B33" w:rsidDel="00B1208B" w:rsidRDefault="004B4B33" w:rsidP="004B4B33">
            <w:pPr>
              <w:numPr>
                <w:ilvl w:val="0"/>
                <w:numId w:val="22"/>
              </w:numPr>
              <w:jc w:val="both"/>
              <w:rPr>
                <w:rFonts w:asciiTheme="majorHAnsi" w:hAnsiTheme="majorHAnsi" w:cstheme="majorHAnsi"/>
              </w:rPr>
            </w:pPr>
            <w:r w:rsidRPr="004B4B33" w:rsidDel="00B1208B">
              <w:rPr>
                <w:rFonts w:asciiTheme="majorHAnsi" w:hAnsiTheme="majorHAnsi" w:cstheme="majorHAnsi"/>
              </w:rPr>
              <w:t>environmentální externality: intenzifikace individuální automobilové dopravy – dojíždění, zábor zemědělské půdy, neudržitelné využívání přírodních zdrojů, vyšší uhlíková stopa domácností žijících v</w:t>
            </w:r>
            <w:r w:rsidR="000D7449">
              <w:rPr>
                <w:rFonts w:asciiTheme="majorHAnsi" w:hAnsiTheme="majorHAnsi" w:cstheme="majorHAnsi"/>
              </w:rPr>
              <w:t> </w:t>
            </w:r>
            <w:r w:rsidRPr="004B4B33" w:rsidDel="00B1208B">
              <w:rPr>
                <w:rFonts w:asciiTheme="majorHAnsi" w:hAnsiTheme="majorHAnsi" w:cstheme="majorHAnsi"/>
              </w:rPr>
              <w:t>energeticky neefektivním bydlení.</w:t>
            </w:r>
          </w:p>
          <w:p w14:paraId="612702B0" w14:textId="251EA175" w:rsidR="004B4B33" w:rsidRPr="004B4B33" w:rsidRDefault="004B4B33" w:rsidP="004B4B33">
            <w:pPr>
              <w:jc w:val="both"/>
              <w:rPr>
                <w:rFonts w:asciiTheme="majorHAnsi" w:hAnsiTheme="majorHAnsi" w:cstheme="majorHAnsi"/>
              </w:rPr>
            </w:pPr>
            <w:r w:rsidRPr="004B4B33">
              <w:rPr>
                <w:rFonts w:asciiTheme="majorHAnsi" w:hAnsiTheme="majorHAnsi" w:cstheme="majorHAnsi"/>
              </w:rPr>
              <w:lastRenderedPageBreak/>
              <w:t>Nedostupnost bydlení v</w:t>
            </w:r>
            <w:r w:rsidR="000D7449">
              <w:rPr>
                <w:rFonts w:asciiTheme="majorHAnsi" w:hAnsiTheme="majorHAnsi" w:cstheme="majorHAnsi"/>
              </w:rPr>
              <w:t> </w:t>
            </w:r>
            <w:r w:rsidRPr="004B4B33">
              <w:rPr>
                <w:rFonts w:asciiTheme="majorHAnsi" w:hAnsiTheme="majorHAnsi" w:cstheme="majorHAnsi"/>
              </w:rPr>
              <w:t>ČR je výsledným vektorem mnoha příčin, které v</w:t>
            </w:r>
            <w:r w:rsidR="000D7449">
              <w:rPr>
                <w:rFonts w:asciiTheme="majorHAnsi" w:hAnsiTheme="majorHAnsi" w:cstheme="majorHAnsi"/>
              </w:rPr>
              <w:t> </w:t>
            </w:r>
            <w:r w:rsidRPr="004B4B33">
              <w:rPr>
                <w:rFonts w:asciiTheme="majorHAnsi" w:hAnsiTheme="majorHAnsi" w:cstheme="majorHAnsi"/>
              </w:rPr>
              <w:t>konečném důsledku vedou ke stavu tzv. tržního selhání, které vyžaduje intervenci veřejných politik a</w:t>
            </w:r>
            <w:r w:rsidR="000D7449">
              <w:rPr>
                <w:rFonts w:asciiTheme="majorHAnsi" w:hAnsiTheme="majorHAnsi" w:cstheme="majorHAnsi"/>
              </w:rPr>
              <w:t> </w:t>
            </w:r>
            <w:r w:rsidRPr="004B4B33">
              <w:rPr>
                <w:rFonts w:asciiTheme="majorHAnsi" w:hAnsiTheme="majorHAnsi" w:cstheme="majorHAnsi"/>
              </w:rPr>
              <w:t>včetně regulace ze strany státu.</w:t>
            </w:r>
          </w:p>
          <w:p w14:paraId="309EFBA5" w14:textId="71A874AF" w:rsidR="004B4B33" w:rsidRPr="004B4B33" w:rsidRDefault="004B4B33" w:rsidP="004B4B33">
            <w:pPr>
              <w:jc w:val="both"/>
              <w:rPr>
                <w:rFonts w:asciiTheme="majorHAnsi" w:hAnsiTheme="majorHAnsi" w:cstheme="majorHAnsi"/>
              </w:rPr>
            </w:pPr>
            <w:r w:rsidRPr="004B4B33">
              <w:rPr>
                <w:rFonts w:asciiTheme="majorHAnsi" w:hAnsiTheme="majorHAnsi" w:cstheme="majorHAnsi"/>
              </w:rPr>
              <w:t>Z výstupů relevantního aplikovaného výzkumu, zahraničních zkušeností i</w:t>
            </w:r>
            <w:r w:rsidR="000D7449">
              <w:rPr>
                <w:rFonts w:asciiTheme="majorHAnsi" w:hAnsiTheme="majorHAnsi" w:cstheme="majorHAnsi"/>
              </w:rPr>
              <w:t> </w:t>
            </w:r>
            <w:r w:rsidRPr="004B4B33">
              <w:rPr>
                <w:rFonts w:asciiTheme="majorHAnsi" w:hAnsiTheme="majorHAnsi" w:cstheme="majorHAnsi"/>
              </w:rPr>
              <w:t>sektorové analýzy ekonomických vztahů v</w:t>
            </w:r>
            <w:r w:rsidR="000D7449">
              <w:rPr>
                <w:rFonts w:asciiTheme="majorHAnsi" w:hAnsiTheme="majorHAnsi" w:cstheme="majorHAnsi"/>
              </w:rPr>
              <w:t> </w:t>
            </w:r>
            <w:r w:rsidRPr="004B4B33">
              <w:rPr>
                <w:rFonts w:asciiTheme="majorHAnsi" w:hAnsiTheme="majorHAnsi" w:cstheme="majorHAnsi"/>
              </w:rPr>
              <w:t>oblasti bydlení je zřejmé, že řešení deficitu dostupnosti bydlení je možné pouze prostřednictvím komplexního přístupu s</w:t>
            </w:r>
            <w:r w:rsidR="000D7449">
              <w:rPr>
                <w:rFonts w:asciiTheme="majorHAnsi" w:hAnsiTheme="majorHAnsi" w:cstheme="majorHAnsi"/>
              </w:rPr>
              <w:t> </w:t>
            </w:r>
            <w:r w:rsidRPr="004B4B33">
              <w:rPr>
                <w:rFonts w:asciiTheme="majorHAnsi" w:hAnsiTheme="majorHAnsi" w:cstheme="majorHAnsi"/>
              </w:rPr>
              <w:t>použitím synchronizovaných administrativních a</w:t>
            </w:r>
            <w:r w:rsidR="000D7449">
              <w:rPr>
                <w:rFonts w:asciiTheme="majorHAnsi" w:hAnsiTheme="majorHAnsi" w:cstheme="majorHAnsi"/>
              </w:rPr>
              <w:t> </w:t>
            </w:r>
            <w:r w:rsidRPr="004B4B33">
              <w:rPr>
                <w:rFonts w:asciiTheme="majorHAnsi" w:hAnsiTheme="majorHAnsi" w:cstheme="majorHAnsi"/>
              </w:rPr>
              <w:t xml:space="preserve">finančních nástrojů. </w:t>
            </w:r>
          </w:p>
          <w:p w14:paraId="5E28BD62" w14:textId="72658600" w:rsidR="004B4B33" w:rsidRPr="004B4B33" w:rsidRDefault="004B4B33" w:rsidP="004B4B33">
            <w:pPr>
              <w:jc w:val="both"/>
              <w:rPr>
                <w:rFonts w:asciiTheme="majorHAnsi" w:hAnsiTheme="majorHAnsi" w:cstheme="majorHAnsi"/>
              </w:rPr>
            </w:pPr>
            <w:r w:rsidRPr="004B4B33">
              <w:rPr>
                <w:rFonts w:asciiTheme="majorHAnsi" w:hAnsiTheme="majorHAnsi" w:cstheme="majorHAnsi"/>
              </w:rPr>
              <w:t>Problém nedostupnosti bydlení spočívá především v</w:t>
            </w:r>
            <w:r w:rsidR="000D7449">
              <w:rPr>
                <w:rFonts w:asciiTheme="majorHAnsi" w:hAnsiTheme="majorHAnsi" w:cstheme="majorHAnsi"/>
              </w:rPr>
              <w:t> </w:t>
            </w:r>
            <w:r w:rsidRPr="004B4B33">
              <w:rPr>
                <w:rFonts w:asciiTheme="majorHAnsi" w:hAnsiTheme="majorHAnsi" w:cstheme="majorHAnsi"/>
              </w:rPr>
              <w:t>následujících oblastech:</w:t>
            </w:r>
          </w:p>
          <w:p w14:paraId="5BF64DA3" w14:textId="60DC879B" w:rsidR="004B4B33" w:rsidRPr="004B4B33" w:rsidRDefault="004B4B33" w:rsidP="004B4B33">
            <w:pPr>
              <w:numPr>
                <w:ilvl w:val="0"/>
                <w:numId w:val="14"/>
              </w:numPr>
              <w:ind w:left="425"/>
              <w:jc w:val="both"/>
              <w:rPr>
                <w:rFonts w:asciiTheme="majorHAnsi" w:hAnsiTheme="majorHAnsi" w:cstheme="majorHAnsi"/>
              </w:rPr>
            </w:pPr>
            <w:r w:rsidRPr="004B4B33">
              <w:rPr>
                <w:rFonts w:asciiTheme="majorHAnsi" w:hAnsiTheme="majorHAnsi" w:cstheme="majorHAnsi"/>
                <w:b/>
              </w:rPr>
              <w:t>deformace trhu v</w:t>
            </w:r>
            <w:r w:rsidR="000D7449">
              <w:rPr>
                <w:rFonts w:asciiTheme="majorHAnsi" w:hAnsiTheme="majorHAnsi" w:cstheme="majorHAnsi"/>
                <w:b/>
              </w:rPr>
              <w:t> </w:t>
            </w:r>
            <w:r w:rsidRPr="004B4B33">
              <w:rPr>
                <w:rFonts w:asciiTheme="majorHAnsi" w:hAnsiTheme="majorHAnsi" w:cstheme="majorHAnsi"/>
                <w:b/>
              </w:rPr>
              <w:t>důsledku duality statku bydlení.</w:t>
            </w:r>
            <w:r w:rsidRPr="004B4B33">
              <w:rPr>
                <w:rFonts w:asciiTheme="majorHAnsi" w:hAnsiTheme="majorHAnsi" w:cstheme="majorHAnsi"/>
              </w:rPr>
              <w:t xml:space="preserve"> Významná část nově postavených bytů (a část staršího bytového fondu), především v</w:t>
            </w:r>
            <w:r w:rsidR="000D7449">
              <w:rPr>
                <w:rFonts w:asciiTheme="majorHAnsi" w:hAnsiTheme="majorHAnsi" w:cstheme="majorHAnsi"/>
              </w:rPr>
              <w:t> </w:t>
            </w:r>
            <w:r w:rsidRPr="004B4B33">
              <w:rPr>
                <w:rFonts w:asciiTheme="majorHAnsi" w:hAnsiTheme="majorHAnsi" w:cstheme="majorHAnsi"/>
              </w:rPr>
              <w:t>metropolitních oblastech Praha a</w:t>
            </w:r>
            <w:r w:rsidR="000D7449">
              <w:rPr>
                <w:rFonts w:asciiTheme="majorHAnsi" w:hAnsiTheme="majorHAnsi" w:cstheme="majorHAnsi"/>
              </w:rPr>
              <w:t> </w:t>
            </w:r>
            <w:r w:rsidRPr="004B4B33">
              <w:rPr>
                <w:rFonts w:asciiTheme="majorHAnsi" w:hAnsiTheme="majorHAnsi" w:cstheme="majorHAnsi"/>
              </w:rPr>
              <w:t>Brno, není součástí reálného trhu s</w:t>
            </w:r>
            <w:r w:rsidR="000D7449">
              <w:rPr>
                <w:rFonts w:asciiTheme="majorHAnsi" w:hAnsiTheme="majorHAnsi" w:cstheme="majorHAnsi"/>
              </w:rPr>
              <w:t> </w:t>
            </w:r>
            <w:r w:rsidRPr="004B4B33">
              <w:rPr>
                <w:rFonts w:asciiTheme="majorHAnsi" w:hAnsiTheme="majorHAnsi" w:cstheme="majorHAnsi"/>
              </w:rPr>
              <w:t>bydlením. Jde o</w:t>
            </w:r>
            <w:r w:rsidR="000D7449">
              <w:rPr>
                <w:rFonts w:asciiTheme="majorHAnsi" w:hAnsiTheme="majorHAnsi" w:cstheme="majorHAnsi"/>
              </w:rPr>
              <w:t> </w:t>
            </w:r>
            <w:r w:rsidRPr="004B4B33">
              <w:rPr>
                <w:rFonts w:asciiTheme="majorHAnsi" w:hAnsiTheme="majorHAnsi" w:cstheme="majorHAnsi"/>
              </w:rPr>
              <w:t>tzv. investiční byty – důsledek faktu, že kapitálový výnos z</w:t>
            </w:r>
            <w:r w:rsidR="000D7449">
              <w:rPr>
                <w:rFonts w:asciiTheme="majorHAnsi" w:hAnsiTheme="majorHAnsi" w:cstheme="majorHAnsi"/>
              </w:rPr>
              <w:t> </w:t>
            </w:r>
            <w:r w:rsidRPr="004B4B33">
              <w:rPr>
                <w:rFonts w:asciiTheme="majorHAnsi" w:hAnsiTheme="majorHAnsi" w:cstheme="majorHAnsi"/>
              </w:rPr>
              <w:t>nich je větší než renta;</w:t>
            </w:r>
          </w:p>
          <w:p w14:paraId="130D5BC8" w14:textId="0CF1262E" w:rsidR="004B4B33" w:rsidRPr="004B4B33" w:rsidRDefault="004B4B33" w:rsidP="004B4B33">
            <w:pPr>
              <w:numPr>
                <w:ilvl w:val="0"/>
                <w:numId w:val="14"/>
              </w:numPr>
              <w:ind w:left="425"/>
              <w:jc w:val="both"/>
              <w:rPr>
                <w:rFonts w:asciiTheme="majorHAnsi" w:hAnsiTheme="majorHAnsi" w:cstheme="majorHAnsi"/>
              </w:rPr>
            </w:pPr>
            <w:r w:rsidRPr="004B4B33">
              <w:rPr>
                <w:rFonts w:asciiTheme="majorHAnsi" w:hAnsiTheme="majorHAnsi" w:cstheme="majorHAnsi"/>
                <w:b/>
              </w:rPr>
              <w:t>extrémní roztříštěnost vlastnického bydlení v</w:t>
            </w:r>
            <w:r w:rsidR="000D7449">
              <w:rPr>
                <w:rFonts w:asciiTheme="majorHAnsi" w:hAnsiTheme="majorHAnsi" w:cstheme="majorHAnsi"/>
                <w:b/>
              </w:rPr>
              <w:t> </w:t>
            </w:r>
            <w:r w:rsidRPr="004B4B33">
              <w:rPr>
                <w:rFonts w:asciiTheme="majorHAnsi" w:hAnsiTheme="majorHAnsi" w:cstheme="majorHAnsi"/>
                <w:b/>
              </w:rPr>
              <w:t>ČR</w:t>
            </w:r>
            <w:r w:rsidRPr="004B4B33">
              <w:rPr>
                <w:rFonts w:asciiTheme="majorHAnsi" w:hAnsiTheme="majorHAnsi" w:cstheme="majorHAnsi"/>
              </w:rPr>
              <w:t xml:space="preserve"> v</w:t>
            </w:r>
            <w:r w:rsidR="000D7449">
              <w:rPr>
                <w:rFonts w:asciiTheme="majorHAnsi" w:hAnsiTheme="majorHAnsi" w:cstheme="majorHAnsi"/>
              </w:rPr>
              <w:t> </w:t>
            </w:r>
            <w:r w:rsidRPr="004B4B33">
              <w:rPr>
                <w:rFonts w:asciiTheme="majorHAnsi" w:hAnsiTheme="majorHAnsi" w:cstheme="majorHAnsi"/>
              </w:rPr>
              <w:t>důsledku preference investic fyzických osob do bydlení před jinými (v minulosti selhavšími) finančními produkty a</w:t>
            </w:r>
            <w:r w:rsidR="000D7449">
              <w:rPr>
                <w:rFonts w:asciiTheme="majorHAnsi" w:hAnsiTheme="majorHAnsi" w:cstheme="majorHAnsi"/>
              </w:rPr>
              <w:t> </w:t>
            </w:r>
            <w:r w:rsidRPr="004B4B33">
              <w:rPr>
                <w:rFonts w:asciiTheme="majorHAnsi" w:hAnsiTheme="majorHAnsi" w:cstheme="majorHAnsi"/>
              </w:rPr>
              <w:t>preference vlastnického bydlení před nájemním a</w:t>
            </w:r>
            <w:r w:rsidR="000D7449">
              <w:rPr>
                <w:rFonts w:asciiTheme="majorHAnsi" w:hAnsiTheme="majorHAnsi" w:cstheme="majorHAnsi"/>
              </w:rPr>
              <w:t> </w:t>
            </w:r>
            <w:r w:rsidRPr="004B4B33">
              <w:rPr>
                <w:rFonts w:asciiTheme="majorHAnsi" w:hAnsiTheme="majorHAnsi" w:cstheme="majorHAnsi"/>
              </w:rPr>
              <w:t>to i</w:t>
            </w:r>
            <w:r w:rsidR="000D7449">
              <w:rPr>
                <w:rFonts w:asciiTheme="majorHAnsi" w:hAnsiTheme="majorHAnsi" w:cstheme="majorHAnsi"/>
              </w:rPr>
              <w:t> </w:t>
            </w:r>
            <w:r w:rsidRPr="004B4B33">
              <w:rPr>
                <w:rFonts w:asciiTheme="majorHAnsi" w:hAnsiTheme="majorHAnsi" w:cstheme="majorHAnsi"/>
              </w:rPr>
              <w:t>domácnostmi, pro které představuje splácení hypotečního úvěru významnou finanční zátěž;</w:t>
            </w:r>
          </w:p>
          <w:p w14:paraId="0286BAE9" w14:textId="6909CFDF" w:rsidR="004B4B33" w:rsidRPr="004B4B33" w:rsidRDefault="004B4B33" w:rsidP="004B4B33">
            <w:pPr>
              <w:numPr>
                <w:ilvl w:val="0"/>
                <w:numId w:val="14"/>
              </w:numPr>
              <w:ind w:left="425"/>
              <w:jc w:val="both"/>
              <w:rPr>
                <w:rFonts w:asciiTheme="majorHAnsi" w:hAnsiTheme="majorHAnsi" w:cstheme="majorHAnsi"/>
              </w:rPr>
            </w:pPr>
            <w:r w:rsidRPr="004B4B33">
              <w:rPr>
                <w:rFonts w:asciiTheme="majorHAnsi" w:hAnsiTheme="majorHAnsi" w:cstheme="majorHAnsi"/>
                <w:b/>
              </w:rPr>
              <w:t>nedostatek bytů ve vlastnictví obcí, nedostatek bytů pro vybrané profese a</w:t>
            </w:r>
            <w:r w:rsidR="000D7449">
              <w:rPr>
                <w:rFonts w:asciiTheme="majorHAnsi" w:hAnsiTheme="majorHAnsi" w:cstheme="majorHAnsi"/>
                <w:b/>
              </w:rPr>
              <w:t> </w:t>
            </w:r>
            <w:r w:rsidRPr="004B4B33">
              <w:rPr>
                <w:rFonts w:asciiTheme="majorHAnsi" w:hAnsiTheme="majorHAnsi" w:cstheme="majorHAnsi"/>
                <w:b/>
              </w:rPr>
              <w:t>omezené možnosti realizace bytových politik na municipální úrovni</w:t>
            </w:r>
            <w:r w:rsidRPr="004B4B33">
              <w:rPr>
                <w:rFonts w:asciiTheme="majorHAnsi" w:hAnsiTheme="majorHAnsi" w:cstheme="majorHAnsi"/>
              </w:rPr>
              <w:t>;</w:t>
            </w:r>
          </w:p>
          <w:p w14:paraId="05BD396A" w14:textId="2E8C8F18" w:rsidR="004B4B33" w:rsidRPr="004B4B33" w:rsidRDefault="004B4B33" w:rsidP="5B41DABB">
            <w:pPr>
              <w:numPr>
                <w:ilvl w:val="0"/>
                <w:numId w:val="14"/>
              </w:numPr>
              <w:ind w:left="425"/>
              <w:jc w:val="both"/>
              <w:rPr>
                <w:rFonts w:asciiTheme="majorHAnsi" w:hAnsiTheme="majorHAnsi" w:cstheme="majorBidi"/>
                <w:b/>
                <w:bCs/>
              </w:rPr>
            </w:pPr>
            <w:r w:rsidRPr="5B41DABB">
              <w:rPr>
                <w:rFonts w:asciiTheme="majorHAnsi" w:hAnsiTheme="majorHAnsi" w:cstheme="majorBidi"/>
                <w:b/>
                <w:bCs/>
              </w:rPr>
              <w:t>nízká energetická účinnost budov obývaných -skupinami obyvatel s</w:t>
            </w:r>
            <w:r w:rsidR="000D7449">
              <w:rPr>
                <w:rFonts w:asciiTheme="majorHAnsi" w:hAnsiTheme="majorHAnsi" w:cstheme="majorBidi"/>
                <w:b/>
                <w:bCs/>
              </w:rPr>
              <w:t> </w:t>
            </w:r>
            <w:r w:rsidRPr="5B41DABB">
              <w:rPr>
                <w:rFonts w:asciiTheme="majorHAnsi" w:hAnsiTheme="majorHAnsi" w:cstheme="majorBidi"/>
                <w:b/>
                <w:bCs/>
              </w:rPr>
              <w:t xml:space="preserve">nižšími příjmy, </w:t>
            </w:r>
            <w:r w:rsidR="000D7449" w:rsidRPr="5B41DABB">
              <w:rPr>
                <w:rFonts w:asciiTheme="majorHAnsi" w:hAnsiTheme="majorHAnsi" w:cstheme="majorBidi"/>
              </w:rPr>
              <w:t>která snižuje</w:t>
            </w:r>
            <w:r w:rsidRPr="5B41DABB">
              <w:rPr>
                <w:rFonts w:asciiTheme="majorHAnsi" w:hAnsiTheme="majorHAnsi" w:cstheme="majorBidi"/>
              </w:rPr>
              <w:t xml:space="preserve"> cenovou dostupnost bydlení a</w:t>
            </w:r>
            <w:r w:rsidR="000D7449">
              <w:rPr>
                <w:rFonts w:asciiTheme="majorHAnsi" w:hAnsiTheme="majorHAnsi" w:cstheme="majorBidi"/>
              </w:rPr>
              <w:t> </w:t>
            </w:r>
            <w:r w:rsidRPr="5B41DABB">
              <w:rPr>
                <w:rFonts w:asciiTheme="majorHAnsi" w:hAnsiTheme="majorHAnsi" w:cstheme="majorBidi"/>
              </w:rPr>
              <w:t>přispívá k</w:t>
            </w:r>
            <w:r w:rsidR="000D7449">
              <w:rPr>
                <w:rFonts w:asciiTheme="majorHAnsi" w:hAnsiTheme="majorHAnsi" w:cstheme="majorBidi"/>
              </w:rPr>
              <w:t> </w:t>
            </w:r>
            <w:r w:rsidRPr="5B41DABB">
              <w:rPr>
                <w:rFonts w:asciiTheme="majorHAnsi" w:hAnsiTheme="majorHAnsi" w:cstheme="majorBidi"/>
              </w:rPr>
              <w:t xml:space="preserve">energetické chudobě; </w:t>
            </w:r>
            <w:r w:rsidRPr="5B41DABB">
              <w:rPr>
                <w:rFonts w:asciiTheme="majorHAnsi" w:hAnsiTheme="majorHAnsi" w:cstheme="majorBidi"/>
                <w:b/>
                <w:bCs/>
              </w:rPr>
              <w:t xml:space="preserve"> </w:t>
            </w:r>
          </w:p>
          <w:p w14:paraId="475056E6" w14:textId="21432E8C" w:rsidR="004B4B33" w:rsidRPr="004B4B33" w:rsidRDefault="004B4B33" w:rsidP="004B4B33">
            <w:pPr>
              <w:numPr>
                <w:ilvl w:val="0"/>
                <w:numId w:val="14"/>
              </w:numPr>
              <w:ind w:left="425"/>
              <w:jc w:val="both"/>
              <w:rPr>
                <w:rFonts w:asciiTheme="majorHAnsi" w:hAnsiTheme="majorHAnsi" w:cstheme="majorHAnsi"/>
              </w:rPr>
            </w:pPr>
            <w:r w:rsidRPr="004B4B33">
              <w:rPr>
                <w:rFonts w:asciiTheme="majorHAnsi" w:hAnsiTheme="majorHAnsi" w:cstheme="majorHAnsi"/>
                <w:b/>
              </w:rPr>
              <w:t>demografický vývoj</w:t>
            </w:r>
            <w:r w:rsidRPr="004B4B33">
              <w:rPr>
                <w:rFonts w:asciiTheme="majorHAnsi" w:hAnsiTheme="majorHAnsi" w:cstheme="majorHAnsi"/>
              </w:rPr>
              <w:t xml:space="preserve"> dlouhodobě mírného nárůstu celkového počtu obyvatel, spojen především s</w:t>
            </w:r>
            <w:r w:rsidR="000D7449">
              <w:rPr>
                <w:rFonts w:asciiTheme="majorHAnsi" w:hAnsiTheme="majorHAnsi" w:cstheme="majorHAnsi"/>
              </w:rPr>
              <w:t> </w:t>
            </w:r>
            <w:r w:rsidRPr="004B4B33">
              <w:rPr>
                <w:rFonts w:asciiTheme="majorHAnsi" w:hAnsiTheme="majorHAnsi" w:cstheme="majorHAnsi"/>
              </w:rPr>
              <w:t>migrací;</w:t>
            </w:r>
          </w:p>
          <w:p w14:paraId="702299A6" w14:textId="1E7FC954" w:rsidR="004B4B33" w:rsidRPr="004B4B33" w:rsidRDefault="004B4B33" w:rsidP="004B4B33">
            <w:pPr>
              <w:numPr>
                <w:ilvl w:val="0"/>
                <w:numId w:val="14"/>
              </w:numPr>
              <w:ind w:left="425"/>
              <w:jc w:val="both"/>
              <w:rPr>
                <w:rFonts w:asciiTheme="majorHAnsi" w:hAnsiTheme="majorHAnsi" w:cstheme="majorHAnsi"/>
              </w:rPr>
            </w:pPr>
            <w:r w:rsidRPr="004B4B33">
              <w:rPr>
                <w:rFonts w:asciiTheme="majorHAnsi" w:hAnsiTheme="majorHAnsi" w:cstheme="majorHAnsi"/>
                <w:b/>
              </w:rPr>
              <w:t>nedostupnost bydlení v</w:t>
            </w:r>
            <w:r w:rsidR="000D7449">
              <w:rPr>
                <w:rFonts w:asciiTheme="majorHAnsi" w:hAnsiTheme="majorHAnsi" w:cstheme="majorHAnsi"/>
                <w:b/>
              </w:rPr>
              <w:t> </w:t>
            </w:r>
            <w:r w:rsidRPr="004B4B33">
              <w:rPr>
                <w:rFonts w:asciiTheme="majorHAnsi" w:hAnsiTheme="majorHAnsi" w:cstheme="majorHAnsi"/>
                <w:b/>
              </w:rPr>
              <w:t>prosperujících regionech</w:t>
            </w:r>
            <w:r w:rsidRPr="004B4B33">
              <w:rPr>
                <w:rFonts w:asciiTheme="majorHAnsi" w:hAnsiTheme="majorHAnsi" w:cstheme="majorHAnsi"/>
              </w:rPr>
              <w:t xml:space="preserve"> i</w:t>
            </w:r>
            <w:r w:rsidR="000D7449">
              <w:rPr>
                <w:rFonts w:asciiTheme="majorHAnsi" w:hAnsiTheme="majorHAnsi" w:cstheme="majorHAnsi"/>
              </w:rPr>
              <w:t> </w:t>
            </w:r>
            <w:r w:rsidRPr="004B4B33">
              <w:rPr>
                <w:rFonts w:asciiTheme="majorHAnsi" w:hAnsiTheme="majorHAnsi" w:cstheme="majorHAnsi"/>
              </w:rPr>
              <w:t>pro obyvatele, kteří nepatří mezi cílové skupiny sociálních intervencí. Tento stav však ztěžuje přístup i</w:t>
            </w:r>
            <w:r w:rsidR="000D7449">
              <w:rPr>
                <w:rFonts w:asciiTheme="majorHAnsi" w:hAnsiTheme="majorHAnsi" w:cstheme="majorHAnsi"/>
              </w:rPr>
              <w:t> </w:t>
            </w:r>
            <w:r w:rsidRPr="004B4B33">
              <w:rPr>
                <w:rFonts w:asciiTheme="majorHAnsi" w:hAnsiTheme="majorHAnsi" w:cstheme="majorHAnsi"/>
              </w:rPr>
              <w:t>k sociálnímu bydlení v</w:t>
            </w:r>
            <w:r w:rsidR="000D7449">
              <w:rPr>
                <w:rFonts w:asciiTheme="majorHAnsi" w:hAnsiTheme="majorHAnsi" w:cstheme="majorHAnsi"/>
              </w:rPr>
              <w:t> </w:t>
            </w:r>
            <w:r w:rsidRPr="004B4B33">
              <w:rPr>
                <w:rFonts w:asciiTheme="majorHAnsi" w:hAnsiTheme="majorHAnsi" w:cstheme="majorHAnsi"/>
              </w:rPr>
              <w:t>užším smyslu tohoto pojmu a</w:t>
            </w:r>
            <w:r w:rsidR="000D7449">
              <w:rPr>
                <w:rFonts w:asciiTheme="majorHAnsi" w:hAnsiTheme="majorHAnsi" w:cstheme="majorHAnsi"/>
              </w:rPr>
              <w:t> </w:t>
            </w:r>
            <w:r w:rsidRPr="004B4B33">
              <w:rPr>
                <w:rFonts w:asciiTheme="majorHAnsi" w:hAnsiTheme="majorHAnsi" w:cstheme="majorHAnsi"/>
              </w:rPr>
              <w:t>tím se stává katalyzátorem faktického či skrytého bezdomovectví, tzv. obchodu s</w:t>
            </w:r>
            <w:r w:rsidR="000D7449">
              <w:rPr>
                <w:rFonts w:asciiTheme="majorHAnsi" w:hAnsiTheme="majorHAnsi" w:cstheme="majorHAnsi"/>
              </w:rPr>
              <w:t> </w:t>
            </w:r>
            <w:r w:rsidRPr="004B4B33">
              <w:rPr>
                <w:rFonts w:asciiTheme="majorHAnsi" w:hAnsiTheme="majorHAnsi" w:cstheme="majorHAnsi"/>
              </w:rPr>
              <w:t>chudobou a</w:t>
            </w:r>
            <w:r w:rsidR="000D7449">
              <w:rPr>
                <w:rFonts w:asciiTheme="majorHAnsi" w:hAnsiTheme="majorHAnsi" w:cstheme="majorHAnsi"/>
              </w:rPr>
              <w:t> </w:t>
            </w:r>
            <w:r w:rsidRPr="004B4B33">
              <w:rPr>
                <w:rFonts w:asciiTheme="majorHAnsi" w:hAnsiTheme="majorHAnsi" w:cstheme="majorHAnsi"/>
              </w:rPr>
              <w:t>zbytnělého, neefektivního systému výplat sociálních dávek deformující trh s</w:t>
            </w:r>
            <w:r w:rsidR="000D7449">
              <w:rPr>
                <w:rFonts w:asciiTheme="majorHAnsi" w:hAnsiTheme="majorHAnsi" w:cstheme="majorHAnsi"/>
              </w:rPr>
              <w:t> </w:t>
            </w:r>
            <w:r w:rsidRPr="004B4B33">
              <w:rPr>
                <w:rFonts w:asciiTheme="majorHAnsi" w:hAnsiTheme="majorHAnsi" w:cstheme="majorHAnsi"/>
              </w:rPr>
              <w:t>nájemním bydlením;</w:t>
            </w:r>
          </w:p>
          <w:p w14:paraId="7A6D59A1" w14:textId="77777777" w:rsidR="004B4B33" w:rsidRPr="004B4B33" w:rsidRDefault="004B4B33" w:rsidP="004B4B33">
            <w:pPr>
              <w:numPr>
                <w:ilvl w:val="0"/>
                <w:numId w:val="14"/>
              </w:numPr>
              <w:ind w:left="425"/>
              <w:jc w:val="both"/>
              <w:rPr>
                <w:rFonts w:asciiTheme="majorHAnsi" w:hAnsiTheme="majorHAnsi" w:cstheme="majorHAnsi"/>
              </w:rPr>
            </w:pPr>
            <w:r w:rsidRPr="004B4B33">
              <w:rPr>
                <w:rFonts w:asciiTheme="majorHAnsi" w:hAnsiTheme="majorHAnsi" w:cstheme="majorHAnsi"/>
                <w:b/>
              </w:rPr>
              <w:t>růst cen dlouhodobého nájemního bydlení;</w:t>
            </w:r>
            <w:r w:rsidRPr="004B4B33">
              <w:rPr>
                <w:rFonts w:asciiTheme="majorHAnsi" w:hAnsiTheme="majorHAnsi" w:cstheme="majorHAnsi"/>
              </w:rPr>
              <w:t xml:space="preserve"> </w:t>
            </w:r>
          </w:p>
          <w:p w14:paraId="50147E15" w14:textId="562C2C39" w:rsidR="004B4B33" w:rsidRPr="004B4B33" w:rsidRDefault="004B4B33" w:rsidP="004B4B33">
            <w:pPr>
              <w:numPr>
                <w:ilvl w:val="0"/>
                <w:numId w:val="14"/>
              </w:numPr>
              <w:ind w:left="425"/>
              <w:jc w:val="both"/>
              <w:rPr>
                <w:rFonts w:asciiTheme="majorHAnsi" w:hAnsiTheme="majorHAnsi" w:cstheme="majorHAnsi"/>
              </w:rPr>
            </w:pPr>
            <w:r w:rsidRPr="004B4B33">
              <w:rPr>
                <w:rFonts w:asciiTheme="majorHAnsi" w:hAnsiTheme="majorHAnsi" w:cstheme="majorHAnsi"/>
                <w:b/>
              </w:rPr>
              <w:t>nižší elasticita trhu práce</w:t>
            </w:r>
            <w:r w:rsidRPr="004B4B33">
              <w:rPr>
                <w:rFonts w:asciiTheme="majorHAnsi" w:hAnsiTheme="majorHAnsi" w:cstheme="majorHAnsi"/>
              </w:rPr>
              <w:t xml:space="preserve"> s</w:t>
            </w:r>
            <w:r w:rsidR="000D7449">
              <w:rPr>
                <w:rFonts w:asciiTheme="majorHAnsi" w:hAnsiTheme="majorHAnsi" w:cstheme="majorHAnsi"/>
              </w:rPr>
              <w:t> </w:t>
            </w:r>
            <w:r w:rsidRPr="004B4B33">
              <w:rPr>
                <w:rFonts w:asciiTheme="majorHAnsi" w:hAnsiTheme="majorHAnsi" w:cstheme="majorHAnsi"/>
              </w:rPr>
              <w:t>dopadem na konkurenceschopnost a</w:t>
            </w:r>
            <w:r w:rsidR="000D7449">
              <w:rPr>
                <w:rFonts w:asciiTheme="majorHAnsi" w:hAnsiTheme="majorHAnsi" w:cstheme="majorHAnsi"/>
              </w:rPr>
              <w:t> </w:t>
            </w:r>
            <w:r w:rsidRPr="004B4B33">
              <w:rPr>
                <w:rFonts w:asciiTheme="majorHAnsi" w:hAnsiTheme="majorHAnsi" w:cstheme="majorHAnsi"/>
              </w:rPr>
              <w:t>mobilitu pracovních sil</w:t>
            </w:r>
          </w:p>
          <w:p w14:paraId="3D35CA90" w14:textId="77744A41" w:rsidR="004B4B33" w:rsidRPr="004B4B33" w:rsidRDefault="004B4B33" w:rsidP="004B4B33">
            <w:pPr>
              <w:numPr>
                <w:ilvl w:val="0"/>
                <w:numId w:val="14"/>
              </w:numPr>
              <w:ind w:left="425"/>
              <w:jc w:val="both"/>
              <w:rPr>
                <w:rFonts w:asciiTheme="majorHAnsi" w:hAnsiTheme="majorHAnsi" w:cstheme="majorHAnsi"/>
              </w:rPr>
            </w:pPr>
            <w:r w:rsidRPr="004B4B33">
              <w:rPr>
                <w:rFonts w:asciiTheme="majorHAnsi" w:hAnsiTheme="majorHAnsi" w:cstheme="majorHAnsi"/>
                <w:b/>
              </w:rPr>
              <w:t xml:space="preserve">environmentální zátěže </w:t>
            </w:r>
            <w:r w:rsidRPr="004B4B33">
              <w:rPr>
                <w:rFonts w:asciiTheme="majorHAnsi" w:hAnsiTheme="majorHAnsi" w:cstheme="majorHAnsi"/>
              </w:rPr>
              <w:t>způsobené zvýšenou intenzitou dopravy z</w:t>
            </w:r>
            <w:r w:rsidR="000D7449">
              <w:rPr>
                <w:rFonts w:asciiTheme="majorHAnsi" w:hAnsiTheme="majorHAnsi" w:cstheme="majorHAnsi"/>
              </w:rPr>
              <w:t> </w:t>
            </w:r>
            <w:r w:rsidRPr="004B4B33">
              <w:rPr>
                <w:rFonts w:asciiTheme="majorHAnsi" w:hAnsiTheme="majorHAnsi" w:cstheme="majorHAnsi"/>
              </w:rPr>
              <w:t>okolí větších metropolí a</w:t>
            </w:r>
            <w:r w:rsidR="000D7449">
              <w:rPr>
                <w:rFonts w:asciiTheme="majorHAnsi" w:hAnsiTheme="majorHAnsi" w:cstheme="majorHAnsi"/>
              </w:rPr>
              <w:t> </w:t>
            </w:r>
            <w:r w:rsidRPr="004B4B33">
              <w:rPr>
                <w:rFonts w:asciiTheme="majorHAnsi" w:hAnsiTheme="majorHAnsi" w:cstheme="majorHAnsi"/>
              </w:rPr>
              <w:t>s tím spojené zvýšené náklady na dopravní, energetickou a</w:t>
            </w:r>
            <w:r w:rsidR="000D7449">
              <w:rPr>
                <w:rFonts w:asciiTheme="majorHAnsi" w:hAnsiTheme="majorHAnsi" w:cstheme="majorHAnsi"/>
              </w:rPr>
              <w:t> </w:t>
            </w:r>
            <w:r w:rsidRPr="004B4B33">
              <w:rPr>
                <w:rFonts w:asciiTheme="majorHAnsi" w:hAnsiTheme="majorHAnsi" w:cstheme="majorHAnsi"/>
              </w:rPr>
              <w:t>environmentální infrastrukturu spojenou s</w:t>
            </w:r>
            <w:r w:rsidR="000D7449">
              <w:rPr>
                <w:rFonts w:asciiTheme="majorHAnsi" w:hAnsiTheme="majorHAnsi" w:cstheme="majorHAnsi"/>
              </w:rPr>
              <w:t> </w:t>
            </w:r>
            <w:r w:rsidRPr="004B4B33">
              <w:rPr>
                <w:rFonts w:asciiTheme="majorHAnsi" w:hAnsiTheme="majorHAnsi" w:cstheme="majorHAnsi"/>
              </w:rPr>
              <w:t>pohybem lidí mezi regiony;</w:t>
            </w:r>
          </w:p>
          <w:p w14:paraId="53A8D578" w14:textId="08F12B2C" w:rsidR="004B4B33" w:rsidRPr="004B4B33" w:rsidRDefault="004B4B33" w:rsidP="004B4B33">
            <w:pPr>
              <w:numPr>
                <w:ilvl w:val="0"/>
                <w:numId w:val="14"/>
              </w:numPr>
              <w:ind w:left="425"/>
              <w:jc w:val="both"/>
              <w:rPr>
                <w:rFonts w:asciiTheme="majorHAnsi" w:hAnsiTheme="majorHAnsi" w:cstheme="majorHAnsi"/>
              </w:rPr>
            </w:pPr>
            <w:r w:rsidRPr="004B4B33">
              <w:rPr>
                <w:rFonts w:asciiTheme="majorHAnsi" w:hAnsiTheme="majorHAnsi" w:cstheme="majorHAnsi"/>
                <w:b/>
              </w:rPr>
              <w:t>prohlubující se nerovnoměrný rozvoj regionů a</w:t>
            </w:r>
            <w:r w:rsidR="000D7449">
              <w:rPr>
                <w:rFonts w:asciiTheme="majorHAnsi" w:hAnsiTheme="majorHAnsi" w:cstheme="majorHAnsi"/>
                <w:b/>
              </w:rPr>
              <w:t> </w:t>
            </w:r>
            <w:r w:rsidRPr="004B4B33">
              <w:rPr>
                <w:rFonts w:asciiTheme="majorHAnsi" w:hAnsiTheme="majorHAnsi" w:cstheme="majorHAnsi"/>
                <w:b/>
              </w:rPr>
              <w:t xml:space="preserve">oslabování sociální soudržnosti </w:t>
            </w:r>
            <w:r w:rsidRPr="004B4B33">
              <w:rPr>
                <w:rFonts w:asciiTheme="majorHAnsi" w:hAnsiTheme="majorHAnsi" w:cstheme="majorHAnsi"/>
              </w:rPr>
              <w:t>spojená s</w:t>
            </w:r>
            <w:r w:rsidR="000D7449">
              <w:rPr>
                <w:rFonts w:asciiTheme="majorHAnsi" w:hAnsiTheme="majorHAnsi" w:cstheme="majorHAnsi"/>
              </w:rPr>
              <w:t> </w:t>
            </w:r>
            <w:r w:rsidRPr="004B4B33">
              <w:rPr>
                <w:rFonts w:asciiTheme="majorHAnsi" w:hAnsiTheme="majorHAnsi" w:cstheme="majorHAnsi"/>
              </w:rPr>
              <w:t>rozdílnou perspektivou demografického vývoje a</w:t>
            </w:r>
            <w:r w:rsidR="000D7449">
              <w:rPr>
                <w:rFonts w:asciiTheme="majorHAnsi" w:hAnsiTheme="majorHAnsi" w:cstheme="majorHAnsi"/>
              </w:rPr>
              <w:t> </w:t>
            </w:r>
            <w:r w:rsidRPr="004B4B33">
              <w:rPr>
                <w:rFonts w:asciiTheme="majorHAnsi" w:hAnsiTheme="majorHAnsi" w:cstheme="majorHAnsi"/>
              </w:rPr>
              <w:t>přístupem k</w:t>
            </w:r>
            <w:r w:rsidR="000D7449">
              <w:rPr>
                <w:rFonts w:asciiTheme="majorHAnsi" w:hAnsiTheme="majorHAnsi" w:cstheme="majorHAnsi"/>
              </w:rPr>
              <w:t> </w:t>
            </w:r>
            <w:r w:rsidRPr="004B4B33">
              <w:rPr>
                <w:rFonts w:asciiTheme="majorHAnsi" w:hAnsiTheme="majorHAnsi" w:cstheme="majorHAnsi"/>
              </w:rPr>
              <w:t>bydlení;</w:t>
            </w:r>
          </w:p>
          <w:p w14:paraId="0F1250A9" w14:textId="75C6DDC0" w:rsidR="004B4B33" w:rsidRPr="004B4B33" w:rsidRDefault="004B4B33" w:rsidP="004B4B33">
            <w:pPr>
              <w:numPr>
                <w:ilvl w:val="0"/>
                <w:numId w:val="14"/>
              </w:numPr>
              <w:ind w:left="425"/>
              <w:jc w:val="both"/>
              <w:rPr>
                <w:rFonts w:asciiTheme="majorHAnsi" w:hAnsiTheme="majorHAnsi" w:cstheme="majorHAnsi"/>
              </w:rPr>
            </w:pPr>
            <w:r w:rsidRPr="004B4B33">
              <w:rPr>
                <w:rFonts w:asciiTheme="majorHAnsi" w:hAnsiTheme="majorHAnsi" w:cstheme="majorHAnsi"/>
                <w:b/>
              </w:rPr>
              <w:t>šedá ekonomika</w:t>
            </w:r>
            <w:r w:rsidRPr="004B4B33">
              <w:rPr>
                <w:rFonts w:asciiTheme="majorHAnsi" w:hAnsiTheme="majorHAnsi" w:cstheme="majorHAnsi"/>
              </w:rPr>
              <w:t xml:space="preserve"> spojená s</w:t>
            </w:r>
            <w:r w:rsidR="000D7449">
              <w:rPr>
                <w:rFonts w:asciiTheme="majorHAnsi" w:hAnsiTheme="majorHAnsi" w:cstheme="majorHAnsi"/>
              </w:rPr>
              <w:t> </w:t>
            </w:r>
            <w:r w:rsidRPr="004B4B33">
              <w:rPr>
                <w:rFonts w:asciiTheme="majorHAnsi" w:hAnsiTheme="majorHAnsi" w:cstheme="majorHAnsi"/>
              </w:rPr>
              <w:t>pronájmy mimo standardní podnikatelský rámec (mj. pronájem turistům, postiženým exekucemi, černý pronájem atd.) vytvářející asymetrické podmínky pro aktéry na rezidenčním trhu;</w:t>
            </w:r>
          </w:p>
          <w:p w14:paraId="4CAD24BB" w14:textId="77777777" w:rsidR="004B4B33" w:rsidRPr="004B4B33" w:rsidRDefault="004B4B33" w:rsidP="004B4B33">
            <w:pPr>
              <w:numPr>
                <w:ilvl w:val="0"/>
                <w:numId w:val="14"/>
              </w:numPr>
              <w:ind w:left="425"/>
              <w:jc w:val="both"/>
              <w:rPr>
                <w:rFonts w:asciiTheme="majorHAnsi" w:hAnsiTheme="majorHAnsi" w:cstheme="majorHAnsi"/>
              </w:rPr>
            </w:pPr>
            <w:r w:rsidRPr="004B4B33">
              <w:rPr>
                <w:rFonts w:asciiTheme="majorHAnsi" w:hAnsiTheme="majorHAnsi" w:cstheme="majorHAnsi"/>
                <w:b/>
              </w:rPr>
              <w:t>stigmatizace nájemního bydlení</w:t>
            </w:r>
            <w:r w:rsidRPr="004B4B33">
              <w:rPr>
                <w:rFonts w:asciiTheme="majorHAnsi" w:hAnsiTheme="majorHAnsi" w:cstheme="majorHAnsi"/>
                <w:color w:val="3C4043"/>
              </w:rPr>
              <w:t>.</w:t>
            </w:r>
          </w:p>
          <w:p w14:paraId="296702C3" w14:textId="71353E0B" w:rsidR="004B4B33" w:rsidRPr="004B4B33" w:rsidRDefault="004B4B33" w:rsidP="004B4B33">
            <w:pPr>
              <w:spacing w:before="240" w:after="240"/>
              <w:jc w:val="both"/>
              <w:rPr>
                <w:rFonts w:asciiTheme="majorHAnsi" w:hAnsiTheme="majorHAnsi" w:cstheme="majorHAnsi"/>
              </w:rPr>
            </w:pPr>
            <w:r w:rsidRPr="004B4B33">
              <w:rPr>
                <w:rFonts w:asciiTheme="majorHAnsi" w:hAnsiTheme="majorHAnsi" w:cstheme="majorHAnsi"/>
              </w:rPr>
              <w:t>Komponenta je založena na vzájemně provázaných pilířích. Primárně bude iniciovat budování kapacit dostupného bydlení, kdy vedoucím investorem budou především municipality, ale do určité míry i</w:t>
            </w:r>
            <w:r w:rsidR="000D7449">
              <w:rPr>
                <w:rFonts w:asciiTheme="majorHAnsi" w:hAnsiTheme="majorHAnsi" w:cstheme="majorHAnsi"/>
              </w:rPr>
              <w:t> </w:t>
            </w:r>
            <w:r w:rsidRPr="004B4B33">
              <w:rPr>
                <w:rFonts w:asciiTheme="majorHAnsi" w:hAnsiTheme="majorHAnsi" w:cstheme="majorHAnsi"/>
              </w:rPr>
              <w:t>soukromý sektor. Soustřeďuje se na udržitelné pořizování energeticky účinného a</w:t>
            </w:r>
            <w:r w:rsidR="000D7449">
              <w:rPr>
                <w:rFonts w:asciiTheme="majorHAnsi" w:hAnsiTheme="majorHAnsi" w:cstheme="majorHAnsi"/>
              </w:rPr>
              <w:t> </w:t>
            </w:r>
            <w:r w:rsidRPr="004B4B33">
              <w:rPr>
                <w:rFonts w:asciiTheme="majorHAnsi" w:hAnsiTheme="majorHAnsi" w:cstheme="majorHAnsi"/>
              </w:rPr>
              <w:t>nákladově dostupného nájemního bydlení formou rekonstrukcí stávajících objektů, případně nástaveb a</w:t>
            </w:r>
            <w:r w:rsidR="000D7449">
              <w:rPr>
                <w:rFonts w:asciiTheme="majorHAnsi" w:hAnsiTheme="majorHAnsi" w:cstheme="majorHAnsi"/>
              </w:rPr>
              <w:t> </w:t>
            </w:r>
            <w:r w:rsidRPr="004B4B33">
              <w:rPr>
                <w:rFonts w:asciiTheme="majorHAnsi" w:hAnsiTheme="majorHAnsi" w:cstheme="majorHAnsi"/>
              </w:rPr>
              <w:t>přístaveb a</w:t>
            </w:r>
            <w:r w:rsidR="000D7449">
              <w:rPr>
                <w:rFonts w:asciiTheme="majorHAnsi" w:hAnsiTheme="majorHAnsi" w:cstheme="majorHAnsi"/>
              </w:rPr>
              <w:t> </w:t>
            </w:r>
            <w:r w:rsidRPr="004B4B33">
              <w:rPr>
                <w:rFonts w:asciiTheme="majorHAnsi" w:hAnsiTheme="majorHAnsi" w:cstheme="majorHAnsi"/>
              </w:rPr>
              <w:t>na udržitelnou výstavbu dostupného nájemního bydlení v</w:t>
            </w:r>
            <w:r w:rsidR="000D7449">
              <w:rPr>
                <w:rFonts w:asciiTheme="majorHAnsi" w:hAnsiTheme="majorHAnsi" w:cstheme="majorHAnsi"/>
              </w:rPr>
              <w:t> </w:t>
            </w:r>
            <w:r w:rsidRPr="004B4B33">
              <w:rPr>
                <w:rFonts w:asciiTheme="majorHAnsi" w:hAnsiTheme="majorHAnsi" w:cstheme="majorHAnsi"/>
              </w:rPr>
              <w:t>prolukách souvislé zástavby a</w:t>
            </w:r>
            <w:r w:rsidR="000D7449">
              <w:rPr>
                <w:rFonts w:asciiTheme="majorHAnsi" w:hAnsiTheme="majorHAnsi" w:cstheme="majorHAnsi"/>
              </w:rPr>
              <w:t> </w:t>
            </w:r>
            <w:r w:rsidRPr="004B4B33">
              <w:rPr>
                <w:rFonts w:asciiTheme="majorHAnsi" w:hAnsiTheme="majorHAnsi" w:cstheme="majorHAnsi"/>
              </w:rPr>
              <w:t>v brownfieldech v</w:t>
            </w:r>
            <w:r w:rsidR="000D7449">
              <w:rPr>
                <w:rFonts w:asciiTheme="majorHAnsi" w:hAnsiTheme="majorHAnsi" w:cstheme="majorHAnsi"/>
              </w:rPr>
              <w:t> </w:t>
            </w:r>
            <w:r w:rsidRPr="004B4B33">
              <w:rPr>
                <w:rFonts w:asciiTheme="majorHAnsi" w:hAnsiTheme="majorHAnsi" w:cstheme="majorHAnsi"/>
              </w:rPr>
              <w:t xml:space="preserve">rámci zahušťování sídel. </w:t>
            </w:r>
          </w:p>
          <w:p w14:paraId="6FE1AABC" w14:textId="28189200" w:rsidR="004B4B33" w:rsidRPr="004B4B33" w:rsidRDefault="004B4B33" w:rsidP="004B4B33">
            <w:pPr>
              <w:spacing w:before="240" w:after="240"/>
              <w:jc w:val="both"/>
              <w:rPr>
                <w:rFonts w:asciiTheme="majorHAnsi" w:hAnsiTheme="majorHAnsi" w:cstheme="majorHAnsi"/>
              </w:rPr>
            </w:pPr>
            <w:r w:rsidRPr="004B4B33">
              <w:rPr>
                <w:rFonts w:asciiTheme="majorHAnsi" w:hAnsiTheme="majorHAnsi" w:cstheme="majorHAnsi"/>
              </w:rPr>
              <w:t>Investiční podpora bude provázána s</w:t>
            </w:r>
            <w:r w:rsidR="000D7449">
              <w:rPr>
                <w:rFonts w:asciiTheme="majorHAnsi" w:hAnsiTheme="majorHAnsi" w:cstheme="majorHAnsi"/>
              </w:rPr>
              <w:t> </w:t>
            </w:r>
            <w:r w:rsidRPr="004B4B33">
              <w:rPr>
                <w:rFonts w:asciiTheme="majorHAnsi" w:hAnsiTheme="majorHAnsi" w:cstheme="majorHAnsi"/>
              </w:rPr>
              <w:t>hlubokou reformou podpory bydlení (přechod od jediného systémového nástroje podpory poptávky prostřednictvím centrálně administrovaných sociálních transferů k</w:t>
            </w:r>
            <w:r w:rsidR="000D7449">
              <w:rPr>
                <w:rFonts w:asciiTheme="majorHAnsi" w:hAnsiTheme="majorHAnsi" w:cstheme="majorHAnsi"/>
              </w:rPr>
              <w:t> </w:t>
            </w:r>
            <w:r w:rsidRPr="004B4B33">
              <w:rPr>
                <w:rFonts w:asciiTheme="majorHAnsi" w:hAnsiTheme="majorHAnsi" w:cstheme="majorHAnsi"/>
              </w:rPr>
              <w:t>souboru různých typů nástrojů, které umožní flexibilní řešení podle místních podmínek a</w:t>
            </w:r>
            <w:r w:rsidR="000D7449">
              <w:rPr>
                <w:rFonts w:asciiTheme="majorHAnsi" w:hAnsiTheme="majorHAnsi" w:cstheme="majorHAnsi"/>
              </w:rPr>
              <w:t> </w:t>
            </w:r>
            <w:r w:rsidRPr="004B4B33">
              <w:rPr>
                <w:rFonts w:asciiTheme="majorHAnsi" w:hAnsiTheme="majorHAnsi" w:cstheme="majorHAnsi"/>
              </w:rPr>
              <w:t>individuálních potřeb). Komponenta také usiluje o</w:t>
            </w:r>
            <w:r w:rsidR="000D7449">
              <w:rPr>
                <w:rFonts w:asciiTheme="majorHAnsi" w:hAnsiTheme="majorHAnsi" w:cstheme="majorHAnsi"/>
              </w:rPr>
              <w:t> </w:t>
            </w:r>
            <w:r w:rsidRPr="004B4B33">
              <w:rPr>
                <w:rFonts w:asciiTheme="majorHAnsi" w:hAnsiTheme="majorHAnsi" w:cstheme="majorHAnsi"/>
              </w:rPr>
              <w:t>rozvoj implementačních, znalostních, poradenských, a</w:t>
            </w:r>
            <w:r w:rsidR="000D7449">
              <w:rPr>
                <w:rFonts w:asciiTheme="majorHAnsi" w:hAnsiTheme="majorHAnsi" w:cstheme="majorHAnsi"/>
              </w:rPr>
              <w:t> </w:t>
            </w:r>
            <w:r w:rsidRPr="004B4B33">
              <w:rPr>
                <w:rFonts w:asciiTheme="majorHAnsi" w:hAnsiTheme="majorHAnsi" w:cstheme="majorHAnsi"/>
              </w:rPr>
              <w:t xml:space="preserve">koordinačních kapacit pro uplatnění </w:t>
            </w:r>
            <w:r w:rsidRPr="004B4B33">
              <w:rPr>
                <w:rFonts w:asciiTheme="majorHAnsi" w:hAnsiTheme="majorHAnsi" w:cstheme="majorHAnsi"/>
              </w:rPr>
              <w:lastRenderedPageBreak/>
              <w:t>různých finančních a</w:t>
            </w:r>
            <w:r w:rsidR="000D7449">
              <w:rPr>
                <w:rFonts w:asciiTheme="majorHAnsi" w:hAnsiTheme="majorHAnsi" w:cstheme="majorHAnsi"/>
              </w:rPr>
              <w:t> </w:t>
            </w:r>
            <w:r w:rsidRPr="004B4B33">
              <w:rPr>
                <w:rFonts w:asciiTheme="majorHAnsi" w:hAnsiTheme="majorHAnsi" w:cstheme="majorHAnsi"/>
              </w:rPr>
              <w:t>administrativních nástrojů pro podporu dostupného bydlení včetně naplňování veřejného zájmu s</w:t>
            </w:r>
            <w:r w:rsidR="000D7449">
              <w:rPr>
                <w:rFonts w:asciiTheme="majorHAnsi" w:hAnsiTheme="majorHAnsi" w:cstheme="majorHAnsi"/>
              </w:rPr>
              <w:t> </w:t>
            </w:r>
            <w:r w:rsidRPr="004B4B33">
              <w:rPr>
                <w:rFonts w:asciiTheme="majorHAnsi" w:hAnsiTheme="majorHAnsi" w:cstheme="majorHAnsi"/>
              </w:rPr>
              <w:t>agendou bydlení spojeného  Dalším pilířem je podpora kapacity a</w:t>
            </w:r>
            <w:r w:rsidR="000D7449">
              <w:rPr>
                <w:rFonts w:asciiTheme="majorHAnsi" w:hAnsiTheme="majorHAnsi" w:cstheme="majorHAnsi"/>
              </w:rPr>
              <w:t> </w:t>
            </w:r>
            <w:r w:rsidRPr="004B4B33">
              <w:rPr>
                <w:rFonts w:asciiTheme="majorHAnsi" w:hAnsiTheme="majorHAnsi" w:cstheme="majorHAnsi"/>
              </w:rPr>
              <w:t>kvality řízení a</w:t>
            </w:r>
            <w:r w:rsidR="000D7449">
              <w:rPr>
                <w:rFonts w:asciiTheme="majorHAnsi" w:hAnsiTheme="majorHAnsi" w:cstheme="majorHAnsi"/>
              </w:rPr>
              <w:t> </w:t>
            </w:r>
            <w:r w:rsidRPr="004B4B33">
              <w:rPr>
                <w:rFonts w:asciiTheme="majorHAnsi" w:hAnsiTheme="majorHAnsi" w:cstheme="majorHAnsi"/>
              </w:rPr>
              <w:t>správy bytového fondu ve veřejném vlastnictví nebo podpořeného z</w:t>
            </w:r>
            <w:r w:rsidR="000D7449">
              <w:rPr>
                <w:rFonts w:asciiTheme="majorHAnsi" w:hAnsiTheme="majorHAnsi" w:cstheme="majorHAnsi"/>
              </w:rPr>
              <w:t> </w:t>
            </w:r>
            <w:r w:rsidRPr="004B4B33">
              <w:rPr>
                <w:rFonts w:asciiTheme="majorHAnsi" w:hAnsiTheme="majorHAnsi" w:cstheme="majorHAnsi"/>
              </w:rPr>
              <w:t>veřejných zdrojů (podpora rozhodování, přípravy projektů, výměna informací, koordinace se souvisejícími agendami lokálního a</w:t>
            </w:r>
            <w:r w:rsidR="000D7449">
              <w:rPr>
                <w:rFonts w:asciiTheme="majorHAnsi" w:hAnsiTheme="majorHAnsi" w:cstheme="majorHAnsi"/>
              </w:rPr>
              <w:t> </w:t>
            </w:r>
            <w:r w:rsidRPr="004B4B33">
              <w:rPr>
                <w:rFonts w:asciiTheme="majorHAnsi" w:hAnsiTheme="majorHAnsi" w:cstheme="majorHAnsi"/>
              </w:rPr>
              <w:t>regionálního rozvoje).</w:t>
            </w:r>
          </w:p>
          <w:p w14:paraId="3F5FDB78" w14:textId="0F1F512B" w:rsidR="004B4B33" w:rsidRPr="004B4B33" w:rsidRDefault="004B4B33" w:rsidP="004B4B33">
            <w:pPr>
              <w:spacing w:before="240" w:after="240"/>
              <w:jc w:val="both"/>
              <w:rPr>
                <w:rFonts w:asciiTheme="majorHAnsi" w:hAnsiTheme="majorHAnsi" w:cstheme="majorHAnsi"/>
              </w:rPr>
            </w:pPr>
            <w:r w:rsidRPr="004B4B33">
              <w:rPr>
                <w:rFonts w:asciiTheme="majorHAnsi" w:hAnsiTheme="majorHAnsi" w:cstheme="majorHAnsi"/>
              </w:rPr>
              <w:t>Komponenta naplňuje část cílů Koncepce bydlení České republiky 2021+ (MMR, 2021) a</w:t>
            </w:r>
            <w:r w:rsidR="000D7449">
              <w:rPr>
                <w:rFonts w:asciiTheme="majorHAnsi" w:hAnsiTheme="majorHAnsi" w:cstheme="majorHAnsi"/>
              </w:rPr>
              <w:t> </w:t>
            </w:r>
            <w:r w:rsidRPr="004B4B33">
              <w:rPr>
                <w:rFonts w:asciiTheme="majorHAnsi" w:hAnsiTheme="majorHAnsi" w:cstheme="majorHAnsi"/>
              </w:rPr>
              <w:t>souvisí také s</w:t>
            </w:r>
            <w:r w:rsidR="000D7449">
              <w:rPr>
                <w:rFonts w:asciiTheme="majorHAnsi" w:hAnsiTheme="majorHAnsi" w:cstheme="majorHAnsi"/>
              </w:rPr>
              <w:t> </w:t>
            </w:r>
            <w:r w:rsidRPr="004B4B33">
              <w:rPr>
                <w:rFonts w:asciiTheme="majorHAnsi" w:hAnsiTheme="majorHAnsi" w:cstheme="majorHAnsi"/>
              </w:rPr>
              <w:t>naplňováním Koncepce sociálního bydlení České republiky 2015 - 2025 (MPSV, 2015). Rozšiřování nabídky dostupného bydlení je součástí souboru opatření ve Strategii rovnosti, začlenění a</w:t>
            </w:r>
            <w:r w:rsidR="000D7449">
              <w:rPr>
                <w:rFonts w:asciiTheme="majorHAnsi" w:hAnsiTheme="majorHAnsi" w:cstheme="majorHAnsi"/>
              </w:rPr>
              <w:t> </w:t>
            </w:r>
            <w:r w:rsidRPr="004B4B33">
              <w:rPr>
                <w:rFonts w:asciiTheme="majorHAnsi" w:hAnsiTheme="majorHAnsi" w:cstheme="majorHAnsi"/>
              </w:rPr>
              <w:t>participace Romů (Strategie romské integrace) 2021 - 2030 (Úřad vlády, 2021). Naplnění komponenty bude mít pozitivní vliv na realizaci Politiky architektury a</w:t>
            </w:r>
            <w:r w:rsidR="000D7449">
              <w:rPr>
                <w:rFonts w:asciiTheme="majorHAnsi" w:hAnsiTheme="majorHAnsi" w:cstheme="majorHAnsi"/>
              </w:rPr>
              <w:t> </w:t>
            </w:r>
            <w:r w:rsidRPr="004B4B33">
              <w:rPr>
                <w:rFonts w:asciiTheme="majorHAnsi" w:hAnsiTheme="majorHAnsi" w:cstheme="majorHAnsi"/>
              </w:rPr>
              <w:t>stavební kultury (MMR, 2015), přispěje k</w:t>
            </w:r>
            <w:r w:rsidR="000D7449">
              <w:rPr>
                <w:rFonts w:asciiTheme="majorHAnsi" w:hAnsiTheme="majorHAnsi" w:cstheme="majorHAnsi"/>
              </w:rPr>
              <w:t> </w:t>
            </w:r>
            <w:r w:rsidRPr="004B4B33">
              <w:rPr>
                <w:rFonts w:asciiTheme="majorHAnsi" w:hAnsiTheme="majorHAnsi" w:cstheme="majorHAnsi"/>
              </w:rPr>
              <w:t>posilování regionální koheze a</w:t>
            </w:r>
            <w:r w:rsidR="000D7449">
              <w:rPr>
                <w:rFonts w:asciiTheme="majorHAnsi" w:hAnsiTheme="majorHAnsi" w:cstheme="majorHAnsi"/>
              </w:rPr>
              <w:t> </w:t>
            </w:r>
            <w:r w:rsidRPr="004B4B33">
              <w:rPr>
                <w:rFonts w:asciiTheme="majorHAnsi" w:hAnsiTheme="majorHAnsi" w:cstheme="majorHAnsi"/>
              </w:rPr>
              <w:t>rozvoji dostupného bydlení tam, kde je to potřebné ve vazbě na Strategii regionálního rozvoje ČR 2021+ (MMR, 2019), podpoří realizaci lokálních (municipálních) bytových politik, přispěje k</w:t>
            </w:r>
            <w:r w:rsidR="000D7449">
              <w:rPr>
                <w:rFonts w:asciiTheme="majorHAnsi" w:hAnsiTheme="majorHAnsi" w:cstheme="majorHAnsi"/>
              </w:rPr>
              <w:t> </w:t>
            </w:r>
            <w:r w:rsidRPr="004B4B33">
              <w:rPr>
                <w:rFonts w:asciiTheme="majorHAnsi" w:hAnsiTheme="majorHAnsi" w:cstheme="majorHAnsi"/>
              </w:rPr>
              <w:t>žádoucí modernizaci bytového fondu a</w:t>
            </w:r>
            <w:r w:rsidR="000D7449">
              <w:rPr>
                <w:rFonts w:asciiTheme="majorHAnsi" w:hAnsiTheme="majorHAnsi" w:cstheme="majorHAnsi"/>
              </w:rPr>
              <w:t> </w:t>
            </w:r>
            <w:r w:rsidRPr="004B4B33">
              <w:rPr>
                <w:rFonts w:asciiTheme="majorHAnsi" w:hAnsiTheme="majorHAnsi" w:cstheme="majorHAnsi"/>
              </w:rPr>
              <w:t>zvýšení jeho environmentální (energetické) udržitelnosti a</w:t>
            </w:r>
            <w:r w:rsidR="000D7449">
              <w:rPr>
                <w:rFonts w:asciiTheme="majorHAnsi" w:hAnsiTheme="majorHAnsi" w:cstheme="majorHAnsi"/>
              </w:rPr>
              <w:t> </w:t>
            </w:r>
            <w:r w:rsidRPr="004B4B33">
              <w:rPr>
                <w:rFonts w:asciiTheme="majorHAnsi" w:hAnsiTheme="majorHAnsi" w:cstheme="majorHAnsi"/>
              </w:rPr>
              <w:t>odolnosti a</w:t>
            </w:r>
            <w:r w:rsidR="000D7449">
              <w:rPr>
                <w:rFonts w:asciiTheme="majorHAnsi" w:hAnsiTheme="majorHAnsi" w:cstheme="majorHAnsi"/>
              </w:rPr>
              <w:t> </w:t>
            </w:r>
            <w:r w:rsidRPr="004B4B33">
              <w:rPr>
                <w:rFonts w:asciiTheme="majorHAnsi" w:hAnsiTheme="majorHAnsi" w:cstheme="majorHAnsi"/>
              </w:rPr>
              <w:t>sekundárně přispěje k</w:t>
            </w:r>
            <w:r w:rsidR="000D7449">
              <w:rPr>
                <w:rFonts w:asciiTheme="majorHAnsi" w:hAnsiTheme="majorHAnsi" w:cstheme="majorHAnsi"/>
              </w:rPr>
              <w:t> </w:t>
            </w:r>
            <w:r w:rsidRPr="004B4B33">
              <w:rPr>
                <w:rFonts w:asciiTheme="majorHAnsi" w:hAnsiTheme="majorHAnsi" w:cstheme="majorHAnsi"/>
              </w:rPr>
              <w:t>zefektivnění distribuce a</w:t>
            </w:r>
            <w:r w:rsidR="000D7449">
              <w:rPr>
                <w:rFonts w:asciiTheme="majorHAnsi" w:hAnsiTheme="majorHAnsi" w:cstheme="majorHAnsi"/>
              </w:rPr>
              <w:t> </w:t>
            </w:r>
            <w:r w:rsidRPr="004B4B33">
              <w:rPr>
                <w:rFonts w:asciiTheme="majorHAnsi" w:hAnsiTheme="majorHAnsi" w:cstheme="majorHAnsi"/>
              </w:rPr>
              <w:t>využití existujícího bytového fondu v</w:t>
            </w:r>
            <w:r w:rsidR="000D7449">
              <w:rPr>
                <w:rFonts w:asciiTheme="majorHAnsi" w:hAnsiTheme="majorHAnsi" w:cstheme="majorHAnsi"/>
              </w:rPr>
              <w:t> </w:t>
            </w:r>
            <w:r w:rsidRPr="004B4B33">
              <w:rPr>
                <w:rFonts w:asciiTheme="majorHAnsi" w:hAnsiTheme="majorHAnsi" w:cstheme="majorHAnsi"/>
              </w:rPr>
              <w:t>držení subjektů veřejného sektoru.</w:t>
            </w:r>
          </w:p>
          <w:p w14:paraId="0858B19C" w14:textId="47123EA5" w:rsidR="004B4B33" w:rsidRPr="004B4B33" w:rsidRDefault="004B4B33" w:rsidP="5B41DABB">
            <w:pPr>
              <w:pStyle w:val="Odstavecseseznamem"/>
              <w:numPr>
                <w:ilvl w:val="0"/>
                <w:numId w:val="34"/>
              </w:numPr>
              <w:spacing w:before="240" w:after="240"/>
              <w:jc w:val="both"/>
              <w:rPr>
                <w:rFonts w:asciiTheme="majorHAnsi" w:hAnsiTheme="majorHAnsi" w:cstheme="majorBidi"/>
              </w:rPr>
            </w:pPr>
            <w:r w:rsidRPr="5B41DABB">
              <w:rPr>
                <w:rFonts w:asciiTheme="majorHAnsi" w:hAnsiTheme="majorHAnsi" w:cstheme="majorBidi"/>
              </w:rPr>
              <w:t xml:space="preserve">Komponenta reaguje na specifická doporučení Rady pro Českou republiku pro rok 2023: </w:t>
            </w:r>
          </w:p>
          <w:p w14:paraId="4DA26904" w14:textId="713C09E7" w:rsidR="004B4B33" w:rsidRPr="004B4B33" w:rsidRDefault="004B4B33" w:rsidP="004B4B33">
            <w:pPr>
              <w:pStyle w:val="Odstavecseseznamem"/>
              <w:numPr>
                <w:ilvl w:val="0"/>
                <w:numId w:val="34"/>
              </w:numPr>
              <w:spacing w:before="240" w:after="240"/>
              <w:jc w:val="both"/>
              <w:rPr>
                <w:rFonts w:asciiTheme="majorHAnsi" w:hAnsiTheme="majorHAnsi" w:cstheme="majorHAnsi"/>
              </w:rPr>
            </w:pPr>
            <w:r w:rsidRPr="5B41DABB">
              <w:rPr>
                <w:rFonts w:asciiTheme="majorHAnsi" w:hAnsiTheme="majorHAnsi" w:cstheme="majorBidi"/>
              </w:rPr>
              <w:t>Posílit poskytování sociálního a</w:t>
            </w:r>
            <w:r w:rsidR="000D7449">
              <w:rPr>
                <w:rFonts w:asciiTheme="majorHAnsi" w:hAnsiTheme="majorHAnsi" w:cstheme="majorBidi"/>
              </w:rPr>
              <w:t> </w:t>
            </w:r>
            <w:r w:rsidRPr="5B41DABB">
              <w:rPr>
                <w:rFonts w:asciiTheme="majorHAnsi" w:hAnsiTheme="majorHAnsi" w:cstheme="majorBidi"/>
              </w:rPr>
              <w:t>cenově dostupného bydlení, mimo jiné přijetím zvláštního legislativního rámce pro sociální bydlení a</w:t>
            </w:r>
            <w:r w:rsidR="000D7449">
              <w:rPr>
                <w:rFonts w:asciiTheme="majorHAnsi" w:hAnsiTheme="majorHAnsi" w:cstheme="majorBidi"/>
              </w:rPr>
              <w:t> </w:t>
            </w:r>
            <w:r w:rsidRPr="5B41DABB">
              <w:rPr>
                <w:rFonts w:asciiTheme="majorHAnsi" w:hAnsiTheme="majorHAnsi" w:cstheme="majorBidi"/>
              </w:rPr>
              <w:t>lepší koordinací jednotlivých veřejných subjektů.</w:t>
            </w:r>
          </w:p>
          <w:p w14:paraId="6AA392E5" w14:textId="43E91130" w:rsidR="004B4B33" w:rsidRPr="004B4B33" w:rsidRDefault="004B4B33" w:rsidP="004B4B33">
            <w:pPr>
              <w:spacing w:before="240" w:after="240"/>
              <w:jc w:val="both"/>
              <w:rPr>
                <w:rFonts w:asciiTheme="majorHAnsi" w:hAnsiTheme="majorHAnsi" w:cstheme="majorHAnsi"/>
              </w:rPr>
            </w:pPr>
            <w:r w:rsidRPr="004B4B33">
              <w:rPr>
                <w:rFonts w:asciiTheme="majorHAnsi" w:hAnsiTheme="majorHAnsi" w:cstheme="majorHAnsi"/>
              </w:rPr>
              <w:t>Zvýšit energetickou účinnost systémů dálkového vytápění a</w:t>
            </w:r>
            <w:r w:rsidR="000D7449">
              <w:rPr>
                <w:rFonts w:asciiTheme="majorHAnsi" w:hAnsiTheme="majorHAnsi" w:cstheme="majorHAnsi"/>
              </w:rPr>
              <w:t> </w:t>
            </w:r>
            <w:r w:rsidRPr="004B4B33">
              <w:rPr>
                <w:rFonts w:asciiTheme="majorHAnsi" w:hAnsiTheme="majorHAnsi" w:cstheme="majorHAnsi"/>
              </w:rPr>
              <w:t>fondu budov pobídkami k</w:t>
            </w:r>
            <w:r w:rsidR="000D7449">
              <w:rPr>
                <w:rFonts w:asciiTheme="majorHAnsi" w:hAnsiTheme="majorHAnsi" w:cstheme="majorHAnsi"/>
              </w:rPr>
              <w:t> </w:t>
            </w:r>
            <w:r w:rsidRPr="004B4B33">
              <w:rPr>
                <w:rFonts w:asciiTheme="majorHAnsi" w:hAnsiTheme="majorHAnsi" w:cstheme="majorHAnsi"/>
              </w:rPr>
              <w:t>rozsáhlým renovacím a</w:t>
            </w:r>
            <w:r w:rsidR="000D7449">
              <w:rPr>
                <w:rFonts w:asciiTheme="majorHAnsi" w:hAnsiTheme="majorHAnsi" w:cstheme="majorHAnsi"/>
              </w:rPr>
              <w:t> </w:t>
            </w:r>
            <w:r w:rsidRPr="004B4B33">
              <w:rPr>
                <w:rFonts w:asciiTheme="majorHAnsi" w:hAnsiTheme="majorHAnsi" w:cstheme="majorHAnsi"/>
              </w:rPr>
              <w:t>k využívání obnovitelných zdrojů tepla.</w:t>
            </w:r>
          </w:p>
          <w:p w14:paraId="2047503B" w14:textId="7ADDCC5F" w:rsidR="004B4B33" w:rsidRPr="004B4B33" w:rsidRDefault="004B4B33" w:rsidP="004B4B33">
            <w:pPr>
              <w:spacing w:before="240" w:after="240"/>
              <w:jc w:val="both"/>
              <w:rPr>
                <w:rFonts w:asciiTheme="majorHAnsi" w:hAnsiTheme="majorHAnsi" w:cstheme="majorHAnsi"/>
                <w:b/>
              </w:rPr>
            </w:pPr>
            <w:r w:rsidRPr="004B4B33">
              <w:rPr>
                <w:rFonts w:asciiTheme="majorHAnsi" w:hAnsiTheme="majorHAnsi" w:cstheme="majorHAnsi"/>
                <w:b/>
              </w:rPr>
              <w:t>Reformy a</w:t>
            </w:r>
            <w:r w:rsidR="000D7449">
              <w:rPr>
                <w:rFonts w:asciiTheme="majorHAnsi" w:hAnsiTheme="majorHAnsi" w:cstheme="majorHAnsi"/>
                <w:b/>
              </w:rPr>
              <w:t> </w:t>
            </w:r>
            <w:r w:rsidRPr="004B4B33">
              <w:rPr>
                <w:rFonts w:asciiTheme="majorHAnsi" w:hAnsiTheme="majorHAnsi" w:cstheme="majorHAnsi"/>
                <w:b/>
              </w:rPr>
              <w:t>investice</w:t>
            </w:r>
          </w:p>
          <w:p w14:paraId="6ADDB6A1" w14:textId="77777777" w:rsidR="004B4B33" w:rsidRPr="004B4B33" w:rsidRDefault="004B4B33" w:rsidP="004B4B33">
            <w:pPr>
              <w:numPr>
                <w:ilvl w:val="0"/>
                <w:numId w:val="29"/>
              </w:numPr>
              <w:spacing w:before="240"/>
              <w:jc w:val="both"/>
              <w:rPr>
                <w:rFonts w:asciiTheme="majorHAnsi" w:hAnsiTheme="majorHAnsi" w:cstheme="majorHAnsi"/>
              </w:rPr>
            </w:pPr>
            <w:r w:rsidRPr="004B4B33">
              <w:rPr>
                <w:rFonts w:asciiTheme="majorHAnsi" w:hAnsiTheme="majorHAnsi" w:cstheme="majorHAnsi"/>
              </w:rPr>
              <w:t>Reforma podpory bydlení;</w:t>
            </w:r>
          </w:p>
          <w:p w14:paraId="56B43E77" w14:textId="721B8FE0" w:rsidR="004B4B33" w:rsidRPr="004B4B33" w:rsidRDefault="004B4B33" w:rsidP="3D78BE59">
            <w:pPr>
              <w:numPr>
                <w:ilvl w:val="0"/>
                <w:numId w:val="29"/>
              </w:numPr>
              <w:jc w:val="both"/>
              <w:rPr>
                <w:rFonts w:asciiTheme="majorHAnsi" w:hAnsiTheme="majorHAnsi" w:cstheme="majorBidi"/>
              </w:rPr>
            </w:pPr>
            <w:r w:rsidRPr="1F3AD02E">
              <w:rPr>
                <w:rFonts w:asciiTheme="majorHAnsi" w:hAnsiTheme="majorHAnsi" w:cstheme="majorBidi"/>
              </w:rPr>
              <w:t>Investiční podpora rekonstrukcí a</w:t>
            </w:r>
            <w:r w:rsidR="000D7449">
              <w:rPr>
                <w:rFonts w:asciiTheme="majorHAnsi" w:hAnsiTheme="majorHAnsi" w:cstheme="majorBidi"/>
              </w:rPr>
              <w:t> </w:t>
            </w:r>
            <w:r w:rsidRPr="1F3AD02E">
              <w:rPr>
                <w:rFonts w:asciiTheme="majorHAnsi" w:hAnsiTheme="majorHAnsi" w:cstheme="majorBidi"/>
              </w:rPr>
              <w:t>výstavby</w:t>
            </w:r>
            <w:r w:rsidR="6A834724" w:rsidRPr="1F3AD02E">
              <w:rPr>
                <w:rFonts w:asciiTheme="majorHAnsi" w:hAnsiTheme="majorHAnsi" w:cstheme="majorBidi"/>
              </w:rPr>
              <w:t xml:space="preserve"> </w:t>
            </w:r>
            <w:r w:rsidRPr="1F3AD02E">
              <w:rPr>
                <w:rFonts w:asciiTheme="majorHAnsi" w:hAnsiTheme="majorHAnsi" w:cstheme="majorBidi"/>
              </w:rPr>
              <w:t>bytových domů pro dostupné a</w:t>
            </w:r>
            <w:r w:rsidR="000D7449">
              <w:rPr>
                <w:rFonts w:asciiTheme="majorHAnsi" w:hAnsiTheme="majorHAnsi" w:cstheme="majorBidi"/>
              </w:rPr>
              <w:t> </w:t>
            </w:r>
            <w:r w:rsidRPr="1F3AD02E">
              <w:rPr>
                <w:rFonts w:asciiTheme="majorHAnsi" w:hAnsiTheme="majorHAnsi" w:cstheme="majorBidi"/>
              </w:rPr>
              <w:t>udržitelné nájemní bydlení;</w:t>
            </w:r>
          </w:p>
          <w:p w14:paraId="5BCD3E5C" w14:textId="37979208" w:rsidR="004B4B33" w:rsidRPr="004B4B33" w:rsidRDefault="004B4B33" w:rsidP="004B4B33">
            <w:pPr>
              <w:numPr>
                <w:ilvl w:val="0"/>
                <w:numId w:val="29"/>
              </w:numPr>
              <w:spacing w:after="240"/>
              <w:jc w:val="both"/>
              <w:rPr>
                <w:rFonts w:asciiTheme="majorHAnsi" w:hAnsiTheme="majorHAnsi" w:cstheme="majorHAnsi"/>
              </w:rPr>
            </w:pPr>
            <w:r w:rsidRPr="004B4B33">
              <w:rPr>
                <w:rFonts w:asciiTheme="majorHAnsi" w:hAnsiTheme="majorHAnsi" w:cstheme="majorHAnsi"/>
              </w:rPr>
              <w:t>Podpora kapacit řízení a</w:t>
            </w:r>
            <w:r w:rsidR="000D7449">
              <w:rPr>
                <w:rFonts w:asciiTheme="majorHAnsi" w:hAnsiTheme="majorHAnsi" w:cstheme="majorHAnsi"/>
              </w:rPr>
              <w:t> </w:t>
            </w:r>
            <w:r w:rsidRPr="004B4B33">
              <w:rPr>
                <w:rFonts w:asciiTheme="majorHAnsi" w:hAnsiTheme="majorHAnsi" w:cstheme="majorHAnsi"/>
              </w:rPr>
              <w:t>správy v</w:t>
            </w:r>
            <w:r w:rsidR="000D7449">
              <w:rPr>
                <w:rFonts w:asciiTheme="majorHAnsi" w:hAnsiTheme="majorHAnsi" w:cstheme="majorHAnsi"/>
              </w:rPr>
              <w:t> </w:t>
            </w:r>
            <w:r w:rsidRPr="004B4B33">
              <w:rPr>
                <w:rFonts w:asciiTheme="majorHAnsi" w:hAnsiTheme="majorHAnsi" w:cstheme="majorHAnsi"/>
              </w:rPr>
              <w:t>sektoru investic do bydlení.</w:t>
            </w:r>
          </w:p>
          <w:p w14:paraId="6BDE352C" w14:textId="77777777" w:rsidR="004B4B33" w:rsidRPr="004B4B33" w:rsidRDefault="004B4B33" w:rsidP="004B4B33">
            <w:pPr>
              <w:spacing w:before="240" w:after="240"/>
              <w:jc w:val="both"/>
              <w:rPr>
                <w:rFonts w:asciiTheme="majorHAnsi" w:hAnsiTheme="majorHAnsi" w:cstheme="majorHAnsi"/>
                <w:b/>
              </w:rPr>
            </w:pPr>
            <w:r w:rsidRPr="004B4B33">
              <w:rPr>
                <w:rFonts w:asciiTheme="majorHAnsi" w:hAnsiTheme="majorHAnsi" w:cstheme="majorHAnsi"/>
                <w:b/>
              </w:rPr>
              <w:t>Odhadované náklady</w:t>
            </w:r>
          </w:p>
          <w:p w14:paraId="46AACC73" w14:textId="64082FD8" w:rsidR="004B4B33" w:rsidRPr="004B4B33" w:rsidRDefault="004B4B33" w:rsidP="004B4B33">
            <w:pPr>
              <w:spacing w:before="240" w:after="240"/>
              <w:jc w:val="both"/>
              <w:rPr>
                <w:rFonts w:asciiTheme="majorHAnsi" w:hAnsiTheme="majorHAnsi" w:cstheme="majorHAnsi"/>
              </w:rPr>
            </w:pPr>
            <w:r w:rsidRPr="004B4B33">
              <w:rPr>
                <w:rFonts w:asciiTheme="majorHAnsi" w:hAnsiTheme="majorHAnsi" w:cstheme="majorHAnsi"/>
              </w:rPr>
              <w:t>Minimálně 8,5 miliard Kč, z</w:t>
            </w:r>
            <w:r w:rsidR="000D7449">
              <w:rPr>
                <w:rFonts w:asciiTheme="majorHAnsi" w:hAnsiTheme="majorHAnsi" w:cstheme="majorHAnsi"/>
              </w:rPr>
              <w:t> </w:t>
            </w:r>
            <w:r w:rsidRPr="004B4B33">
              <w:rPr>
                <w:rFonts w:asciiTheme="majorHAnsi" w:hAnsiTheme="majorHAnsi" w:cstheme="majorHAnsi"/>
              </w:rPr>
              <w:t>toho 8 miliard do finančních nástrojů a</w:t>
            </w:r>
            <w:r w:rsidR="000D7449">
              <w:rPr>
                <w:rFonts w:asciiTheme="majorHAnsi" w:hAnsiTheme="majorHAnsi" w:cstheme="majorHAnsi"/>
              </w:rPr>
              <w:t> </w:t>
            </w:r>
            <w:r w:rsidRPr="004B4B33">
              <w:rPr>
                <w:rFonts w:asciiTheme="majorHAnsi" w:hAnsiTheme="majorHAnsi" w:cstheme="majorHAnsi"/>
              </w:rPr>
              <w:t>0,5 mld. Kč do budování řídících, poradenských a</w:t>
            </w:r>
            <w:r w:rsidR="000D7449">
              <w:rPr>
                <w:rFonts w:asciiTheme="majorHAnsi" w:hAnsiTheme="majorHAnsi" w:cstheme="majorHAnsi"/>
              </w:rPr>
              <w:t> </w:t>
            </w:r>
            <w:r w:rsidRPr="004B4B33">
              <w:rPr>
                <w:rFonts w:asciiTheme="majorHAnsi" w:hAnsiTheme="majorHAnsi" w:cstheme="majorHAnsi"/>
              </w:rPr>
              <w:t xml:space="preserve">komunikačních kapacit („capacity building“) včetně finanční podpory reformy </w:t>
            </w:r>
            <w:r w:rsidR="000D7449" w:rsidRPr="004B4B33">
              <w:rPr>
                <w:rFonts w:asciiTheme="majorHAnsi" w:hAnsiTheme="majorHAnsi" w:cstheme="majorHAnsi"/>
              </w:rPr>
              <w:t>tj.</w:t>
            </w:r>
            <w:r w:rsidRPr="004B4B33">
              <w:rPr>
                <w:rFonts w:asciiTheme="majorHAnsi" w:hAnsiTheme="majorHAnsi" w:cstheme="majorHAnsi"/>
              </w:rPr>
              <w:t xml:space="preserve"> zákona o</w:t>
            </w:r>
            <w:r w:rsidR="000D7449">
              <w:rPr>
                <w:rFonts w:asciiTheme="majorHAnsi" w:hAnsiTheme="majorHAnsi" w:cstheme="majorHAnsi"/>
              </w:rPr>
              <w:t> </w:t>
            </w:r>
            <w:r w:rsidRPr="004B4B33">
              <w:rPr>
                <w:rFonts w:asciiTheme="majorHAnsi" w:hAnsiTheme="majorHAnsi" w:cstheme="majorHAnsi"/>
              </w:rPr>
              <w:t xml:space="preserve">podpoře </w:t>
            </w:r>
            <w:r w:rsidRPr="004B4B33">
              <w:rPr>
                <w:rFonts w:asciiTheme="majorHAnsi" w:hAnsiTheme="majorHAnsi" w:cstheme="majorHAnsi"/>
                <w:highlight w:val="white"/>
              </w:rPr>
              <w:t>v</w:t>
            </w:r>
            <w:r w:rsidR="000D7449">
              <w:rPr>
                <w:rFonts w:asciiTheme="majorHAnsi" w:hAnsiTheme="majorHAnsi" w:cstheme="majorHAnsi"/>
                <w:highlight w:val="white"/>
              </w:rPr>
              <w:t> </w:t>
            </w:r>
            <w:r w:rsidRPr="004B4B33">
              <w:rPr>
                <w:rFonts w:asciiTheme="majorHAnsi" w:hAnsiTheme="majorHAnsi" w:cstheme="majorHAnsi"/>
                <w:highlight w:val="white"/>
              </w:rPr>
              <w:t>bydlení (bližší specifikace viz níže kapitola „costing“). Finální alokace prostředků bude upřesňována v</w:t>
            </w:r>
            <w:r w:rsidR="000D7449">
              <w:rPr>
                <w:rFonts w:asciiTheme="majorHAnsi" w:hAnsiTheme="majorHAnsi" w:cstheme="majorHAnsi"/>
                <w:highlight w:val="white"/>
              </w:rPr>
              <w:t> </w:t>
            </w:r>
            <w:r w:rsidRPr="004B4B33">
              <w:rPr>
                <w:rFonts w:asciiTheme="majorHAnsi" w:hAnsiTheme="majorHAnsi" w:cstheme="majorHAnsi"/>
                <w:highlight w:val="white"/>
              </w:rPr>
              <w:t>přípravném období na základě dodatečných analýz trhu, expertních posouzení a</w:t>
            </w:r>
            <w:r w:rsidR="000D7449">
              <w:rPr>
                <w:rFonts w:asciiTheme="majorHAnsi" w:hAnsiTheme="majorHAnsi" w:cstheme="majorHAnsi"/>
                <w:highlight w:val="white"/>
              </w:rPr>
              <w:t> </w:t>
            </w:r>
            <w:r w:rsidRPr="004B4B33">
              <w:rPr>
                <w:rFonts w:asciiTheme="majorHAnsi" w:hAnsiTheme="majorHAnsi" w:cstheme="majorHAnsi"/>
                <w:highlight w:val="white"/>
              </w:rPr>
              <w:t>výstupů z</w:t>
            </w:r>
            <w:r w:rsidR="000D7449">
              <w:rPr>
                <w:rFonts w:asciiTheme="majorHAnsi" w:hAnsiTheme="majorHAnsi" w:cstheme="majorHAnsi"/>
                <w:highlight w:val="white"/>
              </w:rPr>
              <w:t> </w:t>
            </w:r>
            <w:r w:rsidRPr="004B4B33">
              <w:rPr>
                <w:rFonts w:asciiTheme="majorHAnsi" w:hAnsiTheme="majorHAnsi" w:cstheme="majorHAnsi"/>
                <w:highlight w:val="white"/>
              </w:rPr>
              <w:t>poradenských programů s</w:t>
            </w:r>
            <w:r w:rsidR="000D7449">
              <w:rPr>
                <w:rFonts w:asciiTheme="majorHAnsi" w:hAnsiTheme="majorHAnsi" w:cstheme="majorHAnsi"/>
                <w:highlight w:val="white"/>
              </w:rPr>
              <w:t> </w:t>
            </w:r>
            <w:r w:rsidRPr="004B4B33">
              <w:rPr>
                <w:rFonts w:asciiTheme="majorHAnsi" w:hAnsiTheme="majorHAnsi" w:cstheme="majorHAnsi"/>
                <w:highlight w:val="white"/>
              </w:rPr>
              <w:t>OECD a</w:t>
            </w:r>
            <w:r w:rsidR="000D7449">
              <w:rPr>
                <w:rFonts w:asciiTheme="majorHAnsi" w:hAnsiTheme="majorHAnsi" w:cstheme="majorHAnsi"/>
                <w:highlight w:val="white"/>
              </w:rPr>
              <w:t> </w:t>
            </w:r>
            <w:r w:rsidRPr="004B4B33">
              <w:rPr>
                <w:rFonts w:asciiTheme="majorHAnsi" w:hAnsiTheme="majorHAnsi" w:cstheme="majorHAnsi"/>
                <w:highlight w:val="white"/>
              </w:rPr>
              <w:t>Evropskou investiční bankou.</w:t>
            </w:r>
          </w:p>
          <w:p w14:paraId="38F1C329" w14:textId="77777777" w:rsidR="004B4B33" w:rsidRPr="004B4B33" w:rsidRDefault="004B4B33" w:rsidP="004B4B33">
            <w:pPr>
              <w:pStyle w:val="Odstavecseseznamem"/>
              <w:ind w:left="0"/>
              <w:rPr>
                <w:rFonts w:asciiTheme="majorHAnsi" w:hAnsiTheme="majorHAnsi" w:cstheme="majorHAnsi"/>
                <w:b/>
              </w:rPr>
            </w:pPr>
          </w:p>
        </w:tc>
      </w:tr>
    </w:tbl>
    <w:p w14:paraId="60AF8C6E" w14:textId="77777777" w:rsidR="004B4B33" w:rsidRPr="004B4B33" w:rsidRDefault="004B4B33" w:rsidP="004B4B33">
      <w:pPr>
        <w:pStyle w:val="Odstavecseseznamem"/>
        <w:rPr>
          <w:rFonts w:asciiTheme="majorHAnsi" w:hAnsiTheme="majorHAnsi" w:cstheme="majorHAnsi"/>
          <w:b/>
        </w:rPr>
      </w:pPr>
    </w:p>
    <w:p w14:paraId="26A53590" w14:textId="77777777" w:rsidR="003804AC" w:rsidRDefault="003804AC">
      <w:pPr>
        <w:rPr>
          <w:rFonts w:asciiTheme="majorHAnsi" w:hAnsiTheme="majorHAnsi" w:cstheme="majorHAnsi"/>
          <w:b/>
        </w:rPr>
      </w:pPr>
      <w:r>
        <w:rPr>
          <w:rFonts w:asciiTheme="majorHAnsi" w:hAnsiTheme="majorHAnsi" w:cstheme="majorHAnsi"/>
          <w:b/>
        </w:rPr>
        <w:br w:type="page"/>
      </w:r>
    </w:p>
    <w:p w14:paraId="49E6E0B5" w14:textId="4B4EBC93" w:rsidR="0042415F" w:rsidRPr="004B4B33" w:rsidRDefault="001D082B">
      <w:pPr>
        <w:spacing w:before="240" w:after="240"/>
        <w:jc w:val="both"/>
        <w:rPr>
          <w:rFonts w:asciiTheme="majorHAnsi" w:hAnsiTheme="majorHAnsi" w:cstheme="majorHAnsi"/>
          <w:b/>
        </w:rPr>
      </w:pPr>
      <w:r w:rsidRPr="004B4B33">
        <w:rPr>
          <w:rFonts w:asciiTheme="majorHAnsi" w:hAnsiTheme="majorHAnsi" w:cstheme="majorHAnsi"/>
          <w:b/>
        </w:rPr>
        <w:lastRenderedPageBreak/>
        <w:t>2. Hlavní výzvy a</w:t>
      </w:r>
      <w:r w:rsidR="000D7449">
        <w:rPr>
          <w:rFonts w:asciiTheme="majorHAnsi" w:hAnsiTheme="majorHAnsi" w:cstheme="majorHAnsi"/>
          <w:b/>
        </w:rPr>
        <w:t> </w:t>
      </w:r>
      <w:r w:rsidRPr="004B4B33">
        <w:rPr>
          <w:rFonts w:asciiTheme="majorHAnsi" w:hAnsiTheme="majorHAnsi" w:cstheme="majorHAnsi"/>
          <w:b/>
        </w:rPr>
        <w:t>cíle</w:t>
      </w:r>
    </w:p>
    <w:p w14:paraId="13C51270" w14:textId="77777777" w:rsidR="0042415F" w:rsidRPr="004B4B33" w:rsidRDefault="001D082B">
      <w:pPr>
        <w:spacing w:before="240" w:after="240"/>
        <w:jc w:val="both"/>
        <w:rPr>
          <w:rFonts w:asciiTheme="majorHAnsi" w:hAnsiTheme="majorHAnsi" w:cstheme="majorHAnsi"/>
          <w:b/>
        </w:rPr>
      </w:pPr>
      <w:r w:rsidRPr="004B4B33">
        <w:rPr>
          <w:rFonts w:asciiTheme="majorHAnsi" w:hAnsiTheme="majorHAnsi" w:cstheme="majorHAnsi"/>
          <w:b/>
        </w:rPr>
        <w:t>Hlavní výzvy</w:t>
      </w:r>
    </w:p>
    <w:p w14:paraId="67B360E2" w14:textId="58EFD09C" w:rsidR="0042415F" w:rsidRPr="004B4B33" w:rsidRDefault="001D082B" w:rsidP="5B41DABB">
      <w:pPr>
        <w:spacing w:before="240" w:after="240"/>
        <w:jc w:val="both"/>
        <w:rPr>
          <w:rFonts w:asciiTheme="majorHAnsi" w:hAnsiTheme="majorHAnsi" w:cstheme="majorBidi"/>
        </w:rPr>
      </w:pPr>
      <w:r w:rsidRPr="3D78BE59">
        <w:rPr>
          <w:rFonts w:asciiTheme="majorHAnsi" w:hAnsiTheme="majorHAnsi" w:cstheme="majorBidi"/>
        </w:rPr>
        <w:t>Komponenta bude impulsem pro nastartování systémových změn pro řešení krize dostupnosti bydlení a</w:t>
      </w:r>
      <w:r w:rsidR="000D7449">
        <w:rPr>
          <w:rFonts w:asciiTheme="majorHAnsi" w:hAnsiTheme="majorHAnsi" w:cstheme="majorBidi"/>
        </w:rPr>
        <w:t> </w:t>
      </w:r>
      <w:r w:rsidRPr="3D78BE59">
        <w:rPr>
          <w:rFonts w:asciiTheme="majorHAnsi" w:hAnsiTheme="majorHAnsi" w:cstheme="majorBidi"/>
        </w:rPr>
        <w:t>nápravu tržního selhání v</w:t>
      </w:r>
      <w:r w:rsidR="000D7449">
        <w:rPr>
          <w:rFonts w:asciiTheme="majorHAnsi" w:hAnsiTheme="majorHAnsi" w:cstheme="majorBidi"/>
        </w:rPr>
        <w:t> </w:t>
      </w:r>
      <w:r w:rsidRPr="3D78BE59">
        <w:rPr>
          <w:rFonts w:asciiTheme="majorHAnsi" w:hAnsiTheme="majorHAnsi" w:cstheme="majorBidi"/>
        </w:rPr>
        <w:t>oblasti bydlení. Soustřeďuje se na podporu dostupného nájemního bydlení. Tržní selhání nastalo v</w:t>
      </w:r>
      <w:r w:rsidR="000D7449">
        <w:rPr>
          <w:rFonts w:asciiTheme="majorHAnsi" w:hAnsiTheme="majorHAnsi" w:cstheme="majorBidi"/>
        </w:rPr>
        <w:t> </w:t>
      </w:r>
      <w:r w:rsidRPr="3D78BE59">
        <w:rPr>
          <w:rFonts w:asciiTheme="majorHAnsi" w:hAnsiTheme="majorHAnsi" w:cstheme="majorBidi"/>
        </w:rPr>
        <w:t>důsledku makroekonomických nerovnováh, investičních nejistot a</w:t>
      </w:r>
      <w:r w:rsidR="000D7449">
        <w:rPr>
          <w:rFonts w:asciiTheme="majorHAnsi" w:hAnsiTheme="majorHAnsi" w:cstheme="majorBidi"/>
        </w:rPr>
        <w:t> </w:t>
      </w:r>
      <w:r w:rsidRPr="3D78BE59">
        <w:rPr>
          <w:rFonts w:asciiTheme="majorHAnsi" w:hAnsiTheme="majorHAnsi" w:cstheme="majorBidi"/>
        </w:rPr>
        <w:t xml:space="preserve">selhání institucionální regulace. Tyto poruchy vychýlily duální povahu statku bydlení tak, že fakticky mandatorní sociální potřeba je </w:t>
      </w:r>
      <w:r w:rsidR="000D7449" w:rsidRPr="3D78BE59">
        <w:rPr>
          <w:rFonts w:asciiTheme="majorHAnsi" w:hAnsiTheme="majorHAnsi" w:cstheme="majorBidi"/>
        </w:rPr>
        <w:t>vytěsňována pojetím</w:t>
      </w:r>
      <w:r w:rsidRPr="3D78BE59">
        <w:rPr>
          <w:rFonts w:asciiTheme="majorHAnsi" w:hAnsiTheme="majorHAnsi" w:cstheme="majorBidi"/>
        </w:rPr>
        <w:t xml:space="preserve"> bydlení jako standardního investičního produktu.</w:t>
      </w:r>
      <w:r w:rsidRPr="3D78BE59">
        <w:rPr>
          <w:rFonts w:asciiTheme="majorHAnsi" w:hAnsiTheme="majorHAnsi" w:cstheme="majorBidi"/>
          <w:vertAlign w:val="superscript"/>
        </w:rPr>
        <w:footnoteReference w:id="2"/>
      </w:r>
    </w:p>
    <w:p w14:paraId="10596A35" w14:textId="77777777"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t>Komponenta reaguje na:</w:t>
      </w:r>
    </w:p>
    <w:p w14:paraId="157FD79E" w14:textId="414E4FF9" w:rsidR="0042415F" w:rsidRPr="004B4B33" w:rsidRDefault="001D082B">
      <w:pPr>
        <w:numPr>
          <w:ilvl w:val="0"/>
          <w:numId w:val="28"/>
        </w:numPr>
        <w:spacing w:before="200" w:after="0"/>
        <w:jc w:val="both"/>
        <w:rPr>
          <w:rFonts w:asciiTheme="majorHAnsi" w:hAnsiTheme="majorHAnsi" w:cstheme="majorHAnsi"/>
        </w:rPr>
      </w:pPr>
      <w:r w:rsidRPr="004B4B33">
        <w:rPr>
          <w:rFonts w:asciiTheme="majorHAnsi" w:hAnsiTheme="majorHAnsi" w:cstheme="majorHAnsi"/>
        </w:rPr>
        <w:t>velmi nízkou dostupnost bydlení, zejména nákladovou dostupnost, v</w:t>
      </w:r>
      <w:r w:rsidR="000D7449">
        <w:rPr>
          <w:rFonts w:asciiTheme="majorHAnsi" w:hAnsiTheme="majorHAnsi" w:cstheme="majorHAnsi"/>
        </w:rPr>
        <w:t> </w:t>
      </w:r>
      <w:r w:rsidRPr="004B4B33">
        <w:rPr>
          <w:rFonts w:asciiTheme="majorHAnsi" w:hAnsiTheme="majorHAnsi" w:cstheme="majorHAnsi"/>
        </w:rPr>
        <w:t>ČR vůči ostatním evropským zemím a</w:t>
      </w:r>
      <w:r w:rsidR="000D7449">
        <w:rPr>
          <w:rFonts w:asciiTheme="majorHAnsi" w:hAnsiTheme="majorHAnsi" w:cstheme="majorHAnsi"/>
        </w:rPr>
        <w:t> </w:t>
      </w:r>
      <w:r w:rsidRPr="004B4B33">
        <w:rPr>
          <w:rFonts w:asciiTheme="majorHAnsi" w:hAnsiTheme="majorHAnsi" w:cstheme="majorHAnsi"/>
        </w:rPr>
        <w:t>skutečnost, že bydlení v</w:t>
      </w:r>
      <w:r w:rsidR="000D7449">
        <w:rPr>
          <w:rFonts w:asciiTheme="majorHAnsi" w:hAnsiTheme="majorHAnsi" w:cstheme="majorHAnsi"/>
        </w:rPr>
        <w:t> </w:t>
      </w:r>
      <w:r w:rsidRPr="004B4B33">
        <w:rPr>
          <w:rFonts w:asciiTheme="majorHAnsi" w:hAnsiTheme="majorHAnsi" w:cstheme="majorHAnsi"/>
        </w:rPr>
        <w:t>ČR (především v</w:t>
      </w:r>
      <w:r w:rsidR="000D7449">
        <w:rPr>
          <w:rFonts w:asciiTheme="majorHAnsi" w:hAnsiTheme="majorHAnsi" w:cstheme="majorHAnsi"/>
        </w:rPr>
        <w:t> </w:t>
      </w:r>
      <w:r w:rsidRPr="004B4B33">
        <w:rPr>
          <w:rFonts w:asciiTheme="majorHAnsi" w:hAnsiTheme="majorHAnsi" w:cstheme="majorHAnsi"/>
        </w:rPr>
        <w:t>prosperujících regionech) je, cca od roku 2015, nedostupné také pro sociální vrstvy, které na něj dříve dosáhly;</w:t>
      </w:r>
    </w:p>
    <w:p w14:paraId="1C6FBCB8" w14:textId="04800BD7" w:rsidR="0042415F" w:rsidRPr="004B4B33" w:rsidRDefault="001D082B">
      <w:pPr>
        <w:numPr>
          <w:ilvl w:val="0"/>
          <w:numId w:val="28"/>
        </w:numPr>
        <w:spacing w:before="0" w:after="0"/>
        <w:jc w:val="both"/>
        <w:rPr>
          <w:rFonts w:asciiTheme="majorHAnsi" w:hAnsiTheme="majorHAnsi" w:cstheme="majorHAnsi"/>
        </w:rPr>
      </w:pPr>
      <w:r w:rsidRPr="004B4B33">
        <w:rPr>
          <w:rFonts w:asciiTheme="majorHAnsi" w:hAnsiTheme="majorHAnsi" w:cstheme="majorHAnsi"/>
        </w:rPr>
        <w:t>stárnutí bytového fondu v</w:t>
      </w:r>
      <w:r w:rsidR="000D7449">
        <w:rPr>
          <w:rFonts w:asciiTheme="majorHAnsi" w:hAnsiTheme="majorHAnsi" w:cstheme="majorHAnsi"/>
        </w:rPr>
        <w:t> </w:t>
      </w:r>
      <w:r w:rsidRPr="004B4B33">
        <w:rPr>
          <w:rFonts w:asciiTheme="majorHAnsi" w:hAnsiTheme="majorHAnsi" w:cstheme="majorHAnsi"/>
        </w:rPr>
        <w:t>důsledku kvantitativně nedostatečné bytové výstavby. Nestabilní tempo nové výstavby negativně ovlivňuje také související organizační a</w:t>
      </w:r>
      <w:r w:rsidR="000D7449">
        <w:rPr>
          <w:rFonts w:asciiTheme="majorHAnsi" w:hAnsiTheme="majorHAnsi" w:cstheme="majorHAnsi"/>
        </w:rPr>
        <w:t> </w:t>
      </w:r>
      <w:r w:rsidRPr="004B4B33">
        <w:rPr>
          <w:rFonts w:asciiTheme="majorHAnsi" w:hAnsiTheme="majorHAnsi" w:cstheme="majorHAnsi"/>
        </w:rPr>
        <w:t>technické kapacity stavebnictví;</w:t>
      </w:r>
    </w:p>
    <w:p w14:paraId="56B46A09" w14:textId="7ABC19B6" w:rsidR="005B437B" w:rsidRPr="004B4B33" w:rsidRDefault="005B437B">
      <w:pPr>
        <w:numPr>
          <w:ilvl w:val="0"/>
          <w:numId w:val="28"/>
        </w:numPr>
        <w:spacing w:before="0" w:after="0"/>
        <w:jc w:val="both"/>
        <w:rPr>
          <w:rFonts w:asciiTheme="majorHAnsi" w:hAnsiTheme="majorHAnsi" w:cstheme="majorHAnsi"/>
        </w:rPr>
      </w:pPr>
      <w:r w:rsidRPr="3D78BE59">
        <w:rPr>
          <w:rFonts w:asciiTheme="majorHAnsi" w:hAnsiTheme="majorHAnsi" w:cstheme="majorBidi"/>
        </w:rPr>
        <w:t xml:space="preserve">nízkou energetickou účinnost budov obývaných </w:t>
      </w:r>
      <w:r w:rsidR="0059738D" w:rsidRPr="3D78BE59">
        <w:rPr>
          <w:rFonts w:asciiTheme="majorHAnsi" w:hAnsiTheme="majorHAnsi" w:cstheme="majorBidi"/>
        </w:rPr>
        <w:t xml:space="preserve">především </w:t>
      </w:r>
      <w:r w:rsidRPr="3D78BE59">
        <w:rPr>
          <w:rFonts w:asciiTheme="majorHAnsi" w:hAnsiTheme="majorHAnsi" w:cstheme="majorBidi"/>
        </w:rPr>
        <w:t>skupinami obyvatel</w:t>
      </w:r>
      <w:r w:rsidR="00691FE5" w:rsidRPr="3D78BE59">
        <w:rPr>
          <w:rFonts w:asciiTheme="majorHAnsi" w:hAnsiTheme="majorHAnsi" w:cstheme="majorBidi"/>
        </w:rPr>
        <w:t xml:space="preserve"> s</w:t>
      </w:r>
      <w:r w:rsidR="000D7449">
        <w:rPr>
          <w:rFonts w:asciiTheme="majorHAnsi" w:hAnsiTheme="majorHAnsi" w:cstheme="majorBidi"/>
        </w:rPr>
        <w:t> </w:t>
      </w:r>
      <w:r w:rsidR="00691FE5" w:rsidRPr="3D78BE59">
        <w:rPr>
          <w:rFonts w:asciiTheme="majorHAnsi" w:hAnsiTheme="majorHAnsi" w:cstheme="majorBidi"/>
        </w:rPr>
        <w:t>nižšími příjmy</w:t>
      </w:r>
      <w:r w:rsidRPr="3D78BE59">
        <w:rPr>
          <w:rFonts w:asciiTheme="majorHAnsi" w:hAnsiTheme="majorHAnsi" w:cstheme="majorBidi"/>
          <w:b/>
          <w:bCs/>
        </w:rPr>
        <w:t xml:space="preserve">, </w:t>
      </w:r>
      <w:r w:rsidRPr="3D78BE59">
        <w:rPr>
          <w:rFonts w:asciiTheme="majorHAnsi" w:hAnsiTheme="majorHAnsi" w:cstheme="majorBidi"/>
        </w:rPr>
        <w:t>která snižuje cenovou dostupnost bydlení a</w:t>
      </w:r>
      <w:r w:rsidR="000D7449">
        <w:rPr>
          <w:rFonts w:asciiTheme="majorHAnsi" w:hAnsiTheme="majorHAnsi" w:cstheme="majorBidi"/>
        </w:rPr>
        <w:t> </w:t>
      </w:r>
      <w:r w:rsidRPr="3D78BE59">
        <w:rPr>
          <w:rFonts w:asciiTheme="majorHAnsi" w:hAnsiTheme="majorHAnsi" w:cstheme="majorBidi"/>
        </w:rPr>
        <w:t>přispívá k</w:t>
      </w:r>
      <w:r w:rsidR="000D7449">
        <w:rPr>
          <w:rFonts w:asciiTheme="majorHAnsi" w:hAnsiTheme="majorHAnsi" w:cstheme="majorBidi"/>
        </w:rPr>
        <w:t> </w:t>
      </w:r>
      <w:r w:rsidRPr="3D78BE59">
        <w:rPr>
          <w:rFonts w:asciiTheme="majorHAnsi" w:hAnsiTheme="majorHAnsi" w:cstheme="majorBidi"/>
        </w:rPr>
        <w:t>energetické chudobě</w:t>
      </w:r>
      <w:r w:rsidR="003070F6" w:rsidRPr="3D78BE59">
        <w:rPr>
          <w:rStyle w:val="Znakapoznpodarou"/>
          <w:rFonts w:asciiTheme="majorHAnsi" w:hAnsiTheme="majorHAnsi" w:cstheme="majorBidi"/>
        </w:rPr>
        <w:footnoteReference w:id="3"/>
      </w:r>
    </w:p>
    <w:p w14:paraId="47B85DAC" w14:textId="77777777" w:rsidR="00057831" w:rsidRPr="004B4B33" w:rsidRDefault="00057831">
      <w:pPr>
        <w:numPr>
          <w:ilvl w:val="0"/>
          <w:numId w:val="28"/>
        </w:numPr>
        <w:spacing w:before="0" w:after="0"/>
        <w:jc w:val="both"/>
        <w:rPr>
          <w:rFonts w:asciiTheme="majorHAnsi" w:hAnsiTheme="majorHAnsi" w:cstheme="majorHAnsi"/>
        </w:rPr>
      </w:pPr>
      <w:r w:rsidRPr="3D78BE59">
        <w:rPr>
          <w:rFonts w:asciiTheme="majorHAnsi" w:hAnsiTheme="majorHAnsi" w:cstheme="majorBidi"/>
        </w:rPr>
        <w:t>dramatický nárůst cen energií, který zvýšil počet lidí ohrožených energetickou chudobou</w:t>
      </w:r>
      <w:r w:rsidRPr="3D78BE59">
        <w:rPr>
          <w:rStyle w:val="Znakapoznpodarou"/>
          <w:rFonts w:asciiTheme="majorHAnsi" w:hAnsiTheme="majorHAnsi" w:cstheme="majorBidi"/>
        </w:rPr>
        <w:footnoteReference w:id="4"/>
      </w:r>
      <w:r w:rsidRPr="3D78BE59">
        <w:rPr>
          <w:rFonts w:asciiTheme="majorHAnsi" w:hAnsiTheme="majorHAnsi" w:cstheme="majorBidi"/>
        </w:rPr>
        <w:t>;</w:t>
      </w:r>
    </w:p>
    <w:p w14:paraId="205F2C97" w14:textId="18D1DE3B" w:rsidR="0042415F" w:rsidRPr="004B4B33" w:rsidRDefault="001D082B">
      <w:pPr>
        <w:numPr>
          <w:ilvl w:val="0"/>
          <w:numId w:val="28"/>
        </w:numPr>
        <w:spacing w:before="0" w:after="0"/>
        <w:jc w:val="both"/>
        <w:rPr>
          <w:rFonts w:asciiTheme="majorHAnsi" w:hAnsiTheme="majorHAnsi" w:cstheme="majorHAnsi"/>
        </w:rPr>
      </w:pPr>
      <w:r w:rsidRPr="004B4B33">
        <w:rPr>
          <w:rFonts w:asciiTheme="majorHAnsi" w:hAnsiTheme="majorHAnsi" w:cstheme="majorHAnsi"/>
        </w:rPr>
        <w:t>přesun části nových i</w:t>
      </w:r>
      <w:r w:rsidR="000D7449">
        <w:rPr>
          <w:rFonts w:asciiTheme="majorHAnsi" w:hAnsiTheme="majorHAnsi" w:cstheme="majorHAnsi"/>
        </w:rPr>
        <w:t> </w:t>
      </w:r>
      <w:r w:rsidRPr="004B4B33">
        <w:rPr>
          <w:rFonts w:asciiTheme="majorHAnsi" w:hAnsiTheme="majorHAnsi" w:cstheme="majorHAnsi"/>
        </w:rPr>
        <w:t>starších kapacit pro bydlení, v</w:t>
      </w:r>
      <w:r w:rsidR="000D7449">
        <w:rPr>
          <w:rFonts w:asciiTheme="majorHAnsi" w:hAnsiTheme="majorHAnsi" w:cstheme="majorHAnsi"/>
        </w:rPr>
        <w:t> </w:t>
      </w:r>
      <w:r w:rsidRPr="004B4B33">
        <w:rPr>
          <w:rFonts w:asciiTheme="majorHAnsi" w:hAnsiTheme="majorHAnsi" w:cstheme="majorHAnsi"/>
        </w:rPr>
        <w:t>metropolitních oblastech Praha a</w:t>
      </w:r>
      <w:r w:rsidR="000D7449">
        <w:rPr>
          <w:rFonts w:asciiTheme="majorHAnsi" w:hAnsiTheme="majorHAnsi" w:cstheme="majorHAnsi"/>
        </w:rPr>
        <w:t> </w:t>
      </w:r>
      <w:r w:rsidRPr="004B4B33">
        <w:rPr>
          <w:rFonts w:asciiTheme="majorHAnsi" w:hAnsiTheme="majorHAnsi" w:cstheme="majorHAnsi"/>
        </w:rPr>
        <w:t>Brno, do segmentu tzv. investičních bytů;</w:t>
      </w:r>
    </w:p>
    <w:p w14:paraId="2DBB6DAA" w14:textId="37960501" w:rsidR="0042415F" w:rsidRPr="004B4B33" w:rsidRDefault="001D082B">
      <w:pPr>
        <w:numPr>
          <w:ilvl w:val="0"/>
          <w:numId w:val="28"/>
        </w:numPr>
        <w:spacing w:before="0" w:after="0"/>
        <w:jc w:val="both"/>
        <w:rPr>
          <w:rFonts w:asciiTheme="majorHAnsi" w:hAnsiTheme="majorHAnsi" w:cstheme="majorHAnsi"/>
        </w:rPr>
      </w:pPr>
      <w:r w:rsidRPr="004B4B33">
        <w:rPr>
          <w:rFonts w:asciiTheme="majorHAnsi" w:hAnsiTheme="majorHAnsi" w:cstheme="majorHAnsi"/>
        </w:rPr>
        <w:t>růst ceny nájemního bydlení v</w:t>
      </w:r>
      <w:r w:rsidR="000D7449">
        <w:rPr>
          <w:rFonts w:asciiTheme="majorHAnsi" w:hAnsiTheme="majorHAnsi" w:cstheme="majorHAnsi"/>
        </w:rPr>
        <w:t> </w:t>
      </w:r>
      <w:r w:rsidRPr="004B4B33">
        <w:rPr>
          <w:rFonts w:asciiTheme="majorHAnsi" w:hAnsiTheme="majorHAnsi" w:cstheme="majorHAnsi"/>
        </w:rPr>
        <w:t>důsledku růstu cen vlastnického bydlení;</w:t>
      </w:r>
    </w:p>
    <w:p w14:paraId="39CEB792" w14:textId="0FCDEB7C" w:rsidR="0042415F" w:rsidRPr="004B4B33" w:rsidRDefault="001D082B">
      <w:pPr>
        <w:numPr>
          <w:ilvl w:val="0"/>
          <w:numId w:val="28"/>
        </w:numPr>
        <w:spacing w:before="0" w:after="0"/>
        <w:jc w:val="both"/>
        <w:rPr>
          <w:rFonts w:asciiTheme="majorHAnsi" w:hAnsiTheme="majorHAnsi" w:cstheme="majorHAnsi"/>
        </w:rPr>
      </w:pPr>
      <w:r w:rsidRPr="004B4B33">
        <w:rPr>
          <w:rFonts w:asciiTheme="majorHAnsi" w:hAnsiTheme="majorHAnsi" w:cstheme="majorHAnsi"/>
        </w:rPr>
        <w:t>externality ekonomické (deficit regionální i</w:t>
      </w:r>
      <w:r w:rsidR="000D7449">
        <w:rPr>
          <w:rFonts w:asciiTheme="majorHAnsi" w:hAnsiTheme="majorHAnsi" w:cstheme="majorHAnsi"/>
        </w:rPr>
        <w:t> </w:t>
      </w:r>
      <w:r w:rsidRPr="004B4B33">
        <w:rPr>
          <w:rFonts w:asciiTheme="majorHAnsi" w:hAnsiTheme="majorHAnsi" w:cstheme="majorHAnsi"/>
        </w:rPr>
        <w:t>sektorové konkurenceschopnosti a</w:t>
      </w:r>
      <w:r w:rsidR="000D7449">
        <w:rPr>
          <w:rFonts w:asciiTheme="majorHAnsi" w:hAnsiTheme="majorHAnsi" w:cstheme="majorHAnsi"/>
        </w:rPr>
        <w:t> </w:t>
      </w:r>
      <w:r w:rsidRPr="004B4B33">
        <w:rPr>
          <w:rFonts w:asciiTheme="majorHAnsi" w:hAnsiTheme="majorHAnsi" w:cstheme="majorHAnsi"/>
        </w:rPr>
        <w:t>regionální koheze, projevující se koncentrací prosperity do několika metropolitních oblastí, narůstající problémy strukturálně postižených regionů a</w:t>
      </w:r>
      <w:r w:rsidR="000D7449">
        <w:rPr>
          <w:rFonts w:asciiTheme="majorHAnsi" w:hAnsiTheme="majorHAnsi" w:cstheme="majorHAnsi"/>
        </w:rPr>
        <w:t> </w:t>
      </w:r>
      <w:r w:rsidRPr="004B4B33">
        <w:rPr>
          <w:rFonts w:asciiTheme="majorHAnsi" w:hAnsiTheme="majorHAnsi" w:cstheme="majorHAnsi"/>
        </w:rPr>
        <w:t>také vnitřních periferií, nepoměrem zdanění práce/kapitálu a</w:t>
      </w:r>
      <w:r w:rsidR="000D7449">
        <w:rPr>
          <w:rFonts w:asciiTheme="majorHAnsi" w:hAnsiTheme="majorHAnsi" w:cstheme="majorHAnsi"/>
        </w:rPr>
        <w:t> </w:t>
      </w:r>
      <w:r w:rsidRPr="004B4B33">
        <w:rPr>
          <w:rFonts w:asciiTheme="majorHAnsi" w:hAnsiTheme="majorHAnsi" w:cstheme="majorHAnsi"/>
        </w:rPr>
        <w:t>stav, kdy kapitálové zhodnocení rezidenčních nemovitostí je vyšší než renta), environmentální (energetická neefektivita podstatné části staršího bytového fondu, závislost na fosilních palivech, emise vyplývající z</w:t>
      </w:r>
      <w:r w:rsidR="000D7449">
        <w:rPr>
          <w:rFonts w:asciiTheme="majorHAnsi" w:hAnsiTheme="majorHAnsi" w:cstheme="majorHAnsi"/>
        </w:rPr>
        <w:t> </w:t>
      </w:r>
      <w:r w:rsidRPr="004B4B33">
        <w:rPr>
          <w:rFonts w:asciiTheme="majorHAnsi" w:hAnsiTheme="majorHAnsi" w:cstheme="majorHAnsi"/>
        </w:rPr>
        <w:t>dojíždění, zábor zemědělské půdy v</w:t>
      </w:r>
      <w:r w:rsidR="000D7449">
        <w:rPr>
          <w:rFonts w:asciiTheme="majorHAnsi" w:hAnsiTheme="majorHAnsi" w:cstheme="majorHAnsi"/>
        </w:rPr>
        <w:t> </w:t>
      </w:r>
      <w:r w:rsidRPr="004B4B33">
        <w:rPr>
          <w:rFonts w:asciiTheme="majorHAnsi" w:hAnsiTheme="majorHAnsi" w:cstheme="majorHAnsi"/>
        </w:rPr>
        <w:t>důsledku nežádoucí suburbanizace) a</w:t>
      </w:r>
      <w:r w:rsidR="000D7449">
        <w:rPr>
          <w:rFonts w:asciiTheme="majorHAnsi" w:hAnsiTheme="majorHAnsi" w:cstheme="majorHAnsi"/>
        </w:rPr>
        <w:t> </w:t>
      </w:r>
      <w:r w:rsidRPr="004B4B33">
        <w:rPr>
          <w:rFonts w:asciiTheme="majorHAnsi" w:hAnsiTheme="majorHAnsi" w:cstheme="majorHAnsi"/>
        </w:rPr>
        <w:t>sociální (regionální, generační a</w:t>
      </w:r>
      <w:r w:rsidR="000D7449">
        <w:rPr>
          <w:rFonts w:asciiTheme="majorHAnsi" w:hAnsiTheme="majorHAnsi" w:cstheme="majorHAnsi"/>
        </w:rPr>
        <w:t> </w:t>
      </w:r>
      <w:r w:rsidRPr="004B4B33">
        <w:rPr>
          <w:rFonts w:asciiTheme="majorHAnsi" w:hAnsiTheme="majorHAnsi" w:cstheme="majorHAnsi"/>
        </w:rPr>
        <w:t>obecně politická dekoheze, zvyšování kapitálové nerovnosti);</w:t>
      </w:r>
    </w:p>
    <w:p w14:paraId="7B499A4D" w14:textId="190B76D4" w:rsidR="0042415F" w:rsidRPr="004B4B33" w:rsidRDefault="001D082B">
      <w:pPr>
        <w:numPr>
          <w:ilvl w:val="0"/>
          <w:numId w:val="28"/>
        </w:numPr>
        <w:spacing w:before="0" w:after="0"/>
        <w:jc w:val="both"/>
        <w:rPr>
          <w:rFonts w:asciiTheme="majorHAnsi" w:hAnsiTheme="majorHAnsi" w:cstheme="majorHAnsi"/>
        </w:rPr>
      </w:pPr>
      <w:r w:rsidRPr="004B4B33">
        <w:rPr>
          <w:rFonts w:asciiTheme="majorHAnsi" w:hAnsiTheme="majorHAnsi" w:cstheme="majorHAnsi"/>
        </w:rPr>
        <w:t>behaviorální specifika českého trhu s</w:t>
      </w:r>
      <w:r w:rsidR="000D7449">
        <w:rPr>
          <w:rFonts w:asciiTheme="majorHAnsi" w:hAnsiTheme="majorHAnsi" w:cstheme="majorHAnsi"/>
        </w:rPr>
        <w:t> </w:t>
      </w:r>
      <w:r w:rsidRPr="004B4B33">
        <w:rPr>
          <w:rFonts w:asciiTheme="majorHAnsi" w:hAnsiTheme="majorHAnsi" w:cstheme="majorHAnsi"/>
        </w:rPr>
        <w:t>bydlením (dlouhodobá idolizace vlastnického bydlení, nevhodná struktura bydlení nabízeného k</w:t>
      </w:r>
      <w:r w:rsidR="000D7449">
        <w:rPr>
          <w:rFonts w:asciiTheme="majorHAnsi" w:hAnsiTheme="majorHAnsi" w:cstheme="majorHAnsi"/>
        </w:rPr>
        <w:t> </w:t>
      </w:r>
      <w:r w:rsidRPr="004B4B33">
        <w:rPr>
          <w:rFonts w:asciiTheme="majorHAnsi" w:hAnsiTheme="majorHAnsi" w:cstheme="majorHAnsi"/>
        </w:rPr>
        <w:t>pronájmu, historicky asymetrická přístupnost bydlení) a</w:t>
      </w:r>
      <w:r w:rsidR="000D7449">
        <w:rPr>
          <w:rFonts w:asciiTheme="majorHAnsi" w:hAnsiTheme="majorHAnsi" w:cstheme="majorHAnsi"/>
        </w:rPr>
        <w:t> </w:t>
      </w:r>
      <w:r w:rsidRPr="004B4B33">
        <w:rPr>
          <w:rFonts w:asciiTheme="majorHAnsi" w:hAnsiTheme="majorHAnsi" w:cstheme="majorHAnsi"/>
        </w:rPr>
        <w:t>skutečnost, že vlastnické bydlení je (na rozdíl např. od Německa) záležitostí sociálního statusu, roztříštěná vlastnická struktura generující mj. vysokou míru nejistoty nájemců;</w:t>
      </w:r>
    </w:p>
    <w:p w14:paraId="20206A6E" w14:textId="3E0413A5" w:rsidR="0042415F" w:rsidRPr="004B4B33" w:rsidRDefault="001D082B">
      <w:pPr>
        <w:numPr>
          <w:ilvl w:val="0"/>
          <w:numId w:val="28"/>
        </w:numPr>
        <w:spacing w:before="0" w:after="0"/>
        <w:jc w:val="both"/>
        <w:rPr>
          <w:rFonts w:asciiTheme="majorHAnsi" w:hAnsiTheme="majorHAnsi" w:cstheme="majorHAnsi"/>
        </w:rPr>
      </w:pPr>
      <w:r w:rsidRPr="004B4B33">
        <w:rPr>
          <w:rFonts w:asciiTheme="majorHAnsi" w:hAnsiTheme="majorHAnsi" w:cstheme="majorHAnsi"/>
        </w:rPr>
        <w:lastRenderedPageBreak/>
        <w:t>paradox prosperity, kdy růst mezd je v</w:t>
      </w:r>
      <w:r w:rsidR="000D7449">
        <w:rPr>
          <w:rFonts w:asciiTheme="majorHAnsi" w:hAnsiTheme="majorHAnsi" w:cstheme="majorHAnsi"/>
        </w:rPr>
        <w:t> </w:t>
      </w:r>
      <w:r w:rsidRPr="004B4B33">
        <w:rPr>
          <w:rFonts w:asciiTheme="majorHAnsi" w:hAnsiTheme="majorHAnsi" w:cstheme="majorHAnsi"/>
        </w:rPr>
        <w:t>centrech prosperity doprovázen ještě rychlejším růstem ceny bydlení;</w:t>
      </w:r>
    </w:p>
    <w:p w14:paraId="50E9AA58" w14:textId="6ACC089D" w:rsidR="0042415F" w:rsidRPr="004B4B33" w:rsidRDefault="001D082B">
      <w:pPr>
        <w:numPr>
          <w:ilvl w:val="0"/>
          <w:numId w:val="28"/>
        </w:numPr>
        <w:spacing w:before="0" w:after="0"/>
        <w:jc w:val="both"/>
        <w:rPr>
          <w:rFonts w:asciiTheme="majorHAnsi" w:hAnsiTheme="majorHAnsi" w:cstheme="majorHAnsi"/>
        </w:rPr>
      </w:pPr>
      <w:r w:rsidRPr="004B4B33">
        <w:rPr>
          <w:rFonts w:asciiTheme="majorHAnsi" w:hAnsiTheme="majorHAnsi" w:cstheme="majorHAnsi"/>
        </w:rPr>
        <w:t>neúspěch realizace bytových politik v</w:t>
      </w:r>
      <w:r w:rsidR="000D7449">
        <w:rPr>
          <w:rFonts w:asciiTheme="majorHAnsi" w:hAnsiTheme="majorHAnsi" w:cstheme="majorHAnsi"/>
        </w:rPr>
        <w:t> </w:t>
      </w:r>
      <w:r w:rsidRPr="004B4B33">
        <w:rPr>
          <w:rFonts w:asciiTheme="majorHAnsi" w:hAnsiTheme="majorHAnsi" w:cstheme="majorHAnsi"/>
        </w:rPr>
        <w:t>minulých letech;</w:t>
      </w:r>
    </w:p>
    <w:p w14:paraId="51039008" w14:textId="69388FD4" w:rsidR="0042415F" w:rsidRPr="004B4B33" w:rsidRDefault="001D082B">
      <w:pPr>
        <w:numPr>
          <w:ilvl w:val="0"/>
          <w:numId w:val="28"/>
        </w:numPr>
        <w:spacing w:before="0" w:after="0"/>
        <w:jc w:val="both"/>
        <w:rPr>
          <w:rFonts w:asciiTheme="majorHAnsi" w:hAnsiTheme="majorHAnsi" w:cstheme="majorHAnsi"/>
        </w:rPr>
      </w:pPr>
      <w:r w:rsidRPr="004B4B33">
        <w:rPr>
          <w:rFonts w:asciiTheme="majorHAnsi" w:hAnsiTheme="majorHAnsi" w:cstheme="majorHAnsi"/>
        </w:rPr>
        <w:t>bariéry vstupu</w:t>
      </w:r>
      <w:r w:rsidRPr="004B4B33">
        <w:rPr>
          <w:rFonts w:asciiTheme="majorHAnsi" w:hAnsiTheme="majorHAnsi" w:cstheme="majorHAnsi"/>
          <w:i/>
        </w:rPr>
        <w:t xml:space="preserve">: </w:t>
      </w:r>
      <w:r w:rsidRPr="004B4B33">
        <w:rPr>
          <w:rFonts w:asciiTheme="majorHAnsi" w:hAnsiTheme="majorHAnsi" w:cstheme="majorHAnsi"/>
        </w:rPr>
        <w:t>trh s</w:t>
      </w:r>
      <w:r w:rsidR="000D7449">
        <w:rPr>
          <w:rFonts w:asciiTheme="majorHAnsi" w:hAnsiTheme="majorHAnsi" w:cstheme="majorHAnsi"/>
        </w:rPr>
        <w:t> </w:t>
      </w:r>
      <w:r w:rsidRPr="004B4B33">
        <w:rPr>
          <w:rFonts w:asciiTheme="majorHAnsi" w:hAnsiTheme="majorHAnsi" w:cstheme="majorHAnsi"/>
        </w:rPr>
        <w:t>nájemním bydlením je elastičtější (jak ukázal pokles cen nájmů v</w:t>
      </w:r>
      <w:r w:rsidR="000D7449">
        <w:rPr>
          <w:rFonts w:asciiTheme="majorHAnsi" w:hAnsiTheme="majorHAnsi" w:cstheme="majorHAnsi"/>
        </w:rPr>
        <w:t> </w:t>
      </w:r>
      <w:r w:rsidRPr="004B4B33">
        <w:rPr>
          <w:rFonts w:asciiTheme="majorHAnsi" w:hAnsiTheme="majorHAnsi" w:cstheme="majorHAnsi"/>
        </w:rPr>
        <w:t>době pandemie covidu-19 v</w:t>
      </w:r>
      <w:r w:rsidR="000D7449">
        <w:rPr>
          <w:rFonts w:asciiTheme="majorHAnsi" w:hAnsiTheme="majorHAnsi" w:cstheme="majorHAnsi"/>
        </w:rPr>
        <w:t> </w:t>
      </w:r>
      <w:r w:rsidRPr="004B4B33">
        <w:rPr>
          <w:rFonts w:asciiTheme="majorHAnsi" w:hAnsiTheme="majorHAnsi" w:cstheme="majorHAnsi"/>
        </w:rPr>
        <w:t xml:space="preserve">důsledku uvolnění bytů alokovaných pro krátkodobé </w:t>
      </w:r>
      <w:r w:rsidR="000D7449" w:rsidRPr="004B4B33">
        <w:rPr>
          <w:rFonts w:asciiTheme="majorHAnsi" w:hAnsiTheme="majorHAnsi" w:cstheme="majorHAnsi"/>
        </w:rPr>
        <w:t>turistické pronájmy</w:t>
      </w:r>
      <w:r w:rsidRPr="004B4B33">
        <w:rPr>
          <w:rFonts w:asciiTheme="majorHAnsi" w:hAnsiTheme="majorHAnsi" w:cstheme="majorHAnsi"/>
        </w:rPr>
        <w:t>). Přesto lze indikovat bariéry vstupu na trh s</w:t>
      </w:r>
      <w:r w:rsidR="000D7449">
        <w:rPr>
          <w:rFonts w:asciiTheme="majorHAnsi" w:hAnsiTheme="majorHAnsi" w:cstheme="majorHAnsi"/>
        </w:rPr>
        <w:t> </w:t>
      </w:r>
      <w:r w:rsidRPr="004B4B33">
        <w:rPr>
          <w:rFonts w:asciiTheme="majorHAnsi" w:hAnsiTheme="majorHAnsi" w:cstheme="majorHAnsi"/>
        </w:rPr>
        <w:t>nájemním bydlením pro část obyvatel, kteří pak musí využívat služby ryze sociálního charakteru, byť to s</w:t>
      </w:r>
      <w:r w:rsidR="000D7449">
        <w:rPr>
          <w:rFonts w:asciiTheme="majorHAnsi" w:hAnsiTheme="majorHAnsi" w:cstheme="majorHAnsi"/>
        </w:rPr>
        <w:t> </w:t>
      </w:r>
      <w:r w:rsidRPr="004B4B33">
        <w:rPr>
          <w:rFonts w:asciiTheme="majorHAnsi" w:hAnsiTheme="majorHAnsi" w:cstheme="majorHAnsi"/>
        </w:rPr>
        <w:t>ohledem na jejich sociální situaci není zcela nezbytné;</w:t>
      </w:r>
    </w:p>
    <w:p w14:paraId="5492BB60" w14:textId="2CBE428A" w:rsidR="0042415F" w:rsidRPr="004B4B33" w:rsidRDefault="001D082B">
      <w:pPr>
        <w:numPr>
          <w:ilvl w:val="0"/>
          <w:numId w:val="28"/>
        </w:numPr>
        <w:spacing w:before="0" w:after="0"/>
        <w:jc w:val="both"/>
        <w:rPr>
          <w:rFonts w:asciiTheme="majorHAnsi" w:hAnsiTheme="majorHAnsi" w:cstheme="majorHAnsi"/>
        </w:rPr>
      </w:pPr>
      <w:r w:rsidRPr="004B4B33">
        <w:rPr>
          <w:rFonts w:asciiTheme="majorHAnsi" w:hAnsiTheme="majorHAnsi" w:cstheme="majorHAnsi"/>
        </w:rPr>
        <w:t>příliš velký poměr nákladů na bydlení</w:t>
      </w:r>
      <w:r w:rsidR="005B437B" w:rsidRPr="004B4B33">
        <w:rPr>
          <w:rFonts w:asciiTheme="majorHAnsi" w:hAnsiTheme="majorHAnsi" w:cstheme="majorHAnsi"/>
        </w:rPr>
        <w:t xml:space="preserve"> a</w:t>
      </w:r>
      <w:r w:rsidR="000D7449">
        <w:rPr>
          <w:rFonts w:asciiTheme="majorHAnsi" w:hAnsiTheme="majorHAnsi" w:cstheme="majorHAnsi"/>
        </w:rPr>
        <w:t> </w:t>
      </w:r>
      <w:r w:rsidR="005B437B" w:rsidRPr="004B4B33">
        <w:rPr>
          <w:rFonts w:asciiTheme="majorHAnsi" w:hAnsiTheme="majorHAnsi" w:cstheme="majorHAnsi"/>
        </w:rPr>
        <w:t>energie</w:t>
      </w:r>
      <w:r w:rsidRPr="004B4B33">
        <w:rPr>
          <w:rFonts w:asciiTheme="majorHAnsi" w:hAnsiTheme="majorHAnsi" w:cstheme="majorHAnsi"/>
        </w:rPr>
        <w:t xml:space="preserve"> ve spotřebním koši českých domácností (postižených druhou nejvyšší inflací spotřebitelské koše v</w:t>
      </w:r>
      <w:r w:rsidR="000D7449">
        <w:rPr>
          <w:rFonts w:asciiTheme="majorHAnsi" w:hAnsiTheme="majorHAnsi" w:cstheme="majorHAnsi"/>
        </w:rPr>
        <w:t> </w:t>
      </w:r>
      <w:r w:rsidRPr="004B4B33">
        <w:rPr>
          <w:rFonts w:asciiTheme="majorHAnsi" w:hAnsiTheme="majorHAnsi" w:cstheme="majorHAnsi"/>
        </w:rPr>
        <w:t>EU, tržním selháním i</w:t>
      </w:r>
      <w:r w:rsidR="000D7449">
        <w:rPr>
          <w:rFonts w:asciiTheme="majorHAnsi" w:hAnsiTheme="majorHAnsi" w:cstheme="majorHAnsi"/>
        </w:rPr>
        <w:t> </w:t>
      </w:r>
      <w:r w:rsidRPr="004B4B33">
        <w:rPr>
          <w:rFonts w:asciiTheme="majorHAnsi" w:hAnsiTheme="majorHAnsi" w:cstheme="majorHAnsi"/>
        </w:rPr>
        <w:t>asymetrickým přístupem k</w:t>
      </w:r>
      <w:r w:rsidR="000D7449">
        <w:rPr>
          <w:rFonts w:asciiTheme="majorHAnsi" w:hAnsiTheme="majorHAnsi" w:cstheme="majorHAnsi"/>
        </w:rPr>
        <w:t> </w:t>
      </w:r>
      <w:r w:rsidRPr="004B4B33">
        <w:rPr>
          <w:rFonts w:asciiTheme="majorHAnsi" w:hAnsiTheme="majorHAnsi" w:cstheme="majorHAnsi"/>
        </w:rPr>
        <w:t>výhodnějším cestám získání vlastnického bydlení);</w:t>
      </w:r>
    </w:p>
    <w:p w14:paraId="679591B9" w14:textId="5226E200" w:rsidR="0042415F" w:rsidRPr="004B4B33" w:rsidRDefault="001D082B">
      <w:pPr>
        <w:numPr>
          <w:ilvl w:val="0"/>
          <w:numId w:val="28"/>
        </w:numPr>
        <w:spacing w:before="0" w:after="0"/>
        <w:jc w:val="both"/>
        <w:rPr>
          <w:rFonts w:asciiTheme="majorHAnsi" w:hAnsiTheme="majorHAnsi" w:cstheme="majorHAnsi"/>
        </w:rPr>
      </w:pPr>
      <w:r w:rsidRPr="004B4B33">
        <w:rPr>
          <w:rFonts w:asciiTheme="majorHAnsi" w:hAnsiTheme="majorHAnsi" w:cstheme="majorHAnsi"/>
        </w:rPr>
        <w:t>zdravotní rizika spojená se zhoršeným městským prostředím (znečištění ovzduší, vysoká hluková zátěž, prašnost, nedostatek zeleně, deficit humánního charakteru prostoru, zanedbané veřejné prostory) mající přímý a</w:t>
      </w:r>
      <w:r w:rsidR="000D7449">
        <w:rPr>
          <w:rFonts w:asciiTheme="majorHAnsi" w:hAnsiTheme="majorHAnsi" w:cstheme="majorHAnsi"/>
        </w:rPr>
        <w:t> </w:t>
      </w:r>
      <w:r w:rsidRPr="004B4B33">
        <w:rPr>
          <w:rFonts w:asciiTheme="majorHAnsi" w:hAnsiTheme="majorHAnsi" w:cstheme="majorHAnsi"/>
        </w:rPr>
        <w:t>nepřímý vliv na fyzické i</w:t>
      </w:r>
      <w:r w:rsidR="000D7449">
        <w:rPr>
          <w:rFonts w:asciiTheme="majorHAnsi" w:hAnsiTheme="majorHAnsi" w:cstheme="majorHAnsi"/>
        </w:rPr>
        <w:t> </w:t>
      </w:r>
      <w:r w:rsidRPr="004B4B33">
        <w:rPr>
          <w:rFonts w:asciiTheme="majorHAnsi" w:hAnsiTheme="majorHAnsi" w:cstheme="majorHAnsi"/>
        </w:rPr>
        <w:t>psychické zdraví a</w:t>
      </w:r>
      <w:r w:rsidR="000D7449">
        <w:rPr>
          <w:rFonts w:asciiTheme="majorHAnsi" w:hAnsiTheme="majorHAnsi" w:cstheme="majorHAnsi"/>
        </w:rPr>
        <w:t> </w:t>
      </w:r>
      <w:r w:rsidRPr="004B4B33">
        <w:rPr>
          <w:rFonts w:asciiTheme="majorHAnsi" w:hAnsiTheme="majorHAnsi" w:cstheme="majorHAnsi"/>
        </w:rPr>
        <w:t>vnímaný pocit bezpečí obyvatel;</w:t>
      </w:r>
    </w:p>
    <w:p w14:paraId="1947A5C7" w14:textId="5921519F" w:rsidR="0042415F" w:rsidRPr="004B4B33" w:rsidRDefault="001D082B">
      <w:pPr>
        <w:numPr>
          <w:ilvl w:val="0"/>
          <w:numId w:val="28"/>
        </w:numPr>
        <w:spacing w:before="0" w:after="0"/>
        <w:jc w:val="both"/>
        <w:rPr>
          <w:rFonts w:asciiTheme="majorHAnsi" w:hAnsiTheme="majorHAnsi" w:cstheme="majorHAnsi"/>
        </w:rPr>
      </w:pPr>
      <w:r w:rsidRPr="004B4B33">
        <w:rPr>
          <w:rFonts w:asciiTheme="majorHAnsi" w:hAnsiTheme="majorHAnsi" w:cstheme="majorHAnsi"/>
        </w:rPr>
        <w:t>absence stabilních, transparentních trhů s</w:t>
      </w:r>
      <w:r w:rsidR="000D7449">
        <w:rPr>
          <w:rFonts w:asciiTheme="majorHAnsi" w:hAnsiTheme="majorHAnsi" w:cstheme="majorHAnsi"/>
        </w:rPr>
        <w:t> </w:t>
      </w:r>
      <w:r w:rsidRPr="004B4B33">
        <w:rPr>
          <w:rFonts w:asciiTheme="majorHAnsi" w:hAnsiTheme="majorHAnsi" w:cstheme="majorHAnsi"/>
        </w:rPr>
        <w:t>bydlením zajištěných nástroji veřejné správy a</w:t>
      </w:r>
      <w:r w:rsidR="000D7449">
        <w:rPr>
          <w:rFonts w:asciiTheme="majorHAnsi" w:hAnsiTheme="majorHAnsi" w:cstheme="majorHAnsi"/>
        </w:rPr>
        <w:t> </w:t>
      </w:r>
      <w:r w:rsidRPr="004B4B33">
        <w:rPr>
          <w:rFonts w:asciiTheme="majorHAnsi" w:hAnsiTheme="majorHAnsi" w:cstheme="majorHAnsi"/>
        </w:rPr>
        <w:t>čelící výrazným nerovnováhám s</w:t>
      </w:r>
      <w:r w:rsidR="000D7449">
        <w:rPr>
          <w:rFonts w:asciiTheme="majorHAnsi" w:hAnsiTheme="majorHAnsi" w:cstheme="majorHAnsi"/>
        </w:rPr>
        <w:t> </w:t>
      </w:r>
      <w:r w:rsidRPr="004B4B33">
        <w:rPr>
          <w:rFonts w:asciiTheme="majorHAnsi" w:hAnsiTheme="majorHAnsi" w:cstheme="majorHAnsi"/>
        </w:rPr>
        <w:t>průvodními jevy jako exekuce, bezdomovectví, nevyužití a</w:t>
      </w:r>
      <w:r w:rsidR="000D7449">
        <w:rPr>
          <w:rFonts w:asciiTheme="majorHAnsi" w:hAnsiTheme="majorHAnsi" w:cstheme="majorHAnsi"/>
        </w:rPr>
        <w:t> </w:t>
      </w:r>
      <w:r w:rsidRPr="004B4B33">
        <w:rPr>
          <w:rFonts w:asciiTheme="majorHAnsi" w:hAnsiTheme="majorHAnsi" w:cstheme="majorHAnsi"/>
        </w:rPr>
        <w:t>nevyužitelný (zchátralý) bytový fond a</w:t>
      </w:r>
      <w:r w:rsidR="000D7449">
        <w:rPr>
          <w:rFonts w:asciiTheme="majorHAnsi" w:hAnsiTheme="majorHAnsi" w:cstheme="majorHAnsi"/>
        </w:rPr>
        <w:t> </w:t>
      </w:r>
      <w:r w:rsidRPr="004B4B33">
        <w:rPr>
          <w:rFonts w:asciiTheme="majorHAnsi" w:hAnsiTheme="majorHAnsi" w:cstheme="majorHAnsi"/>
        </w:rPr>
        <w:t>nedostatek dostupného bydlení;</w:t>
      </w:r>
    </w:p>
    <w:p w14:paraId="53C7BE5A" w14:textId="41F081A4" w:rsidR="0042415F" w:rsidRPr="004B4B33" w:rsidRDefault="001D082B">
      <w:pPr>
        <w:numPr>
          <w:ilvl w:val="0"/>
          <w:numId w:val="28"/>
        </w:numPr>
        <w:spacing w:before="0" w:after="0"/>
        <w:jc w:val="both"/>
        <w:rPr>
          <w:rFonts w:asciiTheme="majorHAnsi" w:hAnsiTheme="majorHAnsi" w:cstheme="majorHAnsi"/>
        </w:rPr>
      </w:pPr>
      <w:r w:rsidRPr="004B4B33">
        <w:rPr>
          <w:rFonts w:asciiTheme="majorHAnsi" w:hAnsiTheme="majorHAnsi" w:cstheme="majorHAnsi"/>
        </w:rPr>
        <w:t>nezdravé a</w:t>
      </w:r>
      <w:r w:rsidR="000D7449">
        <w:rPr>
          <w:rFonts w:asciiTheme="majorHAnsi" w:hAnsiTheme="majorHAnsi" w:cstheme="majorHAnsi"/>
        </w:rPr>
        <w:t> </w:t>
      </w:r>
      <w:r w:rsidRPr="004B4B33">
        <w:rPr>
          <w:rFonts w:asciiTheme="majorHAnsi" w:hAnsiTheme="majorHAnsi" w:cstheme="majorHAnsi"/>
        </w:rPr>
        <w:t>nebezpečné formy segregovaného bydlení koncentrující sociálně znevýhodněnou a</w:t>
      </w:r>
      <w:r w:rsidR="000D7449">
        <w:rPr>
          <w:rFonts w:asciiTheme="majorHAnsi" w:hAnsiTheme="majorHAnsi" w:cstheme="majorHAnsi"/>
        </w:rPr>
        <w:t> </w:t>
      </w:r>
      <w:r w:rsidRPr="004B4B33">
        <w:rPr>
          <w:rFonts w:asciiTheme="majorHAnsi" w:hAnsiTheme="majorHAnsi" w:cstheme="majorHAnsi"/>
        </w:rPr>
        <w:t>zranitelnou populaci;</w:t>
      </w:r>
    </w:p>
    <w:p w14:paraId="0B9D5DC9" w14:textId="1D7FD0A2" w:rsidR="0042415F" w:rsidRPr="004B4B33" w:rsidRDefault="001D082B">
      <w:pPr>
        <w:numPr>
          <w:ilvl w:val="0"/>
          <w:numId w:val="28"/>
        </w:numPr>
        <w:spacing w:before="0" w:after="0"/>
        <w:jc w:val="both"/>
        <w:rPr>
          <w:rFonts w:asciiTheme="majorHAnsi" w:hAnsiTheme="majorHAnsi" w:cstheme="majorHAnsi"/>
        </w:rPr>
      </w:pPr>
      <w:r w:rsidRPr="004B4B33">
        <w:rPr>
          <w:rFonts w:asciiTheme="majorHAnsi" w:hAnsiTheme="majorHAnsi" w:cstheme="majorHAnsi"/>
        </w:rPr>
        <w:t>suburbanizace jako fenomén spotřebovávající půdu a</w:t>
      </w:r>
      <w:r w:rsidR="000D7449">
        <w:rPr>
          <w:rFonts w:asciiTheme="majorHAnsi" w:hAnsiTheme="majorHAnsi" w:cstheme="majorHAnsi"/>
        </w:rPr>
        <w:t> </w:t>
      </w:r>
      <w:r w:rsidRPr="004B4B33">
        <w:rPr>
          <w:rFonts w:asciiTheme="majorHAnsi" w:hAnsiTheme="majorHAnsi" w:cstheme="majorHAnsi"/>
        </w:rPr>
        <w:t>vytvářející sociálně, ekologicky a</w:t>
      </w:r>
      <w:r w:rsidR="000D7449">
        <w:rPr>
          <w:rFonts w:asciiTheme="majorHAnsi" w:hAnsiTheme="majorHAnsi" w:cstheme="majorHAnsi"/>
        </w:rPr>
        <w:t> </w:t>
      </w:r>
      <w:r w:rsidRPr="004B4B33">
        <w:rPr>
          <w:rFonts w:asciiTheme="majorHAnsi" w:hAnsiTheme="majorHAnsi" w:cstheme="majorHAnsi"/>
        </w:rPr>
        <w:t>ekonomicky nerovnovážné prostředí.</w:t>
      </w:r>
    </w:p>
    <w:p w14:paraId="415B59BB" w14:textId="77777777" w:rsidR="0042415F" w:rsidRPr="004B4B33" w:rsidRDefault="001D082B">
      <w:pPr>
        <w:spacing w:before="240" w:after="240"/>
        <w:jc w:val="both"/>
        <w:rPr>
          <w:rFonts w:asciiTheme="majorHAnsi" w:hAnsiTheme="majorHAnsi" w:cstheme="majorHAnsi"/>
          <w:b/>
        </w:rPr>
      </w:pPr>
      <w:r w:rsidRPr="004B4B33">
        <w:rPr>
          <w:rFonts w:asciiTheme="majorHAnsi" w:hAnsiTheme="majorHAnsi" w:cstheme="majorHAnsi"/>
          <w:b/>
        </w:rPr>
        <w:t>Cíle</w:t>
      </w:r>
    </w:p>
    <w:p w14:paraId="68E1D925" w14:textId="77777777" w:rsidR="0042415F" w:rsidRPr="004B4B33" w:rsidRDefault="001D082B">
      <w:pPr>
        <w:jc w:val="both"/>
        <w:rPr>
          <w:rFonts w:asciiTheme="majorHAnsi" w:hAnsiTheme="majorHAnsi" w:cstheme="majorHAnsi"/>
          <w:u w:val="single"/>
        </w:rPr>
      </w:pPr>
      <w:r w:rsidRPr="004B4B33">
        <w:rPr>
          <w:rFonts w:asciiTheme="majorHAnsi" w:hAnsiTheme="majorHAnsi" w:cstheme="majorHAnsi"/>
          <w:u w:val="single"/>
        </w:rPr>
        <w:t>Strategický cíl:</w:t>
      </w:r>
    </w:p>
    <w:p w14:paraId="78BA8084" w14:textId="304EB44E" w:rsidR="0042415F" w:rsidRPr="004B4B33" w:rsidRDefault="78F8E056" w:rsidP="3D78BE59">
      <w:pPr>
        <w:numPr>
          <w:ilvl w:val="0"/>
          <w:numId w:val="25"/>
        </w:numPr>
        <w:jc w:val="both"/>
        <w:rPr>
          <w:rFonts w:asciiTheme="majorHAnsi" w:hAnsiTheme="majorHAnsi" w:cstheme="majorBidi"/>
          <w:highlight w:val="white"/>
        </w:rPr>
      </w:pPr>
      <w:r w:rsidRPr="5B41DABB">
        <w:rPr>
          <w:rFonts w:asciiTheme="majorHAnsi" w:hAnsiTheme="majorHAnsi" w:cstheme="majorBidi"/>
          <w:b/>
          <w:bCs/>
          <w:highlight w:val="white"/>
        </w:rPr>
        <w:t>hlavním cílem komponenty je reforma dostupného bydlení</w:t>
      </w:r>
      <w:r w:rsidR="75FB48C4" w:rsidRPr="5B41DABB">
        <w:rPr>
          <w:rFonts w:asciiTheme="majorHAnsi" w:hAnsiTheme="majorHAnsi" w:cstheme="majorBidi"/>
          <w:b/>
          <w:bCs/>
          <w:highlight w:val="white"/>
        </w:rPr>
        <w:t xml:space="preserve"> a</w:t>
      </w:r>
      <w:r w:rsidR="000D7449">
        <w:rPr>
          <w:rFonts w:asciiTheme="majorHAnsi" w:hAnsiTheme="majorHAnsi" w:cstheme="majorBidi"/>
          <w:b/>
          <w:bCs/>
          <w:highlight w:val="white"/>
        </w:rPr>
        <w:t> </w:t>
      </w:r>
      <w:r w:rsidR="75FB48C4" w:rsidRPr="5B41DABB">
        <w:rPr>
          <w:rFonts w:asciiTheme="majorHAnsi" w:hAnsiTheme="majorHAnsi" w:cstheme="majorBidi"/>
          <w:b/>
          <w:bCs/>
          <w:highlight w:val="white"/>
        </w:rPr>
        <w:t>navýšení kapacit dostupného bydlení</w:t>
      </w:r>
      <w:r w:rsidRPr="5B41DABB">
        <w:rPr>
          <w:rFonts w:asciiTheme="majorHAnsi" w:hAnsiTheme="majorHAnsi" w:cstheme="majorBidi"/>
          <w:b/>
          <w:bCs/>
          <w:highlight w:val="white"/>
        </w:rPr>
        <w:t xml:space="preserve"> ve střednědobém a</w:t>
      </w:r>
      <w:r w:rsidR="000D7449">
        <w:rPr>
          <w:rFonts w:asciiTheme="majorHAnsi" w:hAnsiTheme="majorHAnsi" w:cstheme="majorBidi"/>
          <w:b/>
          <w:bCs/>
          <w:highlight w:val="white"/>
        </w:rPr>
        <w:t> </w:t>
      </w:r>
      <w:r w:rsidRPr="5B41DABB">
        <w:rPr>
          <w:rFonts w:asciiTheme="majorHAnsi" w:hAnsiTheme="majorHAnsi" w:cstheme="majorBidi"/>
          <w:b/>
          <w:bCs/>
          <w:highlight w:val="white"/>
        </w:rPr>
        <w:t>dlouhodobém horizontu v</w:t>
      </w:r>
      <w:r w:rsidR="000D7449">
        <w:rPr>
          <w:rFonts w:asciiTheme="majorHAnsi" w:hAnsiTheme="majorHAnsi" w:cstheme="majorBidi"/>
          <w:b/>
          <w:bCs/>
          <w:highlight w:val="white"/>
        </w:rPr>
        <w:t> </w:t>
      </w:r>
      <w:r w:rsidRPr="5B41DABB">
        <w:rPr>
          <w:rFonts w:asciiTheme="majorHAnsi" w:hAnsiTheme="majorHAnsi" w:cstheme="majorBidi"/>
          <w:b/>
          <w:bCs/>
          <w:highlight w:val="white"/>
        </w:rPr>
        <w:t>České republice.</w:t>
      </w:r>
    </w:p>
    <w:p w14:paraId="33036D97" w14:textId="77777777" w:rsidR="0042415F" w:rsidRPr="004B4B33" w:rsidRDefault="001D082B">
      <w:pPr>
        <w:jc w:val="both"/>
        <w:rPr>
          <w:rFonts w:asciiTheme="majorHAnsi" w:hAnsiTheme="majorHAnsi" w:cstheme="majorHAnsi"/>
          <w:u w:val="single"/>
        </w:rPr>
      </w:pPr>
      <w:r w:rsidRPr="004B4B33">
        <w:rPr>
          <w:rFonts w:asciiTheme="majorHAnsi" w:hAnsiTheme="majorHAnsi" w:cstheme="majorHAnsi"/>
          <w:u w:val="single"/>
        </w:rPr>
        <w:t>Prioritní reformy pro dosažení cíle:</w:t>
      </w:r>
    </w:p>
    <w:p w14:paraId="3984B3AC" w14:textId="2B635371" w:rsidR="0042415F" w:rsidRPr="004B4B33" w:rsidRDefault="001D082B">
      <w:pPr>
        <w:numPr>
          <w:ilvl w:val="0"/>
          <w:numId w:val="24"/>
        </w:numPr>
        <w:spacing w:after="0"/>
        <w:jc w:val="both"/>
        <w:rPr>
          <w:rFonts w:asciiTheme="majorHAnsi" w:hAnsiTheme="majorHAnsi" w:cstheme="majorHAnsi"/>
          <w:highlight w:val="white"/>
        </w:rPr>
      </w:pPr>
      <w:r w:rsidRPr="004B4B33">
        <w:rPr>
          <w:rFonts w:asciiTheme="majorHAnsi" w:hAnsiTheme="majorHAnsi" w:cstheme="majorHAnsi"/>
          <w:highlight w:val="white"/>
        </w:rPr>
        <w:t>zákon o</w:t>
      </w:r>
      <w:r w:rsidR="000D7449">
        <w:rPr>
          <w:rFonts w:asciiTheme="majorHAnsi" w:hAnsiTheme="majorHAnsi" w:cstheme="majorHAnsi"/>
          <w:highlight w:val="white"/>
        </w:rPr>
        <w:t> </w:t>
      </w:r>
      <w:r w:rsidRPr="004B4B33">
        <w:rPr>
          <w:rFonts w:asciiTheme="majorHAnsi" w:hAnsiTheme="majorHAnsi" w:cstheme="majorHAnsi"/>
          <w:highlight w:val="white"/>
        </w:rPr>
        <w:t>podpoře v</w:t>
      </w:r>
      <w:r w:rsidR="000D7449">
        <w:rPr>
          <w:rFonts w:asciiTheme="majorHAnsi" w:hAnsiTheme="majorHAnsi" w:cstheme="majorHAnsi"/>
          <w:highlight w:val="white"/>
        </w:rPr>
        <w:t> </w:t>
      </w:r>
      <w:r w:rsidRPr="004B4B33">
        <w:rPr>
          <w:rFonts w:asciiTheme="majorHAnsi" w:hAnsiTheme="majorHAnsi" w:cstheme="majorHAnsi"/>
          <w:highlight w:val="white"/>
        </w:rPr>
        <w:t>bydlení;</w:t>
      </w:r>
    </w:p>
    <w:p w14:paraId="6FFF8824" w14:textId="681C703B" w:rsidR="0042415F" w:rsidRPr="004B4B33" w:rsidRDefault="001D082B">
      <w:pPr>
        <w:numPr>
          <w:ilvl w:val="0"/>
          <w:numId w:val="24"/>
        </w:numPr>
        <w:spacing w:before="0" w:after="0"/>
        <w:jc w:val="both"/>
        <w:rPr>
          <w:rFonts w:asciiTheme="majorHAnsi" w:hAnsiTheme="majorHAnsi" w:cstheme="majorHAnsi"/>
          <w:highlight w:val="white"/>
        </w:rPr>
      </w:pPr>
      <w:r w:rsidRPr="004B4B33">
        <w:rPr>
          <w:rFonts w:asciiTheme="majorHAnsi" w:hAnsiTheme="majorHAnsi" w:cstheme="majorHAnsi"/>
          <w:highlight w:val="white"/>
        </w:rPr>
        <w:t>vytvoření podpůrných kapacit k</w:t>
      </w:r>
      <w:r w:rsidR="000D7449">
        <w:rPr>
          <w:rFonts w:asciiTheme="majorHAnsi" w:hAnsiTheme="majorHAnsi" w:cstheme="majorHAnsi"/>
          <w:highlight w:val="white"/>
        </w:rPr>
        <w:t> </w:t>
      </w:r>
      <w:r w:rsidRPr="004B4B33">
        <w:rPr>
          <w:rFonts w:asciiTheme="majorHAnsi" w:hAnsiTheme="majorHAnsi" w:cstheme="majorHAnsi"/>
          <w:highlight w:val="white"/>
        </w:rPr>
        <w:t>realizaci investic: Housing Investment Advisory Hub a</w:t>
      </w:r>
      <w:r w:rsidR="000D7449">
        <w:rPr>
          <w:rFonts w:asciiTheme="majorHAnsi" w:hAnsiTheme="majorHAnsi" w:cstheme="majorHAnsi"/>
          <w:highlight w:val="white"/>
        </w:rPr>
        <w:t> </w:t>
      </w:r>
      <w:r w:rsidRPr="004B4B33">
        <w:rPr>
          <w:rFonts w:asciiTheme="majorHAnsi" w:hAnsiTheme="majorHAnsi" w:cstheme="majorHAnsi"/>
          <w:highlight w:val="white"/>
        </w:rPr>
        <w:t>regionální centra pro podporu investic do bydlení;</w:t>
      </w:r>
    </w:p>
    <w:p w14:paraId="72C6A13E" w14:textId="57711BBA" w:rsidR="0042415F" w:rsidRPr="004B4B33" w:rsidRDefault="001D082B">
      <w:pPr>
        <w:numPr>
          <w:ilvl w:val="0"/>
          <w:numId w:val="24"/>
        </w:numPr>
        <w:spacing w:before="0" w:after="0"/>
        <w:jc w:val="both"/>
        <w:rPr>
          <w:rFonts w:asciiTheme="majorHAnsi" w:hAnsiTheme="majorHAnsi" w:cstheme="majorHAnsi"/>
          <w:highlight w:val="white"/>
        </w:rPr>
      </w:pPr>
      <w:r w:rsidRPr="004B4B33">
        <w:rPr>
          <w:rFonts w:asciiTheme="majorHAnsi" w:hAnsiTheme="majorHAnsi" w:cstheme="majorHAnsi"/>
        </w:rPr>
        <w:t>vytvoření systému investiční</w:t>
      </w:r>
      <w:r w:rsidR="009D3ECE" w:rsidRPr="004B4B33">
        <w:rPr>
          <w:rFonts w:asciiTheme="majorHAnsi" w:hAnsiTheme="majorHAnsi" w:cstheme="majorHAnsi"/>
        </w:rPr>
        <w:t>c</w:t>
      </w:r>
      <w:r w:rsidRPr="004B4B33">
        <w:rPr>
          <w:rFonts w:asciiTheme="majorHAnsi" w:hAnsiTheme="majorHAnsi" w:cstheme="majorHAnsi"/>
        </w:rPr>
        <w:t xml:space="preserve">h </w:t>
      </w:r>
      <w:r w:rsidR="009D3ECE" w:rsidRPr="004B4B33">
        <w:rPr>
          <w:rFonts w:asciiTheme="majorHAnsi" w:hAnsiTheme="majorHAnsi" w:cstheme="majorHAnsi"/>
        </w:rPr>
        <w:t>schémat</w:t>
      </w:r>
      <w:r w:rsidRPr="004B4B33">
        <w:rPr>
          <w:rFonts w:asciiTheme="majorHAnsi" w:hAnsiTheme="majorHAnsi" w:cstheme="majorHAnsi"/>
        </w:rPr>
        <w:t xml:space="preserve"> pro zvýšení dostupnosti bydlení návratného charakteru (úvěrové financování, ekvita), díky kterým bude možné nastartovat investi</w:t>
      </w:r>
      <w:r w:rsidR="009D3ECE" w:rsidRPr="004B4B33">
        <w:rPr>
          <w:rFonts w:asciiTheme="majorHAnsi" w:hAnsiTheme="majorHAnsi" w:cstheme="majorHAnsi"/>
        </w:rPr>
        <w:t>ce</w:t>
      </w:r>
      <w:r w:rsidRPr="004B4B33">
        <w:rPr>
          <w:rFonts w:asciiTheme="majorHAnsi" w:hAnsiTheme="majorHAnsi" w:cstheme="majorHAnsi"/>
        </w:rPr>
        <w:t xml:space="preserve"> do segmentu dostupného</w:t>
      </w:r>
      <w:r w:rsidR="009D3ECE" w:rsidRPr="004B4B33">
        <w:rPr>
          <w:rFonts w:asciiTheme="majorHAnsi" w:hAnsiTheme="majorHAnsi" w:cstheme="majorHAnsi"/>
        </w:rPr>
        <w:t>, energeticky</w:t>
      </w:r>
      <w:r w:rsidR="0059738D" w:rsidRPr="004B4B33">
        <w:rPr>
          <w:rFonts w:asciiTheme="majorHAnsi" w:hAnsiTheme="majorHAnsi" w:cstheme="majorHAnsi"/>
        </w:rPr>
        <w:t xml:space="preserve"> </w:t>
      </w:r>
      <w:r w:rsidR="009D3ECE" w:rsidRPr="004B4B33">
        <w:rPr>
          <w:rFonts w:asciiTheme="majorHAnsi" w:hAnsiTheme="majorHAnsi" w:cstheme="majorHAnsi"/>
        </w:rPr>
        <w:t xml:space="preserve">účinného </w:t>
      </w:r>
      <w:r w:rsidRPr="004B4B33">
        <w:rPr>
          <w:rFonts w:asciiTheme="majorHAnsi" w:hAnsiTheme="majorHAnsi" w:cstheme="majorHAnsi"/>
        </w:rPr>
        <w:t>nájemního bydlení s</w:t>
      </w:r>
      <w:r w:rsidR="000D7449">
        <w:rPr>
          <w:rFonts w:asciiTheme="majorHAnsi" w:hAnsiTheme="majorHAnsi" w:cstheme="majorHAnsi"/>
        </w:rPr>
        <w:t> </w:t>
      </w:r>
      <w:r w:rsidRPr="004B4B33">
        <w:rPr>
          <w:rFonts w:asciiTheme="majorHAnsi" w:hAnsiTheme="majorHAnsi" w:cstheme="majorHAnsi"/>
        </w:rPr>
        <w:t>pomocí zapojení soukromého kapitálu a</w:t>
      </w:r>
      <w:r w:rsidR="000D7449">
        <w:rPr>
          <w:rFonts w:asciiTheme="majorHAnsi" w:hAnsiTheme="majorHAnsi" w:cstheme="majorHAnsi"/>
        </w:rPr>
        <w:t> </w:t>
      </w:r>
      <w:r w:rsidRPr="004B4B33">
        <w:rPr>
          <w:rFonts w:asciiTheme="majorHAnsi" w:hAnsiTheme="majorHAnsi" w:cstheme="majorHAnsi"/>
        </w:rPr>
        <w:t>umožnění zapojení dalších zdrojů kapitálu z</w:t>
      </w:r>
      <w:r w:rsidR="000D7449">
        <w:rPr>
          <w:rFonts w:asciiTheme="majorHAnsi" w:hAnsiTheme="majorHAnsi" w:cstheme="majorHAnsi"/>
        </w:rPr>
        <w:t> </w:t>
      </w:r>
      <w:r w:rsidRPr="004B4B33">
        <w:rPr>
          <w:rFonts w:asciiTheme="majorHAnsi" w:hAnsiTheme="majorHAnsi" w:cstheme="majorHAnsi"/>
        </w:rPr>
        <w:t>nadnárodních institucí (např. EIB apod.).</w:t>
      </w:r>
    </w:p>
    <w:p w14:paraId="3EAEB835" w14:textId="533A68E2" w:rsidR="0042415F" w:rsidRPr="004B4B33" w:rsidRDefault="001D082B">
      <w:pPr>
        <w:numPr>
          <w:ilvl w:val="0"/>
          <w:numId w:val="24"/>
        </w:numPr>
        <w:spacing w:before="0" w:after="360"/>
        <w:jc w:val="both"/>
        <w:rPr>
          <w:rFonts w:asciiTheme="majorHAnsi" w:hAnsiTheme="majorHAnsi" w:cstheme="majorHAnsi"/>
        </w:rPr>
      </w:pPr>
      <w:r w:rsidRPr="004B4B33">
        <w:rPr>
          <w:rFonts w:asciiTheme="majorHAnsi" w:hAnsiTheme="majorHAnsi" w:cstheme="majorHAnsi"/>
        </w:rPr>
        <w:t>modernizace bytového fondu cílící na zvýšení jeho environmentální (energetické) udržitelnosti</w:t>
      </w:r>
      <w:r w:rsidR="009D3ECE" w:rsidRPr="004B4B33">
        <w:rPr>
          <w:rFonts w:asciiTheme="majorHAnsi" w:hAnsiTheme="majorHAnsi" w:cstheme="majorHAnsi"/>
        </w:rPr>
        <w:t xml:space="preserve"> a</w:t>
      </w:r>
      <w:r w:rsidR="000D7449">
        <w:rPr>
          <w:rFonts w:asciiTheme="majorHAnsi" w:hAnsiTheme="majorHAnsi" w:cstheme="majorHAnsi"/>
        </w:rPr>
        <w:t> </w:t>
      </w:r>
      <w:r w:rsidR="009D3ECE" w:rsidRPr="004B4B33">
        <w:rPr>
          <w:rFonts w:asciiTheme="majorHAnsi" w:hAnsiTheme="majorHAnsi" w:cstheme="majorHAnsi"/>
        </w:rPr>
        <w:t>úspory energií</w:t>
      </w:r>
      <w:r w:rsidR="00057831" w:rsidRPr="004B4B33">
        <w:rPr>
          <w:rFonts w:asciiTheme="majorHAnsi" w:hAnsiTheme="majorHAnsi" w:cstheme="majorHAnsi"/>
        </w:rPr>
        <w:t>.</w:t>
      </w:r>
      <w:r w:rsidR="009D3ECE" w:rsidRPr="004B4B33">
        <w:rPr>
          <w:rFonts w:asciiTheme="majorHAnsi" w:hAnsiTheme="majorHAnsi" w:cstheme="majorHAnsi"/>
        </w:rPr>
        <w:t xml:space="preserve">  </w:t>
      </w:r>
    </w:p>
    <w:p w14:paraId="36130B4F" w14:textId="7B6141ED" w:rsidR="0042415F" w:rsidRPr="004B4B33" w:rsidRDefault="001D082B">
      <w:pPr>
        <w:jc w:val="both"/>
        <w:rPr>
          <w:rFonts w:asciiTheme="majorHAnsi" w:hAnsiTheme="majorHAnsi" w:cstheme="majorHAnsi"/>
          <w:u w:val="single"/>
        </w:rPr>
      </w:pPr>
      <w:r w:rsidRPr="004B4B33">
        <w:rPr>
          <w:rFonts w:asciiTheme="majorHAnsi" w:hAnsiTheme="majorHAnsi" w:cstheme="majorHAnsi"/>
          <w:u w:val="single"/>
        </w:rPr>
        <w:t>Opatření k</w:t>
      </w:r>
      <w:r w:rsidR="000D7449">
        <w:rPr>
          <w:rFonts w:asciiTheme="majorHAnsi" w:hAnsiTheme="majorHAnsi" w:cstheme="majorHAnsi"/>
          <w:u w:val="single"/>
        </w:rPr>
        <w:t> </w:t>
      </w:r>
      <w:r w:rsidRPr="004B4B33">
        <w:rPr>
          <w:rFonts w:asciiTheme="majorHAnsi" w:hAnsiTheme="majorHAnsi" w:cstheme="majorHAnsi"/>
          <w:u w:val="single"/>
        </w:rPr>
        <w:t>dosažení cíle:</w:t>
      </w:r>
    </w:p>
    <w:p w14:paraId="530761E5" w14:textId="22EC2672" w:rsidR="0042415F" w:rsidRPr="004B4B33" w:rsidRDefault="001D082B" w:rsidP="3D78BE59">
      <w:pPr>
        <w:numPr>
          <w:ilvl w:val="0"/>
          <w:numId w:val="32"/>
        </w:numPr>
        <w:spacing w:after="0"/>
        <w:jc w:val="both"/>
        <w:rPr>
          <w:rFonts w:asciiTheme="majorHAnsi" w:hAnsiTheme="majorHAnsi" w:cstheme="majorBidi"/>
        </w:rPr>
      </w:pPr>
      <w:r w:rsidRPr="5B41DABB">
        <w:rPr>
          <w:rFonts w:asciiTheme="majorHAnsi" w:hAnsiTheme="majorHAnsi" w:cstheme="majorBidi"/>
        </w:rPr>
        <w:t>zahájení rekonstrukcí a</w:t>
      </w:r>
      <w:r w:rsidR="000D7449">
        <w:rPr>
          <w:rFonts w:asciiTheme="majorHAnsi" w:hAnsiTheme="majorHAnsi" w:cstheme="majorBidi"/>
        </w:rPr>
        <w:t> </w:t>
      </w:r>
      <w:r w:rsidRPr="5B41DABB">
        <w:rPr>
          <w:rFonts w:asciiTheme="majorHAnsi" w:hAnsiTheme="majorHAnsi" w:cstheme="majorBidi"/>
        </w:rPr>
        <w:t>výstavby bytů v</w:t>
      </w:r>
      <w:r w:rsidR="000D7449">
        <w:rPr>
          <w:rFonts w:asciiTheme="majorHAnsi" w:hAnsiTheme="majorHAnsi" w:cstheme="majorBidi"/>
        </w:rPr>
        <w:t> </w:t>
      </w:r>
      <w:r w:rsidRPr="5B41DABB">
        <w:rPr>
          <w:rFonts w:asciiTheme="majorHAnsi" w:hAnsiTheme="majorHAnsi" w:cstheme="majorBidi"/>
        </w:rPr>
        <w:t xml:space="preserve">režimu dostupného nájemního </w:t>
      </w:r>
      <w:r w:rsidR="000D7449" w:rsidRPr="5B41DABB">
        <w:rPr>
          <w:rFonts w:asciiTheme="majorHAnsi" w:hAnsiTheme="majorHAnsi" w:cstheme="majorBidi"/>
        </w:rPr>
        <w:t>bydlení;</w:t>
      </w:r>
    </w:p>
    <w:p w14:paraId="021995F0" w14:textId="49FDF8AC" w:rsidR="0042415F" w:rsidRPr="004B4B33" w:rsidRDefault="001D082B">
      <w:pPr>
        <w:numPr>
          <w:ilvl w:val="0"/>
          <w:numId w:val="32"/>
        </w:numPr>
        <w:spacing w:before="0" w:after="0"/>
        <w:jc w:val="both"/>
        <w:rPr>
          <w:rFonts w:asciiTheme="majorHAnsi" w:hAnsiTheme="majorHAnsi" w:cstheme="majorHAnsi"/>
        </w:rPr>
      </w:pPr>
      <w:r w:rsidRPr="004B4B33">
        <w:rPr>
          <w:rFonts w:asciiTheme="majorHAnsi" w:hAnsiTheme="majorHAnsi" w:cstheme="majorHAnsi"/>
        </w:rPr>
        <w:lastRenderedPageBreak/>
        <w:t>odklon od závislosti na přímých dotacích, vytvoření nových finančních nástrojů (s návratným charakterem, případně v</w:t>
      </w:r>
      <w:r w:rsidR="000D7449">
        <w:rPr>
          <w:rFonts w:asciiTheme="majorHAnsi" w:hAnsiTheme="majorHAnsi" w:cstheme="majorHAnsi"/>
        </w:rPr>
        <w:t> </w:t>
      </w:r>
      <w:r w:rsidRPr="004B4B33">
        <w:rPr>
          <w:rFonts w:asciiTheme="majorHAnsi" w:hAnsiTheme="majorHAnsi" w:cstheme="majorHAnsi"/>
        </w:rPr>
        <w:t>kombinaci s</w:t>
      </w:r>
      <w:r w:rsidR="000D7449">
        <w:rPr>
          <w:rFonts w:asciiTheme="majorHAnsi" w:hAnsiTheme="majorHAnsi" w:cstheme="majorHAnsi"/>
        </w:rPr>
        <w:t> </w:t>
      </w:r>
      <w:r w:rsidRPr="004B4B33">
        <w:rPr>
          <w:rFonts w:asciiTheme="majorHAnsi" w:hAnsiTheme="majorHAnsi" w:cstheme="majorHAnsi"/>
        </w:rPr>
        <w:t>dotační pobídkou), které umožní udržení dosaženého tempa výstavby;</w:t>
      </w:r>
    </w:p>
    <w:p w14:paraId="738C7D38" w14:textId="7EBDF3C6" w:rsidR="0042415F" w:rsidRPr="004B4B33" w:rsidRDefault="001D082B">
      <w:pPr>
        <w:numPr>
          <w:ilvl w:val="0"/>
          <w:numId w:val="32"/>
        </w:numPr>
        <w:spacing w:before="0" w:after="0"/>
        <w:jc w:val="both"/>
        <w:rPr>
          <w:rFonts w:asciiTheme="majorHAnsi" w:hAnsiTheme="majorHAnsi" w:cstheme="majorHAnsi"/>
        </w:rPr>
      </w:pPr>
      <w:r w:rsidRPr="004B4B33">
        <w:rPr>
          <w:rFonts w:asciiTheme="majorHAnsi" w:hAnsiTheme="majorHAnsi" w:cstheme="majorHAnsi"/>
        </w:rPr>
        <w:t>vybudování poradenských, implementačních a</w:t>
      </w:r>
      <w:r w:rsidR="000D7449">
        <w:rPr>
          <w:rFonts w:asciiTheme="majorHAnsi" w:hAnsiTheme="majorHAnsi" w:cstheme="majorHAnsi"/>
        </w:rPr>
        <w:t> </w:t>
      </w:r>
      <w:r w:rsidR="000D7449" w:rsidRPr="004B4B33">
        <w:rPr>
          <w:rFonts w:asciiTheme="majorHAnsi" w:hAnsiTheme="majorHAnsi" w:cstheme="majorHAnsi"/>
        </w:rPr>
        <w:t>znalostních kapacit</w:t>
      </w:r>
      <w:r w:rsidRPr="004B4B33">
        <w:rPr>
          <w:rFonts w:asciiTheme="majorHAnsi" w:hAnsiTheme="majorHAnsi" w:cstheme="majorHAnsi"/>
        </w:rPr>
        <w:t>;</w:t>
      </w:r>
    </w:p>
    <w:p w14:paraId="38E6C435" w14:textId="3DE15688" w:rsidR="0042415F" w:rsidRPr="004B4B33" w:rsidRDefault="001D082B">
      <w:pPr>
        <w:numPr>
          <w:ilvl w:val="0"/>
          <w:numId w:val="32"/>
        </w:numPr>
        <w:spacing w:before="0" w:after="0"/>
        <w:jc w:val="both"/>
        <w:rPr>
          <w:rFonts w:asciiTheme="majorHAnsi" w:hAnsiTheme="majorHAnsi" w:cstheme="majorHAnsi"/>
        </w:rPr>
      </w:pPr>
      <w:r w:rsidRPr="004B4B33">
        <w:rPr>
          <w:rFonts w:asciiTheme="majorHAnsi" w:hAnsiTheme="majorHAnsi" w:cstheme="majorHAnsi"/>
        </w:rPr>
        <w:t>zvýšení podpory absorpční kapacity v</w:t>
      </w:r>
      <w:r w:rsidR="000D7449">
        <w:rPr>
          <w:rFonts w:asciiTheme="majorHAnsi" w:hAnsiTheme="majorHAnsi" w:cstheme="majorHAnsi"/>
        </w:rPr>
        <w:t> </w:t>
      </w:r>
      <w:r w:rsidRPr="004B4B33">
        <w:rPr>
          <w:rFonts w:asciiTheme="majorHAnsi" w:hAnsiTheme="majorHAnsi" w:cstheme="majorHAnsi"/>
        </w:rPr>
        <w:t>území;</w:t>
      </w:r>
    </w:p>
    <w:p w14:paraId="1E82EFB4" w14:textId="3EE6EE50" w:rsidR="0042415F" w:rsidRPr="004B4B33" w:rsidRDefault="001D082B">
      <w:pPr>
        <w:numPr>
          <w:ilvl w:val="0"/>
          <w:numId w:val="32"/>
        </w:numPr>
        <w:spacing w:before="0" w:after="0"/>
        <w:jc w:val="both"/>
        <w:rPr>
          <w:rFonts w:asciiTheme="majorHAnsi" w:hAnsiTheme="majorHAnsi" w:cstheme="majorHAnsi"/>
        </w:rPr>
      </w:pPr>
      <w:r w:rsidRPr="004B4B33">
        <w:rPr>
          <w:rFonts w:asciiTheme="majorHAnsi" w:hAnsiTheme="majorHAnsi" w:cstheme="majorHAnsi"/>
        </w:rPr>
        <w:t>efektivnější distribuce a</w:t>
      </w:r>
      <w:r w:rsidR="000D7449">
        <w:rPr>
          <w:rFonts w:asciiTheme="majorHAnsi" w:hAnsiTheme="majorHAnsi" w:cstheme="majorHAnsi"/>
        </w:rPr>
        <w:t> </w:t>
      </w:r>
      <w:r w:rsidRPr="004B4B33">
        <w:rPr>
          <w:rFonts w:asciiTheme="majorHAnsi" w:hAnsiTheme="majorHAnsi" w:cstheme="majorHAnsi"/>
        </w:rPr>
        <w:t>využití existujícího bytového fondu, a</w:t>
      </w:r>
      <w:r w:rsidR="000D7449">
        <w:rPr>
          <w:rFonts w:asciiTheme="majorHAnsi" w:hAnsiTheme="majorHAnsi" w:cstheme="majorHAnsi"/>
        </w:rPr>
        <w:t> </w:t>
      </w:r>
      <w:r w:rsidRPr="004B4B33">
        <w:rPr>
          <w:rFonts w:asciiTheme="majorHAnsi" w:hAnsiTheme="majorHAnsi" w:cstheme="majorHAnsi"/>
        </w:rPr>
        <w:t>to ve smyslu bytového fondu v</w:t>
      </w:r>
      <w:r w:rsidR="000D7449">
        <w:rPr>
          <w:rFonts w:asciiTheme="majorHAnsi" w:hAnsiTheme="majorHAnsi" w:cstheme="majorHAnsi"/>
        </w:rPr>
        <w:t> </w:t>
      </w:r>
      <w:r w:rsidRPr="004B4B33">
        <w:rPr>
          <w:rFonts w:asciiTheme="majorHAnsi" w:hAnsiTheme="majorHAnsi" w:cstheme="majorHAnsi"/>
        </w:rPr>
        <w:t>držení veřejného subjektu či subjektu, na který veřejný sektor má reálný vliv;</w:t>
      </w:r>
    </w:p>
    <w:p w14:paraId="0D50FCB2" w14:textId="14D2392C" w:rsidR="0042415F" w:rsidRPr="004B4B33" w:rsidRDefault="001D082B">
      <w:pPr>
        <w:numPr>
          <w:ilvl w:val="0"/>
          <w:numId w:val="32"/>
        </w:numPr>
        <w:spacing w:before="0" w:after="0"/>
        <w:jc w:val="both"/>
        <w:rPr>
          <w:rFonts w:asciiTheme="majorHAnsi" w:hAnsiTheme="majorHAnsi" w:cstheme="majorHAnsi"/>
        </w:rPr>
      </w:pPr>
      <w:r w:rsidRPr="004B4B33">
        <w:rPr>
          <w:rFonts w:asciiTheme="majorHAnsi" w:hAnsiTheme="majorHAnsi" w:cstheme="majorHAnsi"/>
        </w:rPr>
        <w:t>nastartování změn směrem k</w:t>
      </w:r>
      <w:r w:rsidR="000D7449">
        <w:rPr>
          <w:rFonts w:asciiTheme="majorHAnsi" w:hAnsiTheme="majorHAnsi" w:cstheme="majorHAnsi"/>
        </w:rPr>
        <w:t> </w:t>
      </w:r>
      <w:r w:rsidRPr="004B4B33">
        <w:rPr>
          <w:rFonts w:asciiTheme="majorHAnsi" w:hAnsiTheme="majorHAnsi" w:cstheme="majorHAnsi"/>
        </w:rPr>
        <w:t>redukci tržního selhání na trhu bydlení;</w:t>
      </w:r>
    </w:p>
    <w:p w14:paraId="514B24F4" w14:textId="77777777" w:rsidR="0042415F" w:rsidRPr="004B4B33" w:rsidRDefault="001D082B">
      <w:pPr>
        <w:numPr>
          <w:ilvl w:val="0"/>
          <w:numId w:val="32"/>
        </w:numPr>
        <w:spacing w:before="0" w:after="0"/>
        <w:jc w:val="both"/>
        <w:rPr>
          <w:rFonts w:asciiTheme="majorHAnsi" w:hAnsiTheme="majorHAnsi" w:cstheme="majorHAnsi"/>
        </w:rPr>
      </w:pPr>
      <w:r w:rsidRPr="004B4B33">
        <w:rPr>
          <w:rFonts w:asciiTheme="majorHAnsi" w:hAnsiTheme="majorHAnsi" w:cstheme="majorHAnsi"/>
        </w:rPr>
        <w:t>akcelerace přípravy projektů;</w:t>
      </w:r>
    </w:p>
    <w:p w14:paraId="44DAC77B" w14:textId="77777777" w:rsidR="0042415F" w:rsidRPr="004B4B33" w:rsidRDefault="001D082B">
      <w:pPr>
        <w:numPr>
          <w:ilvl w:val="0"/>
          <w:numId w:val="32"/>
        </w:numPr>
        <w:spacing w:before="0" w:after="0"/>
        <w:jc w:val="both"/>
        <w:rPr>
          <w:rFonts w:asciiTheme="majorHAnsi" w:hAnsiTheme="majorHAnsi" w:cstheme="majorHAnsi"/>
        </w:rPr>
      </w:pPr>
      <w:r w:rsidRPr="004B4B33">
        <w:rPr>
          <w:rFonts w:asciiTheme="majorHAnsi" w:hAnsiTheme="majorHAnsi" w:cstheme="majorHAnsi"/>
        </w:rPr>
        <w:t xml:space="preserve"> zvýšení nabídky dostupného bydlení</w:t>
      </w:r>
    </w:p>
    <w:p w14:paraId="24BB7F14" w14:textId="1C802B8E" w:rsidR="0042415F" w:rsidRPr="004B4B33" w:rsidRDefault="001D082B">
      <w:pPr>
        <w:numPr>
          <w:ilvl w:val="0"/>
          <w:numId w:val="32"/>
        </w:numPr>
        <w:spacing w:before="0" w:after="360"/>
        <w:jc w:val="both"/>
        <w:rPr>
          <w:rFonts w:asciiTheme="majorHAnsi" w:hAnsiTheme="majorHAnsi" w:cstheme="majorHAnsi"/>
        </w:rPr>
      </w:pPr>
      <w:r w:rsidRPr="004B4B33">
        <w:rPr>
          <w:rFonts w:asciiTheme="majorHAnsi" w:hAnsiTheme="majorHAnsi" w:cstheme="majorHAnsi"/>
        </w:rPr>
        <w:t>průběžný monitoring trhu s</w:t>
      </w:r>
      <w:r w:rsidR="000D7449">
        <w:rPr>
          <w:rFonts w:asciiTheme="majorHAnsi" w:hAnsiTheme="majorHAnsi" w:cstheme="majorHAnsi"/>
        </w:rPr>
        <w:t> </w:t>
      </w:r>
      <w:r w:rsidRPr="004B4B33">
        <w:rPr>
          <w:rFonts w:asciiTheme="majorHAnsi" w:hAnsiTheme="majorHAnsi" w:cstheme="majorHAnsi"/>
        </w:rPr>
        <w:t>byty i</w:t>
      </w:r>
      <w:r w:rsidR="000D7449">
        <w:rPr>
          <w:rFonts w:asciiTheme="majorHAnsi" w:hAnsiTheme="majorHAnsi" w:cstheme="majorHAnsi"/>
        </w:rPr>
        <w:t> </w:t>
      </w:r>
      <w:r w:rsidRPr="004B4B33">
        <w:rPr>
          <w:rFonts w:asciiTheme="majorHAnsi" w:hAnsiTheme="majorHAnsi" w:cstheme="majorHAnsi"/>
        </w:rPr>
        <w:t>monitoring účinnosti a</w:t>
      </w:r>
      <w:r w:rsidR="000D7449">
        <w:rPr>
          <w:rFonts w:asciiTheme="majorHAnsi" w:hAnsiTheme="majorHAnsi" w:cstheme="majorHAnsi"/>
        </w:rPr>
        <w:t> </w:t>
      </w:r>
      <w:r w:rsidRPr="004B4B33">
        <w:rPr>
          <w:rFonts w:asciiTheme="majorHAnsi" w:hAnsiTheme="majorHAnsi" w:cstheme="majorHAnsi"/>
        </w:rPr>
        <w:t>efektivity jednotlivých podpůrných nástrojů a</w:t>
      </w:r>
      <w:r w:rsidR="000D7449">
        <w:rPr>
          <w:rFonts w:asciiTheme="majorHAnsi" w:hAnsiTheme="majorHAnsi" w:cstheme="majorHAnsi"/>
        </w:rPr>
        <w:t> </w:t>
      </w:r>
      <w:r w:rsidRPr="004B4B33">
        <w:rPr>
          <w:rFonts w:asciiTheme="majorHAnsi" w:hAnsiTheme="majorHAnsi" w:cstheme="majorHAnsi"/>
        </w:rPr>
        <w:t>jejich korekce.</w:t>
      </w:r>
    </w:p>
    <w:p w14:paraId="3C252CC0" w14:textId="16DF0B6D" w:rsidR="0042415F" w:rsidRPr="004B4B33" w:rsidRDefault="001D082B">
      <w:pPr>
        <w:jc w:val="both"/>
        <w:rPr>
          <w:rFonts w:asciiTheme="majorHAnsi" w:hAnsiTheme="majorHAnsi" w:cstheme="majorHAnsi"/>
          <w:u w:val="single"/>
        </w:rPr>
      </w:pPr>
      <w:r w:rsidRPr="004B4B33">
        <w:rPr>
          <w:rFonts w:asciiTheme="majorHAnsi" w:hAnsiTheme="majorHAnsi" w:cstheme="majorHAnsi"/>
          <w:u w:val="single"/>
        </w:rPr>
        <w:t>Nástroje k</w:t>
      </w:r>
      <w:r w:rsidR="000D7449">
        <w:rPr>
          <w:rFonts w:asciiTheme="majorHAnsi" w:hAnsiTheme="majorHAnsi" w:cstheme="majorHAnsi"/>
          <w:u w:val="single"/>
        </w:rPr>
        <w:t> </w:t>
      </w:r>
      <w:r w:rsidRPr="004B4B33">
        <w:rPr>
          <w:rFonts w:asciiTheme="majorHAnsi" w:hAnsiTheme="majorHAnsi" w:cstheme="majorHAnsi"/>
          <w:u w:val="single"/>
        </w:rPr>
        <w:t>dosažení cíle:</w:t>
      </w:r>
    </w:p>
    <w:p w14:paraId="1DCF587E" w14:textId="0E91E1C8" w:rsidR="0042415F" w:rsidRPr="004B4B33" w:rsidRDefault="001D082B">
      <w:pPr>
        <w:jc w:val="both"/>
        <w:rPr>
          <w:rFonts w:asciiTheme="majorHAnsi" w:hAnsiTheme="majorHAnsi" w:cstheme="majorHAnsi"/>
        </w:rPr>
      </w:pPr>
      <w:r w:rsidRPr="004B4B33">
        <w:rPr>
          <w:rFonts w:asciiTheme="majorHAnsi" w:hAnsiTheme="majorHAnsi" w:cstheme="majorHAnsi"/>
        </w:rPr>
        <w:t>Strategický cíl bude dosažen prostřednictvím kombinace institucionálních a</w:t>
      </w:r>
      <w:r w:rsidR="000D7449">
        <w:rPr>
          <w:rFonts w:asciiTheme="majorHAnsi" w:hAnsiTheme="majorHAnsi" w:cstheme="majorHAnsi"/>
        </w:rPr>
        <w:t> </w:t>
      </w:r>
      <w:r w:rsidRPr="004B4B33">
        <w:rPr>
          <w:rFonts w:asciiTheme="majorHAnsi" w:hAnsiTheme="majorHAnsi" w:cstheme="majorHAnsi"/>
        </w:rPr>
        <w:t>legislativních reforem a</w:t>
      </w:r>
      <w:r w:rsidR="000D7449">
        <w:rPr>
          <w:rFonts w:asciiTheme="majorHAnsi" w:hAnsiTheme="majorHAnsi" w:cstheme="majorHAnsi"/>
        </w:rPr>
        <w:t> </w:t>
      </w:r>
      <w:r w:rsidRPr="004B4B33">
        <w:rPr>
          <w:rFonts w:asciiTheme="majorHAnsi" w:hAnsiTheme="majorHAnsi" w:cstheme="majorHAnsi"/>
        </w:rPr>
        <w:t>podporou finančních investic do reálné stavební aktivity (finančních investice) s</w:t>
      </w:r>
      <w:r w:rsidR="000D7449">
        <w:rPr>
          <w:rFonts w:asciiTheme="majorHAnsi" w:hAnsiTheme="majorHAnsi" w:cstheme="majorHAnsi"/>
        </w:rPr>
        <w:t> </w:t>
      </w:r>
      <w:r w:rsidRPr="004B4B33">
        <w:rPr>
          <w:rFonts w:asciiTheme="majorHAnsi" w:hAnsiTheme="majorHAnsi" w:cstheme="majorHAnsi"/>
        </w:rPr>
        <w:t>primárním důrazem na:</w:t>
      </w:r>
    </w:p>
    <w:p w14:paraId="58580E5B" w14:textId="5308C048" w:rsidR="0042415F" w:rsidRPr="004B4B33" w:rsidRDefault="001D082B" w:rsidP="3D78BE59">
      <w:pPr>
        <w:numPr>
          <w:ilvl w:val="0"/>
          <w:numId w:val="17"/>
        </w:numPr>
        <w:spacing w:after="0"/>
        <w:jc w:val="both"/>
        <w:rPr>
          <w:rFonts w:asciiTheme="majorHAnsi" w:hAnsiTheme="majorHAnsi" w:cstheme="majorBidi"/>
        </w:rPr>
      </w:pPr>
      <w:r w:rsidRPr="5B41DABB">
        <w:rPr>
          <w:rFonts w:asciiTheme="majorHAnsi" w:hAnsiTheme="majorHAnsi" w:cstheme="majorBidi"/>
        </w:rPr>
        <w:t xml:space="preserve">posílení kapacity </w:t>
      </w:r>
      <w:r w:rsidR="1821DC6D" w:rsidRPr="5B41DABB">
        <w:rPr>
          <w:rFonts w:asciiTheme="majorHAnsi" w:hAnsiTheme="majorHAnsi" w:cstheme="majorBidi"/>
        </w:rPr>
        <w:t xml:space="preserve">dostupného </w:t>
      </w:r>
      <w:r w:rsidRPr="5B41DABB">
        <w:rPr>
          <w:rFonts w:asciiTheme="majorHAnsi" w:hAnsiTheme="majorHAnsi" w:cstheme="majorBidi"/>
        </w:rPr>
        <w:t>nájemního bydlení v</w:t>
      </w:r>
      <w:r w:rsidR="000D7449">
        <w:rPr>
          <w:rFonts w:asciiTheme="majorHAnsi" w:hAnsiTheme="majorHAnsi" w:cstheme="majorBidi"/>
        </w:rPr>
        <w:t> </w:t>
      </w:r>
      <w:r w:rsidRPr="5B41DABB">
        <w:rPr>
          <w:rFonts w:asciiTheme="majorHAnsi" w:hAnsiTheme="majorHAnsi" w:cstheme="majorBidi"/>
        </w:rPr>
        <w:t xml:space="preserve">metropolitních oblastech při využití koncepčního metropolitního plánování; </w:t>
      </w:r>
    </w:p>
    <w:p w14:paraId="50AC0DFB" w14:textId="10FB0CD2" w:rsidR="0042415F" w:rsidRPr="004B4B33" w:rsidRDefault="001D082B">
      <w:pPr>
        <w:numPr>
          <w:ilvl w:val="0"/>
          <w:numId w:val="17"/>
        </w:numPr>
        <w:pBdr>
          <w:top w:val="nil"/>
          <w:left w:val="nil"/>
          <w:bottom w:val="nil"/>
          <w:right w:val="nil"/>
          <w:between w:val="nil"/>
        </w:pBdr>
        <w:spacing w:after="0"/>
        <w:jc w:val="both"/>
        <w:rPr>
          <w:rFonts w:asciiTheme="majorHAnsi" w:hAnsiTheme="majorHAnsi" w:cstheme="majorHAnsi"/>
        </w:rPr>
      </w:pPr>
      <w:r w:rsidRPr="004B4B33">
        <w:rPr>
          <w:rFonts w:asciiTheme="majorHAnsi" w:hAnsiTheme="majorHAnsi" w:cstheme="majorHAnsi"/>
        </w:rPr>
        <w:t>podpora investic do modernizace a</w:t>
      </w:r>
      <w:r w:rsidR="000D7449">
        <w:rPr>
          <w:rFonts w:asciiTheme="majorHAnsi" w:hAnsiTheme="majorHAnsi" w:cstheme="majorHAnsi"/>
        </w:rPr>
        <w:t> </w:t>
      </w:r>
      <w:r w:rsidRPr="004B4B33">
        <w:rPr>
          <w:rFonts w:asciiTheme="majorHAnsi" w:hAnsiTheme="majorHAnsi" w:cstheme="majorHAnsi"/>
        </w:rPr>
        <w:t>zvýšení dostupnosti nájemního bydlení ve středně velkých a</w:t>
      </w:r>
      <w:r w:rsidR="000D7449">
        <w:rPr>
          <w:rFonts w:asciiTheme="majorHAnsi" w:hAnsiTheme="majorHAnsi" w:cstheme="majorHAnsi"/>
        </w:rPr>
        <w:t> </w:t>
      </w:r>
      <w:r w:rsidRPr="004B4B33">
        <w:rPr>
          <w:rFonts w:asciiTheme="majorHAnsi" w:hAnsiTheme="majorHAnsi" w:cstheme="majorHAnsi"/>
        </w:rPr>
        <w:t>menších lokalitách, které trpí odlivem ekonomicky aktivních obyvatel, nežádoucí migrací a/nebo ekonomickou deprivací;</w:t>
      </w:r>
    </w:p>
    <w:p w14:paraId="01025D4B" w14:textId="5B67E879" w:rsidR="0042415F" w:rsidRPr="004B4B33" w:rsidRDefault="001D082B">
      <w:pPr>
        <w:numPr>
          <w:ilvl w:val="0"/>
          <w:numId w:val="17"/>
        </w:numPr>
        <w:spacing w:before="0" w:after="0"/>
        <w:jc w:val="both"/>
        <w:rPr>
          <w:rFonts w:asciiTheme="majorHAnsi" w:hAnsiTheme="majorHAnsi" w:cstheme="majorHAnsi"/>
        </w:rPr>
      </w:pPr>
      <w:r w:rsidRPr="004B4B33">
        <w:rPr>
          <w:rFonts w:asciiTheme="majorHAnsi" w:hAnsiTheme="majorHAnsi" w:cstheme="majorHAnsi"/>
        </w:rPr>
        <w:t>urychlení rehabilitace starých stavebních zátěží, brownfieldů a</w:t>
      </w:r>
      <w:r w:rsidR="000D7449">
        <w:rPr>
          <w:rFonts w:asciiTheme="majorHAnsi" w:hAnsiTheme="majorHAnsi" w:cstheme="majorHAnsi"/>
        </w:rPr>
        <w:t> </w:t>
      </w:r>
      <w:r w:rsidRPr="004B4B33">
        <w:rPr>
          <w:rFonts w:asciiTheme="majorHAnsi" w:hAnsiTheme="majorHAnsi" w:cstheme="majorHAnsi"/>
        </w:rPr>
        <w:t>podinvestovaných zchátralých budov ve vazbě na Evropskou Renovační vlnu, spolu s</w:t>
      </w:r>
      <w:r w:rsidR="000D7449">
        <w:rPr>
          <w:rFonts w:asciiTheme="majorHAnsi" w:hAnsiTheme="majorHAnsi" w:cstheme="majorHAnsi"/>
        </w:rPr>
        <w:t> </w:t>
      </w:r>
      <w:r w:rsidRPr="004B4B33">
        <w:rPr>
          <w:rFonts w:asciiTheme="majorHAnsi" w:hAnsiTheme="majorHAnsi" w:cstheme="majorHAnsi"/>
        </w:rPr>
        <w:t xml:space="preserve">energetickými upgrady neefektivních technologií, zchátralých ale staticky vyhovujících budov; </w:t>
      </w:r>
    </w:p>
    <w:p w14:paraId="32F2EF69" w14:textId="23BF216F" w:rsidR="0042415F" w:rsidRPr="004B4B33" w:rsidRDefault="001D082B">
      <w:pPr>
        <w:numPr>
          <w:ilvl w:val="0"/>
          <w:numId w:val="17"/>
        </w:numPr>
        <w:spacing w:before="0" w:after="0"/>
        <w:jc w:val="both"/>
        <w:rPr>
          <w:rFonts w:asciiTheme="majorHAnsi" w:hAnsiTheme="majorHAnsi" w:cstheme="majorHAnsi"/>
        </w:rPr>
      </w:pPr>
      <w:r w:rsidRPr="004B4B33">
        <w:rPr>
          <w:rFonts w:asciiTheme="majorHAnsi" w:hAnsiTheme="majorHAnsi" w:cstheme="majorHAnsi"/>
        </w:rPr>
        <w:t>zapojení pákového efektu veřejných fiskálních a</w:t>
      </w:r>
      <w:r w:rsidR="000D7449">
        <w:rPr>
          <w:rFonts w:asciiTheme="majorHAnsi" w:hAnsiTheme="majorHAnsi" w:cstheme="majorHAnsi"/>
        </w:rPr>
        <w:t> </w:t>
      </w:r>
      <w:r w:rsidRPr="004B4B33">
        <w:rPr>
          <w:rFonts w:asciiTheme="majorHAnsi" w:hAnsiTheme="majorHAnsi" w:cstheme="majorHAnsi"/>
        </w:rPr>
        <w:t>finančních investic na dostupnost soukromého financování.</w:t>
      </w:r>
    </w:p>
    <w:p w14:paraId="568B9453" w14:textId="77777777" w:rsidR="0042415F" w:rsidRPr="004B4B33" w:rsidRDefault="001D082B">
      <w:pPr>
        <w:jc w:val="both"/>
        <w:rPr>
          <w:rFonts w:asciiTheme="majorHAnsi" w:hAnsiTheme="majorHAnsi" w:cstheme="majorHAnsi"/>
          <w:u w:val="single"/>
        </w:rPr>
      </w:pPr>
      <w:r w:rsidRPr="004B4B33">
        <w:rPr>
          <w:rFonts w:asciiTheme="majorHAnsi" w:hAnsiTheme="majorHAnsi" w:cstheme="majorHAnsi"/>
          <w:u w:val="single"/>
        </w:rPr>
        <w:t>Přidružené sekundární cíle zahrnují:</w:t>
      </w:r>
    </w:p>
    <w:p w14:paraId="2CDD1D46" w14:textId="308226EA" w:rsidR="0042415F" w:rsidRPr="004B4B33" w:rsidRDefault="001D082B">
      <w:pPr>
        <w:numPr>
          <w:ilvl w:val="0"/>
          <w:numId w:val="16"/>
        </w:numPr>
        <w:spacing w:after="0"/>
        <w:jc w:val="both"/>
        <w:rPr>
          <w:rFonts w:asciiTheme="majorHAnsi" w:hAnsiTheme="majorHAnsi" w:cstheme="majorHAnsi"/>
        </w:rPr>
      </w:pPr>
      <w:r w:rsidRPr="004B4B33">
        <w:rPr>
          <w:rFonts w:asciiTheme="majorHAnsi" w:hAnsiTheme="majorHAnsi" w:cstheme="majorHAnsi"/>
        </w:rPr>
        <w:t>proticyklická migrační opatření pro tlumení nežádoucího odlivu obyvatel z</w:t>
      </w:r>
      <w:r w:rsidR="000D7449">
        <w:rPr>
          <w:rFonts w:asciiTheme="majorHAnsi" w:hAnsiTheme="majorHAnsi" w:cstheme="majorHAnsi"/>
        </w:rPr>
        <w:t> </w:t>
      </w:r>
      <w:r w:rsidRPr="004B4B33">
        <w:rPr>
          <w:rFonts w:asciiTheme="majorHAnsi" w:hAnsiTheme="majorHAnsi" w:cstheme="majorHAnsi"/>
        </w:rPr>
        <w:t>ekonomicky deprivovaných strukturálně postižených regionů a</w:t>
      </w:r>
      <w:r w:rsidR="000D7449">
        <w:rPr>
          <w:rFonts w:asciiTheme="majorHAnsi" w:hAnsiTheme="majorHAnsi" w:cstheme="majorHAnsi"/>
        </w:rPr>
        <w:t> </w:t>
      </w:r>
      <w:r w:rsidRPr="004B4B33">
        <w:rPr>
          <w:rFonts w:asciiTheme="majorHAnsi" w:hAnsiTheme="majorHAnsi" w:cstheme="majorHAnsi"/>
        </w:rPr>
        <w:t>municipalit s</w:t>
      </w:r>
      <w:r w:rsidR="000D7449">
        <w:rPr>
          <w:rFonts w:asciiTheme="majorHAnsi" w:hAnsiTheme="majorHAnsi" w:cstheme="majorHAnsi"/>
        </w:rPr>
        <w:t> </w:t>
      </w:r>
      <w:r w:rsidRPr="004B4B33">
        <w:rPr>
          <w:rFonts w:asciiTheme="majorHAnsi" w:hAnsiTheme="majorHAnsi" w:cstheme="majorHAnsi"/>
        </w:rPr>
        <w:t>pomocí stimulů obsažených v</w:t>
      </w:r>
      <w:r w:rsidR="000D7449">
        <w:rPr>
          <w:rFonts w:asciiTheme="majorHAnsi" w:hAnsiTheme="majorHAnsi" w:cstheme="majorHAnsi"/>
        </w:rPr>
        <w:t> </w:t>
      </w:r>
      <w:r w:rsidRPr="004B4B33">
        <w:rPr>
          <w:rFonts w:asciiTheme="majorHAnsi" w:hAnsiTheme="majorHAnsi" w:cstheme="majorHAnsi"/>
        </w:rPr>
        <w:t xml:space="preserve">investičním programu pro zvýšení dostupnosti bydlení; </w:t>
      </w:r>
    </w:p>
    <w:p w14:paraId="02AD7879" w14:textId="1B0B76FC" w:rsidR="0042415F" w:rsidRPr="004B4B33" w:rsidRDefault="001D082B">
      <w:pPr>
        <w:numPr>
          <w:ilvl w:val="0"/>
          <w:numId w:val="16"/>
        </w:numPr>
        <w:spacing w:before="0" w:after="0"/>
        <w:jc w:val="both"/>
        <w:rPr>
          <w:rFonts w:asciiTheme="majorHAnsi" w:hAnsiTheme="majorHAnsi" w:cstheme="majorHAnsi"/>
        </w:rPr>
      </w:pPr>
      <w:r w:rsidRPr="004B4B33">
        <w:rPr>
          <w:rFonts w:asciiTheme="majorHAnsi" w:hAnsiTheme="majorHAnsi" w:cstheme="majorHAnsi"/>
        </w:rPr>
        <w:t>rovnoměrné rozložení projektově a</w:t>
      </w:r>
      <w:r w:rsidR="000D7449">
        <w:rPr>
          <w:rFonts w:asciiTheme="majorHAnsi" w:hAnsiTheme="majorHAnsi" w:cstheme="majorHAnsi"/>
        </w:rPr>
        <w:t> </w:t>
      </w:r>
      <w:r w:rsidRPr="004B4B33">
        <w:rPr>
          <w:rFonts w:asciiTheme="majorHAnsi" w:hAnsiTheme="majorHAnsi" w:cstheme="majorHAnsi"/>
        </w:rPr>
        <w:t xml:space="preserve">stavebně poradenských znalostních kapacit ve všech regionech; </w:t>
      </w:r>
    </w:p>
    <w:p w14:paraId="1B73D1EE" w14:textId="39AE5060" w:rsidR="0042415F" w:rsidRPr="004B4B33" w:rsidRDefault="001D082B">
      <w:pPr>
        <w:numPr>
          <w:ilvl w:val="0"/>
          <w:numId w:val="16"/>
        </w:numPr>
        <w:spacing w:before="0" w:after="0"/>
        <w:jc w:val="both"/>
        <w:rPr>
          <w:rFonts w:asciiTheme="majorHAnsi" w:hAnsiTheme="majorHAnsi" w:cstheme="majorHAnsi"/>
        </w:rPr>
      </w:pPr>
      <w:r w:rsidRPr="004B4B33">
        <w:rPr>
          <w:rFonts w:asciiTheme="majorHAnsi" w:hAnsiTheme="majorHAnsi" w:cstheme="majorHAnsi"/>
        </w:rPr>
        <w:t>prosazování do praxe Politiky architektury a</w:t>
      </w:r>
      <w:r w:rsidR="000D7449">
        <w:rPr>
          <w:rFonts w:asciiTheme="majorHAnsi" w:hAnsiTheme="majorHAnsi" w:cstheme="majorHAnsi"/>
        </w:rPr>
        <w:t> </w:t>
      </w:r>
      <w:r w:rsidRPr="004B4B33">
        <w:rPr>
          <w:rFonts w:asciiTheme="majorHAnsi" w:hAnsiTheme="majorHAnsi" w:cstheme="majorHAnsi"/>
        </w:rPr>
        <w:t xml:space="preserve">stavební kultury ČR 2022; </w:t>
      </w:r>
    </w:p>
    <w:p w14:paraId="2457B515" w14:textId="77777777" w:rsidR="0042415F" w:rsidRPr="004B4B33" w:rsidRDefault="001D082B">
      <w:pPr>
        <w:numPr>
          <w:ilvl w:val="0"/>
          <w:numId w:val="16"/>
        </w:numPr>
        <w:spacing w:before="0" w:after="0"/>
        <w:jc w:val="both"/>
        <w:rPr>
          <w:rFonts w:asciiTheme="majorHAnsi" w:hAnsiTheme="majorHAnsi" w:cstheme="majorHAnsi"/>
        </w:rPr>
      </w:pPr>
      <w:r w:rsidRPr="004B4B33">
        <w:rPr>
          <w:rFonts w:asciiTheme="majorHAnsi" w:hAnsiTheme="majorHAnsi" w:cstheme="majorHAnsi"/>
        </w:rPr>
        <w:t xml:space="preserve">podpora rehabilitace sociálně vyloučených lokalit; </w:t>
      </w:r>
    </w:p>
    <w:p w14:paraId="4ADC3583" w14:textId="263BA42F" w:rsidR="0042415F" w:rsidRPr="004B4B33" w:rsidRDefault="001D082B">
      <w:pPr>
        <w:numPr>
          <w:ilvl w:val="0"/>
          <w:numId w:val="16"/>
        </w:numPr>
        <w:spacing w:before="0" w:after="0"/>
        <w:jc w:val="both"/>
        <w:rPr>
          <w:rFonts w:asciiTheme="majorHAnsi" w:hAnsiTheme="majorHAnsi" w:cstheme="majorHAnsi"/>
        </w:rPr>
      </w:pPr>
      <w:r w:rsidRPr="004B4B33">
        <w:rPr>
          <w:rFonts w:asciiTheme="majorHAnsi" w:hAnsiTheme="majorHAnsi" w:cstheme="majorHAnsi"/>
        </w:rPr>
        <w:t>podpora politik a</w:t>
      </w:r>
      <w:r w:rsidR="000D7449">
        <w:rPr>
          <w:rFonts w:asciiTheme="majorHAnsi" w:hAnsiTheme="majorHAnsi" w:cstheme="majorHAnsi"/>
        </w:rPr>
        <w:t> </w:t>
      </w:r>
      <w:r w:rsidRPr="004B4B33">
        <w:rPr>
          <w:rFonts w:asciiTheme="majorHAnsi" w:hAnsiTheme="majorHAnsi" w:cstheme="majorHAnsi"/>
        </w:rPr>
        <w:t>exekutivních opatření pro omezení nevyužitých / neobsazených rezidenčních kapacit;</w:t>
      </w:r>
    </w:p>
    <w:p w14:paraId="3BDCA144" w14:textId="4D08AC51" w:rsidR="0042415F" w:rsidRPr="004B4B33" w:rsidRDefault="001D082B">
      <w:pPr>
        <w:numPr>
          <w:ilvl w:val="0"/>
          <w:numId w:val="16"/>
        </w:numPr>
        <w:spacing w:before="0" w:after="0"/>
        <w:jc w:val="both"/>
        <w:rPr>
          <w:rFonts w:asciiTheme="majorHAnsi" w:hAnsiTheme="majorHAnsi" w:cstheme="majorHAnsi"/>
        </w:rPr>
      </w:pPr>
      <w:r w:rsidRPr="004B4B33">
        <w:rPr>
          <w:rFonts w:asciiTheme="majorHAnsi" w:hAnsiTheme="majorHAnsi" w:cstheme="majorHAnsi"/>
        </w:rPr>
        <w:t>podpora tvorby pracovních míst a</w:t>
      </w:r>
      <w:r w:rsidR="000D7449">
        <w:rPr>
          <w:rFonts w:asciiTheme="majorHAnsi" w:hAnsiTheme="majorHAnsi" w:cstheme="majorHAnsi"/>
        </w:rPr>
        <w:t> </w:t>
      </w:r>
      <w:r w:rsidRPr="004B4B33">
        <w:rPr>
          <w:rFonts w:asciiTheme="majorHAnsi" w:hAnsiTheme="majorHAnsi" w:cstheme="majorHAnsi"/>
        </w:rPr>
        <w:t>investic v</w:t>
      </w:r>
      <w:r w:rsidR="000D7449">
        <w:rPr>
          <w:rFonts w:asciiTheme="majorHAnsi" w:hAnsiTheme="majorHAnsi" w:cstheme="majorHAnsi"/>
        </w:rPr>
        <w:t> </w:t>
      </w:r>
      <w:r w:rsidRPr="004B4B33">
        <w:rPr>
          <w:rFonts w:asciiTheme="majorHAnsi" w:hAnsiTheme="majorHAnsi" w:cstheme="majorHAnsi"/>
        </w:rPr>
        <w:t>oblasti zelených technologií včetně udržitelných stavebních materiálů a</w:t>
      </w:r>
      <w:r w:rsidR="000D7449">
        <w:rPr>
          <w:rFonts w:asciiTheme="majorHAnsi" w:hAnsiTheme="majorHAnsi" w:cstheme="majorHAnsi"/>
        </w:rPr>
        <w:t> </w:t>
      </w:r>
      <w:r w:rsidRPr="004B4B33">
        <w:rPr>
          <w:rFonts w:asciiTheme="majorHAnsi" w:hAnsiTheme="majorHAnsi" w:cstheme="majorHAnsi"/>
        </w:rPr>
        <w:t>digitálních technologií;</w:t>
      </w:r>
    </w:p>
    <w:p w14:paraId="26CCCFEE" w14:textId="00825F2B" w:rsidR="0042415F" w:rsidRPr="004B4B33" w:rsidRDefault="001D082B">
      <w:pPr>
        <w:numPr>
          <w:ilvl w:val="0"/>
          <w:numId w:val="16"/>
        </w:numPr>
        <w:spacing w:before="0" w:after="0"/>
        <w:jc w:val="both"/>
        <w:rPr>
          <w:rFonts w:asciiTheme="majorHAnsi" w:hAnsiTheme="majorHAnsi" w:cstheme="majorHAnsi"/>
        </w:rPr>
      </w:pPr>
      <w:r w:rsidRPr="004B4B33">
        <w:rPr>
          <w:rFonts w:asciiTheme="majorHAnsi" w:hAnsiTheme="majorHAnsi" w:cstheme="majorHAnsi"/>
        </w:rPr>
        <w:t>podpora sociálního mixu a</w:t>
      </w:r>
      <w:r w:rsidR="000D7449">
        <w:rPr>
          <w:rFonts w:asciiTheme="majorHAnsi" w:hAnsiTheme="majorHAnsi" w:cstheme="majorHAnsi"/>
        </w:rPr>
        <w:t> </w:t>
      </w:r>
      <w:r w:rsidRPr="004B4B33">
        <w:rPr>
          <w:rFonts w:asciiTheme="majorHAnsi" w:hAnsiTheme="majorHAnsi" w:cstheme="majorHAnsi"/>
        </w:rPr>
        <w:t>koheze v</w:t>
      </w:r>
      <w:r w:rsidR="000D7449">
        <w:rPr>
          <w:rFonts w:asciiTheme="majorHAnsi" w:hAnsiTheme="majorHAnsi" w:cstheme="majorHAnsi"/>
        </w:rPr>
        <w:t> </w:t>
      </w:r>
      <w:r w:rsidRPr="004B4B33">
        <w:rPr>
          <w:rFonts w:asciiTheme="majorHAnsi" w:hAnsiTheme="majorHAnsi" w:cstheme="majorHAnsi"/>
        </w:rPr>
        <w:t>dostupném bydlení;</w:t>
      </w:r>
    </w:p>
    <w:p w14:paraId="73F0FA57" w14:textId="4E92A94F" w:rsidR="0042415F" w:rsidRPr="004B4B33" w:rsidRDefault="001D082B">
      <w:pPr>
        <w:numPr>
          <w:ilvl w:val="0"/>
          <w:numId w:val="16"/>
        </w:numPr>
        <w:spacing w:before="0" w:after="0"/>
        <w:jc w:val="both"/>
        <w:rPr>
          <w:rFonts w:asciiTheme="majorHAnsi" w:hAnsiTheme="majorHAnsi" w:cstheme="majorHAnsi"/>
        </w:rPr>
      </w:pPr>
      <w:r w:rsidRPr="004B4B33">
        <w:rPr>
          <w:rFonts w:asciiTheme="majorHAnsi" w:hAnsiTheme="majorHAnsi" w:cstheme="majorHAnsi"/>
        </w:rPr>
        <w:t>vyvažování metropolitních, urbánních a</w:t>
      </w:r>
      <w:r w:rsidR="000D7449">
        <w:rPr>
          <w:rFonts w:asciiTheme="majorHAnsi" w:hAnsiTheme="majorHAnsi" w:cstheme="majorHAnsi"/>
        </w:rPr>
        <w:t> </w:t>
      </w:r>
      <w:r w:rsidRPr="004B4B33">
        <w:rPr>
          <w:rFonts w:asciiTheme="majorHAnsi" w:hAnsiTheme="majorHAnsi" w:cstheme="majorHAnsi"/>
        </w:rPr>
        <w:t>venkovských vývojových trendů;</w:t>
      </w:r>
    </w:p>
    <w:p w14:paraId="7425CEB6" w14:textId="77777777" w:rsidR="0042415F" w:rsidRPr="004B4B33" w:rsidRDefault="001D082B">
      <w:pPr>
        <w:numPr>
          <w:ilvl w:val="0"/>
          <w:numId w:val="16"/>
        </w:numPr>
        <w:spacing w:before="0" w:after="0"/>
        <w:jc w:val="both"/>
        <w:rPr>
          <w:rFonts w:asciiTheme="majorHAnsi" w:hAnsiTheme="majorHAnsi" w:cstheme="majorHAnsi"/>
        </w:rPr>
      </w:pPr>
      <w:r w:rsidRPr="004B4B33">
        <w:rPr>
          <w:rFonts w:asciiTheme="majorHAnsi" w:hAnsiTheme="majorHAnsi" w:cstheme="majorHAnsi"/>
        </w:rPr>
        <w:t>zvyšování kompetencí veřejného sektoru pro využívání finančních nástrojů.</w:t>
      </w:r>
    </w:p>
    <w:p w14:paraId="2FE99EE2" w14:textId="77777777" w:rsidR="0042415F" w:rsidRPr="004B4B33" w:rsidRDefault="001D082B">
      <w:pPr>
        <w:rPr>
          <w:rFonts w:asciiTheme="majorHAnsi" w:hAnsiTheme="majorHAnsi" w:cstheme="majorHAnsi"/>
          <w:b/>
        </w:rPr>
      </w:pPr>
      <w:r w:rsidRPr="004B4B33">
        <w:rPr>
          <w:rFonts w:asciiTheme="majorHAnsi" w:hAnsiTheme="majorHAnsi" w:cstheme="majorHAnsi"/>
          <w:b/>
        </w:rPr>
        <w:lastRenderedPageBreak/>
        <w:t>Veřejný zájem</w:t>
      </w:r>
    </w:p>
    <w:p w14:paraId="2B8FCA41" w14:textId="196B4F3B" w:rsidR="0042415F" w:rsidRPr="004B4B33" w:rsidRDefault="001D082B">
      <w:pPr>
        <w:jc w:val="both"/>
        <w:rPr>
          <w:rFonts w:asciiTheme="majorHAnsi" w:hAnsiTheme="majorHAnsi" w:cstheme="majorHAnsi"/>
        </w:rPr>
      </w:pPr>
      <w:r w:rsidRPr="004B4B33">
        <w:rPr>
          <w:rFonts w:asciiTheme="majorHAnsi" w:hAnsiTheme="majorHAnsi" w:cstheme="majorHAnsi"/>
        </w:rPr>
        <w:t>Bydlení je jednou ze základních lidských potřeb. Jeho kvalita mimo jiné určuje zdraví, sociální status, schopnost reprodukce, sociální mobilitu a</w:t>
      </w:r>
      <w:r w:rsidR="000D7449">
        <w:rPr>
          <w:rFonts w:asciiTheme="majorHAnsi" w:hAnsiTheme="majorHAnsi" w:cstheme="majorHAnsi"/>
        </w:rPr>
        <w:t> </w:t>
      </w:r>
      <w:r w:rsidRPr="004B4B33">
        <w:rPr>
          <w:rFonts w:asciiTheme="majorHAnsi" w:hAnsiTheme="majorHAnsi" w:cstheme="majorHAnsi"/>
        </w:rPr>
        <w:t>další parametry ovlivňující v</w:t>
      </w:r>
      <w:r w:rsidR="000D7449">
        <w:rPr>
          <w:rFonts w:asciiTheme="majorHAnsi" w:hAnsiTheme="majorHAnsi" w:cstheme="majorHAnsi"/>
        </w:rPr>
        <w:t> </w:t>
      </w:r>
      <w:r w:rsidRPr="004B4B33">
        <w:rPr>
          <w:rFonts w:asciiTheme="majorHAnsi" w:hAnsiTheme="majorHAnsi" w:cstheme="majorHAnsi"/>
        </w:rPr>
        <w:t>celé své šíři kvalitu života. Současně je jedním z</w:t>
      </w:r>
      <w:r w:rsidR="000D7449">
        <w:rPr>
          <w:rFonts w:asciiTheme="majorHAnsi" w:hAnsiTheme="majorHAnsi" w:cstheme="majorHAnsi"/>
        </w:rPr>
        <w:t> </w:t>
      </w:r>
      <w:r w:rsidRPr="004B4B33">
        <w:rPr>
          <w:rFonts w:asciiTheme="majorHAnsi" w:hAnsiTheme="majorHAnsi" w:cstheme="majorHAnsi"/>
        </w:rPr>
        <w:t>aspektů sociální soudržnosti. Nejen z</w:t>
      </w:r>
      <w:r w:rsidR="000D7449">
        <w:rPr>
          <w:rFonts w:asciiTheme="majorHAnsi" w:hAnsiTheme="majorHAnsi" w:cstheme="majorHAnsi"/>
        </w:rPr>
        <w:t> </w:t>
      </w:r>
      <w:r w:rsidRPr="004B4B33">
        <w:rPr>
          <w:rFonts w:asciiTheme="majorHAnsi" w:hAnsiTheme="majorHAnsi" w:cstheme="majorHAnsi"/>
        </w:rPr>
        <w:t>těchto důvodů je s</w:t>
      </w:r>
      <w:r w:rsidR="000D7449">
        <w:rPr>
          <w:rFonts w:asciiTheme="majorHAnsi" w:hAnsiTheme="majorHAnsi" w:cstheme="majorHAnsi"/>
        </w:rPr>
        <w:t> </w:t>
      </w:r>
      <w:r w:rsidRPr="004B4B33">
        <w:rPr>
          <w:rFonts w:asciiTheme="majorHAnsi" w:hAnsiTheme="majorHAnsi" w:cstheme="majorHAnsi"/>
        </w:rPr>
        <w:t xml:space="preserve">dostupností bydlení spojený veřejný zájem. </w:t>
      </w:r>
    </w:p>
    <w:p w14:paraId="2D696E50" w14:textId="5AC37DF1" w:rsidR="0042415F" w:rsidRPr="004B4B33" w:rsidRDefault="001D082B">
      <w:pPr>
        <w:jc w:val="both"/>
        <w:rPr>
          <w:rFonts w:asciiTheme="majorHAnsi" w:hAnsiTheme="majorHAnsi" w:cstheme="majorHAnsi"/>
        </w:rPr>
      </w:pPr>
      <w:r w:rsidRPr="004B4B33">
        <w:rPr>
          <w:rFonts w:asciiTheme="majorHAnsi" w:hAnsiTheme="majorHAnsi" w:cstheme="majorHAnsi"/>
        </w:rPr>
        <w:t>Deficit kvality života, sociální, ekonomické i</w:t>
      </w:r>
      <w:r w:rsidR="000D7449">
        <w:rPr>
          <w:rFonts w:asciiTheme="majorHAnsi" w:hAnsiTheme="majorHAnsi" w:cstheme="majorHAnsi"/>
        </w:rPr>
        <w:t> </w:t>
      </w:r>
      <w:r w:rsidRPr="004B4B33">
        <w:rPr>
          <w:rFonts w:asciiTheme="majorHAnsi" w:hAnsiTheme="majorHAnsi" w:cstheme="majorHAnsi"/>
        </w:rPr>
        <w:t>environmentální externality vyplývající z</w:t>
      </w:r>
      <w:r w:rsidR="000D7449">
        <w:rPr>
          <w:rFonts w:asciiTheme="majorHAnsi" w:hAnsiTheme="majorHAnsi" w:cstheme="majorHAnsi"/>
        </w:rPr>
        <w:t> </w:t>
      </w:r>
      <w:r w:rsidRPr="004B4B33">
        <w:rPr>
          <w:rFonts w:asciiTheme="majorHAnsi" w:hAnsiTheme="majorHAnsi" w:cstheme="majorHAnsi"/>
        </w:rPr>
        <w:t>nedostupnosti bydlení jsou obvykle saturovány z</w:t>
      </w:r>
      <w:r w:rsidR="000D7449">
        <w:rPr>
          <w:rFonts w:asciiTheme="majorHAnsi" w:hAnsiTheme="majorHAnsi" w:cstheme="majorHAnsi"/>
        </w:rPr>
        <w:t> </w:t>
      </w:r>
      <w:r w:rsidRPr="004B4B33">
        <w:rPr>
          <w:rFonts w:asciiTheme="majorHAnsi" w:hAnsiTheme="majorHAnsi" w:cstheme="majorHAnsi"/>
        </w:rPr>
        <w:t>veřejných rozpočtů. Intervenuje-li tedy veřejný sektor investičně ve prospěch dostupného bydlení, a</w:t>
      </w:r>
      <w:r w:rsidR="000D7449">
        <w:rPr>
          <w:rFonts w:asciiTheme="majorHAnsi" w:hAnsiTheme="majorHAnsi" w:cstheme="majorHAnsi"/>
        </w:rPr>
        <w:t> </w:t>
      </w:r>
      <w:r w:rsidRPr="004B4B33">
        <w:rPr>
          <w:rFonts w:asciiTheme="majorHAnsi" w:hAnsiTheme="majorHAnsi" w:cstheme="majorHAnsi"/>
        </w:rPr>
        <w:t>tím ve prospěch obcí a</w:t>
      </w:r>
      <w:r w:rsidR="000D7449">
        <w:rPr>
          <w:rFonts w:asciiTheme="majorHAnsi" w:hAnsiTheme="majorHAnsi" w:cstheme="majorHAnsi"/>
        </w:rPr>
        <w:t> </w:t>
      </w:r>
      <w:r w:rsidRPr="004B4B33">
        <w:rPr>
          <w:rFonts w:asciiTheme="majorHAnsi" w:hAnsiTheme="majorHAnsi" w:cstheme="majorHAnsi"/>
        </w:rPr>
        <w:t>měst či jiných subjektů, které ho zajišťují, má zájem i</w:t>
      </w:r>
      <w:r w:rsidR="000D7449">
        <w:rPr>
          <w:rFonts w:asciiTheme="majorHAnsi" w:hAnsiTheme="majorHAnsi" w:cstheme="majorHAnsi"/>
        </w:rPr>
        <w:t> </w:t>
      </w:r>
      <w:r w:rsidRPr="004B4B33">
        <w:rPr>
          <w:rFonts w:asciiTheme="majorHAnsi" w:hAnsiTheme="majorHAnsi" w:cstheme="majorHAnsi"/>
        </w:rPr>
        <w:t>právo vyžadovat při realizaci těchto investic naplňování veřejného zájmu.</w:t>
      </w:r>
    </w:p>
    <w:p w14:paraId="70673769" w14:textId="12600CF7" w:rsidR="0042415F" w:rsidRPr="004B4B33" w:rsidRDefault="001D082B">
      <w:pPr>
        <w:jc w:val="both"/>
        <w:rPr>
          <w:rFonts w:asciiTheme="majorHAnsi" w:hAnsiTheme="majorHAnsi" w:cstheme="majorHAnsi"/>
        </w:rPr>
      </w:pPr>
      <w:r w:rsidRPr="004B4B33">
        <w:rPr>
          <w:rFonts w:asciiTheme="majorHAnsi" w:hAnsiTheme="majorHAnsi" w:cstheme="majorHAnsi"/>
        </w:rPr>
        <w:t>S ohledem na svůj investiční rozsah mají projekty dostupného bydlení často potenciál stát se klíčovými městotvornými aktivitami zohledňujícími strategické záměry obce, a</w:t>
      </w:r>
      <w:r w:rsidR="000D7449">
        <w:rPr>
          <w:rFonts w:asciiTheme="majorHAnsi" w:hAnsiTheme="majorHAnsi" w:cstheme="majorHAnsi"/>
        </w:rPr>
        <w:t> </w:t>
      </w:r>
      <w:r w:rsidRPr="004B4B33">
        <w:rPr>
          <w:rFonts w:asciiTheme="majorHAnsi" w:hAnsiTheme="majorHAnsi" w:cstheme="majorHAnsi"/>
        </w:rPr>
        <w:t>naplňovat tak veřejný zájem v</w:t>
      </w:r>
      <w:r w:rsidR="000D7449">
        <w:rPr>
          <w:rFonts w:asciiTheme="majorHAnsi" w:hAnsiTheme="majorHAnsi" w:cstheme="majorHAnsi"/>
        </w:rPr>
        <w:t> </w:t>
      </w:r>
      <w:r w:rsidRPr="004B4B33">
        <w:rPr>
          <w:rFonts w:asciiTheme="majorHAnsi" w:hAnsiTheme="majorHAnsi" w:cstheme="majorHAnsi"/>
        </w:rPr>
        <w:t xml:space="preserve">širším spektru aktivit. </w:t>
      </w:r>
    </w:p>
    <w:p w14:paraId="36F6495A" w14:textId="4D2811EA" w:rsidR="0042415F" w:rsidRPr="004B4B33" w:rsidRDefault="001D082B">
      <w:pPr>
        <w:jc w:val="both"/>
        <w:rPr>
          <w:rFonts w:asciiTheme="majorHAnsi" w:hAnsiTheme="majorHAnsi" w:cstheme="majorHAnsi"/>
        </w:rPr>
      </w:pPr>
      <w:r w:rsidRPr="004B4B33">
        <w:rPr>
          <w:rFonts w:asciiTheme="majorHAnsi" w:hAnsiTheme="majorHAnsi" w:cstheme="majorHAnsi"/>
        </w:rPr>
        <w:t>Část, především investičních nákladů projektů dostupného bydlení, je možné financovat z</w:t>
      </w:r>
      <w:r w:rsidR="000D7449">
        <w:rPr>
          <w:rFonts w:asciiTheme="majorHAnsi" w:hAnsiTheme="majorHAnsi" w:cstheme="majorHAnsi"/>
        </w:rPr>
        <w:t> </w:t>
      </w:r>
      <w:r w:rsidRPr="004B4B33">
        <w:rPr>
          <w:rFonts w:asciiTheme="majorHAnsi" w:hAnsiTheme="majorHAnsi" w:cstheme="majorHAnsi"/>
        </w:rPr>
        <w:t>veřejných zdrojů, a</w:t>
      </w:r>
      <w:r w:rsidR="000D7449">
        <w:rPr>
          <w:rFonts w:asciiTheme="majorHAnsi" w:hAnsiTheme="majorHAnsi" w:cstheme="majorHAnsi"/>
        </w:rPr>
        <w:t> </w:t>
      </w:r>
      <w:r w:rsidRPr="004B4B33">
        <w:rPr>
          <w:rFonts w:asciiTheme="majorHAnsi" w:hAnsiTheme="majorHAnsi" w:cstheme="majorHAnsi"/>
        </w:rPr>
        <w:t>to právě proto, že naplňují veřejný zájem, který je v</w:t>
      </w:r>
      <w:r w:rsidR="000D7449">
        <w:rPr>
          <w:rFonts w:asciiTheme="majorHAnsi" w:hAnsiTheme="majorHAnsi" w:cstheme="majorHAnsi"/>
        </w:rPr>
        <w:t> </w:t>
      </w:r>
      <w:r w:rsidRPr="004B4B33">
        <w:rPr>
          <w:rFonts w:asciiTheme="majorHAnsi" w:hAnsiTheme="majorHAnsi" w:cstheme="majorHAnsi"/>
        </w:rPr>
        <w:t>jiných projektech také subvencován. Veřejný zájem je však třeba co nejpřesněji definovat, a</w:t>
      </w:r>
      <w:r w:rsidR="000D7449">
        <w:rPr>
          <w:rFonts w:asciiTheme="majorHAnsi" w:hAnsiTheme="majorHAnsi" w:cstheme="majorHAnsi"/>
        </w:rPr>
        <w:t> </w:t>
      </w:r>
      <w:r w:rsidRPr="004B4B33">
        <w:rPr>
          <w:rFonts w:asciiTheme="majorHAnsi" w:hAnsiTheme="majorHAnsi" w:cstheme="majorHAnsi"/>
        </w:rPr>
        <w:t xml:space="preserve">to například na úrovni podmínek dotační výzvy. </w:t>
      </w:r>
    </w:p>
    <w:p w14:paraId="14B777FA" w14:textId="20BEE443" w:rsidR="0042415F" w:rsidRPr="004B4B33" w:rsidRDefault="001D082B">
      <w:pPr>
        <w:jc w:val="both"/>
        <w:rPr>
          <w:rFonts w:asciiTheme="majorHAnsi" w:hAnsiTheme="majorHAnsi" w:cstheme="majorHAnsi"/>
        </w:rPr>
      </w:pPr>
      <w:r w:rsidRPr="004B4B33">
        <w:rPr>
          <w:rFonts w:asciiTheme="majorHAnsi" w:hAnsiTheme="majorHAnsi" w:cstheme="majorHAnsi"/>
        </w:rPr>
        <w:t>Municipální reprezentace se budou při investičním zajišťování dostupného bydlení rozhodovat v</w:t>
      </w:r>
      <w:r w:rsidR="000D7449">
        <w:rPr>
          <w:rFonts w:asciiTheme="majorHAnsi" w:hAnsiTheme="majorHAnsi" w:cstheme="majorHAnsi"/>
        </w:rPr>
        <w:t> </w:t>
      </w:r>
      <w:r w:rsidRPr="004B4B33">
        <w:rPr>
          <w:rFonts w:asciiTheme="majorHAnsi" w:hAnsiTheme="majorHAnsi" w:cstheme="majorHAnsi"/>
        </w:rPr>
        <w:t>souladu s</w:t>
      </w:r>
      <w:r w:rsidR="000D7449">
        <w:rPr>
          <w:rFonts w:asciiTheme="majorHAnsi" w:hAnsiTheme="majorHAnsi" w:cstheme="majorHAnsi"/>
        </w:rPr>
        <w:t> </w:t>
      </w:r>
      <w:r w:rsidRPr="004B4B33">
        <w:rPr>
          <w:rFonts w:asciiTheme="majorHAnsi" w:hAnsiTheme="majorHAnsi" w:cstheme="majorHAnsi"/>
        </w:rPr>
        <w:t>místními podmínkami mezi výstavbou, rekonstrukcí a</w:t>
      </w:r>
      <w:r w:rsidR="000D7449">
        <w:rPr>
          <w:rFonts w:asciiTheme="majorHAnsi" w:hAnsiTheme="majorHAnsi" w:cstheme="majorHAnsi"/>
        </w:rPr>
        <w:t> </w:t>
      </w:r>
      <w:r w:rsidRPr="004B4B33">
        <w:rPr>
          <w:rFonts w:asciiTheme="majorHAnsi" w:hAnsiTheme="majorHAnsi" w:cstheme="majorHAnsi"/>
        </w:rPr>
        <w:t>nákupem nemovitostí. Rozhodování by měl ovlivňovat také veřejný zájem a</w:t>
      </w:r>
      <w:r w:rsidR="000D7449">
        <w:rPr>
          <w:rFonts w:asciiTheme="majorHAnsi" w:hAnsiTheme="majorHAnsi" w:cstheme="majorHAnsi"/>
        </w:rPr>
        <w:t> </w:t>
      </w:r>
      <w:r w:rsidRPr="004B4B33">
        <w:rPr>
          <w:rFonts w:asciiTheme="majorHAnsi" w:hAnsiTheme="majorHAnsi" w:cstheme="majorHAnsi"/>
        </w:rPr>
        <w:t>naplňovat již kodifikované přístupy a</w:t>
      </w:r>
      <w:r w:rsidR="000D7449">
        <w:rPr>
          <w:rFonts w:asciiTheme="majorHAnsi" w:hAnsiTheme="majorHAnsi" w:cstheme="majorHAnsi"/>
        </w:rPr>
        <w:t> </w:t>
      </w:r>
      <w:r w:rsidRPr="004B4B33">
        <w:rPr>
          <w:rFonts w:asciiTheme="majorHAnsi" w:hAnsiTheme="majorHAnsi" w:cstheme="majorHAnsi"/>
        </w:rPr>
        <w:t>požadavky sociální a</w:t>
      </w:r>
      <w:r w:rsidR="000D7449">
        <w:rPr>
          <w:rFonts w:asciiTheme="majorHAnsi" w:hAnsiTheme="majorHAnsi" w:cstheme="majorHAnsi"/>
        </w:rPr>
        <w:t> </w:t>
      </w:r>
      <w:r w:rsidRPr="004B4B33">
        <w:rPr>
          <w:rFonts w:asciiTheme="majorHAnsi" w:hAnsiTheme="majorHAnsi" w:cstheme="majorHAnsi"/>
        </w:rPr>
        <w:t>environmentální udržitelnosti, v</w:t>
      </w:r>
      <w:r w:rsidR="000D7449">
        <w:rPr>
          <w:rFonts w:asciiTheme="majorHAnsi" w:hAnsiTheme="majorHAnsi" w:cstheme="majorHAnsi"/>
        </w:rPr>
        <w:t> </w:t>
      </w:r>
      <w:r w:rsidRPr="004B4B33">
        <w:rPr>
          <w:rFonts w:asciiTheme="majorHAnsi" w:hAnsiTheme="majorHAnsi" w:cstheme="majorHAnsi"/>
        </w:rPr>
        <w:t>neposlední řadě také nutnost zohledňovat kvalitu a</w:t>
      </w:r>
      <w:r w:rsidR="000D7449">
        <w:rPr>
          <w:rFonts w:asciiTheme="majorHAnsi" w:hAnsiTheme="majorHAnsi" w:cstheme="majorHAnsi"/>
        </w:rPr>
        <w:t> </w:t>
      </w:r>
      <w:r w:rsidRPr="004B4B33">
        <w:rPr>
          <w:rFonts w:asciiTheme="majorHAnsi" w:hAnsiTheme="majorHAnsi" w:cstheme="majorHAnsi"/>
        </w:rPr>
        <w:t xml:space="preserve">hodnotu veřejného prostoru. </w:t>
      </w:r>
    </w:p>
    <w:p w14:paraId="7D0BBCAA" w14:textId="230C8908" w:rsidR="0042415F" w:rsidRPr="004B4B33" w:rsidRDefault="001D082B">
      <w:pPr>
        <w:jc w:val="both"/>
        <w:rPr>
          <w:rFonts w:asciiTheme="majorHAnsi" w:hAnsiTheme="majorHAnsi" w:cstheme="majorHAnsi"/>
        </w:rPr>
      </w:pPr>
      <w:r w:rsidRPr="004B4B33">
        <w:rPr>
          <w:rFonts w:asciiTheme="majorHAnsi" w:hAnsiTheme="majorHAnsi" w:cstheme="majorHAnsi"/>
        </w:rPr>
        <w:t>Z toho vyplývá potřeba využívat analytické metodiky pro rozhodovací procesy především veřejných investorů při zajišťování dostupného bydlení, potřeba poradenství aktérům politik sociálního a</w:t>
      </w:r>
      <w:r w:rsidR="000D7449">
        <w:rPr>
          <w:rFonts w:asciiTheme="majorHAnsi" w:hAnsiTheme="majorHAnsi" w:cstheme="majorHAnsi"/>
        </w:rPr>
        <w:t> </w:t>
      </w:r>
      <w:r w:rsidRPr="004B4B33">
        <w:rPr>
          <w:rFonts w:asciiTheme="majorHAnsi" w:hAnsiTheme="majorHAnsi" w:cstheme="majorHAnsi"/>
        </w:rPr>
        <w:t>dostupného bydlení, existence širšího spektra finančních a</w:t>
      </w:r>
      <w:r w:rsidR="000D7449">
        <w:rPr>
          <w:rFonts w:asciiTheme="majorHAnsi" w:hAnsiTheme="majorHAnsi" w:cstheme="majorHAnsi"/>
        </w:rPr>
        <w:t> </w:t>
      </w:r>
      <w:r w:rsidRPr="004B4B33">
        <w:rPr>
          <w:rFonts w:asciiTheme="majorHAnsi" w:hAnsiTheme="majorHAnsi" w:cstheme="majorHAnsi"/>
        </w:rPr>
        <w:t>administrativních nástrojů a</w:t>
      </w:r>
      <w:r w:rsidR="000D7449">
        <w:rPr>
          <w:rFonts w:asciiTheme="majorHAnsi" w:hAnsiTheme="majorHAnsi" w:cstheme="majorHAnsi"/>
        </w:rPr>
        <w:t> </w:t>
      </w:r>
      <w:r w:rsidRPr="004B4B33">
        <w:rPr>
          <w:rFonts w:asciiTheme="majorHAnsi" w:hAnsiTheme="majorHAnsi" w:cstheme="majorHAnsi"/>
        </w:rPr>
        <w:t>v neposlední řadě i</w:t>
      </w:r>
      <w:r w:rsidR="000D7449">
        <w:rPr>
          <w:rFonts w:asciiTheme="majorHAnsi" w:hAnsiTheme="majorHAnsi" w:cstheme="majorHAnsi"/>
        </w:rPr>
        <w:t> </w:t>
      </w:r>
      <w:r w:rsidRPr="004B4B33">
        <w:rPr>
          <w:rFonts w:asciiTheme="majorHAnsi" w:hAnsiTheme="majorHAnsi" w:cstheme="majorHAnsi"/>
        </w:rPr>
        <w:t>přijetí zákona o</w:t>
      </w:r>
      <w:r w:rsidR="000D7449">
        <w:rPr>
          <w:rFonts w:asciiTheme="majorHAnsi" w:hAnsiTheme="majorHAnsi" w:cstheme="majorHAnsi"/>
        </w:rPr>
        <w:t> </w:t>
      </w:r>
      <w:r w:rsidRPr="004B4B33">
        <w:rPr>
          <w:rFonts w:asciiTheme="majorHAnsi" w:hAnsiTheme="majorHAnsi" w:cstheme="majorHAnsi"/>
        </w:rPr>
        <w:t>podpoře v</w:t>
      </w:r>
      <w:r w:rsidR="000D7449">
        <w:rPr>
          <w:rFonts w:asciiTheme="majorHAnsi" w:hAnsiTheme="majorHAnsi" w:cstheme="majorHAnsi"/>
        </w:rPr>
        <w:t> </w:t>
      </w:r>
      <w:r w:rsidRPr="004B4B33">
        <w:rPr>
          <w:rFonts w:asciiTheme="majorHAnsi" w:hAnsiTheme="majorHAnsi" w:cstheme="majorHAnsi"/>
        </w:rPr>
        <w:t>bydlení.</w:t>
      </w:r>
    </w:p>
    <w:p w14:paraId="02EB378F" w14:textId="77777777" w:rsidR="0042415F" w:rsidRPr="004B4B33" w:rsidRDefault="0042415F">
      <w:pPr>
        <w:jc w:val="both"/>
        <w:rPr>
          <w:rFonts w:asciiTheme="majorHAnsi" w:hAnsiTheme="majorHAnsi" w:cstheme="majorHAnsi"/>
          <w:b/>
        </w:rPr>
      </w:pPr>
    </w:p>
    <w:p w14:paraId="1D58FB63" w14:textId="77777777" w:rsidR="0042415F" w:rsidRPr="004B4B33" w:rsidRDefault="001D082B">
      <w:pPr>
        <w:jc w:val="both"/>
        <w:rPr>
          <w:rFonts w:asciiTheme="majorHAnsi" w:hAnsiTheme="majorHAnsi" w:cstheme="majorHAnsi"/>
          <w:b/>
        </w:rPr>
      </w:pPr>
      <w:r w:rsidRPr="004B4B33">
        <w:rPr>
          <w:rFonts w:asciiTheme="majorHAnsi" w:hAnsiTheme="majorHAnsi" w:cstheme="majorHAnsi"/>
          <w:b/>
        </w:rPr>
        <w:t>Cílové skupiny</w:t>
      </w:r>
    </w:p>
    <w:p w14:paraId="37D50493" w14:textId="4F2A3028" w:rsidR="0042415F" w:rsidRPr="004B4B33" w:rsidRDefault="001D082B">
      <w:pPr>
        <w:jc w:val="both"/>
        <w:rPr>
          <w:rFonts w:asciiTheme="majorHAnsi" w:hAnsiTheme="majorHAnsi" w:cstheme="majorHAnsi"/>
        </w:rPr>
      </w:pPr>
      <w:r w:rsidRPr="004B4B33">
        <w:rPr>
          <w:rFonts w:asciiTheme="majorHAnsi" w:hAnsiTheme="majorHAnsi" w:cstheme="majorHAnsi"/>
        </w:rPr>
        <w:t>Hlavní cílovou skupinou a</w:t>
      </w:r>
      <w:r w:rsidR="000D7449">
        <w:rPr>
          <w:rFonts w:asciiTheme="majorHAnsi" w:hAnsiTheme="majorHAnsi" w:cstheme="majorHAnsi"/>
        </w:rPr>
        <w:t> </w:t>
      </w:r>
      <w:r w:rsidRPr="004B4B33">
        <w:rPr>
          <w:rFonts w:asciiTheme="majorHAnsi" w:hAnsiTheme="majorHAnsi" w:cstheme="majorHAnsi"/>
        </w:rPr>
        <w:t>konečnými beneficienty komponenty jsou osoby a</w:t>
      </w:r>
      <w:r w:rsidR="000D7449">
        <w:rPr>
          <w:rFonts w:asciiTheme="majorHAnsi" w:hAnsiTheme="majorHAnsi" w:cstheme="majorHAnsi"/>
        </w:rPr>
        <w:t> </w:t>
      </w:r>
      <w:r w:rsidRPr="004B4B33">
        <w:rPr>
          <w:rFonts w:asciiTheme="majorHAnsi" w:hAnsiTheme="majorHAnsi" w:cstheme="majorHAnsi"/>
        </w:rPr>
        <w:t>domácnosti se zhoršeným přístupem ke vhodnému a</w:t>
      </w:r>
      <w:r w:rsidR="000D7449">
        <w:rPr>
          <w:rFonts w:asciiTheme="majorHAnsi" w:hAnsiTheme="majorHAnsi" w:cstheme="majorHAnsi"/>
        </w:rPr>
        <w:t> </w:t>
      </w:r>
      <w:r w:rsidRPr="004B4B33">
        <w:rPr>
          <w:rFonts w:asciiTheme="majorHAnsi" w:hAnsiTheme="majorHAnsi" w:cstheme="majorHAnsi"/>
        </w:rPr>
        <w:t>finančně dostupnému bydlení. Primárně se jedná o</w:t>
      </w:r>
      <w:r w:rsidR="000D7449">
        <w:rPr>
          <w:rFonts w:asciiTheme="majorHAnsi" w:hAnsiTheme="majorHAnsi" w:cstheme="majorHAnsi"/>
        </w:rPr>
        <w:t> </w:t>
      </w:r>
      <w:r w:rsidRPr="004B4B33">
        <w:rPr>
          <w:rFonts w:asciiTheme="majorHAnsi" w:hAnsiTheme="majorHAnsi" w:cstheme="majorHAnsi"/>
        </w:rPr>
        <w:t>domácnosti, které:</w:t>
      </w:r>
    </w:p>
    <w:p w14:paraId="66DFE5C8" w14:textId="5BB2A940" w:rsidR="0042415F" w:rsidRPr="004B4B33" w:rsidRDefault="001D082B">
      <w:pPr>
        <w:numPr>
          <w:ilvl w:val="0"/>
          <w:numId w:val="23"/>
        </w:numPr>
        <w:spacing w:after="0"/>
        <w:jc w:val="both"/>
        <w:rPr>
          <w:rFonts w:asciiTheme="majorHAnsi" w:hAnsiTheme="majorHAnsi" w:cstheme="majorHAnsi"/>
        </w:rPr>
      </w:pPr>
      <w:r w:rsidRPr="004B4B33">
        <w:rPr>
          <w:rFonts w:asciiTheme="majorHAnsi" w:hAnsiTheme="majorHAnsi" w:cstheme="majorHAnsi"/>
        </w:rPr>
        <w:t>nevlastní odpovídající bytovou nemovitost či podíl v</w:t>
      </w:r>
      <w:r w:rsidR="000D7449">
        <w:rPr>
          <w:rFonts w:asciiTheme="majorHAnsi" w:hAnsiTheme="majorHAnsi" w:cstheme="majorHAnsi"/>
        </w:rPr>
        <w:t> </w:t>
      </w:r>
      <w:r w:rsidRPr="004B4B33">
        <w:rPr>
          <w:rFonts w:asciiTheme="majorHAnsi" w:hAnsiTheme="majorHAnsi" w:cstheme="majorHAnsi"/>
        </w:rPr>
        <w:t>bytovém družstvu;</w:t>
      </w:r>
    </w:p>
    <w:p w14:paraId="7B7B922A" w14:textId="457331BB" w:rsidR="0042415F" w:rsidRPr="004B4B33" w:rsidRDefault="001D082B">
      <w:pPr>
        <w:numPr>
          <w:ilvl w:val="0"/>
          <w:numId w:val="23"/>
        </w:numPr>
        <w:spacing w:before="0"/>
        <w:jc w:val="both"/>
        <w:rPr>
          <w:rFonts w:asciiTheme="majorHAnsi" w:hAnsiTheme="majorHAnsi" w:cstheme="majorHAnsi"/>
        </w:rPr>
      </w:pPr>
      <w:r w:rsidRPr="004B4B33">
        <w:rPr>
          <w:rFonts w:asciiTheme="majorHAnsi" w:hAnsiTheme="majorHAnsi" w:cstheme="majorHAnsi"/>
        </w:rPr>
        <w:t>nemají dostatečně vysoké příjmy, aby byly schopny si bez podpory zajistit finančně dostupné bydlení odpovídající kvality a</w:t>
      </w:r>
      <w:r w:rsidR="000D7449">
        <w:rPr>
          <w:rFonts w:asciiTheme="majorHAnsi" w:hAnsiTheme="majorHAnsi" w:cstheme="majorHAnsi"/>
        </w:rPr>
        <w:t> </w:t>
      </w:r>
      <w:r w:rsidRPr="004B4B33">
        <w:rPr>
          <w:rFonts w:asciiTheme="majorHAnsi" w:hAnsiTheme="majorHAnsi" w:cstheme="majorHAnsi"/>
        </w:rPr>
        <w:t>velikosti na volném trhu (tj. nedosáhnou na nájemné, které nepřekračuje 30 % jejich disponibilních měsíčních příjmů);</w:t>
      </w:r>
    </w:p>
    <w:p w14:paraId="667C95B0" w14:textId="3BCD64AC" w:rsidR="0042415F" w:rsidRPr="004B4B33" w:rsidRDefault="001D082B">
      <w:pPr>
        <w:jc w:val="both"/>
        <w:rPr>
          <w:rFonts w:asciiTheme="majorHAnsi" w:hAnsiTheme="majorHAnsi" w:cstheme="majorHAnsi"/>
        </w:rPr>
      </w:pPr>
      <w:r w:rsidRPr="004B4B33">
        <w:rPr>
          <w:rFonts w:asciiTheme="majorHAnsi" w:hAnsiTheme="majorHAnsi" w:cstheme="majorHAnsi"/>
        </w:rPr>
        <w:t>Na základě statistických dat Českého statistického úřadu o</w:t>
      </w:r>
      <w:r w:rsidR="000D7449">
        <w:rPr>
          <w:rFonts w:asciiTheme="majorHAnsi" w:hAnsiTheme="majorHAnsi" w:cstheme="majorHAnsi"/>
        </w:rPr>
        <w:t> </w:t>
      </w:r>
      <w:r w:rsidRPr="004B4B33">
        <w:rPr>
          <w:rFonts w:asciiTheme="majorHAnsi" w:hAnsiTheme="majorHAnsi" w:cstheme="majorHAnsi"/>
        </w:rPr>
        <w:t>příjmech domácností, dat o</w:t>
      </w:r>
      <w:r w:rsidR="000D7449">
        <w:rPr>
          <w:rFonts w:asciiTheme="majorHAnsi" w:hAnsiTheme="majorHAnsi" w:cstheme="majorHAnsi"/>
        </w:rPr>
        <w:t> </w:t>
      </w:r>
      <w:r w:rsidRPr="004B4B33">
        <w:rPr>
          <w:rFonts w:asciiTheme="majorHAnsi" w:hAnsiTheme="majorHAnsi" w:cstheme="majorHAnsi"/>
        </w:rPr>
        <w:t>průměrných cenách nájemného a</w:t>
      </w:r>
      <w:r w:rsidR="000D7449">
        <w:rPr>
          <w:rFonts w:asciiTheme="majorHAnsi" w:hAnsiTheme="majorHAnsi" w:cstheme="majorHAnsi"/>
        </w:rPr>
        <w:t> </w:t>
      </w:r>
      <w:r w:rsidRPr="004B4B33">
        <w:rPr>
          <w:rFonts w:asciiTheme="majorHAnsi" w:hAnsiTheme="majorHAnsi" w:cstheme="majorHAnsi"/>
        </w:rPr>
        <w:t>vlastního výpočtu je odhadováno, že cílová skupina dosahuje k</w:t>
      </w:r>
      <w:r w:rsidR="000D7449">
        <w:rPr>
          <w:rFonts w:asciiTheme="majorHAnsi" w:hAnsiTheme="majorHAnsi" w:cstheme="majorHAnsi"/>
        </w:rPr>
        <w:t> </w:t>
      </w:r>
      <w:r w:rsidRPr="004B4B33">
        <w:rPr>
          <w:rFonts w:asciiTheme="majorHAnsi" w:hAnsiTheme="majorHAnsi" w:cstheme="majorHAnsi"/>
        </w:rPr>
        <w:t>prosinci 2022 velikosti cca 726 tisíc domácností a</w:t>
      </w:r>
      <w:r w:rsidR="000D7449">
        <w:rPr>
          <w:rFonts w:asciiTheme="majorHAnsi" w:hAnsiTheme="majorHAnsi" w:cstheme="majorHAnsi"/>
        </w:rPr>
        <w:t> </w:t>
      </w:r>
      <w:r w:rsidRPr="004B4B33">
        <w:rPr>
          <w:rFonts w:asciiTheme="majorHAnsi" w:hAnsiTheme="majorHAnsi" w:cstheme="majorHAnsi"/>
        </w:rPr>
        <w:t>1,7 milionu osob. Jedná se o</w:t>
      </w:r>
      <w:r w:rsidR="000D7449">
        <w:rPr>
          <w:rFonts w:asciiTheme="majorHAnsi" w:hAnsiTheme="majorHAnsi" w:cstheme="majorHAnsi"/>
        </w:rPr>
        <w:t> </w:t>
      </w:r>
      <w:r w:rsidRPr="004B4B33">
        <w:rPr>
          <w:rFonts w:asciiTheme="majorHAnsi" w:hAnsiTheme="majorHAnsi" w:cstheme="majorHAnsi"/>
        </w:rPr>
        <w:t>domácnosti z</w:t>
      </w:r>
      <w:r w:rsidR="000D7449">
        <w:rPr>
          <w:rFonts w:asciiTheme="majorHAnsi" w:hAnsiTheme="majorHAnsi" w:cstheme="majorHAnsi"/>
        </w:rPr>
        <w:t> </w:t>
      </w:r>
      <w:r w:rsidRPr="004B4B33">
        <w:rPr>
          <w:rFonts w:asciiTheme="majorHAnsi" w:hAnsiTheme="majorHAnsi" w:cstheme="majorHAnsi"/>
        </w:rPr>
        <w:t>1. až 8. decilu dle příjmového rozdělení, které nevlastní nemovitost určenou k</w:t>
      </w:r>
      <w:r w:rsidR="000D7449">
        <w:rPr>
          <w:rFonts w:asciiTheme="majorHAnsi" w:hAnsiTheme="majorHAnsi" w:cstheme="majorHAnsi"/>
        </w:rPr>
        <w:t> </w:t>
      </w:r>
      <w:r w:rsidRPr="004B4B33">
        <w:rPr>
          <w:rFonts w:asciiTheme="majorHAnsi" w:hAnsiTheme="majorHAnsi" w:cstheme="majorHAnsi"/>
        </w:rPr>
        <w:t>bydlení, a</w:t>
      </w:r>
      <w:r w:rsidR="000D7449">
        <w:rPr>
          <w:rFonts w:asciiTheme="majorHAnsi" w:hAnsiTheme="majorHAnsi" w:cstheme="majorHAnsi"/>
        </w:rPr>
        <w:t> </w:t>
      </w:r>
      <w:r w:rsidRPr="004B4B33">
        <w:rPr>
          <w:rFonts w:asciiTheme="majorHAnsi" w:hAnsiTheme="majorHAnsi" w:cstheme="majorHAnsi"/>
        </w:rPr>
        <w:t>jejichž celkové čisté měsíční příjmy nedostačují k</w:t>
      </w:r>
      <w:r w:rsidR="000D7449">
        <w:rPr>
          <w:rFonts w:asciiTheme="majorHAnsi" w:hAnsiTheme="majorHAnsi" w:cstheme="majorHAnsi"/>
        </w:rPr>
        <w:t> </w:t>
      </w:r>
      <w:r w:rsidRPr="004B4B33">
        <w:rPr>
          <w:rFonts w:asciiTheme="majorHAnsi" w:hAnsiTheme="majorHAnsi" w:cstheme="majorHAnsi"/>
        </w:rPr>
        <w:t>zaplacení průměrného nájemného za byt o</w:t>
      </w:r>
      <w:r w:rsidR="000D7449">
        <w:rPr>
          <w:rFonts w:asciiTheme="majorHAnsi" w:hAnsiTheme="majorHAnsi" w:cstheme="majorHAnsi"/>
        </w:rPr>
        <w:t> </w:t>
      </w:r>
      <w:r w:rsidRPr="004B4B33">
        <w:rPr>
          <w:rFonts w:asciiTheme="majorHAnsi" w:hAnsiTheme="majorHAnsi" w:cstheme="majorHAnsi"/>
        </w:rPr>
        <w:t>výměře 65 m2 (ve 4Q 2023 se jednalo o</w:t>
      </w:r>
      <w:r w:rsidR="000D7449">
        <w:rPr>
          <w:rFonts w:asciiTheme="majorHAnsi" w:hAnsiTheme="majorHAnsi" w:cstheme="majorHAnsi"/>
        </w:rPr>
        <w:t> </w:t>
      </w:r>
      <w:r w:rsidRPr="004B4B33">
        <w:rPr>
          <w:rFonts w:asciiTheme="majorHAnsi" w:hAnsiTheme="majorHAnsi" w:cstheme="majorHAnsi"/>
        </w:rPr>
        <w:t>17 745</w:t>
      </w:r>
      <w:r w:rsidRPr="004B4B33">
        <w:rPr>
          <w:rFonts w:asciiTheme="majorHAnsi" w:hAnsiTheme="majorHAnsi" w:cstheme="majorHAnsi"/>
        </w:rPr>
        <w:t>‬ Kč), aniž by zároveň nevydali více než 30 % svých příjmů.</w:t>
      </w:r>
    </w:p>
    <w:p w14:paraId="3F11F791" w14:textId="734642F4" w:rsidR="0042415F" w:rsidRPr="004B4B33" w:rsidRDefault="001D082B">
      <w:pPr>
        <w:jc w:val="both"/>
        <w:rPr>
          <w:rFonts w:asciiTheme="majorHAnsi" w:hAnsiTheme="majorHAnsi" w:cstheme="majorHAnsi"/>
        </w:rPr>
      </w:pPr>
      <w:r w:rsidRPr="004B4B33">
        <w:rPr>
          <w:rFonts w:asciiTheme="majorHAnsi" w:hAnsiTheme="majorHAnsi" w:cstheme="majorHAnsi"/>
        </w:rPr>
        <w:lastRenderedPageBreak/>
        <w:t>Další cílovou skupinou jsou osoby vykonávající profese důležité pro provoz a</w:t>
      </w:r>
      <w:r w:rsidR="000D7449">
        <w:rPr>
          <w:rFonts w:asciiTheme="majorHAnsi" w:hAnsiTheme="majorHAnsi" w:cstheme="majorHAnsi"/>
        </w:rPr>
        <w:t> </w:t>
      </w:r>
      <w:r w:rsidRPr="004B4B33">
        <w:rPr>
          <w:rFonts w:asciiTheme="majorHAnsi" w:hAnsiTheme="majorHAnsi" w:cstheme="majorHAnsi"/>
        </w:rPr>
        <w:t>rozvoj měst a</w:t>
      </w:r>
      <w:r w:rsidR="000D7449">
        <w:rPr>
          <w:rFonts w:asciiTheme="majorHAnsi" w:hAnsiTheme="majorHAnsi" w:cstheme="majorHAnsi"/>
        </w:rPr>
        <w:t> </w:t>
      </w:r>
      <w:r w:rsidRPr="004B4B33">
        <w:rPr>
          <w:rFonts w:asciiTheme="majorHAnsi" w:hAnsiTheme="majorHAnsi" w:cstheme="majorHAnsi"/>
        </w:rPr>
        <w:t>obcí. Tuto skupinu nicméně nelze jednoznačně kvantifikovat z</w:t>
      </w:r>
      <w:r w:rsidR="000D7449">
        <w:rPr>
          <w:rFonts w:asciiTheme="majorHAnsi" w:hAnsiTheme="majorHAnsi" w:cstheme="majorHAnsi"/>
        </w:rPr>
        <w:t> </w:t>
      </w:r>
      <w:r w:rsidRPr="004B4B33">
        <w:rPr>
          <w:rFonts w:asciiTheme="majorHAnsi" w:hAnsiTheme="majorHAnsi" w:cstheme="majorHAnsi"/>
        </w:rPr>
        <w:t>důvodu rozdílných potřeb místních samospráv, a</w:t>
      </w:r>
      <w:r w:rsidR="000D7449">
        <w:rPr>
          <w:rFonts w:asciiTheme="majorHAnsi" w:hAnsiTheme="majorHAnsi" w:cstheme="majorHAnsi"/>
        </w:rPr>
        <w:t> </w:t>
      </w:r>
      <w:r w:rsidRPr="004B4B33">
        <w:rPr>
          <w:rFonts w:asciiTheme="majorHAnsi" w:hAnsiTheme="majorHAnsi" w:cstheme="majorHAnsi"/>
        </w:rPr>
        <w:t>také z</w:t>
      </w:r>
      <w:r w:rsidR="000D7449">
        <w:rPr>
          <w:rFonts w:asciiTheme="majorHAnsi" w:hAnsiTheme="majorHAnsi" w:cstheme="majorHAnsi"/>
        </w:rPr>
        <w:t> </w:t>
      </w:r>
      <w:r w:rsidRPr="004B4B33">
        <w:rPr>
          <w:rFonts w:asciiTheme="majorHAnsi" w:hAnsiTheme="majorHAnsi" w:cstheme="majorHAnsi"/>
        </w:rPr>
        <w:t>důvodu významného překryvu s</w:t>
      </w:r>
      <w:r w:rsidR="000D7449">
        <w:rPr>
          <w:rFonts w:asciiTheme="majorHAnsi" w:hAnsiTheme="majorHAnsi" w:cstheme="majorHAnsi"/>
        </w:rPr>
        <w:t> </w:t>
      </w:r>
      <w:r w:rsidRPr="004B4B33">
        <w:rPr>
          <w:rFonts w:asciiTheme="majorHAnsi" w:hAnsiTheme="majorHAnsi" w:cstheme="majorHAnsi"/>
        </w:rPr>
        <w:t>hlavní cílovou skupinou.</w:t>
      </w:r>
    </w:p>
    <w:p w14:paraId="4485217E" w14:textId="5FF7373F" w:rsidR="0042415F" w:rsidRPr="004B4B33" w:rsidRDefault="001D082B">
      <w:pPr>
        <w:jc w:val="both"/>
        <w:rPr>
          <w:rFonts w:asciiTheme="majorHAnsi" w:hAnsiTheme="majorHAnsi" w:cstheme="majorHAnsi"/>
        </w:rPr>
      </w:pPr>
      <w:r w:rsidRPr="004B4B33">
        <w:rPr>
          <w:rFonts w:asciiTheme="majorHAnsi" w:hAnsiTheme="majorHAnsi" w:cstheme="majorHAnsi"/>
        </w:rPr>
        <w:t>Mezi další ohrožené skupiny patří osoby mladší 35 let, které mají dle dat Sociologického ústavu Akademie věd ČR velmi ztížený vstup na trh s</w:t>
      </w:r>
      <w:r w:rsidR="000D7449">
        <w:rPr>
          <w:rFonts w:asciiTheme="majorHAnsi" w:hAnsiTheme="majorHAnsi" w:cstheme="majorHAnsi"/>
        </w:rPr>
        <w:t> </w:t>
      </w:r>
      <w:r w:rsidRPr="004B4B33">
        <w:rPr>
          <w:rFonts w:asciiTheme="majorHAnsi" w:hAnsiTheme="majorHAnsi" w:cstheme="majorHAnsi"/>
        </w:rPr>
        <w:t>bydlením a</w:t>
      </w:r>
      <w:r w:rsidR="000D7449">
        <w:rPr>
          <w:rFonts w:asciiTheme="majorHAnsi" w:hAnsiTheme="majorHAnsi" w:cstheme="majorHAnsi"/>
        </w:rPr>
        <w:t> </w:t>
      </w:r>
      <w:r w:rsidRPr="004B4B33">
        <w:rPr>
          <w:rFonts w:asciiTheme="majorHAnsi" w:hAnsiTheme="majorHAnsi" w:cstheme="majorHAnsi"/>
        </w:rPr>
        <w:t>také senioři nad 70 let.</w:t>
      </w:r>
    </w:p>
    <w:p w14:paraId="0C59568E" w14:textId="2078B45B" w:rsidR="0042415F" w:rsidRPr="004B4B33" w:rsidRDefault="78F8E056" w:rsidP="4C634DFF">
      <w:pPr>
        <w:jc w:val="both"/>
        <w:rPr>
          <w:rFonts w:asciiTheme="majorHAnsi" w:hAnsiTheme="majorHAnsi" w:cstheme="majorHAnsi"/>
          <w:b/>
          <w:bCs/>
        </w:rPr>
      </w:pPr>
      <w:r w:rsidRPr="004B4B33">
        <w:rPr>
          <w:rFonts w:asciiTheme="majorHAnsi" w:hAnsiTheme="majorHAnsi" w:cstheme="majorHAnsi"/>
        </w:rPr>
        <w:t>V neposlední řadě se jedná o</w:t>
      </w:r>
      <w:r w:rsidR="000D7449">
        <w:rPr>
          <w:rFonts w:asciiTheme="majorHAnsi" w:hAnsiTheme="majorHAnsi" w:cstheme="majorHAnsi"/>
        </w:rPr>
        <w:t> </w:t>
      </w:r>
      <w:r w:rsidRPr="004B4B33">
        <w:rPr>
          <w:rFonts w:asciiTheme="majorHAnsi" w:hAnsiTheme="majorHAnsi" w:cstheme="majorHAnsi"/>
        </w:rPr>
        <w:t>domácnosti v</w:t>
      </w:r>
      <w:r w:rsidR="000D7449">
        <w:rPr>
          <w:rFonts w:asciiTheme="majorHAnsi" w:hAnsiTheme="majorHAnsi" w:cstheme="majorHAnsi"/>
        </w:rPr>
        <w:t> </w:t>
      </w:r>
      <w:r w:rsidRPr="004B4B33">
        <w:rPr>
          <w:rFonts w:asciiTheme="majorHAnsi" w:hAnsiTheme="majorHAnsi" w:cstheme="majorHAnsi"/>
        </w:rPr>
        <w:t>bytové nouzi či vážně ohrožené ztrátou bydlení, na které bude primárně mířit Zákon o</w:t>
      </w:r>
      <w:r w:rsidR="000D7449">
        <w:rPr>
          <w:rFonts w:asciiTheme="majorHAnsi" w:hAnsiTheme="majorHAnsi" w:cstheme="majorHAnsi"/>
        </w:rPr>
        <w:t> </w:t>
      </w:r>
      <w:r w:rsidRPr="004B4B33">
        <w:rPr>
          <w:rFonts w:asciiTheme="majorHAnsi" w:hAnsiTheme="majorHAnsi" w:cstheme="majorHAnsi"/>
        </w:rPr>
        <w:t>podpoře v</w:t>
      </w:r>
      <w:r w:rsidR="000D7449">
        <w:rPr>
          <w:rFonts w:asciiTheme="majorHAnsi" w:hAnsiTheme="majorHAnsi" w:cstheme="majorHAnsi"/>
        </w:rPr>
        <w:t> </w:t>
      </w:r>
      <w:r w:rsidRPr="004B4B33">
        <w:rPr>
          <w:rFonts w:asciiTheme="majorHAnsi" w:hAnsiTheme="majorHAnsi" w:cstheme="majorHAnsi"/>
        </w:rPr>
        <w:t>bydlení. Dle posledních dat MPSV a</w:t>
      </w:r>
      <w:r w:rsidR="000D7449">
        <w:rPr>
          <w:rFonts w:asciiTheme="majorHAnsi" w:hAnsiTheme="majorHAnsi" w:cstheme="majorHAnsi"/>
        </w:rPr>
        <w:t> </w:t>
      </w:r>
      <w:r w:rsidRPr="004B4B33">
        <w:rPr>
          <w:rFonts w:asciiTheme="majorHAnsi" w:hAnsiTheme="majorHAnsi" w:cstheme="majorHAnsi"/>
        </w:rPr>
        <w:t>MMR se jedná o</w:t>
      </w:r>
      <w:r w:rsidR="000D7449">
        <w:rPr>
          <w:rFonts w:asciiTheme="majorHAnsi" w:hAnsiTheme="majorHAnsi" w:cstheme="majorHAnsi"/>
        </w:rPr>
        <w:t> </w:t>
      </w:r>
      <w:r w:rsidRPr="004B4B33">
        <w:rPr>
          <w:rFonts w:asciiTheme="majorHAnsi" w:hAnsiTheme="majorHAnsi" w:cstheme="majorHAnsi"/>
        </w:rPr>
        <w:t>cca 140 tisíc osob v</w:t>
      </w:r>
      <w:r w:rsidR="000D7449">
        <w:rPr>
          <w:rFonts w:asciiTheme="majorHAnsi" w:hAnsiTheme="majorHAnsi" w:cstheme="majorHAnsi"/>
        </w:rPr>
        <w:t> </w:t>
      </w:r>
      <w:r w:rsidRPr="004B4B33">
        <w:rPr>
          <w:rFonts w:asciiTheme="majorHAnsi" w:hAnsiTheme="majorHAnsi" w:cstheme="majorHAnsi"/>
        </w:rPr>
        <w:t>bytové nouzi a</w:t>
      </w:r>
      <w:r w:rsidR="000D7449">
        <w:rPr>
          <w:rFonts w:asciiTheme="majorHAnsi" w:hAnsiTheme="majorHAnsi" w:cstheme="majorHAnsi"/>
        </w:rPr>
        <w:t> </w:t>
      </w:r>
      <w:r w:rsidRPr="004B4B33">
        <w:rPr>
          <w:rFonts w:asciiTheme="majorHAnsi" w:hAnsiTheme="majorHAnsi" w:cstheme="majorHAnsi"/>
        </w:rPr>
        <w:t>celkově cca 1,3 mil. osob ohrožených vč. osob v</w:t>
      </w:r>
      <w:r w:rsidR="000D7449">
        <w:rPr>
          <w:rFonts w:asciiTheme="majorHAnsi" w:hAnsiTheme="majorHAnsi" w:cstheme="majorHAnsi"/>
        </w:rPr>
        <w:t> </w:t>
      </w:r>
      <w:r w:rsidRPr="004B4B33">
        <w:rPr>
          <w:rFonts w:asciiTheme="majorHAnsi" w:hAnsiTheme="majorHAnsi" w:cstheme="majorHAnsi"/>
        </w:rPr>
        <w:t>energetické chudobě. Cílová skupina navrhovaného zákona a</w:t>
      </w:r>
      <w:r w:rsidR="000D7449">
        <w:rPr>
          <w:rFonts w:asciiTheme="majorHAnsi" w:hAnsiTheme="majorHAnsi" w:cstheme="majorHAnsi"/>
        </w:rPr>
        <w:t> </w:t>
      </w:r>
      <w:r w:rsidRPr="004B4B33">
        <w:rPr>
          <w:rFonts w:asciiTheme="majorHAnsi" w:hAnsiTheme="majorHAnsi" w:cstheme="majorHAnsi"/>
        </w:rPr>
        <w:t>širší skupina, která by měla být podpořena investiční částí komponenty se do značné míry překrývají.</w:t>
      </w:r>
    </w:p>
    <w:p w14:paraId="74AFDBB9" w14:textId="1B4CC376" w:rsidR="548F18D8" w:rsidRPr="004B4B33" w:rsidRDefault="548F18D8" w:rsidP="5B41DABB">
      <w:pPr>
        <w:jc w:val="both"/>
        <w:rPr>
          <w:rFonts w:asciiTheme="majorHAnsi" w:hAnsiTheme="majorHAnsi" w:cstheme="majorBidi"/>
        </w:rPr>
      </w:pPr>
    </w:p>
    <w:p w14:paraId="0C4F46C3" w14:textId="27895644" w:rsidR="0042415F" w:rsidRPr="000D7449" w:rsidRDefault="6A39EF3D" w:rsidP="5B41DABB">
      <w:pPr>
        <w:jc w:val="both"/>
        <w:rPr>
          <w:rFonts w:ascii="Calibri" w:eastAsia="Calibri" w:hAnsi="Calibri" w:cs="Calibri"/>
          <w:color w:val="000000" w:themeColor="text1"/>
        </w:rPr>
      </w:pPr>
      <w:r w:rsidRPr="000D7449">
        <w:rPr>
          <w:rFonts w:ascii="Calibri" w:eastAsia="Calibri" w:hAnsi="Calibri" w:cs="Calibri"/>
          <w:color w:val="000000" w:themeColor="text1"/>
        </w:rPr>
        <w:t>Investoři (soukromé a</w:t>
      </w:r>
      <w:r w:rsidR="000D7449" w:rsidRPr="000D7449">
        <w:rPr>
          <w:rFonts w:ascii="Calibri" w:eastAsia="Calibri" w:hAnsi="Calibri" w:cs="Calibri"/>
          <w:color w:val="000000" w:themeColor="text1"/>
        </w:rPr>
        <w:t> </w:t>
      </w:r>
      <w:r w:rsidRPr="000D7449">
        <w:rPr>
          <w:rFonts w:ascii="Calibri" w:eastAsia="Calibri" w:hAnsi="Calibri" w:cs="Calibri"/>
          <w:color w:val="000000" w:themeColor="text1"/>
        </w:rPr>
        <w:t xml:space="preserve">veřejnoprávní právnické osoby) budou mít podmínku, </w:t>
      </w:r>
      <w:r w:rsidRPr="000D7449">
        <w:rPr>
          <w:rFonts w:ascii="Calibri" w:eastAsia="Calibri" w:hAnsi="Calibri" w:cs="Calibri"/>
          <w:b/>
          <w:bCs/>
          <w:color w:val="000000" w:themeColor="text1"/>
        </w:rPr>
        <w:t>aby nájemné bylo stanoveno jako nákladové a</w:t>
      </w:r>
      <w:r w:rsidR="000D7449" w:rsidRPr="000D7449">
        <w:rPr>
          <w:rFonts w:ascii="Calibri" w:eastAsia="Calibri" w:hAnsi="Calibri" w:cs="Calibri"/>
          <w:b/>
          <w:bCs/>
          <w:color w:val="000000" w:themeColor="text1"/>
        </w:rPr>
        <w:t> </w:t>
      </w:r>
      <w:r w:rsidRPr="000D7449">
        <w:rPr>
          <w:rFonts w:ascii="Calibri" w:eastAsia="Calibri" w:hAnsi="Calibri" w:cs="Calibri"/>
          <w:b/>
          <w:bCs/>
          <w:color w:val="000000" w:themeColor="text1"/>
        </w:rPr>
        <w:t>díky energeticky úsporným technologiím</w:t>
      </w:r>
      <w:r w:rsidR="000D7449" w:rsidRPr="000D7449">
        <w:rPr>
          <w:rFonts w:ascii="Calibri" w:eastAsia="Calibri" w:hAnsi="Calibri" w:cs="Calibri"/>
          <w:b/>
          <w:bCs/>
          <w:color w:val="000000" w:themeColor="text1"/>
        </w:rPr>
        <w:t xml:space="preserve"> </w:t>
      </w:r>
      <w:r w:rsidRPr="000D7449">
        <w:rPr>
          <w:rFonts w:ascii="Calibri" w:eastAsia="Calibri" w:hAnsi="Calibri" w:cs="Calibri"/>
          <w:b/>
          <w:bCs/>
          <w:color w:val="000000" w:themeColor="text1"/>
        </w:rPr>
        <w:t>byly pro nájemníky náklady na bydlení</w:t>
      </w:r>
      <w:r w:rsidR="000D7449" w:rsidRPr="000D7449">
        <w:rPr>
          <w:rFonts w:ascii="Calibri" w:eastAsia="Calibri" w:hAnsi="Calibri" w:cs="Calibri"/>
          <w:b/>
          <w:bCs/>
          <w:color w:val="000000" w:themeColor="text1"/>
        </w:rPr>
        <w:t xml:space="preserve"> </w:t>
      </w:r>
      <w:r w:rsidRPr="000D7449">
        <w:rPr>
          <w:rFonts w:ascii="Calibri" w:eastAsia="Calibri" w:hAnsi="Calibri" w:cs="Calibri"/>
          <w:b/>
          <w:bCs/>
          <w:color w:val="000000" w:themeColor="text1"/>
        </w:rPr>
        <w:t>v</w:t>
      </w:r>
      <w:r w:rsidR="000D7449" w:rsidRPr="000D7449">
        <w:rPr>
          <w:rFonts w:ascii="Calibri" w:eastAsia="Calibri" w:hAnsi="Calibri" w:cs="Calibri"/>
          <w:b/>
          <w:bCs/>
          <w:color w:val="000000" w:themeColor="text1"/>
        </w:rPr>
        <w:t> </w:t>
      </w:r>
      <w:r w:rsidRPr="000D7449">
        <w:rPr>
          <w:rFonts w:ascii="Calibri" w:eastAsia="Calibri" w:hAnsi="Calibri" w:cs="Calibri"/>
          <w:b/>
          <w:bCs/>
          <w:color w:val="000000" w:themeColor="text1"/>
        </w:rPr>
        <w:t>součtu nižší než jsou tržní ceny nájemného a</w:t>
      </w:r>
      <w:r w:rsidR="000D7449" w:rsidRPr="000D7449">
        <w:rPr>
          <w:rFonts w:ascii="Calibri" w:eastAsia="Calibri" w:hAnsi="Calibri" w:cs="Calibri"/>
          <w:b/>
          <w:bCs/>
          <w:color w:val="000000" w:themeColor="text1"/>
        </w:rPr>
        <w:t> </w:t>
      </w:r>
      <w:r w:rsidRPr="000D7449">
        <w:rPr>
          <w:rFonts w:ascii="Calibri" w:eastAsia="Calibri" w:hAnsi="Calibri" w:cs="Calibri"/>
          <w:b/>
          <w:bCs/>
          <w:color w:val="000000" w:themeColor="text1"/>
        </w:rPr>
        <w:t>náklady na energie v</w:t>
      </w:r>
      <w:r w:rsidR="000D7449" w:rsidRPr="000D7449">
        <w:rPr>
          <w:rFonts w:ascii="Calibri" w:eastAsia="Calibri" w:hAnsi="Calibri" w:cs="Calibri"/>
          <w:b/>
          <w:bCs/>
          <w:color w:val="000000" w:themeColor="text1"/>
        </w:rPr>
        <w:t> </w:t>
      </w:r>
      <w:r w:rsidRPr="000D7449">
        <w:rPr>
          <w:rFonts w:ascii="Calibri" w:eastAsia="Calibri" w:hAnsi="Calibri" w:cs="Calibri"/>
          <w:b/>
          <w:bCs/>
          <w:color w:val="000000" w:themeColor="text1"/>
        </w:rPr>
        <w:t xml:space="preserve">dané obci. </w:t>
      </w:r>
      <w:r w:rsidRPr="000D7449">
        <w:rPr>
          <w:rFonts w:ascii="Calibri" w:eastAsia="Calibri" w:hAnsi="Calibri" w:cs="Calibri"/>
          <w:color w:val="000000" w:themeColor="text1"/>
        </w:rPr>
        <w:t>Zvyšování cen nájemného v</w:t>
      </w:r>
      <w:r w:rsidR="000D7449" w:rsidRPr="000D7449">
        <w:rPr>
          <w:rFonts w:ascii="Calibri" w:eastAsia="Calibri" w:hAnsi="Calibri" w:cs="Calibri"/>
          <w:color w:val="000000" w:themeColor="text1"/>
        </w:rPr>
        <w:t> </w:t>
      </w:r>
      <w:r w:rsidRPr="000D7449">
        <w:rPr>
          <w:rFonts w:ascii="Calibri" w:eastAsia="Calibri" w:hAnsi="Calibri" w:cs="Calibri"/>
          <w:color w:val="000000" w:themeColor="text1"/>
        </w:rPr>
        <w:t>podpořených bytech bude navíc limitováno dle relevantního růstu nákladů, tedy výrazně pomaleji než průměrný růst cen nájemného v</w:t>
      </w:r>
      <w:r w:rsidR="000D7449" w:rsidRPr="000D7449">
        <w:rPr>
          <w:rFonts w:ascii="Calibri" w:eastAsia="Calibri" w:hAnsi="Calibri" w:cs="Calibri"/>
          <w:color w:val="000000" w:themeColor="text1"/>
        </w:rPr>
        <w:t> </w:t>
      </w:r>
      <w:r w:rsidRPr="000D7449">
        <w:rPr>
          <w:rFonts w:ascii="Calibri" w:eastAsia="Calibri" w:hAnsi="Calibri" w:cs="Calibri"/>
          <w:color w:val="000000" w:themeColor="text1"/>
        </w:rPr>
        <w:t>ČR. Souběh těchto 3 podmínek (nákladové + nízká spotřeba</w:t>
      </w:r>
      <w:r w:rsidR="000D7449" w:rsidRPr="000D7449">
        <w:rPr>
          <w:rFonts w:ascii="Calibri" w:eastAsia="Calibri" w:hAnsi="Calibri" w:cs="Calibri"/>
          <w:color w:val="000000" w:themeColor="text1"/>
        </w:rPr>
        <w:t xml:space="preserve"> </w:t>
      </w:r>
      <w:r w:rsidRPr="000D7449">
        <w:rPr>
          <w:rFonts w:ascii="Calibri" w:eastAsia="Calibri" w:hAnsi="Calibri" w:cs="Calibri"/>
          <w:color w:val="000000" w:themeColor="text1"/>
        </w:rPr>
        <w:t>energií + limit na růst nájmů) bude v</w:t>
      </w:r>
      <w:r w:rsidR="000D7449" w:rsidRPr="000D7449">
        <w:rPr>
          <w:rFonts w:ascii="Calibri" w:eastAsia="Calibri" w:hAnsi="Calibri" w:cs="Calibri"/>
          <w:color w:val="000000" w:themeColor="text1"/>
        </w:rPr>
        <w:t> </w:t>
      </w:r>
      <w:r w:rsidRPr="000D7449">
        <w:rPr>
          <w:rFonts w:ascii="Calibri" w:eastAsia="Calibri" w:hAnsi="Calibri" w:cs="Calibri"/>
          <w:color w:val="000000" w:themeColor="text1"/>
        </w:rPr>
        <w:t>souhrnu znamenat</w:t>
      </w:r>
      <w:r w:rsidR="000D7449" w:rsidRPr="000D7449">
        <w:rPr>
          <w:rFonts w:ascii="Calibri" w:eastAsia="Calibri" w:hAnsi="Calibri" w:cs="Calibri"/>
          <w:color w:val="000000" w:themeColor="text1"/>
        </w:rPr>
        <w:t xml:space="preserve"> </w:t>
      </w:r>
      <w:r w:rsidRPr="000D7449">
        <w:rPr>
          <w:rFonts w:ascii="Calibri" w:eastAsia="Calibri" w:hAnsi="Calibri" w:cs="Calibri"/>
          <w:color w:val="000000" w:themeColor="text1"/>
        </w:rPr>
        <w:t>dostupnější nájemní bydlení</w:t>
      </w:r>
      <w:r w:rsidR="000D7449" w:rsidRPr="000D7449">
        <w:rPr>
          <w:rFonts w:ascii="Calibri" w:eastAsia="Calibri" w:hAnsi="Calibri" w:cs="Calibri"/>
          <w:color w:val="000000" w:themeColor="text1"/>
        </w:rPr>
        <w:t xml:space="preserve"> </w:t>
      </w:r>
      <w:r w:rsidRPr="000D7449">
        <w:rPr>
          <w:rFonts w:ascii="Calibri" w:eastAsia="Calibri" w:hAnsi="Calibri" w:cs="Calibri"/>
          <w:color w:val="000000" w:themeColor="text1"/>
        </w:rPr>
        <w:t>než tržní nájemní bydlení.</w:t>
      </w:r>
    </w:p>
    <w:p w14:paraId="34EFAED9" w14:textId="6E5CF1CF" w:rsidR="0042415F" w:rsidRPr="004B4B33" w:rsidRDefault="001D082B" w:rsidP="5B41DABB">
      <w:pPr>
        <w:spacing w:before="300" w:after="300"/>
        <w:jc w:val="both"/>
        <w:rPr>
          <w:rFonts w:asciiTheme="majorHAnsi" w:hAnsiTheme="majorHAnsi" w:cstheme="majorBidi"/>
          <w:b/>
          <w:bCs/>
        </w:rPr>
      </w:pPr>
      <w:r w:rsidRPr="5B41DABB">
        <w:rPr>
          <w:rFonts w:asciiTheme="majorHAnsi" w:hAnsiTheme="majorHAnsi" w:cstheme="majorBidi"/>
          <w:b/>
          <w:bCs/>
        </w:rPr>
        <w:t>Poptávka po investicích do dostupného bydlení a</w:t>
      </w:r>
      <w:r w:rsidR="000D7449">
        <w:rPr>
          <w:rFonts w:asciiTheme="majorHAnsi" w:hAnsiTheme="majorHAnsi" w:cstheme="majorBidi"/>
          <w:b/>
          <w:bCs/>
        </w:rPr>
        <w:t> </w:t>
      </w:r>
      <w:r w:rsidRPr="5B41DABB">
        <w:rPr>
          <w:rFonts w:asciiTheme="majorHAnsi" w:hAnsiTheme="majorHAnsi" w:cstheme="majorBidi"/>
          <w:b/>
          <w:bCs/>
        </w:rPr>
        <w:t>absorpční kapacita</w:t>
      </w:r>
    </w:p>
    <w:p w14:paraId="0710D017" w14:textId="0909DA93" w:rsidR="0042415F" w:rsidRPr="004B4B33" w:rsidRDefault="001D082B">
      <w:pPr>
        <w:spacing w:before="0" w:after="240"/>
        <w:jc w:val="both"/>
        <w:rPr>
          <w:rFonts w:asciiTheme="majorHAnsi" w:hAnsiTheme="majorHAnsi" w:cstheme="majorHAnsi"/>
        </w:rPr>
      </w:pPr>
      <w:r w:rsidRPr="004B4B33">
        <w:rPr>
          <w:rFonts w:asciiTheme="majorHAnsi" w:hAnsiTheme="majorHAnsi" w:cstheme="majorHAnsi"/>
        </w:rPr>
        <w:t>Z veškerých veřejně dostupných analýz a</w:t>
      </w:r>
      <w:r w:rsidR="000D7449">
        <w:rPr>
          <w:rFonts w:asciiTheme="majorHAnsi" w:hAnsiTheme="majorHAnsi" w:cstheme="majorHAnsi"/>
        </w:rPr>
        <w:t> </w:t>
      </w:r>
      <w:r w:rsidRPr="004B4B33">
        <w:rPr>
          <w:rFonts w:asciiTheme="majorHAnsi" w:hAnsiTheme="majorHAnsi" w:cstheme="majorHAnsi"/>
        </w:rPr>
        <w:t xml:space="preserve">proprietárních výzkumných šetření MMR jednoznačně vyplývá, že poptávka po dostupném nájemním bydlení je systémově neuspokojená. Dlouhodobý kumulovaný problém selhání trhu </w:t>
      </w:r>
      <w:r w:rsidR="000D7449" w:rsidRPr="004B4B33">
        <w:rPr>
          <w:rFonts w:asciiTheme="majorHAnsi" w:hAnsiTheme="majorHAnsi" w:cstheme="majorHAnsi"/>
        </w:rPr>
        <w:t>s</w:t>
      </w:r>
      <w:r w:rsidR="000D7449">
        <w:rPr>
          <w:rFonts w:asciiTheme="majorHAnsi" w:hAnsiTheme="majorHAnsi" w:cstheme="majorHAnsi"/>
        </w:rPr>
        <w:t> </w:t>
      </w:r>
      <w:r w:rsidR="000D7449" w:rsidRPr="004B4B33">
        <w:rPr>
          <w:rFonts w:asciiTheme="majorHAnsi" w:hAnsiTheme="majorHAnsi" w:cstheme="majorHAnsi"/>
        </w:rPr>
        <w:t>bydlením</w:t>
      </w:r>
      <w:r w:rsidRPr="004B4B33">
        <w:rPr>
          <w:rFonts w:asciiTheme="majorHAnsi" w:hAnsiTheme="majorHAnsi" w:cstheme="majorHAnsi"/>
        </w:rPr>
        <w:t xml:space="preserve"> se dále vyhrocuje vlivem energetické krize a</w:t>
      </w:r>
      <w:r w:rsidR="000D7449">
        <w:rPr>
          <w:rFonts w:asciiTheme="majorHAnsi" w:hAnsiTheme="majorHAnsi" w:cstheme="majorHAnsi"/>
        </w:rPr>
        <w:t> </w:t>
      </w:r>
      <w:r w:rsidRPr="004B4B33">
        <w:rPr>
          <w:rFonts w:asciiTheme="majorHAnsi" w:hAnsiTheme="majorHAnsi" w:cstheme="majorHAnsi"/>
        </w:rPr>
        <w:t>růstem životních nákladů.</w:t>
      </w:r>
    </w:p>
    <w:p w14:paraId="6E0D476D" w14:textId="303F6F89" w:rsidR="0042415F" w:rsidRPr="004B4B33" w:rsidRDefault="001D082B">
      <w:pPr>
        <w:spacing w:before="0" w:after="240"/>
        <w:jc w:val="both"/>
        <w:rPr>
          <w:rFonts w:asciiTheme="majorHAnsi" w:hAnsiTheme="majorHAnsi" w:cstheme="majorHAnsi"/>
        </w:rPr>
      </w:pPr>
      <w:r w:rsidRPr="004B4B33">
        <w:rPr>
          <w:rFonts w:asciiTheme="majorHAnsi" w:hAnsiTheme="majorHAnsi" w:cstheme="majorHAnsi"/>
        </w:rPr>
        <w:t>Pro měření reálné poptávky a</w:t>
      </w:r>
      <w:r w:rsidR="000D7449">
        <w:rPr>
          <w:rFonts w:asciiTheme="majorHAnsi" w:hAnsiTheme="majorHAnsi" w:cstheme="majorHAnsi"/>
        </w:rPr>
        <w:t> </w:t>
      </w:r>
      <w:r w:rsidRPr="004B4B33">
        <w:rPr>
          <w:rFonts w:asciiTheme="majorHAnsi" w:hAnsiTheme="majorHAnsi" w:cstheme="majorHAnsi"/>
        </w:rPr>
        <w:t>odborný odhad byly použity údaje z</w:t>
      </w:r>
      <w:r w:rsidR="000D7449">
        <w:rPr>
          <w:rFonts w:asciiTheme="majorHAnsi" w:hAnsiTheme="majorHAnsi" w:cstheme="majorHAnsi"/>
        </w:rPr>
        <w:t> </w:t>
      </w:r>
      <w:r w:rsidRPr="004B4B33">
        <w:rPr>
          <w:rFonts w:asciiTheme="majorHAnsi" w:hAnsiTheme="majorHAnsi" w:cstheme="majorHAnsi"/>
        </w:rPr>
        <w:t>hlavního města i</w:t>
      </w:r>
      <w:r w:rsidR="000D7449">
        <w:rPr>
          <w:rFonts w:asciiTheme="majorHAnsi" w:hAnsiTheme="majorHAnsi" w:cstheme="majorHAnsi"/>
        </w:rPr>
        <w:t> </w:t>
      </w:r>
      <w:r w:rsidRPr="004B4B33">
        <w:rPr>
          <w:rFonts w:asciiTheme="majorHAnsi" w:hAnsiTheme="majorHAnsi" w:cstheme="majorHAnsi"/>
        </w:rPr>
        <w:t>menších lokalit. Byl analyzován Akční plán rozvoje bydlení v</w:t>
      </w:r>
      <w:r w:rsidR="000D7449">
        <w:rPr>
          <w:rFonts w:asciiTheme="majorHAnsi" w:hAnsiTheme="majorHAnsi" w:cstheme="majorHAnsi"/>
        </w:rPr>
        <w:t> </w:t>
      </w:r>
      <w:r w:rsidRPr="004B4B33">
        <w:rPr>
          <w:rFonts w:asciiTheme="majorHAnsi" w:hAnsiTheme="majorHAnsi" w:cstheme="majorHAnsi"/>
        </w:rPr>
        <w:t>hl. m. Praze do roku 2025 ze srpna 2022 a</w:t>
      </w:r>
      <w:r w:rsidR="000D7449">
        <w:rPr>
          <w:rFonts w:asciiTheme="majorHAnsi" w:hAnsiTheme="majorHAnsi" w:cstheme="majorHAnsi"/>
        </w:rPr>
        <w:t> </w:t>
      </w:r>
      <w:r w:rsidRPr="004B4B33">
        <w:rPr>
          <w:rFonts w:asciiTheme="majorHAnsi" w:hAnsiTheme="majorHAnsi" w:cstheme="majorHAnsi"/>
        </w:rPr>
        <w:t>Analýza strategických pozic na území hl. m. Prahy ze září 2022. Významným nástrojem pro monitorování aktuální projektové rozpracovanosti v</w:t>
      </w:r>
      <w:r w:rsidR="000D7449">
        <w:rPr>
          <w:rFonts w:asciiTheme="majorHAnsi" w:hAnsiTheme="majorHAnsi" w:cstheme="majorHAnsi"/>
        </w:rPr>
        <w:t> </w:t>
      </w:r>
      <w:r w:rsidRPr="004B4B33">
        <w:rPr>
          <w:rFonts w:asciiTheme="majorHAnsi" w:hAnsiTheme="majorHAnsi" w:cstheme="majorHAnsi"/>
        </w:rPr>
        <w:t>regionech a</w:t>
      </w:r>
      <w:r w:rsidR="000D7449">
        <w:rPr>
          <w:rFonts w:asciiTheme="majorHAnsi" w:hAnsiTheme="majorHAnsi" w:cstheme="majorHAnsi"/>
        </w:rPr>
        <w:t> </w:t>
      </w:r>
      <w:r w:rsidRPr="004B4B33">
        <w:rPr>
          <w:rFonts w:asciiTheme="majorHAnsi" w:hAnsiTheme="majorHAnsi" w:cstheme="majorHAnsi"/>
        </w:rPr>
        <w:t>menších obcích a</w:t>
      </w:r>
      <w:r w:rsidR="000D7449">
        <w:rPr>
          <w:rFonts w:asciiTheme="majorHAnsi" w:hAnsiTheme="majorHAnsi" w:cstheme="majorHAnsi"/>
        </w:rPr>
        <w:t> </w:t>
      </w:r>
      <w:r w:rsidRPr="004B4B33">
        <w:rPr>
          <w:rFonts w:asciiTheme="majorHAnsi" w:hAnsiTheme="majorHAnsi" w:cstheme="majorHAnsi"/>
        </w:rPr>
        <w:t>městech do 20 000 obyvatel je Integrovaný systém projektové zajištěnosti IPSZ MMR. Zároveň MMR ve spolupráci se Svazem měst a</w:t>
      </w:r>
      <w:r w:rsidR="000D7449">
        <w:rPr>
          <w:rFonts w:asciiTheme="majorHAnsi" w:hAnsiTheme="majorHAnsi" w:cstheme="majorHAnsi"/>
        </w:rPr>
        <w:t> </w:t>
      </w:r>
      <w:r w:rsidRPr="004B4B33">
        <w:rPr>
          <w:rFonts w:asciiTheme="majorHAnsi" w:hAnsiTheme="majorHAnsi" w:cstheme="majorHAnsi"/>
        </w:rPr>
        <w:t>obcí realizovala rozsáhlý průzkum trhu s</w:t>
      </w:r>
      <w:r w:rsidR="000D7449">
        <w:rPr>
          <w:rFonts w:asciiTheme="majorHAnsi" w:hAnsiTheme="majorHAnsi" w:cstheme="majorHAnsi"/>
        </w:rPr>
        <w:t> </w:t>
      </w:r>
      <w:r w:rsidRPr="004B4B33">
        <w:rPr>
          <w:rFonts w:asciiTheme="majorHAnsi" w:hAnsiTheme="majorHAnsi" w:cstheme="majorHAnsi"/>
        </w:rPr>
        <w:t>bydlením a</w:t>
      </w:r>
      <w:r w:rsidR="000D7449">
        <w:rPr>
          <w:rFonts w:asciiTheme="majorHAnsi" w:hAnsiTheme="majorHAnsi" w:cstheme="majorHAnsi"/>
        </w:rPr>
        <w:t> </w:t>
      </w:r>
      <w:r w:rsidRPr="004B4B33">
        <w:rPr>
          <w:rFonts w:asciiTheme="majorHAnsi" w:hAnsiTheme="majorHAnsi" w:cstheme="majorHAnsi"/>
        </w:rPr>
        <w:t>investiční poptávky, do kterého bylo zapojeno 230 měst a</w:t>
      </w:r>
      <w:r w:rsidR="000D7449">
        <w:rPr>
          <w:rFonts w:asciiTheme="majorHAnsi" w:hAnsiTheme="majorHAnsi" w:cstheme="majorHAnsi"/>
        </w:rPr>
        <w:t> </w:t>
      </w:r>
      <w:r w:rsidRPr="004B4B33">
        <w:rPr>
          <w:rFonts w:asciiTheme="majorHAnsi" w:hAnsiTheme="majorHAnsi" w:cstheme="majorHAnsi"/>
        </w:rPr>
        <w:t>obcí všech velikostí a</w:t>
      </w:r>
      <w:r w:rsidR="000D7449">
        <w:rPr>
          <w:rFonts w:asciiTheme="majorHAnsi" w:hAnsiTheme="majorHAnsi" w:cstheme="majorHAnsi"/>
        </w:rPr>
        <w:t> </w:t>
      </w:r>
      <w:r w:rsidRPr="004B4B33">
        <w:rPr>
          <w:rFonts w:asciiTheme="majorHAnsi" w:hAnsiTheme="majorHAnsi" w:cstheme="majorHAnsi"/>
        </w:rPr>
        <w:t>regionů. Na tento průzkum navázal kvalitativní průzkum reálné projektové připravenosti formou polostrukturovaných rozhovorů se starosty náhodného vzorku 43 měst a</w:t>
      </w:r>
      <w:r w:rsidR="000D7449">
        <w:rPr>
          <w:rFonts w:asciiTheme="majorHAnsi" w:hAnsiTheme="majorHAnsi" w:cstheme="majorHAnsi"/>
        </w:rPr>
        <w:t> </w:t>
      </w:r>
      <w:r w:rsidRPr="004B4B33">
        <w:rPr>
          <w:rFonts w:asciiTheme="majorHAnsi" w:hAnsiTheme="majorHAnsi" w:cstheme="majorHAnsi"/>
        </w:rPr>
        <w:t>obcí po celé České republice, který realizoval profesionální výzkumný a</w:t>
      </w:r>
      <w:r w:rsidR="000D7449">
        <w:rPr>
          <w:rFonts w:asciiTheme="majorHAnsi" w:hAnsiTheme="majorHAnsi" w:cstheme="majorHAnsi"/>
        </w:rPr>
        <w:t> </w:t>
      </w:r>
      <w:r w:rsidRPr="004B4B33">
        <w:rPr>
          <w:rFonts w:asciiTheme="majorHAnsi" w:hAnsiTheme="majorHAnsi" w:cstheme="majorHAnsi"/>
        </w:rPr>
        <w:t>konzultační tým Agentury pro sociální začleňování MMR v</w:t>
      </w:r>
      <w:r w:rsidR="000D7449">
        <w:rPr>
          <w:rFonts w:asciiTheme="majorHAnsi" w:hAnsiTheme="majorHAnsi" w:cstheme="majorHAnsi"/>
        </w:rPr>
        <w:t> </w:t>
      </w:r>
      <w:r w:rsidRPr="004B4B33">
        <w:rPr>
          <w:rFonts w:asciiTheme="majorHAnsi" w:hAnsiTheme="majorHAnsi" w:cstheme="majorHAnsi"/>
        </w:rPr>
        <w:t>březnu 2023. Jsou využívána data a</w:t>
      </w:r>
      <w:r w:rsidR="000D7449">
        <w:rPr>
          <w:rFonts w:asciiTheme="majorHAnsi" w:hAnsiTheme="majorHAnsi" w:cstheme="majorHAnsi"/>
        </w:rPr>
        <w:t> </w:t>
      </w:r>
      <w:r w:rsidRPr="004B4B33">
        <w:rPr>
          <w:rFonts w:asciiTheme="majorHAnsi" w:hAnsiTheme="majorHAnsi" w:cstheme="majorHAnsi"/>
        </w:rPr>
        <w:t>poznatky z</w:t>
      </w:r>
      <w:r w:rsidR="000D7449">
        <w:rPr>
          <w:rFonts w:asciiTheme="majorHAnsi" w:hAnsiTheme="majorHAnsi" w:cstheme="majorHAnsi"/>
        </w:rPr>
        <w:t> </w:t>
      </w:r>
      <w:r w:rsidRPr="004B4B33">
        <w:rPr>
          <w:rFonts w:asciiTheme="majorHAnsi" w:hAnsiTheme="majorHAnsi" w:cstheme="majorHAnsi"/>
        </w:rPr>
        <w:t>každodenních kontaktů s</w:t>
      </w:r>
      <w:r w:rsidR="000D7449">
        <w:rPr>
          <w:rFonts w:asciiTheme="majorHAnsi" w:hAnsiTheme="majorHAnsi" w:cstheme="majorHAnsi"/>
        </w:rPr>
        <w:t> </w:t>
      </w:r>
      <w:r w:rsidRPr="004B4B33">
        <w:rPr>
          <w:rFonts w:asciiTheme="majorHAnsi" w:hAnsiTheme="majorHAnsi" w:cstheme="majorHAnsi"/>
        </w:rPr>
        <w:t>vedoucími i</w:t>
      </w:r>
      <w:r w:rsidR="000D7449">
        <w:rPr>
          <w:rFonts w:asciiTheme="majorHAnsi" w:hAnsiTheme="majorHAnsi" w:cstheme="majorHAnsi"/>
        </w:rPr>
        <w:t> </w:t>
      </w:r>
      <w:r w:rsidRPr="004B4B33">
        <w:rPr>
          <w:rFonts w:asciiTheme="majorHAnsi" w:hAnsiTheme="majorHAnsi" w:cstheme="majorHAnsi"/>
        </w:rPr>
        <w:t>regionálními největších operátorů na realitním a</w:t>
      </w:r>
      <w:r w:rsidR="000D7449">
        <w:rPr>
          <w:rFonts w:asciiTheme="majorHAnsi" w:hAnsiTheme="majorHAnsi" w:cstheme="majorHAnsi"/>
        </w:rPr>
        <w:t> </w:t>
      </w:r>
      <w:r w:rsidRPr="004B4B33">
        <w:rPr>
          <w:rFonts w:asciiTheme="majorHAnsi" w:hAnsiTheme="majorHAnsi" w:cstheme="majorHAnsi"/>
        </w:rPr>
        <w:t>stavebním trhu.</w:t>
      </w:r>
    </w:p>
    <w:p w14:paraId="078FFA6B" w14:textId="79A9DD34" w:rsidR="0042415F" w:rsidRPr="004B4B33" w:rsidRDefault="001D082B" w:rsidP="4966BBAE">
      <w:pPr>
        <w:spacing w:before="0" w:after="240"/>
        <w:jc w:val="both"/>
        <w:rPr>
          <w:rFonts w:asciiTheme="majorHAnsi" w:hAnsiTheme="majorHAnsi" w:cstheme="majorBidi"/>
        </w:rPr>
      </w:pPr>
      <w:r w:rsidRPr="5B41DABB">
        <w:rPr>
          <w:rFonts w:asciiTheme="majorHAnsi" w:hAnsiTheme="majorHAnsi" w:cstheme="majorBidi"/>
        </w:rPr>
        <w:t>Z výše uvedených analytických podkladů vyplývá potřeba jen v</w:t>
      </w:r>
      <w:r w:rsidR="000D7449">
        <w:rPr>
          <w:rFonts w:asciiTheme="majorHAnsi" w:hAnsiTheme="majorHAnsi" w:cstheme="majorBidi"/>
        </w:rPr>
        <w:t> </w:t>
      </w:r>
      <w:r w:rsidRPr="5B41DABB">
        <w:rPr>
          <w:rFonts w:asciiTheme="majorHAnsi" w:hAnsiTheme="majorHAnsi" w:cstheme="majorBidi"/>
        </w:rPr>
        <w:t>Praze zabezpečit dostupné nájemní bydlení pro 105 000 příslušníků profesí, které jsou kritické pro zabezpečení fungování města, z</w:t>
      </w:r>
      <w:r w:rsidR="000D7449">
        <w:rPr>
          <w:rFonts w:asciiTheme="majorHAnsi" w:hAnsiTheme="majorHAnsi" w:cstheme="majorBidi"/>
        </w:rPr>
        <w:t> </w:t>
      </w:r>
      <w:r w:rsidRPr="5B41DABB">
        <w:rPr>
          <w:rFonts w:asciiTheme="majorHAnsi" w:hAnsiTheme="majorHAnsi" w:cstheme="majorBidi"/>
        </w:rPr>
        <w:t>toho cca 40 000 těchto domácností je ve stavu bytové tísně. Z</w:t>
      </w:r>
      <w:r w:rsidR="000D7449">
        <w:rPr>
          <w:rFonts w:asciiTheme="majorHAnsi" w:hAnsiTheme="majorHAnsi" w:cstheme="majorBidi"/>
        </w:rPr>
        <w:t> </w:t>
      </w:r>
      <w:r w:rsidRPr="5B41DABB">
        <w:rPr>
          <w:rFonts w:asciiTheme="majorHAnsi" w:hAnsiTheme="majorHAnsi" w:cstheme="majorBidi"/>
        </w:rPr>
        <w:t>hlediska projektové připravenosti jenom Praha potřebuje investice do bydlení ve výši 50 miliard Kč, z</w:t>
      </w:r>
      <w:r w:rsidR="000D7449">
        <w:rPr>
          <w:rFonts w:asciiTheme="majorHAnsi" w:hAnsiTheme="majorHAnsi" w:cstheme="majorBidi"/>
        </w:rPr>
        <w:t> </w:t>
      </w:r>
      <w:r w:rsidRPr="5B41DABB">
        <w:rPr>
          <w:rFonts w:asciiTheme="majorHAnsi" w:hAnsiTheme="majorHAnsi" w:cstheme="majorBidi"/>
        </w:rPr>
        <w:t>toho mezi lety 2022 a</w:t>
      </w:r>
      <w:r w:rsidR="000D7449">
        <w:rPr>
          <w:rFonts w:asciiTheme="majorHAnsi" w:hAnsiTheme="majorHAnsi" w:cstheme="majorBidi"/>
        </w:rPr>
        <w:t> </w:t>
      </w:r>
      <w:r w:rsidRPr="5B41DABB">
        <w:rPr>
          <w:rFonts w:asciiTheme="majorHAnsi" w:hAnsiTheme="majorHAnsi" w:cstheme="majorBidi"/>
        </w:rPr>
        <w:t xml:space="preserve">2025 je projektově </w:t>
      </w:r>
      <w:r w:rsidRPr="5B41DABB">
        <w:rPr>
          <w:rFonts w:asciiTheme="majorHAnsi" w:hAnsiTheme="majorHAnsi" w:cstheme="majorBidi"/>
        </w:rPr>
        <w:lastRenderedPageBreak/>
        <w:t>připravena výstavba 423 nových bytů v</w:t>
      </w:r>
      <w:r w:rsidR="000D7449">
        <w:rPr>
          <w:rFonts w:asciiTheme="majorHAnsi" w:hAnsiTheme="majorHAnsi" w:cstheme="majorBidi"/>
        </w:rPr>
        <w:t> </w:t>
      </w:r>
      <w:r w:rsidRPr="5B41DABB">
        <w:rPr>
          <w:rFonts w:asciiTheme="majorHAnsi" w:hAnsiTheme="majorHAnsi" w:cstheme="majorBidi"/>
        </w:rPr>
        <w:t>celkové výši investice přes 9</w:t>
      </w:r>
      <w:r w:rsidR="7A980642" w:rsidRPr="5B41DABB">
        <w:rPr>
          <w:rFonts w:asciiTheme="majorHAnsi" w:hAnsiTheme="majorHAnsi" w:cstheme="majorBidi"/>
        </w:rPr>
        <w:t>.</w:t>
      </w:r>
      <w:r w:rsidRPr="5B41DABB">
        <w:rPr>
          <w:rFonts w:asciiTheme="majorHAnsi" w:hAnsiTheme="majorHAnsi" w:cstheme="majorBidi"/>
        </w:rPr>
        <w:t>5 miliard Kč, která není finančně pokrytá.</w:t>
      </w:r>
    </w:p>
    <w:p w14:paraId="5E97E374" w14:textId="6AEF5BBA" w:rsidR="0042415F" w:rsidRPr="004B4B33" w:rsidRDefault="001D082B">
      <w:pPr>
        <w:spacing w:before="0" w:after="240"/>
        <w:jc w:val="both"/>
        <w:rPr>
          <w:rFonts w:asciiTheme="majorHAnsi" w:hAnsiTheme="majorHAnsi" w:cstheme="majorHAnsi"/>
        </w:rPr>
      </w:pPr>
      <w:r w:rsidRPr="004B4B33">
        <w:rPr>
          <w:rFonts w:asciiTheme="majorHAnsi" w:hAnsiTheme="majorHAnsi" w:cstheme="majorHAnsi"/>
        </w:rPr>
        <w:t>Kvalitativní průzkum vzorku 43 měst a</w:t>
      </w:r>
      <w:r w:rsidR="000D7449">
        <w:rPr>
          <w:rFonts w:asciiTheme="majorHAnsi" w:hAnsiTheme="majorHAnsi" w:cstheme="majorHAnsi"/>
        </w:rPr>
        <w:t> </w:t>
      </w:r>
      <w:r w:rsidRPr="004B4B33">
        <w:rPr>
          <w:rFonts w:asciiTheme="majorHAnsi" w:hAnsiTheme="majorHAnsi" w:cstheme="majorHAnsi"/>
        </w:rPr>
        <w:t>obcí přinesl 75 projektových záměrů obecního nájemního bydlení v</w:t>
      </w:r>
      <w:r w:rsidR="000D7449">
        <w:rPr>
          <w:rFonts w:asciiTheme="majorHAnsi" w:hAnsiTheme="majorHAnsi" w:cstheme="majorHAnsi"/>
        </w:rPr>
        <w:t> </w:t>
      </w:r>
      <w:r w:rsidRPr="004B4B33">
        <w:rPr>
          <w:rFonts w:asciiTheme="majorHAnsi" w:hAnsiTheme="majorHAnsi" w:cstheme="majorHAnsi"/>
        </w:rPr>
        <w:t>souhrnné výši 6.3 mld CZK. Tento průzkum dále potvrdil:</w:t>
      </w:r>
    </w:p>
    <w:p w14:paraId="67834867" w14:textId="18C84FDF" w:rsidR="0042415F" w:rsidRPr="004B4B33" w:rsidRDefault="001D082B">
      <w:pPr>
        <w:numPr>
          <w:ilvl w:val="0"/>
          <w:numId w:val="31"/>
        </w:numPr>
        <w:spacing w:before="0" w:after="0"/>
        <w:jc w:val="both"/>
        <w:rPr>
          <w:rFonts w:asciiTheme="majorHAnsi" w:hAnsiTheme="majorHAnsi" w:cstheme="majorHAnsi"/>
        </w:rPr>
      </w:pPr>
      <w:r w:rsidRPr="004B4B33">
        <w:rPr>
          <w:rFonts w:asciiTheme="majorHAnsi" w:hAnsiTheme="majorHAnsi" w:cstheme="majorHAnsi"/>
        </w:rPr>
        <w:t>existuje poptávka po nových kapacitách bydlení v</w:t>
      </w:r>
      <w:r w:rsidR="000D7449">
        <w:rPr>
          <w:rFonts w:asciiTheme="majorHAnsi" w:hAnsiTheme="majorHAnsi" w:cstheme="majorHAnsi"/>
        </w:rPr>
        <w:t> </w:t>
      </w:r>
      <w:r w:rsidRPr="004B4B33">
        <w:rPr>
          <w:rFonts w:asciiTheme="majorHAnsi" w:hAnsiTheme="majorHAnsi" w:cstheme="majorHAnsi"/>
        </w:rPr>
        <w:t>moderním nízkoenergetickém standardu</w:t>
      </w:r>
    </w:p>
    <w:p w14:paraId="1E0932F4" w14:textId="7ACA9F8B" w:rsidR="0042415F" w:rsidRPr="004B4B33" w:rsidRDefault="001D082B">
      <w:pPr>
        <w:numPr>
          <w:ilvl w:val="0"/>
          <w:numId w:val="31"/>
        </w:numPr>
        <w:spacing w:before="0" w:after="0"/>
        <w:jc w:val="both"/>
        <w:rPr>
          <w:rFonts w:asciiTheme="majorHAnsi" w:hAnsiTheme="majorHAnsi" w:cstheme="majorHAnsi"/>
        </w:rPr>
      </w:pPr>
      <w:r w:rsidRPr="004B4B33">
        <w:rPr>
          <w:rFonts w:asciiTheme="majorHAnsi" w:hAnsiTheme="majorHAnsi" w:cstheme="majorHAnsi"/>
        </w:rPr>
        <w:t>neomezuje se jen na aglomerace. Menší a</w:t>
      </w:r>
      <w:r w:rsidR="000D7449">
        <w:rPr>
          <w:rFonts w:asciiTheme="majorHAnsi" w:hAnsiTheme="majorHAnsi" w:cstheme="majorHAnsi"/>
        </w:rPr>
        <w:t> </w:t>
      </w:r>
      <w:r w:rsidRPr="004B4B33">
        <w:rPr>
          <w:rFonts w:asciiTheme="majorHAnsi" w:hAnsiTheme="majorHAnsi" w:cstheme="majorHAnsi"/>
        </w:rPr>
        <w:t>střední města mají zájem získat moderní kapacity za účelem prevence odchodů určitých cílových skupin, především mladých rodin s</w:t>
      </w:r>
      <w:r w:rsidR="000D7449">
        <w:rPr>
          <w:rFonts w:asciiTheme="majorHAnsi" w:hAnsiTheme="majorHAnsi" w:cstheme="majorHAnsi"/>
        </w:rPr>
        <w:t> </w:t>
      </w:r>
      <w:r w:rsidRPr="004B4B33">
        <w:rPr>
          <w:rFonts w:asciiTheme="majorHAnsi" w:hAnsiTheme="majorHAnsi" w:cstheme="majorHAnsi"/>
        </w:rPr>
        <w:t>dětmi a</w:t>
      </w:r>
      <w:r w:rsidR="000D7449">
        <w:rPr>
          <w:rFonts w:asciiTheme="majorHAnsi" w:hAnsiTheme="majorHAnsi" w:cstheme="majorHAnsi"/>
        </w:rPr>
        <w:t> </w:t>
      </w:r>
      <w:r w:rsidRPr="004B4B33">
        <w:rPr>
          <w:rFonts w:asciiTheme="majorHAnsi" w:hAnsiTheme="majorHAnsi" w:cstheme="majorHAnsi"/>
        </w:rPr>
        <w:t>za účelem nabídky kapacit bydlení pro seniory.</w:t>
      </w:r>
    </w:p>
    <w:p w14:paraId="0377C7FD" w14:textId="1E075854" w:rsidR="0042415F" w:rsidRPr="004B4B33" w:rsidRDefault="001D082B">
      <w:pPr>
        <w:numPr>
          <w:ilvl w:val="0"/>
          <w:numId w:val="31"/>
        </w:numPr>
        <w:spacing w:before="0" w:after="0"/>
        <w:jc w:val="both"/>
        <w:rPr>
          <w:rFonts w:asciiTheme="majorHAnsi" w:hAnsiTheme="majorHAnsi" w:cstheme="majorHAnsi"/>
        </w:rPr>
      </w:pPr>
      <w:r w:rsidRPr="004B4B33">
        <w:rPr>
          <w:rFonts w:asciiTheme="majorHAnsi" w:hAnsiTheme="majorHAnsi" w:cstheme="majorHAnsi"/>
          <w:sz w:val="14"/>
          <w:szCs w:val="14"/>
        </w:rPr>
        <w:t xml:space="preserve"> </w:t>
      </w:r>
      <w:r w:rsidRPr="004B4B33">
        <w:rPr>
          <w:rFonts w:asciiTheme="majorHAnsi" w:hAnsiTheme="majorHAnsi" w:cstheme="majorHAnsi"/>
        </w:rPr>
        <w:t>projekty jsou většinou v</w:t>
      </w:r>
      <w:r w:rsidR="000D7449">
        <w:rPr>
          <w:rFonts w:asciiTheme="majorHAnsi" w:hAnsiTheme="majorHAnsi" w:cstheme="majorHAnsi"/>
        </w:rPr>
        <w:t> </w:t>
      </w:r>
      <w:r w:rsidRPr="004B4B33">
        <w:rPr>
          <w:rFonts w:asciiTheme="majorHAnsi" w:hAnsiTheme="majorHAnsi" w:cstheme="majorHAnsi"/>
        </w:rPr>
        <w:t>prvotních fázích</w:t>
      </w:r>
    </w:p>
    <w:p w14:paraId="1E58ABFA" w14:textId="3149BF63" w:rsidR="0042415F" w:rsidRPr="004B4B33" w:rsidRDefault="001D082B">
      <w:pPr>
        <w:numPr>
          <w:ilvl w:val="0"/>
          <w:numId w:val="31"/>
        </w:numPr>
        <w:spacing w:before="0" w:after="0"/>
        <w:jc w:val="both"/>
        <w:rPr>
          <w:rFonts w:asciiTheme="majorHAnsi" w:hAnsiTheme="majorHAnsi" w:cstheme="majorHAnsi"/>
        </w:rPr>
      </w:pPr>
      <w:r w:rsidRPr="004B4B33">
        <w:rPr>
          <w:rFonts w:asciiTheme="majorHAnsi" w:hAnsiTheme="majorHAnsi" w:cstheme="majorHAnsi"/>
        </w:rPr>
        <w:t>poptávku po expertním poradenství především v</w:t>
      </w:r>
      <w:r w:rsidR="000D7449">
        <w:rPr>
          <w:rFonts w:asciiTheme="majorHAnsi" w:hAnsiTheme="majorHAnsi" w:cstheme="majorHAnsi"/>
        </w:rPr>
        <w:t> </w:t>
      </w:r>
      <w:r w:rsidRPr="004B4B33">
        <w:rPr>
          <w:rFonts w:asciiTheme="majorHAnsi" w:hAnsiTheme="majorHAnsi" w:cstheme="majorHAnsi"/>
        </w:rPr>
        <w:t>oblastech energetiky budov a</w:t>
      </w:r>
      <w:r w:rsidR="000D7449">
        <w:rPr>
          <w:rFonts w:asciiTheme="majorHAnsi" w:hAnsiTheme="majorHAnsi" w:cstheme="majorHAnsi"/>
        </w:rPr>
        <w:t> </w:t>
      </w:r>
      <w:r w:rsidRPr="004B4B33">
        <w:rPr>
          <w:rFonts w:asciiTheme="majorHAnsi" w:hAnsiTheme="majorHAnsi" w:cstheme="majorHAnsi"/>
        </w:rPr>
        <w:t>financování</w:t>
      </w:r>
    </w:p>
    <w:p w14:paraId="0670CC65" w14:textId="1EDA160D" w:rsidR="0042415F" w:rsidRPr="004B4B33" w:rsidRDefault="001D082B">
      <w:pPr>
        <w:numPr>
          <w:ilvl w:val="0"/>
          <w:numId w:val="31"/>
        </w:numPr>
        <w:spacing w:before="0"/>
        <w:jc w:val="both"/>
        <w:rPr>
          <w:rFonts w:asciiTheme="majorHAnsi" w:hAnsiTheme="majorHAnsi" w:cstheme="majorHAnsi"/>
        </w:rPr>
      </w:pPr>
      <w:r w:rsidRPr="004B4B33">
        <w:rPr>
          <w:rFonts w:asciiTheme="majorHAnsi" w:hAnsiTheme="majorHAnsi" w:cstheme="majorHAnsi"/>
        </w:rPr>
        <w:t>zájem o</w:t>
      </w:r>
      <w:r w:rsidR="000D7449">
        <w:rPr>
          <w:rFonts w:asciiTheme="majorHAnsi" w:hAnsiTheme="majorHAnsi" w:cstheme="majorHAnsi"/>
        </w:rPr>
        <w:t> </w:t>
      </w:r>
      <w:r w:rsidRPr="004B4B33">
        <w:rPr>
          <w:rFonts w:asciiTheme="majorHAnsi" w:hAnsiTheme="majorHAnsi" w:cstheme="majorHAnsi"/>
        </w:rPr>
        <w:t>odkupy bytových domů za účelem sociální stabilizace, renovací zchátralých budov a</w:t>
      </w:r>
      <w:r w:rsidR="000D7449">
        <w:rPr>
          <w:rFonts w:asciiTheme="majorHAnsi" w:hAnsiTheme="majorHAnsi" w:cstheme="majorHAnsi"/>
        </w:rPr>
        <w:t> </w:t>
      </w:r>
      <w:r w:rsidRPr="004B4B33">
        <w:rPr>
          <w:rFonts w:asciiTheme="majorHAnsi" w:hAnsiTheme="majorHAnsi" w:cstheme="majorHAnsi"/>
        </w:rPr>
        <w:t>přilehlých veřejných prostranství</w:t>
      </w:r>
    </w:p>
    <w:p w14:paraId="69E239F4" w14:textId="7917AD39" w:rsidR="0042415F" w:rsidRPr="004B4B33" w:rsidRDefault="001D082B" w:rsidP="5B41DABB">
      <w:pPr>
        <w:pBdr>
          <w:top w:val="nil"/>
          <w:left w:val="nil"/>
          <w:bottom w:val="nil"/>
          <w:right w:val="nil"/>
          <w:between w:val="nil"/>
        </w:pBdr>
        <w:spacing w:before="0" w:after="240"/>
        <w:jc w:val="both"/>
        <w:rPr>
          <w:rFonts w:asciiTheme="majorHAnsi" w:hAnsiTheme="majorHAnsi" w:cstheme="majorBidi"/>
        </w:rPr>
      </w:pPr>
      <w:r w:rsidRPr="5B41DABB">
        <w:rPr>
          <w:rFonts w:asciiTheme="majorHAnsi" w:hAnsiTheme="majorHAnsi" w:cstheme="majorBidi"/>
        </w:rPr>
        <w:t>V segmentu menších měst a</w:t>
      </w:r>
      <w:r w:rsidR="000D7449">
        <w:rPr>
          <w:rFonts w:asciiTheme="majorHAnsi" w:hAnsiTheme="majorHAnsi" w:cstheme="majorBidi"/>
        </w:rPr>
        <w:t> </w:t>
      </w:r>
      <w:r w:rsidRPr="5B41DABB">
        <w:rPr>
          <w:rFonts w:asciiTheme="majorHAnsi" w:hAnsiTheme="majorHAnsi" w:cstheme="majorBidi"/>
        </w:rPr>
        <w:t>obcí je podle databázových informací MMR v</w:t>
      </w:r>
      <w:r w:rsidR="000D7449">
        <w:rPr>
          <w:rFonts w:asciiTheme="majorHAnsi" w:hAnsiTheme="majorHAnsi" w:cstheme="majorBidi"/>
        </w:rPr>
        <w:t> </w:t>
      </w:r>
      <w:r w:rsidRPr="5B41DABB">
        <w:rPr>
          <w:rFonts w:asciiTheme="majorHAnsi" w:hAnsiTheme="majorHAnsi" w:cstheme="majorBidi"/>
        </w:rPr>
        <w:t>současné době rozpracováno 225 projektů bydlení ve 160 obcích v</w:t>
      </w:r>
      <w:r w:rsidR="000D7449">
        <w:rPr>
          <w:rFonts w:asciiTheme="majorHAnsi" w:hAnsiTheme="majorHAnsi" w:cstheme="majorBidi"/>
        </w:rPr>
        <w:t> </w:t>
      </w:r>
      <w:r w:rsidRPr="5B41DABB">
        <w:rPr>
          <w:rFonts w:asciiTheme="majorHAnsi" w:hAnsiTheme="majorHAnsi" w:cstheme="majorBidi"/>
        </w:rPr>
        <w:t>celkové výši 5</w:t>
      </w:r>
      <w:r w:rsidR="0988FD6C" w:rsidRPr="5B41DABB">
        <w:rPr>
          <w:rFonts w:asciiTheme="majorHAnsi" w:hAnsiTheme="majorHAnsi" w:cstheme="majorBidi"/>
        </w:rPr>
        <w:t>.</w:t>
      </w:r>
      <w:r w:rsidRPr="5B41DABB">
        <w:rPr>
          <w:rFonts w:asciiTheme="majorHAnsi" w:hAnsiTheme="majorHAnsi" w:cstheme="majorBidi"/>
        </w:rPr>
        <w:t>7 miliardy Kč, přičemž realizace převážné části závisí na dotační podpoře. Podle proprietárních expertních údajů jednoho z</w:t>
      </w:r>
      <w:r w:rsidR="000D7449">
        <w:rPr>
          <w:rFonts w:asciiTheme="majorHAnsi" w:hAnsiTheme="majorHAnsi" w:cstheme="majorBidi"/>
        </w:rPr>
        <w:t> </w:t>
      </w:r>
      <w:r w:rsidRPr="5B41DABB">
        <w:rPr>
          <w:rFonts w:asciiTheme="majorHAnsi" w:hAnsiTheme="majorHAnsi" w:cstheme="majorBidi"/>
        </w:rPr>
        <w:t>vedoucích operátorů/developerů v</w:t>
      </w:r>
      <w:r w:rsidR="000D7449">
        <w:rPr>
          <w:rFonts w:asciiTheme="majorHAnsi" w:hAnsiTheme="majorHAnsi" w:cstheme="majorBidi"/>
        </w:rPr>
        <w:t> </w:t>
      </w:r>
      <w:r w:rsidRPr="5B41DABB">
        <w:rPr>
          <w:rFonts w:asciiTheme="majorHAnsi" w:hAnsiTheme="majorHAnsi" w:cstheme="majorBidi"/>
        </w:rPr>
        <w:t>segmentu bydlení existuje v</w:t>
      </w:r>
      <w:r w:rsidR="000D7449">
        <w:rPr>
          <w:rFonts w:asciiTheme="majorHAnsi" w:hAnsiTheme="majorHAnsi" w:cstheme="majorBidi"/>
        </w:rPr>
        <w:t> </w:t>
      </w:r>
      <w:r w:rsidRPr="5B41DABB">
        <w:rPr>
          <w:rFonts w:asciiTheme="majorHAnsi" w:hAnsiTheme="majorHAnsi" w:cstheme="majorBidi"/>
        </w:rPr>
        <w:t>současné době reálná poptávka veřejného sektoru po minimálně 123 projektech dostupného nájemního bydlení v</w:t>
      </w:r>
      <w:r w:rsidR="000D7449">
        <w:rPr>
          <w:rFonts w:asciiTheme="majorHAnsi" w:hAnsiTheme="majorHAnsi" w:cstheme="majorBidi"/>
        </w:rPr>
        <w:t> </w:t>
      </w:r>
      <w:r w:rsidRPr="5B41DABB">
        <w:rPr>
          <w:rFonts w:asciiTheme="majorHAnsi" w:hAnsiTheme="majorHAnsi" w:cstheme="majorBidi"/>
        </w:rPr>
        <w:t>celkové výši 35.5 miliard Kč. Jedná se přitom výlučně o</w:t>
      </w:r>
      <w:r w:rsidR="000D7449">
        <w:rPr>
          <w:rFonts w:asciiTheme="majorHAnsi" w:hAnsiTheme="majorHAnsi" w:cstheme="majorBidi"/>
        </w:rPr>
        <w:t> </w:t>
      </w:r>
      <w:r w:rsidRPr="5B41DABB">
        <w:rPr>
          <w:rFonts w:asciiTheme="majorHAnsi" w:hAnsiTheme="majorHAnsi" w:cstheme="majorBidi"/>
        </w:rPr>
        <w:t>segment výstavby ve spolupráci obcí se soukromým subjektem, nikoli obcí v</w:t>
      </w:r>
      <w:r w:rsidR="000D7449">
        <w:rPr>
          <w:rFonts w:asciiTheme="majorHAnsi" w:hAnsiTheme="majorHAnsi" w:cstheme="majorBidi"/>
        </w:rPr>
        <w:t> </w:t>
      </w:r>
      <w:r w:rsidRPr="5B41DABB">
        <w:rPr>
          <w:rFonts w:asciiTheme="majorHAnsi" w:hAnsiTheme="majorHAnsi" w:cstheme="majorBidi"/>
        </w:rPr>
        <w:t>roli hlavního investora.</w:t>
      </w:r>
    </w:p>
    <w:p w14:paraId="5C4613C3" w14:textId="46757435" w:rsidR="78F8E056" w:rsidRPr="004B4B33" w:rsidRDefault="78F8E056" w:rsidP="4C634DFF">
      <w:pPr>
        <w:pBdr>
          <w:top w:val="nil"/>
          <w:left w:val="nil"/>
          <w:bottom w:val="nil"/>
          <w:right w:val="nil"/>
          <w:between w:val="nil"/>
        </w:pBdr>
        <w:spacing w:before="0" w:after="240"/>
        <w:jc w:val="both"/>
        <w:rPr>
          <w:rFonts w:asciiTheme="majorHAnsi" w:hAnsiTheme="majorHAnsi" w:cstheme="majorHAnsi"/>
          <w:b/>
          <w:bCs/>
        </w:rPr>
      </w:pPr>
      <w:r w:rsidRPr="004B4B33">
        <w:rPr>
          <w:rFonts w:asciiTheme="majorHAnsi" w:hAnsiTheme="majorHAnsi" w:cstheme="majorHAnsi"/>
        </w:rPr>
        <w:t>Výše uvedenou mozaika lze označit za reprezentativní. Naznačuje vysokou míru neuspokojené poptávky po dostupném nájemním bydlení jak v</w:t>
      </w:r>
      <w:r w:rsidR="000D7449">
        <w:rPr>
          <w:rFonts w:asciiTheme="majorHAnsi" w:hAnsiTheme="majorHAnsi" w:cstheme="majorHAnsi"/>
        </w:rPr>
        <w:t> </w:t>
      </w:r>
      <w:r w:rsidRPr="004B4B33">
        <w:rPr>
          <w:rFonts w:asciiTheme="majorHAnsi" w:hAnsiTheme="majorHAnsi" w:cstheme="majorHAnsi"/>
        </w:rPr>
        <w:t>aglomeracích, tak i</w:t>
      </w:r>
      <w:r w:rsidR="000D7449">
        <w:rPr>
          <w:rFonts w:asciiTheme="majorHAnsi" w:hAnsiTheme="majorHAnsi" w:cstheme="majorHAnsi"/>
        </w:rPr>
        <w:t> </w:t>
      </w:r>
      <w:r w:rsidRPr="004B4B33">
        <w:rPr>
          <w:rFonts w:asciiTheme="majorHAnsi" w:hAnsiTheme="majorHAnsi" w:cstheme="majorHAnsi"/>
        </w:rPr>
        <w:t>v menších obcích a</w:t>
      </w:r>
      <w:r w:rsidR="000D7449">
        <w:rPr>
          <w:rFonts w:asciiTheme="majorHAnsi" w:hAnsiTheme="majorHAnsi" w:cstheme="majorHAnsi"/>
        </w:rPr>
        <w:t> </w:t>
      </w:r>
      <w:r w:rsidRPr="004B4B33">
        <w:rPr>
          <w:rFonts w:asciiTheme="majorHAnsi" w:hAnsiTheme="majorHAnsi" w:cstheme="majorHAnsi"/>
        </w:rPr>
        <w:t>městech v</w:t>
      </w:r>
      <w:r w:rsidR="000D7449">
        <w:rPr>
          <w:rFonts w:asciiTheme="majorHAnsi" w:hAnsiTheme="majorHAnsi" w:cstheme="majorHAnsi"/>
        </w:rPr>
        <w:t> </w:t>
      </w:r>
      <w:r w:rsidRPr="004B4B33">
        <w:rPr>
          <w:rFonts w:asciiTheme="majorHAnsi" w:hAnsiTheme="majorHAnsi" w:cstheme="majorHAnsi"/>
        </w:rPr>
        <w:t>agregované výši do konce roku 2025 minimálně 90 miliard Kč. Současná uvažovaná velikost komponenty je proto mimořádně konzervativním průnikem do množiny proveditelných projektů</w:t>
      </w:r>
      <w:r w:rsidR="53D5750A" w:rsidRPr="004B4B33">
        <w:rPr>
          <w:rFonts w:asciiTheme="majorHAnsi" w:hAnsiTheme="majorHAnsi" w:cstheme="majorHAnsi"/>
        </w:rPr>
        <w:t xml:space="preserve">. </w:t>
      </w:r>
    </w:p>
    <w:p w14:paraId="332E75BA" w14:textId="42DBF247" w:rsidR="4C634DFF" w:rsidRPr="004B4B33" w:rsidRDefault="4C634DFF" w:rsidP="5B41DABB">
      <w:pPr>
        <w:rPr>
          <w:rFonts w:asciiTheme="majorHAnsi" w:hAnsiTheme="majorHAnsi" w:cstheme="majorBidi"/>
          <w:b/>
          <w:bCs/>
        </w:rPr>
      </w:pPr>
    </w:p>
    <w:p w14:paraId="349BB309" w14:textId="1A157A7E" w:rsidR="0042415F" w:rsidRPr="004B4B33" w:rsidRDefault="001D082B">
      <w:pPr>
        <w:rPr>
          <w:rFonts w:asciiTheme="majorHAnsi" w:hAnsiTheme="majorHAnsi" w:cstheme="majorHAnsi"/>
          <w:b/>
        </w:rPr>
      </w:pPr>
      <w:r w:rsidRPr="004B4B33">
        <w:rPr>
          <w:rFonts w:asciiTheme="majorHAnsi" w:hAnsiTheme="majorHAnsi" w:cstheme="majorHAnsi"/>
          <w:b/>
        </w:rPr>
        <w:t>3. Popis reforem a</w:t>
      </w:r>
      <w:r w:rsidR="000D7449">
        <w:rPr>
          <w:rFonts w:asciiTheme="majorHAnsi" w:hAnsiTheme="majorHAnsi" w:cstheme="majorHAnsi"/>
          <w:b/>
        </w:rPr>
        <w:t> </w:t>
      </w:r>
      <w:r w:rsidRPr="004B4B33">
        <w:rPr>
          <w:rFonts w:asciiTheme="majorHAnsi" w:hAnsiTheme="majorHAnsi" w:cstheme="majorHAnsi"/>
          <w:b/>
        </w:rPr>
        <w:t>investic komponenty</w:t>
      </w:r>
    </w:p>
    <w:p w14:paraId="4263CC53" w14:textId="48E92047" w:rsidR="0042415F" w:rsidRPr="004B4B33" w:rsidRDefault="78F8E056">
      <w:pPr>
        <w:rPr>
          <w:rFonts w:asciiTheme="majorHAnsi" w:hAnsiTheme="majorHAnsi" w:cstheme="majorHAnsi"/>
        </w:rPr>
      </w:pPr>
      <w:r w:rsidRPr="004B4B33">
        <w:rPr>
          <w:rFonts w:asciiTheme="majorHAnsi" w:hAnsiTheme="majorHAnsi" w:cstheme="majorHAnsi"/>
        </w:rPr>
        <w:t>Uplatněním harmonizovaných podpůrných a</w:t>
      </w:r>
      <w:r w:rsidR="000D7449">
        <w:rPr>
          <w:rFonts w:asciiTheme="majorHAnsi" w:hAnsiTheme="majorHAnsi" w:cstheme="majorHAnsi"/>
        </w:rPr>
        <w:t> </w:t>
      </w:r>
      <w:r w:rsidRPr="004B4B33">
        <w:rPr>
          <w:rFonts w:asciiTheme="majorHAnsi" w:hAnsiTheme="majorHAnsi" w:cstheme="majorHAnsi"/>
        </w:rPr>
        <w:t>regulačních opatření zajistit dostupné bydlení provozované a</w:t>
      </w:r>
      <w:r w:rsidR="000D7449">
        <w:rPr>
          <w:rFonts w:asciiTheme="majorHAnsi" w:hAnsiTheme="majorHAnsi" w:cstheme="majorHAnsi"/>
        </w:rPr>
        <w:t> </w:t>
      </w:r>
      <w:r w:rsidRPr="004B4B33">
        <w:rPr>
          <w:rFonts w:asciiTheme="majorHAnsi" w:hAnsiTheme="majorHAnsi" w:cstheme="majorHAnsi"/>
        </w:rPr>
        <w:t>spravované veřejným sektorem.</w:t>
      </w:r>
    </w:p>
    <w:p w14:paraId="246A9E5C" w14:textId="528A70CA" w:rsidR="4C634DFF" w:rsidRPr="004B4B33" w:rsidRDefault="4C634DFF" w:rsidP="4C634DFF">
      <w:pPr>
        <w:rPr>
          <w:rFonts w:asciiTheme="majorHAnsi" w:hAnsiTheme="majorHAnsi" w:cstheme="majorHAnsi"/>
        </w:rPr>
      </w:pPr>
    </w:p>
    <w:p w14:paraId="42895CFC" w14:textId="29BAAEFA" w:rsidR="0042415F" w:rsidRPr="004B4B33" w:rsidRDefault="001D082B">
      <w:pPr>
        <w:rPr>
          <w:rFonts w:asciiTheme="majorHAnsi" w:hAnsiTheme="majorHAnsi" w:cstheme="majorHAnsi"/>
          <w:b/>
        </w:rPr>
      </w:pPr>
      <w:r w:rsidRPr="004B4B33">
        <w:rPr>
          <w:rFonts w:asciiTheme="majorHAnsi" w:hAnsiTheme="majorHAnsi" w:cstheme="majorHAnsi"/>
          <w:b/>
        </w:rPr>
        <w:t>Popis reforem a</w:t>
      </w:r>
      <w:r w:rsidR="000D7449">
        <w:rPr>
          <w:rFonts w:asciiTheme="majorHAnsi" w:hAnsiTheme="majorHAnsi" w:cstheme="majorHAnsi"/>
          <w:b/>
        </w:rPr>
        <w:t> </w:t>
      </w:r>
      <w:r w:rsidRPr="004B4B33">
        <w:rPr>
          <w:rFonts w:asciiTheme="majorHAnsi" w:hAnsiTheme="majorHAnsi" w:cstheme="majorHAnsi"/>
          <w:b/>
        </w:rPr>
        <w:t>investic:</w:t>
      </w:r>
    </w:p>
    <w:p w14:paraId="373FE26B" w14:textId="77B32DB5" w:rsidR="0042415F" w:rsidRPr="004B4B33" w:rsidRDefault="001D082B">
      <w:pPr>
        <w:numPr>
          <w:ilvl w:val="0"/>
          <w:numId w:val="1"/>
        </w:numPr>
        <w:spacing w:after="0"/>
        <w:rPr>
          <w:rFonts w:asciiTheme="majorHAnsi" w:hAnsiTheme="majorHAnsi" w:cstheme="majorHAnsi"/>
        </w:rPr>
      </w:pPr>
      <w:r w:rsidRPr="004B4B33">
        <w:rPr>
          <w:rFonts w:asciiTheme="majorHAnsi" w:hAnsiTheme="majorHAnsi" w:cstheme="majorHAnsi"/>
        </w:rPr>
        <w:t>Zákon o</w:t>
      </w:r>
      <w:r w:rsidR="000D7449">
        <w:rPr>
          <w:rFonts w:asciiTheme="majorHAnsi" w:hAnsiTheme="majorHAnsi" w:cstheme="majorHAnsi"/>
        </w:rPr>
        <w:t> </w:t>
      </w:r>
      <w:r w:rsidRPr="004B4B33">
        <w:rPr>
          <w:rFonts w:asciiTheme="majorHAnsi" w:hAnsiTheme="majorHAnsi" w:cstheme="majorHAnsi"/>
        </w:rPr>
        <w:t>podpoře v</w:t>
      </w:r>
      <w:r w:rsidR="000D7449">
        <w:rPr>
          <w:rFonts w:asciiTheme="majorHAnsi" w:hAnsiTheme="majorHAnsi" w:cstheme="majorHAnsi"/>
        </w:rPr>
        <w:t> </w:t>
      </w:r>
      <w:r w:rsidRPr="004B4B33">
        <w:rPr>
          <w:rFonts w:asciiTheme="majorHAnsi" w:hAnsiTheme="majorHAnsi" w:cstheme="majorHAnsi"/>
        </w:rPr>
        <w:t>bydlení;</w:t>
      </w:r>
    </w:p>
    <w:p w14:paraId="4EB5C48B" w14:textId="1A9E553A" w:rsidR="0042415F" w:rsidRPr="004B4B33" w:rsidRDefault="001D082B">
      <w:pPr>
        <w:numPr>
          <w:ilvl w:val="0"/>
          <w:numId w:val="1"/>
        </w:numPr>
        <w:spacing w:before="0" w:after="0"/>
        <w:rPr>
          <w:rFonts w:asciiTheme="majorHAnsi" w:hAnsiTheme="majorHAnsi" w:cstheme="majorHAnsi"/>
        </w:rPr>
      </w:pPr>
      <w:r w:rsidRPr="004B4B33">
        <w:rPr>
          <w:rFonts w:asciiTheme="majorHAnsi" w:hAnsiTheme="majorHAnsi" w:cstheme="majorHAnsi"/>
          <w:highlight w:val="white"/>
        </w:rPr>
        <w:t>Vytvoření podpůrných kapacit k</w:t>
      </w:r>
      <w:r w:rsidR="000D7449">
        <w:rPr>
          <w:rFonts w:asciiTheme="majorHAnsi" w:hAnsiTheme="majorHAnsi" w:cstheme="majorHAnsi"/>
          <w:highlight w:val="white"/>
        </w:rPr>
        <w:t> </w:t>
      </w:r>
      <w:r w:rsidRPr="004B4B33">
        <w:rPr>
          <w:rFonts w:asciiTheme="majorHAnsi" w:hAnsiTheme="majorHAnsi" w:cstheme="majorHAnsi"/>
          <w:highlight w:val="white"/>
        </w:rPr>
        <w:t>realizaci investic: Housing Investment Advisory Hub a</w:t>
      </w:r>
      <w:r w:rsidR="000D7449">
        <w:rPr>
          <w:rFonts w:asciiTheme="majorHAnsi" w:hAnsiTheme="majorHAnsi" w:cstheme="majorHAnsi"/>
          <w:highlight w:val="white"/>
        </w:rPr>
        <w:t> </w:t>
      </w:r>
      <w:r w:rsidRPr="004B4B33">
        <w:rPr>
          <w:rFonts w:asciiTheme="majorHAnsi" w:hAnsiTheme="majorHAnsi" w:cstheme="majorHAnsi"/>
          <w:highlight w:val="white"/>
        </w:rPr>
        <w:t>regionální centra pro podporu investic do bydlení;</w:t>
      </w:r>
    </w:p>
    <w:p w14:paraId="51F799FF" w14:textId="5C7CA320" w:rsidR="78F8E056" w:rsidRPr="004B4B33" w:rsidRDefault="78F8E056" w:rsidP="4C634DFF">
      <w:pPr>
        <w:numPr>
          <w:ilvl w:val="0"/>
          <w:numId w:val="1"/>
        </w:numPr>
        <w:spacing w:before="0"/>
        <w:rPr>
          <w:rFonts w:asciiTheme="majorHAnsi" w:hAnsiTheme="majorHAnsi" w:cstheme="majorHAnsi"/>
        </w:rPr>
      </w:pPr>
      <w:r w:rsidRPr="004B4B33">
        <w:rPr>
          <w:rFonts w:asciiTheme="majorHAnsi" w:hAnsiTheme="majorHAnsi" w:cstheme="majorHAnsi"/>
        </w:rPr>
        <w:t>Vytvoření investičního programu pro zvýšení dostupnosti bydlení</w:t>
      </w:r>
    </w:p>
    <w:p w14:paraId="606203CD" w14:textId="262C763E" w:rsidR="4C634DFF" w:rsidRPr="004B4B33" w:rsidRDefault="4C634DFF" w:rsidP="4C634DFF">
      <w:pPr>
        <w:rPr>
          <w:rFonts w:asciiTheme="majorHAnsi" w:hAnsiTheme="majorHAnsi" w:cstheme="majorHAnsi"/>
        </w:rPr>
      </w:pPr>
    </w:p>
    <w:p w14:paraId="29191A72" w14:textId="6AC805D7" w:rsidR="4C634DFF" w:rsidRPr="004B4B33" w:rsidRDefault="4C634DFF" w:rsidP="4C634DFF">
      <w:pPr>
        <w:rPr>
          <w:rFonts w:asciiTheme="majorHAnsi" w:hAnsiTheme="majorHAnsi" w:cstheme="majorHAnsi"/>
        </w:rPr>
      </w:pPr>
    </w:p>
    <w:p w14:paraId="6B5C27D0" w14:textId="6607A4D5" w:rsidR="4C634DFF" w:rsidRPr="004B4B33" w:rsidRDefault="4C634DFF" w:rsidP="4C634DFF">
      <w:pPr>
        <w:rPr>
          <w:rFonts w:asciiTheme="majorHAnsi" w:hAnsiTheme="majorHAnsi" w:cstheme="majorHAnsi"/>
        </w:rPr>
      </w:pPr>
    </w:p>
    <w:p w14:paraId="06DFA3C8" w14:textId="18A1EE82" w:rsidR="0042415F" w:rsidRPr="004B4B33" w:rsidRDefault="001D082B" w:rsidP="5B41DABB">
      <w:pPr>
        <w:rPr>
          <w:rFonts w:asciiTheme="majorHAnsi" w:hAnsiTheme="majorHAnsi" w:cstheme="majorBidi"/>
          <w:b/>
          <w:bCs/>
          <w:sz w:val="24"/>
          <w:szCs w:val="24"/>
        </w:rPr>
      </w:pPr>
      <w:r w:rsidRPr="5B41DABB">
        <w:rPr>
          <w:rFonts w:asciiTheme="majorHAnsi" w:hAnsiTheme="majorHAnsi" w:cstheme="majorBidi"/>
          <w:b/>
          <w:bCs/>
          <w:sz w:val="24"/>
          <w:szCs w:val="24"/>
        </w:rPr>
        <w:lastRenderedPageBreak/>
        <w:t xml:space="preserve">1. </w:t>
      </w:r>
      <w:r>
        <w:tab/>
      </w:r>
      <w:r w:rsidRPr="5B41DABB">
        <w:rPr>
          <w:rFonts w:asciiTheme="majorHAnsi" w:hAnsiTheme="majorHAnsi" w:cstheme="majorBidi"/>
          <w:b/>
          <w:bCs/>
          <w:sz w:val="24"/>
          <w:szCs w:val="24"/>
        </w:rPr>
        <w:t>Zákon o</w:t>
      </w:r>
      <w:r w:rsidR="000D7449">
        <w:rPr>
          <w:rFonts w:asciiTheme="majorHAnsi" w:hAnsiTheme="majorHAnsi" w:cstheme="majorBidi"/>
          <w:b/>
          <w:bCs/>
          <w:sz w:val="24"/>
          <w:szCs w:val="24"/>
        </w:rPr>
        <w:t> </w:t>
      </w:r>
      <w:r w:rsidRPr="5B41DABB">
        <w:rPr>
          <w:rFonts w:asciiTheme="majorHAnsi" w:hAnsiTheme="majorHAnsi" w:cstheme="majorBidi"/>
          <w:b/>
          <w:bCs/>
          <w:sz w:val="24"/>
          <w:szCs w:val="24"/>
        </w:rPr>
        <w:t>podpoře v</w:t>
      </w:r>
      <w:r w:rsidR="000D7449">
        <w:rPr>
          <w:rFonts w:asciiTheme="majorHAnsi" w:hAnsiTheme="majorHAnsi" w:cstheme="majorBidi"/>
          <w:b/>
          <w:bCs/>
          <w:sz w:val="24"/>
          <w:szCs w:val="24"/>
        </w:rPr>
        <w:t> </w:t>
      </w:r>
      <w:r w:rsidRPr="5B41DABB">
        <w:rPr>
          <w:rFonts w:asciiTheme="majorHAnsi" w:hAnsiTheme="majorHAnsi" w:cstheme="majorBidi"/>
          <w:b/>
          <w:bCs/>
          <w:sz w:val="24"/>
          <w:szCs w:val="24"/>
        </w:rPr>
        <w:t>bydlení</w:t>
      </w:r>
    </w:p>
    <w:tbl>
      <w:tblPr>
        <w:tblStyle w:val="a"/>
        <w:tblW w:w="90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725"/>
        <w:gridCol w:w="7275"/>
      </w:tblGrid>
      <w:tr w:rsidR="0042415F" w:rsidRPr="004B4B33" w14:paraId="3FD653DE" w14:textId="77777777">
        <w:tc>
          <w:tcPr>
            <w:tcW w:w="1725" w:type="dxa"/>
            <w:shd w:val="clear" w:color="auto" w:fill="auto"/>
            <w:tcMar>
              <w:top w:w="100" w:type="dxa"/>
              <w:left w:w="100" w:type="dxa"/>
              <w:bottom w:w="100" w:type="dxa"/>
              <w:right w:w="100" w:type="dxa"/>
            </w:tcMar>
          </w:tcPr>
          <w:p w14:paraId="00327A7F" w14:textId="77777777" w:rsidR="0042415F" w:rsidRPr="004B4B33" w:rsidRDefault="001D082B">
            <w:pPr>
              <w:spacing w:before="0"/>
              <w:jc w:val="right"/>
              <w:rPr>
                <w:rFonts w:asciiTheme="majorHAnsi" w:hAnsiTheme="majorHAnsi" w:cstheme="majorHAnsi"/>
              </w:rPr>
            </w:pPr>
            <w:r w:rsidRPr="004B4B33">
              <w:rPr>
                <w:rFonts w:asciiTheme="majorHAnsi" w:hAnsiTheme="majorHAnsi" w:cstheme="majorHAnsi"/>
              </w:rPr>
              <w:t>Výzva</w:t>
            </w:r>
          </w:p>
        </w:tc>
        <w:tc>
          <w:tcPr>
            <w:tcW w:w="7275" w:type="dxa"/>
            <w:shd w:val="clear" w:color="auto" w:fill="auto"/>
            <w:tcMar>
              <w:top w:w="100" w:type="dxa"/>
              <w:left w:w="100" w:type="dxa"/>
              <w:bottom w:w="100" w:type="dxa"/>
              <w:right w:w="100" w:type="dxa"/>
            </w:tcMar>
          </w:tcPr>
          <w:p w14:paraId="2AD3BCC8" w14:textId="6A8FC2F2" w:rsidR="0042415F" w:rsidRPr="004B4B33" w:rsidRDefault="001D082B">
            <w:pPr>
              <w:spacing w:before="0"/>
              <w:jc w:val="both"/>
              <w:rPr>
                <w:rFonts w:asciiTheme="majorHAnsi" w:hAnsiTheme="majorHAnsi" w:cstheme="majorHAnsi"/>
              </w:rPr>
            </w:pPr>
            <w:r w:rsidRPr="004B4B33">
              <w:rPr>
                <w:rFonts w:asciiTheme="majorHAnsi" w:hAnsiTheme="majorHAnsi" w:cstheme="majorHAnsi"/>
              </w:rPr>
              <w:t>Česká republika nedisponuje žádným komplexním legislativním rámcem, který by formuloval parametry sociálního či dostupného bydlení, a</w:t>
            </w:r>
            <w:r w:rsidR="000D7449">
              <w:rPr>
                <w:rFonts w:asciiTheme="majorHAnsi" w:hAnsiTheme="majorHAnsi" w:cstheme="majorHAnsi"/>
              </w:rPr>
              <w:t> </w:t>
            </w:r>
            <w:r w:rsidRPr="004B4B33">
              <w:rPr>
                <w:rFonts w:asciiTheme="majorHAnsi" w:hAnsiTheme="majorHAnsi" w:cstheme="majorHAnsi"/>
              </w:rPr>
              <w:t>tedy i</w:t>
            </w:r>
            <w:r w:rsidR="000D7449">
              <w:rPr>
                <w:rFonts w:asciiTheme="majorHAnsi" w:hAnsiTheme="majorHAnsi" w:cstheme="majorHAnsi"/>
              </w:rPr>
              <w:t> </w:t>
            </w:r>
            <w:r w:rsidRPr="004B4B33">
              <w:rPr>
                <w:rFonts w:asciiTheme="majorHAnsi" w:hAnsiTheme="majorHAnsi" w:cstheme="majorHAnsi"/>
              </w:rPr>
              <w:t>odpovědnost za zajišťování bydlení v</w:t>
            </w:r>
            <w:r w:rsidR="000D7449">
              <w:rPr>
                <w:rFonts w:asciiTheme="majorHAnsi" w:hAnsiTheme="majorHAnsi" w:cstheme="majorHAnsi"/>
              </w:rPr>
              <w:t> </w:t>
            </w:r>
            <w:r w:rsidRPr="004B4B33">
              <w:rPr>
                <w:rFonts w:asciiTheme="majorHAnsi" w:hAnsiTheme="majorHAnsi" w:cstheme="majorHAnsi"/>
              </w:rPr>
              <w:t>míře, která významu této agendy odpovídá. Tím je limitovaná možnost využívat investice do bydlení ve veřejném zájmu v</w:t>
            </w:r>
            <w:r w:rsidR="000D7449">
              <w:rPr>
                <w:rFonts w:asciiTheme="majorHAnsi" w:hAnsiTheme="majorHAnsi" w:cstheme="majorHAnsi"/>
              </w:rPr>
              <w:t> </w:t>
            </w:r>
            <w:r w:rsidRPr="004B4B33">
              <w:rPr>
                <w:rFonts w:asciiTheme="majorHAnsi" w:hAnsiTheme="majorHAnsi" w:cstheme="majorHAnsi"/>
              </w:rPr>
              <w:t xml:space="preserve">širším strategickém přístupu. </w:t>
            </w:r>
          </w:p>
          <w:p w14:paraId="494B58B4" w14:textId="6B8FC5D9" w:rsidR="0042415F" w:rsidRPr="004B4B33" w:rsidRDefault="001D082B">
            <w:pPr>
              <w:jc w:val="both"/>
              <w:rPr>
                <w:rFonts w:asciiTheme="majorHAnsi" w:hAnsiTheme="majorHAnsi" w:cstheme="majorHAnsi"/>
              </w:rPr>
            </w:pPr>
            <w:r w:rsidRPr="004B4B33">
              <w:rPr>
                <w:rFonts w:asciiTheme="majorHAnsi" w:hAnsiTheme="majorHAnsi" w:cstheme="majorHAnsi"/>
              </w:rPr>
              <w:t>Podpora bydlení je nekoordinovaná a</w:t>
            </w:r>
            <w:r w:rsidR="000D7449">
              <w:rPr>
                <w:rFonts w:asciiTheme="majorHAnsi" w:hAnsiTheme="majorHAnsi" w:cstheme="majorHAnsi"/>
              </w:rPr>
              <w:t> </w:t>
            </w:r>
            <w:r w:rsidRPr="004B4B33">
              <w:rPr>
                <w:rFonts w:asciiTheme="majorHAnsi" w:hAnsiTheme="majorHAnsi" w:cstheme="majorHAnsi"/>
              </w:rPr>
              <w:t>omezená jen na několik dílčích nástrojů. Plošně je uplatňována pouze dávková podpora pro nízkopříjmové domácnosti na pokrytí nákladů bydlení. Naopak investice do rozšiřování nabídky dostupného a</w:t>
            </w:r>
            <w:r w:rsidR="000D7449">
              <w:rPr>
                <w:rFonts w:asciiTheme="majorHAnsi" w:hAnsiTheme="majorHAnsi" w:cstheme="majorHAnsi"/>
              </w:rPr>
              <w:t> </w:t>
            </w:r>
            <w:r w:rsidRPr="004B4B33">
              <w:rPr>
                <w:rFonts w:asciiTheme="majorHAnsi" w:hAnsiTheme="majorHAnsi" w:cstheme="majorHAnsi"/>
              </w:rPr>
              <w:t>sociálního bydlení jsou velmi omezené ve srovnání se soukromou bytovou výstavbou. Jsou závislé na místní aktivitě a</w:t>
            </w:r>
            <w:r w:rsidR="000D7449">
              <w:rPr>
                <w:rFonts w:asciiTheme="majorHAnsi" w:hAnsiTheme="majorHAnsi" w:cstheme="majorHAnsi"/>
              </w:rPr>
              <w:t> </w:t>
            </w:r>
            <w:r w:rsidRPr="004B4B33">
              <w:rPr>
                <w:rFonts w:asciiTheme="majorHAnsi" w:hAnsiTheme="majorHAnsi" w:cstheme="majorHAnsi"/>
              </w:rPr>
              <w:t>nejsou systematicky směřovány do obcí a</w:t>
            </w:r>
            <w:r w:rsidR="000D7449">
              <w:rPr>
                <w:rFonts w:asciiTheme="majorHAnsi" w:hAnsiTheme="majorHAnsi" w:cstheme="majorHAnsi"/>
              </w:rPr>
              <w:t> </w:t>
            </w:r>
            <w:r w:rsidRPr="004B4B33">
              <w:rPr>
                <w:rFonts w:asciiTheme="majorHAnsi" w:hAnsiTheme="majorHAnsi" w:cstheme="majorHAnsi"/>
              </w:rPr>
              <w:t>regionů s</w:t>
            </w:r>
            <w:r w:rsidR="000D7449">
              <w:rPr>
                <w:rFonts w:asciiTheme="majorHAnsi" w:hAnsiTheme="majorHAnsi" w:cstheme="majorHAnsi"/>
              </w:rPr>
              <w:t> </w:t>
            </w:r>
            <w:r w:rsidRPr="004B4B33">
              <w:rPr>
                <w:rFonts w:asciiTheme="majorHAnsi" w:hAnsiTheme="majorHAnsi" w:cstheme="majorHAnsi"/>
              </w:rPr>
              <w:t>nejzávažnějšími problémy dostupnosti bydlení ale rovněž i</w:t>
            </w:r>
            <w:r w:rsidR="000D7449">
              <w:rPr>
                <w:rFonts w:asciiTheme="majorHAnsi" w:hAnsiTheme="majorHAnsi" w:cstheme="majorHAnsi"/>
              </w:rPr>
              <w:t> </w:t>
            </w:r>
            <w:r w:rsidRPr="004B4B33">
              <w:rPr>
                <w:rFonts w:asciiTheme="majorHAnsi" w:hAnsiTheme="majorHAnsi" w:cstheme="majorHAnsi"/>
              </w:rPr>
              <w:t>zásadními odlišnostmi ve struktuře bytového fondu a</w:t>
            </w:r>
            <w:r w:rsidR="000D7449">
              <w:rPr>
                <w:rFonts w:asciiTheme="majorHAnsi" w:hAnsiTheme="majorHAnsi" w:cstheme="majorHAnsi"/>
              </w:rPr>
              <w:t> </w:t>
            </w:r>
            <w:r w:rsidRPr="004B4B33">
              <w:rPr>
                <w:rFonts w:asciiTheme="majorHAnsi" w:hAnsiTheme="majorHAnsi" w:cstheme="majorHAnsi"/>
              </w:rPr>
              <w:t>poptávce po dostupném bydlení.</w:t>
            </w:r>
          </w:p>
          <w:p w14:paraId="46726BE1" w14:textId="61F910AE" w:rsidR="0042415F" w:rsidRPr="004B4B33" w:rsidRDefault="001D082B">
            <w:pPr>
              <w:jc w:val="both"/>
              <w:rPr>
                <w:rFonts w:asciiTheme="majorHAnsi" w:hAnsiTheme="majorHAnsi" w:cstheme="majorHAnsi"/>
              </w:rPr>
            </w:pPr>
            <w:r w:rsidRPr="004B4B33">
              <w:rPr>
                <w:rFonts w:asciiTheme="majorHAnsi" w:hAnsiTheme="majorHAnsi" w:cstheme="majorHAnsi"/>
              </w:rPr>
              <w:t>V systému státní správy chybí jasné vymezení rolí mezi národní, krajskou a</w:t>
            </w:r>
            <w:r w:rsidR="000D7449">
              <w:rPr>
                <w:rFonts w:asciiTheme="majorHAnsi" w:hAnsiTheme="majorHAnsi" w:cstheme="majorHAnsi"/>
              </w:rPr>
              <w:t> </w:t>
            </w:r>
            <w:r w:rsidRPr="004B4B33">
              <w:rPr>
                <w:rFonts w:asciiTheme="majorHAnsi" w:hAnsiTheme="majorHAnsi" w:cstheme="majorHAnsi"/>
              </w:rPr>
              <w:t>obecní úrovní. Efektivní nástroje na řešení bytové nouze a</w:t>
            </w:r>
            <w:r w:rsidR="000D7449">
              <w:rPr>
                <w:rFonts w:asciiTheme="majorHAnsi" w:hAnsiTheme="majorHAnsi" w:cstheme="majorHAnsi"/>
              </w:rPr>
              <w:t> </w:t>
            </w:r>
            <w:r w:rsidRPr="004B4B33">
              <w:rPr>
                <w:rFonts w:asciiTheme="majorHAnsi" w:hAnsiTheme="majorHAnsi" w:cstheme="majorHAnsi"/>
              </w:rPr>
              <w:t>nedostupnosti bydlení jsou využívány pouze místně a</w:t>
            </w:r>
            <w:r w:rsidR="000D7449">
              <w:rPr>
                <w:rFonts w:asciiTheme="majorHAnsi" w:hAnsiTheme="majorHAnsi" w:cstheme="majorHAnsi"/>
              </w:rPr>
              <w:t> </w:t>
            </w:r>
            <w:r w:rsidRPr="004B4B33">
              <w:rPr>
                <w:rFonts w:asciiTheme="majorHAnsi" w:hAnsiTheme="majorHAnsi" w:cstheme="majorHAnsi"/>
              </w:rPr>
              <w:t>hrazeny téměř výlučně z</w:t>
            </w:r>
            <w:r w:rsidR="000D7449">
              <w:rPr>
                <w:rFonts w:asciiTheme="majorHAnsi" w:hAnsiTheme="majorHAnsi" w:cstheme="majorHAnsi"/>
              </w:rPr>
              <w:t> </w:t>
            </w:r>
            <w:r w:rsidRPr="004B4B33">
              <w:rPr>
                <w:rFonts w:asciiTheme="majorHAnsi" w:hAnsiTheme="majorHAnsi" w:cstheme="majorHAnsi"/>
              </w:rPr>
              <w:t>evropských dotačních zdrojů. Státní správa systematicky nesbírá data o</w:t>
            </w:r>
            <w:r w:rsidR="000D7449">
              <w:rPr>
                <w:rFonts w:asciiTheme="majorHAnsi" w:hAnsiTheme="majorHAnsi" w:cstheme="majorHAnsi"/>
              </w:rPr>
              <w:t> </w:t>
            </w:r>
            <w:r w:rsidRPr="004B4B33">
              <w:rPr>
                <w:rFonts w:asciiTheme="majorHAnsi" w:hAnsiTheme="majorHAnsi" w:cstheme="majorHAnsi"/>
              </w:rPr>
              <w:t>bytové nouzi ani o</w:t>
            </w:r>
            <w:r w:rsidR="000D7449">
              <w:rPr>
                <w:rFonts w:asciiTheme="majorHAnsi" w:hAnsiTheme="majorHAnsi" w:cstheme="majorHAnsi"/>
              </w:rPr>
              <w:t> </w:t>
            </w:r>
            <w:r w:rsidRPr="004B4B33">
              <w:rPr>
                <w:rFonts w:asciiTheme="majorHAnsi" w:hAnsiTheme="majorHAnsi" w:cstheme="majorHAnsi"/>
              </w:rPr>
              <w:t>investičních potřebách v</w:t>
            </w:r>
            <w:r w:rsidR="000D7449">
              <w:rPr>
                <w:rFonts w:asciiTheme="majorHAnsi" w:hAnsiTheme="majorHAnsi" w:cstheme="majorHAnsi"/>
              </w:rPr>
              <w:t> </w:t>
            </w:r>
            <w:r w:rsidRPr="004B4B33">
              <w:rPr>
                <w:rFonts w:asciiTheme="majorHAnsi" w:hAnsiTheme="majorHAnsi" w:cstheme="majorHAnsi"/>
              </w:rPr>
              <w:t>oblasti rozvoje bydlení. Dotační politika státu navíc není propojena s</w:t>
            </w:r>
            <w:r w:rsidR="000D7449">
              <w:rPr>
                <w:rFonts w:asciiTheme="majorHAnsi" w:hAnsiTheme="majorHAnsi" w:cstheme="majorHAnsi"/>
              </w:rPr>
              <w:t> </w:t>
            </w:r>
            <w:r w:rsidRPr="004B4B33">
              <w:rPr>
                <w:rFonts w:asciiTheme="majorHAnsi" w:hAnsiTheme="majorHAnsi" w:cstheme="majorHAnsi"/>
              </w:rPr>
              <w:t>místní potřebností a</w:t>
            </w:r>
            <w:r w:rsidR="000D7449">
              <w:rPr>
                <w:rFonts w:asciiTheme="majorHAnsi" w:hAnsiTheme="majorHAnsi" w:cstheme="majorHAnsi"/>
              </w:rPr>
              <w:t> </w:t>
            </w:r>
            <w:r w:rsidRPr="004B4B33">
              <w:rPr>
                <w:rFonts w:asciiTheme="majorHAnsi" w:hAnsiTheme="majorHAnsi" w:cstheme="majorHAnsi"/>
              </w:rPr>
              <w:t>opřena o</w:t>
            </w:r>
            <w:r w:rsidR="000D7449">
              <w:rPr>
                <w:rFonts w:asciiTheme="majorHAnsi" w:hAnsiTheme="majorHAnsi" w:cstheme="majorHAnsi"/>
              </w:rPr>
              <w:t> </w:t>
            </w:r>
            <w:r w:rsidRPr="004B4B33">
              <w:rPr>
                <w:rFonts w:asciiTheme="majorHAnsi" w:hAnsiTheme="majorHAnsi" w:cstheme="majorHAnsi"/>
              </w:rPr>
              <w:t>sběr kvalitních dat.</w:t>
            </w:r>
          </w:p>
          <w:p w14:paraId="6B981577" w14:textId="0F205A4D" w:rsidR="0042415F" w:rsidRPr="004B4B33" w:rsidRDefault="001D082B">
            <w:pPr>
              <w:jc w:val="both"/>
              <w:rPr>
                <w:rFonts w:asciiTheme="majorHAnsi" w:hAnsiTheme="majorHAnsi" w:cstheme="majorHAnsi"/>
              </w:rPr>
            </w:pPr>
            <w:r w:rsidRPr="004B4B33">
              <w:rPr>
                <w:rFonts w:asciiTheme="majorHAnsi" w:hAnsiTheme="majorHAnsi" w:cstheme="majorHAnsi"/>
              </w:rPr>
              <w:t>Požadavek na vznik legislativního rámce sociálního bydlení se objevuje ve strategických dokumentech vlády již více než 10 let (střídavě v</w:t>
            </w:r>
            <w:r w:rsidR="000D7449">
              <w:rPr>
                <w:rFonts w:asciiTheme="majorHAnsi" w:hAnsiTheme="majorHAnsi" w:cstheme="majorHAnsi"/>
              </w:rPr>
              <w:t> </w:t>
            </w:r>
            <w:r w:rsidRPr="004B4B33">
              <w:rPr>
                <w:rFonts w:asciiTheme="majorHAnsi" w:hAnsiTheme="majorHAnsi" w:cstheme="majorHAnsi"/>
              </w:rPr>
              <w:t>gesci Ministerstva pro místní rozvoj a</w:t>
            </w:r>
            <w:r w:rsidR="000D7449">
              <w:rPr>
                <w:rFonts w:asciiTheme="majorHAnsi" w:hAnsiTheme="majorHAnsi" w:cstheme="majorHAnsi"/>
              </w:rPr>
              <w:t> </w:t>
            </w:r>
            <w:r w:rsidRPr="004B4B33">
              <w:rPr>
                <w:rFonts w:asciiTheme="majorHAnsi" w:hAnsiTheme="majorHAnsi" w:cstheme="majorHAnsi"/>
              </w:rPr>
              <w:t>Ministerstva práce a</w:t>
            </w:r>
            <w:r w:rsidR="000D7449">
              <w:rPr>
                <w:rFonts w:asciiTheme="majorHAnsi" w:hAnsiTheme="majorHAnsi" w:cstheme="majorHAnsi"/>
              </w:rPr>
              <w:t> </w:t>
            </w:r>
            <w:r w:rsidRPr="004B4B33">
              <w:rPr>
                <w:rFonts w:asciiTheme="majorHAnsi" w:hAnsiTheme="majorHAnsi" w:cstheme="majorHAnsi"/>
              </w:rPr>
              <w:t>sociálních věcí). Návrh zákona o</w:t>
            </w:r>
            <w:r w:rsidR="000D7449">
              <w:rPr>
                <w:rFonts w:asciiTheme="majorHAnsi" w:hAnsiTheme="majorHAnsi" w:cstheme="majorHAnsi"/>
              </w:rPr>
              <w:t> </w:t>
            </w:r>
            <w:r w:rsidRPr="004B4B33">
              <w:rPr>
                <w:rFonts w:asciiTheme="majorHAnsi" w:hAnsiTheme="majorHAnsi" w:cstheme="majorHAnsi"/>
              </w:rPr>
              <w:t>sociálním bydlení a</w:t>
            </w:r>
            <w:r w:rsidR="000D7449">
              <w:rPr>
                <w:rFonts w:asciiTheme="majorHAnsi" w:hAnsiTheme="majorHAnsi" w:cstheme="majorHAnsi"/>
              </w:rPr>
              <w:t> </w:t>
            </w:r>
            <w:r w:rsidRPr="004B4B33">
              <w:rPr>
                <w:rFonts w:asciiTheme="majorHAnsi" w:hAnsiTheme="majorHAnsi" w:cstheme="majorHAnsi"/>
              </w:rPr>
              <w:t>o příspěvku na bydlení byl v</w:t>
            </w:r>
            <w:r w:rsidR="000D7449">
              <w:rPr>
                <w:rFonts w:asciiTheme="majorHAnsi" w:hAnsiTheme="majorHAnsi" w:cstheme="majorHAnsi"/>
              </w:rPr>
              <w:t> </w:t>
            </w:r>
            <w:r w:rsidRPr="004B4B33">
              <w:rPr>
                <w:rFonts w:asciiTheme="majorHAnsi" w:hAnsiTheme="majorHAnsi" w:cstheme="majorHAnsi"/>
              </w:rPr>
              <w:t>7. volebním období (2013 - 2017) schválen vládou, nebyl však projednán a</w:t>
            </w:r>
            <w:r w:rsidR="000D7449">
              <w:rPr>
                <w:rFonts w:asciiTheme="majorHAnsi" w:hAnsiTheme="majorHAnsi" w:cstheme="majorHAnsi"/>
              </w:rPr>
              <w:t> </w:t>
            </w:r>
            <w:r w:rsidRPr="004B4B33">
              <w:rPr>
                <w:rFonts w:asciiTheme="majorHAnsi" w:hAnsiTheme="majorHAnsi" w:cstheme="majorHAnsi"/>
              </w:rPr>
              <w:t>schválen Parlamentem ČR. V</w:t>
            </w:r>
            <w:r w:rsidR="000D7449">
              <w:rPr>
                <w:rFonts w:asciiTheme="majorHAnsi" w:hAnsiTheme="majorHAnsi" w:cstheme="majorHAnsi"/>
              </w:rPr>
              <w:t> </w:t>
            </w:r>
            <w:r w:rsidRPr="004B4B33">
              <w:rPr>
                <w:rFonts w:asciiTheme="majorHAnsi" w:hAnsiTheme="majorHAnsi" w:cstheme="majorHAnsi"/>
              </w:rPr>
              <w:t>8. volebním období (2017 - 2021) byla příprava zákona zastavena na úrovni vlády s</w:t>
            </w:r>
            <w:r w:rsidR="000D7449">
              <w:rPr>
                <w:rFonts w:asciiTheme="majorHAnsi" w:hAnsiTheme="majorHAnsi" w:cstheme="majorHAnsi"/>
              </w:rPr>
              <w:t> </w:t>
            </w:r>
            <w:r w:rsidRPr="004B4B33">
              <w:rPr>
                <w:rFonts w:asciiTheme="majorHAnsi" w:hAnsiTheme="majorHAnsi" w:cstheme="majorHAnsi"/>
              </w:rPr>
              <w:t>tím, že cíle zákona budou naplňovány dotačně-úvěrovým programem “Výstavba pro obce”. Čerpání tohoto programu však nebylo dostačující. I</w:t>
            </w:r>
            <w:r w:rsidR="000D7449">
              <w:rPr>
                <w:rFonts w:asciiTheme="majorHAnsi" w:hAnsiTheme="majorHAnsi" w:cstheme="majorHAnsi"/>
              </w:rPr>
              <w:t> </w:t>
            </w:r>
            <w:r w:rsidRPr="004B4B33">
              <w:rPr>
                <w:rFonts w:asciiTheme="majorHAnsi" w:hAnsiTheme="majorHAnsi" w:cstheme="majorHAnsi"/>
              </w:rPr>
              <w:t>Evropská komise doporučila ČR pro období 2022–2023 “Posílit poskytování sociálního a</w:t>
            </w:r>
            <w:r w:rsidR="000D7449">
              <w:rPr>
                <w:rFonts w:asciiTheme="majorHAnsi" w:hAnsiTheme="majorHAnsi" w:cstheme="majorHAnsi"/>
              </w:rPr>
              <w:t> </w:t>
            </w:r>
            <w:r w:rsidRPr="004B4B33">
              <w:rPr>
                <w:rFonts w:asciiTheme="majorHAnsi" w:hAnsiTheme="majorHAnsi" w:cstheme="majorHAnsi"/>
              </w:rPr>
              <w:t>cenově dostupného bydlení, mimo jiné přijetím zvláštního legislativního rámce pro sociální bydlení a</w:t>
            </w:r>
            <w:r w:rsidR="000D7449">
              <w:rPr>
                <w:rFonts w:asciiTheme="majorHAnsi" w:hAnsiTheme="majorHAnsi" w:cstheme="majorHAnsi"/>
              </w:rPr>
              <w:t> </w:t>
            </w:r>
            <w:r w:rsidRPr="004B4B33">
              <w:rPr>
                <w:rFonts w:asciiTheme="majorHAnsi" w:hAnsiTheme="majorHAnsi" w:cstheme="majorHAnsi"/>
              </w:rPr>
              <w:t>lepší koordinací jednotlivých veřejných subjektů.”</w:t>
            </w:r>
          </w:p>
          <w:p w14:paraId="37436499" w14:textId="3F4C5430" w:rsidR="0042415F" w:rsidRPr="004B4B33" w:rsidRDefault="001D082B">
            <w:pPr>
              <w:jc w:val="both"/>
              <w:rPr>
                <w:rFonts w:asciiTheme="majorHAnsi" w:hAnsiTheme="majorHAnsi" w:cstheme="majorHAnsi"/>
              </w:rPr>
            </w:pPr>
            <w:r w:rsidRPr="004B4B33">
              <w:rPr>
                <w:rFonts w:asciiTheme="majorHAnsi" w:hAnsiTheme="majorHAnsi" w:cstheme="majorHAnsi"/>
              </w:rPr>
              <w:t>Jedním z</w:t>
            </w:r>
            <w:r w:rsidR="000D7449">
              <w:rPr>
                <w:rFonts w:asciiTheme="majorHAnsi" w:hAnsiTheme="majorHAnsi" w:cstheme="majorHAnsi"/>
              </w:rPr>
              <w:t> </w:t>
            </w:r>
            <w:r w:rsidRPr="004B4B33">
              <w:rPr>
                <w:rFonts w:asciiTheme="majorHAnsi" w:hAnsiTheme="majorHAnsi" w:cstheme="majorHAnsi"/>
              </w:rPr>
              <w:t xml:space="preserve">cílů </w:t>
            </w:r>
            <w:r w:rsidRPr="004B4B33">
              <w:rPr>
                <w:rFonts w:asciiTheme="majorHAnsi" w:hAnsiTheme="majorHAnsi" w:cstheme="majorHAnsi"/>
                <w:b/>
              </w:rPr>
              <w:t>“Zákona o</w:t>
            </w:r>
            <w:r w:rsidR="000D7449">
              <w:rPr>
                <w:rFonts w:asciiTheme="majorHAnsi" w:hAnsiTheme="majorHAnsi" w:cstheme="majorHAnsi"/>
                <w:b/>
              </w:rPr>
              <w:t> </w:t>
            </w:r>
            <w:r w:rsidRPr="004B4B33">
              <w:rPr>
                <w:rFonts w:asciiTheme="majorHAnsi" w:hAnsiTheme="majorHAnsi" w:cstheme="majorHAnsi"/>
                <w:b/>
              </w:rPr>
              <w:t>podpoře v</w:t>
            </w:r>
            <w:r w:rsidR="000D7449">
              <w:rPr>
                <w:rFonts w:asciiTheme="majorHAnsi" w:hAnsiTheme="majorHAnsi" w:cstheme="majorHAnsi"/>
                <w:b/>
              </w:rPr>
              <w:t> </w:t>
            </w:r>
            <w:r w:rsidRPr="004B4B33">
              <w:rPr>
                <w:rFonts w:asciiTheme="majorHAnsi" w:hAnsiTheme="majorHAnsi" w:cstheme="majorHAnsi"/>
                <w:b/>
              </w:rPr>
              <w:t>bydlení”</w:t>
            </w:r>
            <w:r w:rsidRPr="004B4B33">
              <w:rPr>
                <w:rFonts w:asciiTheme="majorHAnsi" w:hAnsiTheme="majorHAnsi" w:cstheme="majorHAnsi"/>
              </w:rPr>
              <w:t xml:space="preserve"> je proto vymezit širší spektrum nástrojů pro zajištění bydlení osob v</w:t>
            </w:r>
            <w:r w:rsidR="000D7449">
              <w:rPr>
                <w:rFonts w:asciiTheme="majorHAnsi" w:hAnsiTheme="majorHAnsi" w:cstheme="majorHAnsi"/>
              </w:rPr>
              <w:t> </w:t>
            </w:r>
            <w:r w:rsidRPr="004B4B33">
              <w:rPr>
                <w:rFonts w:asciiTheme="majorHAnsi" w:hAnsiTheme="majorHAnsi" w:cstheme="majorHAnsi"/>
              </w:rPr>
              <w:t>bytové nouzi a</w:t>
            </w:r>
            <w:r w:rsidR="000D7449">
              <w:rPr>
                <w:rFonts w:asciiTheme="majorHAnsi" w:hAnsiTheme="majorHAnsi" w:cstheme="majorHAnsi"/>
              </w:rPr>
              <w:t> </w:t>
            </w:r>
            <w:r w:rsidRPr="004B4B33">
              <w:rPr>
                <w:rFonts w:asciiTheme="majorHAnsi" w:hAnsiTheme="majorHAnsi" w:cstheme="majorHAnsi"/>
              </w:rPr>
              <w:t>v jejich rámci také dobrovolnou zodpovědnost municipalit za zajištění dostupného bydlení. Díky síti kontaktních míst pro bydlení s</w:t>
            </w:r>
            <w:r w:rsidR="000D7449">
              <w:rPr>
                <w:rFonts w:asciiTheme="majorHAnsi" w:hAnsiTheme="majorHAnsi" w:cstheme="majorHAnsi"/>
              </w:rPr>
              <w:t> </w:t>
            </w:r>
            <w:r w:rsidRPr="004B4B33">
              <w:rPr>
                <w:rFonts w:asciiTheme="majorHAnsi" w:hAnsiTheme="majorHAnsi" w:cstheme="majorHAnsi"/>
              </w:rPr>
              <w:t>propojenou evidencí žadatelů o</w:t>
            </w:r>
            <w:r w:rsidR="000D7449">
              <w:rPr>
                <w:rFonts w:asciiTheme="majorHAnsi" w:hAnsiTheme="majorHAnsi" w:cstheme="majorHAnsi"/>
              </w:rPr>
              <w:t> </w:t>
            </w:r>
            <w:r w:rsidRPr="004B4B33">
              <w:rPr>
                <w:rFonts w:asciiTheme="majorHAnsi" w:hAnsiTheme="majorHAnsi" w:cstheme="majorHAnsi"/>
              </w:rPr>
              <w:t>byt a</w:t>
            </w:r>
            <w:r w:rsidR="000D7449">
              <w:rPr>
                <w:rFonts w:asciiTheme="majorHAnsi" w:hAnsiTheme="majorHAnsi" w:cstheme="majorHAnsi"/>
              </w:rPr>
              <w:t> </w:t>
            </w:r>
            <w:r w:rsidRPr="004B4B33">
              <w:rPr>
                <w:rFonts w:asciiTheme="majorHAnsi" w:hAnsiTheme="majorHAnsi" w:cstheme="majorHAnsi"/>
              </w:rPr>
              <w:t>databází disponibilních bytů v</w:t>
            </w:r>
            <w:r w:rsidR="000D7449">
              <w:rPr>
                <w:rFonts w:asciiTheme="majorHAnsi" w:hAnsiTheme="majorHAnsi" w:cstheme="majorHAnsi"/>
              </w:rPr>
              <w:t> </w:t>
            </w:r>
            <w:r w:rsidRPr="004B4B33">
              <w:rPr>
                <w:rFonts w:asciiTheme="majorHAnsi" w:hAnsiTheme="majorHAnsi" w:cstheme="majorHAnsi"/>
              </w:rPr>
              <w:t>každém správním obvodu obce s</w:t>
            </w:r>
            <w:r w:rsidR="000D7449">
              <w:rPr>
                <w:rFonts w:asciiTheme="majorHAnsi" w:hAnsiTheme="majorHAnsi" w:cstheme="majorHAnsi"/>
              </w:rPr>
              <w:t> </w:t>
            </w:r>
            <w:r w:rsidRPr="004B4B33">
              <w:rPr>
                <w:rFonts w:asciiTheme="majorHAnsi" w:hAnsiTheme="majorHAnsi" w:cstheme="majorHAnsi"/>
              </w:rPr>
              <w:t>rozšířenou působností bude mít státní správa přehled o</w:t>
            </w:r>
            <w:r w:rsidR="000D7449">
              <w:rPr>
                <w:rFonts w:asciiTheme="majorHAnsi" w:hAnsiTheme="majorHAnsi" w:cstheme="majorHAnsi"/>
              </w:rPr>
              <w:t> </w:t>
            </w:r>
            <w:r w:rsidRPr="004B4B33">
              <w:rPr>
                <w:rFonts w:asciiTheme="majorHAnsi" w:hAnsiTheme="majorHAnsi" w:cstheme="majorHAnsi"/>
              </w:rPr>
              <w:t>potřebnosti dostupného bydlení a</w:t>
            </w:r>
            <w:r w:rsidR="000D7449">
              <w:rPr>
                <w:rFonts w:asciiTheme="majorHAnsi" w:hAnsiTheme="majorHAnsi" w:cstheme="majorHAnsi"/>
              </w:rPr>
              <w:t> </w:t>
            </w:r>
            <w:r w:rsidRPr="004B4B33">
              <w:rPr>
                <w:rFonts w:asciiTheme="majorHAnsi" w:hAnsiTheme="majorHAnsi" w:cstheme="majorHAnsi"/>
              </w:rPr>
              <w:t>pravidelně bude také docházet k</w:t>
            </w:r>
            <w:r w:rsidR="000D7449">
              <w:rPr>
                <w:rFonts w:asciiTheme="majorHAnsi" w:hAnsiTheme="majorHAnsi" w:cstheme="majorHAnsi"/>
              </w:rPr>
              <w:t> </w:t>
            </w:r>
            <w:r w:rsidRPr="004B4B33">
              <w:rPr>
                <w:rFonts w:asciiTheme="majorHAnsi" w:hAnsiTheme="majorHAnsi" w:cstheme="majorHAnsi"/>
              </w:rPr>
              <w:t>regionálním doporučením pro rozvoj nástrojů na řešení bytové nouze včetně investičních priorit. Tuto zodpovědnost obcí v</w:t>
            </w:r>
            <w:r w:rsidR="000D7449">
              <w:rPr>
                <w:rFonts w:asciiTheme="majorHAnsi" w:hAnsiTheme="majorHAnsi" w:cstheme="majorHAnsi"/>
              </w:rPr>
              <w:t> </w:t>
            </w:r>
            <w:r w:rsidRPr="004B4B33">
              <w:rPr>
                <w:rFonts w:asciiTheme="majorHAnsi" w:hAnsiTheme="majorHAnsi" w:cstheme="majorHAnsi"/>
              </w:rPr>
              <w:t>přenesené působnosti bude doprovázet podpora výstavby a</w:t>
            </w:r>
            <w:r w:rsidR="000D7449">
              <w:rPr>
                <w:rFonts w:asciiTheme="majorHAnsi" w:hAnsiTheme="majorHAnsi" w:cstheme="majorHAnsi"/>
              </w:rPr>
              <w:t> </w:t>
            </w:r>
            <w:r w:rsidRPr="004B4B33">
              <w:rPr>
                <w:rFonts w:asciiTheme="majorHAnsi" w:hAnsiTheme="majorHAnsi" w:cstheme="majorHAnsi"/>
              </w:rPr>
              <w:t>investic ve formě jak dotační, tak dalších finančních nástrojů ve spolupráci s</w:t>
            </w:r>
            <w:r w:rsidR="000D7449">
              <w:rPr>
                <w:rFonts w:asciiTheme="majorHAnsi" w:hAnsiTheme="majorHAnsi" w:cstheme="majorHAnsi"/>
              </w:rPr>
              <w:t> </w:t>
            </w:r>
            <w:r w:rsidRPr="004B4B33">
              <w:rPr>
                <w:rFonts w:asciiTheme="majorHAnsi" w:hAnsiTheme="majorHAnsi" w:cstheme="majorHAnsi"/>
              </w:rPr>
              <w:t xml:space="preserve">neveřejným </w:t>
            </w:r>
            <w:r w:rsidRPr="004B4B33">
              <w:rPr>
                <w:rFonts w:asciiTheme="majorHAnsi" w:hAnsiTheme="majorHAnsi" w:cstheme="majorHAnsi"/>
              </w:rPr>
              <w:lastRenderedPageBreak/>
              <w:t>sektorem. Bezprostředním důsledkem předpokládaného schválení tohoto zákona v</w:t>
            </w:r>
            <w:r w:rsidR="000D7449">
              <w:rPr>
                <w:rFonts w:asciiTheme="majorHAnsi" w:hAnsiTheme="majorHAnsi" w:cstheme="majorHAnsi"/>
              </w:rPr>
              <w:t> </w:t>
            </w:r>
            <w:r w:rsidRPr="004B4B33">
              <w:rPr>
                <w:rFonts w:asciiTheme="majorHAnsi" w:hAnsiTheme="majorHAnsi" w:cstheme="majorHAnsi"/>
              </w:rPr>
              <w:t>tomto volebním období bude nejen postupné snižování bytové nouze a</w:t>
            </w:r>
            <w:r w:rsidR="000D7449">
              <w:rPr>
                <w:rFonts w:asciiTheme="majorHAnsi" w:hAnsiTheme="majorHAnsi" w:cstheme="majorHAnsi"/>
              </w:rPr>
              <w:t> </w:t>
            </w:r>
            <w:r w:rsidRPr="004B4B33">
              <w:rPr>
                <w:rFonts w:asciiTheme="majorHAnsi" w:hAnsiTheme="majorHAnsi" w:cstheme="majorHAnsi"/>
              </w:rPr>
              <w:t>zlepšení situace ohrožených obyvatel, ale také jasné rozdělení rolí jednotlivých aktérů a</w:t>
            </w:r>
            <w:r w:rsidR="000D7449">
              <w:rPr>
                <w:rFonts w:asciiTheme="majorHAnsi" w:hAnsiTheme="majorHAnsi" w:cstheme="majorHAnsi"/>
              </w:rPr>
              <w:t> </w:t>
            </w:r>
            <w:r w:rsidRPr="004B4B33">
              <w:rPr>
                <w:rFonts w:asciiTheme="majorHAnsi" w:hAnsiTheme="majorHAnsi" w:cstheme="majorHAnsi"/>
              </w:rPr>
              <w:t>propojení dat z</w:t>
            </w:r>
            <w:r w:rsidR="000D7449">
              <w:rPr>
                <w:rFonts w:asciiTheme="majorHAnsi" w:hAnsiTheme="majorHAnsi" w:cstheme="majorHAnsi"/>
              </w:rPr>
              <w:t> </w:t>
            </w:r>
            <w:r w:rsidRPr="004B4B33">
              <w:rPr>
                <w:rFonts w:asciiTheme="majorHAnsi" w:hAnsiTheme="majorHAnsi" w:cstheme="majorHAnsi"/>
              </w:rPr>
              <w:t>regionů s</w:t>
            </w:r>
            <w:r w:rsidR="000D7449">
              <w:rPr>
                <w:rFonts w:asciiTheme="majorHAnsi" w:hAnsiTheme="majorHAnsi" w:cstheme="majorHAnsi"/>
              </w:rPr>
              <w:t> </w:t>
            </w:r>
            <w:r w:rsidRPr="004B4B33">
              <w:rPr>
                <w:rFonts w:asciiTheme="majorHAnsi" w:hAnsiTheme="majorHAnsi" w:cstheme="majorHAnsi"/>
              </w:rPr>
              <w:t xml:space="preserve">investičními prioritami vlády. Předpoklad platnosti tohoto zákona je rok 2025. </w:t>
            </w:r>
          </w:p>
          <w:p w14:paraId="322A66CD" w14:textId="7C7456F3" w:rsidR="0042415F" w:rsidRPr="004B4B33" w:rsidRDefault="001D082B">
            <w:pPr>
              <w:jc w:val="both"/>
              <w:rPr>
                <w:rFonts w:asciiTheme="majorHAnsi" w:hAnsiTheme="majorHAnsi" w:cstheme="majorHAnsi"/>
                <w:color w:val="0000FF"/>
              </w:rPr>
            </w:pPr>
            <w:r w:rsidRPr="004B4B33">
              <w:rPr>
                <w:rFonts w:asciiTheme="majorHAnsi" w:hAnsiTheme="majorHAnsi" w:cstheme="majorHAnsi"/>
              </w:rPr>
              <w:t>Součástí reformy je také logická provázanost s</w:t>
            </w:r>
            <w:r w:rsidR="000D7449">
              <w:rPr>
                <w:rFonts w:asciiTheme="majorHAnsi" w:hAnsiTheme="majorHAnsi" w:cstheme="majorHAnsi"/>
              </w:rPr>
              <w:t> </w:t>
            </w:r>
            <w:r w:rsidRPr="004B4B33">
              <w:rPr>
                <w:rFonts w:asciiTheme="majorHAnsi" w:hAnsiTheme="majorHAnsi" w:cstheme="majorHAnsi"/>
              </w:rPr>
              <w:t>cenovými mapami nájemného, dávkovým systémem a</w:t>
            </w:r>
            <w:r w:rsidR="000D7449">
              <w:rPr>
                <w:rFonts w:asciiTheme="majorHAnsi" w:hAnsiTheme="majorHAnsi" w:cstheme="majorHAnsi"/>
              </w:rPr>
              <w:t> </w:t>
            </w:r>
            <w:r w:rsidRPr="004B4B33">
              <w:rPr>
                <w:rFonts w:asciiTheme="majorHAnsi" w:hAnsiTheme="majorHAnsi" w:cstheme="majorHAnsi"/>
              </w:rPr>
              <w:t>investiční politikou.</w:t>
            </w:r>
          </w:p>
        </w:tc>
      </w:tr>
      <w:tr w:rsidR="0042415F" w:rsidRPr="004B4B33" w14:paraId="46EF7D75" w14:textId="77777777">
        <w:tc>
          <w:tcPr>
            <w:tcW w:w="1725" w:type="dxa"/>
            <w:shd w:val="clear" w:color="auto" w:fill="auto"/>
            <w:tcMar>
              <w:top w:w="100" w:type="dxa"/>
              <w:left w:w="100" w:type="dxa"/>
              <w:bottom w:w="100" w:type="dxa"/>
              <w:right w:w="100" w:type="dxa"/>
            </w:tcMar>
          </w:tcPr>
          <w:p w14:paraId="0547C1BF" w14:textId="77777777" w:rsidR="0042415F" w:rsidRPr="004B4B33" w:rsidRDefault="001D082B">
            <w:pPr>
              <w:spacing w:before="0"/>
              <w:jc w:val="right"/>
              <w:rPr>
                <w:rFonts w:asciiTheme="majorHAnsi" w:hAnsiTheme="majorHAnsi" w:cstheme="majorHAnsi"/>
              </w:rPr>
            </w:pPr>
            <w:r w:rsidRPr="004B4B33">
              <w:rPr>
                <w:rFonts w:asciiTheme="majorHAnsi" w:hAnsiTheme="majorHAnsi" w:cstheme="majorHAnsi"/>
              </w:rPr>
              <w:lastRenderedPageBreak/>
              <w:t xml:space="preserve">Cíl </w:t>
            </w:r>
          </w:p>
        </w:tc>
        <w:tc>
          <w:tcPr>
            <w:tcW w:w="7275" w:type="dxa"/>
            <w:shd w:val="clear" w:color="auto" w:fill="auto"/>
            <w:tcMar>
              <w:top w:w="100" w:type="dxa"/>
              <w:left w:w="100" w:type="dxa"/>
              <w:bottom w:w="100" w:type="dxa"/>
              <w:right w:w="100" w:type="dxa"/>
            </w:tcMar>
          </w:tcPr>
          <w:p w14:paraId="2DF47ED5" w14:textId="10AEEB47" w:rsidR="0042415F" w:rsidRPr="004B4B33" w:rsidRDefault="001D082B">
            <w:pPr>
              <w:spacing w:before="0"/>
              <w:rPr>
                <w:rFonts w:asciiTheme="majorHAnsi" w:hAnsiTheme="majorHAnsi" w:cstheme="majorHAnsi"/>
              </w:rPr>
            </w:pPr>
            <w:r w:rsidRPr="004B4B33">
              <w:rPr>
                <w:rFonts w:asciiTheme="majorHAnsi" w:hAnsiTheme="majorHAnsi" w:cstheme="majorHAnsi"/>
              </w:rPr>
              <w:t>Příprava a</w:t>
            </w:r>
            <w:r w:rsidR="000D7449">
              <w:rPr>
                <w:rFonts w:asciiTheme="majorHAnsi" w:hAnsiTheme="majorHAnsi" w:cstheme="majorHAnsi"/>
              </w:rPr>
              <w:t> </w:t>
            </w:r>
            <w:r w:rsidRPr="004B4B33">
              <w:rPr>
                <w:rFonts w:asciiTheme="majorHAnsi" w:hAnsiTheme="majorHAnsi" w:cstheme="majorHAnsi"/>
              </w:rPr>
              <w:t>schválení “Zákona o</w:t>
            </w:r>
            <w:r w:rsidR="000D7449">
              <w:rPr>
                <w:rFonts w:asciiTheme="majorHAnsi" w:hAnsiTheme="majorHAnsi" w:cstheme="majorHAnsi"/>
              </w:rPr>
              <w:t> </w:t>
            </w:r>
            <w:r w:rsidRPr="004B4B33">
              <w:rPr>
                <w:rFonts w:asciiTheme="majorHAnsi" w:hAnsiTheme="majorHAnsi" w:cstheme="majorHAnsi"/>
              </w:rPr>
              <w:t>podpoře v</w:t>
            </w:r>
            <w:r w:rsidR="000D7449">
              <w:rPr>
                <w:rFonts w:asciiTheme="majorHAnsi" w:hAnsiTheme="majorHAnsi" w:cstheme="majorHAnsi"/>
              </w:rPr>
              <w:t> </w:t>
            </w:r>
            <w:r w:rsidRPr="004B4B33">
              <w:rPr>
                <w:rFonts w:asciiTheme="majorHAnsi" w:hAnsiTheme="majorHAnsi" w:cstheme="majorHAnsi"/>
              </w:rPr>
              <w:t>bydlení” (dále jen „Zákon“).</w:t>
            </w:r>
          </w:p>
          <w:p w14:paraId="44A6BFBF" w14:textId="77777777" w:rsidR="0042415F" w:rsidRPr="004B4B33" w:rsidRDefault="001D082B">
            <w:pPr>
              <w:jc w:val="both"/>
              <w:rPr>
                <w:rFonts w:asciiTheme="majorHAnsi" w:hAnsiTheme="majorHAnsi" w:cstheme="majorHAnsi"/>
              </w:rPr>
            </w:pPr>
            <w:r w:rsidRPr="004B4B33">
              <w:rPr>
                <w:rFonts w:asciiTheme="majorHAnsi" w:hAnsiTheme="majorHAnsi" w:cstheme="majorHAnsi"/>
              </w:rPr>
              <w:t>Cíle:</w:t>
            </w:r>
          </w:p>
          <w:p w14:paraId="295F0D68" w14:textId="28A2DFF6" w:rsidR="0042415F" w:rsidRPr="004B4B33" w:rsidRDefault="001D082B">
            <w:pPr>
              <w:numPr>
                <w:ilvl w:val="0"/>
                <w:numId w:val="21"/>
              </w:numPr>
              <w:spacing w:after="0"/>
              <w:ind w:left="425"/>
              <w:jc w:val="both"/>
              <w:rPr>
                <w:rFonts w:asciiTheme="majorHAnsi" w:hAnsiTheme="majorHAnsi" w:cstheme="majorHAnsi"/>
                <w:highlight w:val="white"/>
              </w:rPr>
            </w:pPr>
            <w:r w:rsidRPr="004B4B33">
              <w:rPr>
                <w:rFonts w:asciiTheme="majorHAnsi" w:hAnsiTheme="majorHAnsi" w:cstheme="majorHAnsi"/>
                <w:highlight w:val="white"/>
              </w:rPr>
              <w:t>dosáhnout konsensu na potřebách státní intervence a</w:t>
            </w:r>
            <w:r w:rsidR="000D7449">
              <w:rPr>
                <w:rFonts w:asciiTheme="majorHAnsi" w:hAnsiTheme="majorHAnsi" w:cstheme="majorHAnsi"/>
                <w:highlight w:val="white"/>
              </w:rPr>
              <w:t> </w:t>
            </w:r>
            <w:r w:rsidRPr="004B4B33">
              <w:rPr>
                <w:rFonts w:asciiTheme="majorHAnsi" w:hAnsiTheme="majorHAnsi" w:cstheme="majorHAnsi"/>
                <w:highlight w:val="white"/>
              </w:rPr>
              <w:t>principech řešení mezi klíčovými aktéry a</w:t>
            </w:r>
            <w:r w:rsidR="000D7449">
              <w:rPr>
                <w:rFonts w:asciiTheme="majorHAnsi" w:hAnsiTheme="majorHAnsi" w:cstheme="majorHAnsi"/>
                <w:highlight w:val="white"/>
              </w:rPr>
              <w:t> </w:t>
            </w:r>
            <w:r w:rsidRPr="004B4B33">
              <w:rPr>
                <w:rFonts w:asciiTheme="majorHAnsi" w:hAnsiTheme="majorHAnsi" w:cstheme="majorHAnsi"/>
                <w:highlight w:val="white"/>
              </w:rPr>
              <w:t>nositeli řešení, a</w:t>
            </w:r>
            <w:r w:rsidR="000D7449">
              <w:rPr>
                <w:rFonts w:asciiTheme="majorHAnsi" w:hAnsiTheme="majorHAnsi" w:cstheme="majorHAnsi"/>
                <w:highlight w:val="white"/>
              </w:rPr>
              <w:t> </w:t>
            </w:r>
            <w:r w:rsidRPr="004B4B33">
              <w:rPr>
                <w:rFonts w:asciiTheme="majorHAnsi" w:hAnsiTheme="majorHAnsi" w:cstheme="majorHAnsi"/>
                <w:highlight w:val="white"/>
              </w:rPr>
              <w:t>to jak širokým konzultačním procesem spojeným s</w:t>
            </w:r>
            <w:r w:rsidR="000D7449">
              <w:rPr>
                <w:rFonts w:asciiTheme="majorHAnsi" w:hAnsiTheme="majorHAnsi" w:cstheme="majorHAnsi"/>
                <w:highlight w:val="white"/>
              </w:rPr>
              <w:t> </w:t>
            </w:r>
            <w:r w:rsidRPr="004B4B33">
              <w:rPr>
                <w:rFonts w:asciiTheme="majorHAnsi" w:hAnsiTheme="majorHAnsi" w:cstheme="majorHAnsi"/>
                <w:highlight w:val="white"/>
              </w:rPr>
              <w:t>osvětou a</w:t>
            </w:r>
            <w:r w:rsidR="000D7449">
              <w:rPr>
                <w:rFonts w:asciiTheme="majorHAnsi" w:hAnsiTheme="majorHAnsi" w:cstheme="majorHAnsi"/>
                <w:highlight w:val="white"/>
              </w:rPr>
              <w:t> </w:t>
            </w:r>
            <w:r w:rsidRPr="004B4B33">
              <w:rPr>
                <w:rFonts w:asciiTheme="majorHAnsi" w:hAnsiTheme="majorHAnsi" w:cstheme="majorHAnsi"/>
                <w:highlight w:val="white"/>
              </w:rPr>
              <w:t>komunikační kampaní, tak návrhem palety motivačních nástrojů;</w:t>
            </w:r>
          </w:p>
          <w:p w14:paraId="4C4C6F3C" w14:textId="6276B015" w:rsidR="0042415F" w:rsidRPr="004B4B33" w:rsidRDefault="001D082B">
            <w:pPr>
              <w:numPr>
                <w:ilvl w:val="0"/>
                <w:numId w:val="21"/>
              </w:numPr>
              <w:spacing w:before="0" w:after="0"/>
              <w:ind w:left="425"/>
              <w:jc w:val="both"/>
              <w:rPr>
                <w:rFonts w:asciiTheme="majorHAnsi" w:hAnsiTheme="majorHAnsi" w:cstheme="majorHAnsi"/>
                <w:highlight w:val="white"/>
              </w:rPr>
            </w:pPr>
            <w:r w:rsidRPr="004B4B33">
              <w:rPr>
                <w:rFonts w:asciiTheme="majorHAnsi" w:hAnsiTheme="majorHAnsi" w:cstheme="majorHAnsi"/>
              </w:rPr>
              <w:t>metodicky ukotvit agendu sociálního bydlení a</w:t>
            </w:r>
            <w:r w:rsidR="000D7449">
              <w:rPr>
                <w:rFonts w:asciiTheme="majorHAnsi" w:hAnsiTheme="majorHAnsi" w:cstheme="majorHAnsi"/>
              </w:rPr>
              <w:t> </w:t>
            </w:r>
            <w:r w:rsidRPr="004B4B33">
              <w:rPr>
                <w:rFonts w:asciiTheme="majorHAnsi" w:hAnsiTheme="majorHAnsi" w:cstheme="majorHAnsi"/>
              </w:rPr>
              <w:t>dostupného bydlení. Využít předmětné know-how ze zahraničí;</w:t>
            </w:r>
          </w:p>
          <w:p w14:paraId="02B1184C" w14:textId="7960954E" w:rsidR="0042415F" w:rsidRPr="004B4B33" w:rsidRDefault="001D082B">
            <w:pPr>
              <w:numPr>
                <w:ilvl w:val="0"/>
                <w:numId w:val="21"/>
              </w:numPr>
              <w:spacing w:before="0"/>
              <w:ind w:left="425"/>
              <w:jc w:val="both"/>
              <w:rPr>
                <w:rFonts w:asciiTheme="majorHAnsi" w:hAnsiTheme="majorHAnsi" w:cstheme="majorHAnsi"/>
                <w:highlight w:val="white"/>
              </w:rPr>
            </w:pPr>
            <w:r w:rsidRPr="004B4B33">
              <w:rPr>
                <w:rFonts w:asciiTheme="majorHAnsi" w:hAnsiTheme="majorHAnsi" w:cstheme="majorHAnsi"/>
              </w:rPr>
              <w:t>vyjasnit role a</w:t>
            </w:r>
            <w:r w:rsidR="000D7449">
              <w:rPr>
                <w:rFonts w:asciiTheme="majorHAnsi" w:hAnsiTheme="majorHAnsi" w:cstheme="majorHAnsi"/>
              </w:rPr>
              <w:t> </w:t>
            </w:r>
            <w:r w:rsidRPr="004B4B33">
              <w:rPr>
                <w:rFonts w:asciiTheme="majorHAnsi" w:hAnsiTheme="majorHAnsi" w:cstheme="majorHAnsi"/>
              </w:rPr>
              <w:t>kompetence klíčových aktérů v</w:t>
            </w:r>
            <w:r w:rsidR="000D7449">
              <w:rPr>
                <w:rFonts w:asciiTheme="majorHAnsi" w:hAnsiTheme="majorHAnsi" w:cstheme="majorHAnsi"/>
              </w:rPr>
              <w:t> </w:t>
            </w:r>
            <w:r w:rsidRPr="004B4B33">
              <w:rPr>
                <w:rFonts w:asciiTheme="majorHAnsi" w:hAnsiTheme="majorHAnsi" w:cstheme="majorHAnsi"/>
              </w:rPr>
              <w:t>politice bydlení, především obcí, krajů a</w:t>
            </w:r>
            <w:r w:rsidR="000D7449">
              <w:rPr>
                <w:rFonts w:asciiTheme="majorHAnsi" w:hAnsiTheme="majorHAnsi" w:cstheme="majorHAnsi"/>
              </w:rPr>
              <w:t> </w:t>
            </w:r>
            <w:r w:rsidRPr="004B4B33">
              <w:rPr>
                <w:rFonts w:asciiTheme="majorHAnsi" w:hAnsiTheme="majorHAnsi" w:cstheme="majorHAnsi"/>
              </w:rPr>
              <w:t>státu (MMR, MPSV, Úřad práce, SFPI atd.);</w:t>
            </w:r>
          </w:p>
          <w:p w14:paraId="6BC13DF2" w14:textId="1E1DA5E0" w:rsidR="0042415F" w:rsidRPr="004B4B33" w:rsidRDefault="001D082B">
            <w:pPr>
              <w:jc w:val="both"/>
              <w:rPr>
                <w:rFonts w:asciiTheme="majorHAnsi" w:hAnsiTheme="majorHAnsi" w:cstheme="majorHAnsi"/>
              </w:rPr>
            </w:pPr>
            <w:r w:rsidRPr="004B4B33">
              <w:rPr>
                <w:rFonts w:asciiTheme="majorHAnsi" w:hAnsiTheme="majorHAnsi" w:cstheme="majorHAnsi"/>
              </w:rPr>
              <w:t>Zákon nabídne obcím soubor volitelných nástrojů, které umožní systematicky řešit situaci obyvatel v</w:t>
            </w:r>
            <w:r w:rsidR="000D7449">
              <w:rPr>
                <w:rFonts w:asciiTheme="majorHAnsi" w:hAnsiTheme="majorHAnsi" w:cstheme="majorHAnsi"/>
              </w:rPr>
              <w:t> </w:t>
            </w:r>
            <w:r w:rsidRPr="004B4B33">
              <w:rPr>
                <w:rFonts w:asciiTheme="majorHAnsi" w:hAnsiTheme="majorHAnsi" w:cstheme="majorHAnsi"/>
              </w:rPr>
              <w:t>souladu s</w:t>
            </w:r>
            <w:r w:rsidR="000D7449">
              <w:rPr>
                <w:rFonts w:asciiTheme="majorHAnsi" w:hAnsiTheme="majorHAnsi" w:cstheme="majorHAnsi"/>
              </w:rPr>
              <w:t> </w:t>
            </w:r>
            <w:r w:rsidRPr="004B4B33">
              <w:rPr>
                <w:rFonts w:asciiTheme="majorHAnsi" w:hAnsiTheme="majorHAnsi" w:cstheme="majorHAnsi"/>
              </w:rPr>
              <w:t>jejich konkrétními potřebami. Zároveň bude Zákon jasně formulovat způsob a</w:t>
            </w:r>
            <w:r w:rsidR="000D7449">
              <w:rPr>
                <w:rFonts w:asciiTheme="majorHAnsi" w:hAnsiTheme="majorHAnsi" w:cstheme="majorHAnsi"/>
              </w:rPr>
              <w:t> </w:t>
            </w:r>
            <w:r w:rsidRPr="004B4B33">
              <w:rPr>
                <w:rFonts w:asciiTheme="majorHAnsi" w:hAnsiTheme="majorHAnsi" w:cstheme="majorHAnsi"/>
              </w:rPr>
              <w:t>pravidla financování takových nástrojů. Ty budou připraveny v</w:t>
            </w:r>
            <w:r w:rsidR="000D7449">
              <w:rPr>
                <w:rFonts w:asciiTheme="majorHAnsi" w:hAnsiTheme="majorHAnsi" w:cstheme="majorHAnsi"/>
              </w:rPr>
              <w:t> </w:t>
            </w:r>
            <w:r w:rsidRPr="004B4B33">
              <w:rPr>
                <w:rFonts w:asciiTheme="majorHAnsi" w:hAnsiTheme="majorHAnsi" w:cstheme="majorHAnsi"/>
              </w:rPr>
              <w:t>kontextu zahraničních a</w:t>
            </w:r>
            <w:r w:rsidR="000D7449">
              <w:rPr>
                <w:rFonts w:asciiTheme="majorHAnsi" w:hAnsiTheme="majorHAnsi" w:cstheme="majorHAnsi"/>
              </w:rPr>
              <w:t> </w:t>
            </w:r>
            <w:r w:rsidRPr="004B4B33">
              <w:rPr>
                <w:rFonts w:asciiTheme="majorHAnsi" w:hAnsiTheme="majorHAnsi" w:cstheme="majorHAnsi"/>
              </w:rPr>
              <w:t>domácích příkladů dobré praxe – od různých forem poradenství (sociálního, realitního, právního, dluhového apod.) v</w:t>
            </w:r>
            <w:r w:rsidR="000D7449">
              <w:rPr>
                <w:rFonts w:asciiTheme="majorHAnsi" w:hAnsiTheme="majorHAnsi" w:cstheme="majorHAnsi"/>
              </w:rPr>
              <w:t> </w:t>
            </w:r>
            <w:r w:rsidRPr="004B4B33">
              <w:rPr>
                <w:rFonts w:asciiTheme="majorHAnsi" w:hAnsiTheme="majorHAnsi" w:cstheme="majorHAnsi"/>
              </w:rPr>
              <w:t>kontaktních místech pro bydlení, přes podporu bydlení v</w:t>
            </w:r>
            <w:r w:rsidR="000D7449">
              <w:rPr>
                <w:rFonts w:asciiTheme="majorHAnsi" w:hAnsiTheme="majorHAnsi" w:cstheme="majorHAnsi"/>
              </w:rPr>
              <w:t> </w:t>
            </w:r>
            <w:r w:rsidRPr="004B4B33">
              <w:rPr>
                <w:rFonts w:asciiTheme="majorHAnsi" w:hAnsiTheme="majorHAnsi" w:cstheme="majorHAnsi"/>
              </w:rPr>
              <w:t>soukromém sektoru za využití státní garance pro majitele bytů až po kompenzace pro obce, které do systému dobrovolně vloží část svého bytového fondu. Zákon zároveň bude řešit vazbu na další služby, zejména služby asistence při zabydlování lidí, kteří žili v</w:t>
            </w:r>
            <w:r w:rsidR="000D7449">
              <w:rPr>
                <w:rFonts w:asciiTheme="majorHAnsi" w:hAnsiTheme="majorHAnsi" w:cstheme="majorHAnsi"/>
              </w:rPr>
              <w:t> </w:t>
            </w:r>
            <w:r w:rsidRPr="004B4B33">
              <w:rPr>
                <w:rFonts w:asciiTheme="majorHAnsi" w:hAnsiTheme="majorHAnsi" w:cstheme="majorHAnsi"/>
              </w:rPr>
              <w:t>nevyhovujících podmínkách a</w:t>
            </w:r>
            <w:r w:rsidR="000D7449">
              <w:rPr>
                <w:rFonts w:asciiTheme="majorHAnsi" w:hAnsiTheme="majorHAnsi" w:cstheme="majorHAnsi"/>
              </w:rPr>
              <w:t> </w:t>
            </w:r>
            <w:r w:rsidRPr="004B4B33">
              <w:rPr>
                <w:rFonts w:asciiTheme="majorHAnsi" w:hAnsiTheme="majorHAnsi" w:cstheme="majorHAnsi"/>
              </w:rPr>
              <w:t>také vazbu na dotační a</w:t>
            </w:r>
            <w:r w:rsidR="000D7449">
              <w:rPr>
                <w:rFonts w:asciiTheme="majorHAnsi" w:hAnsiTheme="majorHAnsi" w:cstheme="majorHAnsi"/>
              </w:rPr>
              <w:t> </w:t>
            </w:r>
            <w:r w:rsidRPr="004B4B33">
              <w:rPr>
                <w:rFonts w:asciiTheme="majorHAnsi" w:hAnsiTheme="majorHAnsi" w:cstheme="majorHAnsi"/>
              </w:rPr>
              <w:t>jiné investiční programy na pořízení dostupných a</w:t>
            </w:r>
            <w:r w:rsidR="000D7449">
              <w:rPr>
                <w:rFonts w:asciiTheme="majorHAnsi" w:hAnsiTheme="majorHAnsi" w:cstheme="majorHAnsi"/>
              </w:rPr>
              <w:t> </w:t>
            </w:r>
            <w:r w:rsidRPr="004B4B33">
              <w:rPr>
                <w:rFonts w:asciiTheme="majorHAnsi" w:hAnsiTheme="majorHAnsi" w:cstheme="majorHAnsi"/>
              </w:rPr>
              <w:t>sociálních bytů. Díky síti kontaktních míst pro ohrožené občany bude mít stát průběžné informace o</w:t>
            </w:r>
            <w:r w:rsidR="000D7449">
              <w:rPr>
                <w:rFonts w:asciiTheme="majorHAnsi" w:hAnsiTheme="majorHAnsi" w:cstheme="majorHAnsi"/>
              </w:rPr>
              <w:t> </w:t>
            </w:r>
            <w:r w:rsidRPr="004B4B33">
              <w:rPr>
                <w:rFonts w:asciiTheme="majorHAnsi" w:hAnsiTheme="majorHAnsi" w:cstheme="majorHAnsi"/>
              </w:rPr>
              <w:t>trendech bytové nouze napříč ČR.</w:t>
            </w:r>
          </w:p>
        </w:tc>
      </w:tr>
      <w:tr w:rsidR="0042415F" w:rsidRPr="004B4B33" w14:paraId="69FD1B88" w14:textId="77777777">
        <w:trPr>
          <w:trHeight w:val="630"/>
        </w:trPr>
        <w:tc>
          <w:tcPr>
            <w:tcW w:w="1725" w:type="dxa"/>
            <w:shd w:val="clear" w:color="auto" w:fill="auto"/>
            <w:tcMar>
              <w:top w:w="100" w:type="dxa"/>
              <w:left w:w="100" w:type="dxa"/>
              <w:bottom w:w="100" w:type="dxa"/>
              <w:right w:w="100" w:type="dxa"/>
            </w:tcMar>
          </w:tcPr>
          <w:p w14:paraId="01B196B4" w14:textId="77777777" w:rsidR="0042415F" w:rsidRPr="004B4B33" w:rsidRDefault="001D082B">
            <w:pPr>
              <w:spacing w:before="0"/>
              <w:jc w:val="right"/>
              <w:rPr>
                <w:rFonts w:asciiTheme="majorHAnsi" w:hAnsiTheme="majorHAnsi" w:cstheme="majorHAnsi"/>
              </w:rPr>
            </w:pPr>
            <w:r w:rsidRPr="004B4B33">
              <w:rPr>
                <w:rFonts w:asciiTheme="majorHAnsi" w:hAnsiTheme="majorHAnsi" w:cstheme="majorHAnsi"/>
              </w:rPr>
              <w:t>Implementace</w:t>
            </w:r>
          </w:p>
        </w:tc>
        <w:tc>
          <w:tcPr>
            <w:tcW w:w="7275" w:type="dxa"/>
            <w:shd w:val="clear" w:color="auto" w:fill="auto"/>
            <w:tcMar>
              <w:top w:w="100" w:type="dxa"/>
              <w:left w:w="100" w:type="dxa"/>
              <w:bottom w:w="100" w:type="dxa"/>
              <w:right w:w="100" w:type="dxa"/>
            </w:tcMar>
          </w:tcPr>
          <w:p w14:paraId="24497C14" w14:textId="77777777" w:rsidR="0042415F" w:rsidRPr="004B4B33" w:rsidRDefault="001D082B">
            <w:pPr>
              <w:spacing w:before="0"/>
              <w:rPr>
                <w:rFonts w:asciiTheme="majorHAnsi" w:hAnsiTheme="majorHAnsi" w:cstheme="majorHAnsi"/>
              </w:rPr>
            </w:pPr>
            <w:r w:rsidRPr="004B4B33">
              <w:rPr>
                <w:rFonts w:asciiTheme="majorHAnsi" w:hAnsiTheme="majorHAnsi" w:cstheme="majorHAnsi"/>
              </w:rPr>
              <w:t>Ministerstvo pro místní rozvoj ČR</w:t>
            </w:r>
          </w:p>
        </w:tc>
      </w:tr>
      <w:tr w:rsidR="0042415F" w:rsidRPr="004B4B33" w14:paraId="155D91B0" w14:textId="77777777">
        <w:tc>
          <w:tcPr>
            <w:tcW w:w="1725" w:type="dxa"/>
            <w:shd w:val="clear" w:color="auto" w:fill="auto"/>
            <w:tcMar>
              <w:top w:w="100" w:type="dxa"/>
              <w:left w:w="100" w:type="dxa"/>
              <w:bottom w:w="100" w:type="dxa"/>
              <w:right w:w="100" w:type="dxa"/>
            </w:tcMar>
          </w:tcPr>
          <w:p w14:paraId="21EAAD37"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Spolupráce</w:t>
            </w:r>
          </w:p>
          <w:p w14:paraId="3D38F85D"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a zapojení</w:t>
            </w:r>
          </w:p>
          <w:p w14:paraId="5F2B5584"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zúčastněných stran</w:t>
            </w:r>
          </w:p>
        </w:tc>
        <w:tc>
          <w:tcPr>
            <w:tcW w:w="7275" w:type="dxa"/>
            <w:shd w:val="clear" w:color="auto" w:fill="auto"/>
            <w:tcMar>
              <w:top w:w="100" w:type="dxa"/>
              <w:left w:w="100" w:type="dxa"/>
              <w:bottom w:w="100" w:type="dxa"/>
              <w:right w:w="100" w:type="dxa"/>
            </w:tcMar>
          </w:tcPr>
          <w:p w14:paraId="2866F193" w14:textId="5E17534B" w:rsidR="0042415F" w:rsidRPr="004B4B33" w:rsidRDefault="001D082B">
            <w:pPr>
              <w:spacing w:before="0"/>
              <w:rPr>
                <w:rFonts w:asciiTheme="majorHAnsi" w:hAnsiTheme="majorHAnsi" w:cstheme="majorHAnsi"/>
              </w:rPr>
            </w:pPr>
            <w:r w:rsidRPr="004B4B33">
              <w:rPr>
                <w:rFonts w:asciiTheme="majorHAnsi" w:hAnsiTheme="majorHAnsi" w:cstheme="majorHAnsi"/>
              </w:rPr>
              <w:t>Ministerstvo práce a</w:t>
            </w:r>
            <w:r w:rsidR="000D7449">
              <w:rPr>
                <w:rFonts w:asciiTheme="majorHAnsi" w:hAnsiTheme="majorHAnsi" w:cstheme="majorHAnsi"/>
              </w:rPr>
              <w:t> </w:t>
            </w:r>
            <w:r w:rsidRPr="004B4B33">
              <w:rPr>
                <w:rFonts w:asciiTheme="majorHAnsi" w:hAnsiTheme="majorHAnsi" w:cstheme="majorHAnsi"/>
              </w:rPr>
              <w:t>sociálních věcí ČR, Ministerstvo financí ČR, Ministerstvo vnitra ČR, Svaz měst a</w:t>
            </w:r>
            <w:r w:rsidR="000D7449">
              <w:rPr>
                <w:rFonts w:asciiTheme="majorHAnsi" w:hAnsiTheme="majorHAnsi" w:cstheme="majorHAnsi"/>
              </w:rPr>
              <w:t> </w:t>
            </w:r>
            <w:r w:rsidRPr="004B4B33">
              <w:rPr>
                <w:rFonts w:asciiTheme="majorHAnsi" w:hAnsiTheme="majorHAnsi" w:cstheme="majorHAnsi"/>
              </w:rPr>
              <w:t>obcí ČR, Sdružení místních samospráv ČR, Asociace krajů, odborná veřejnost (NNO, finanční sektor) mezinárodní organizace (např. EIB, OECD), VŠ/výzkum, Poslanecká sněmovna Parlamentu ČR, Senát Parlamentu ČR.</w:t>
            </w:r>
          </w:p>
        </w:tc>
      </w:tr>
      <w:tr w:rsidR="0042415F" w:rsidRPr="004B4B33" w14:paraId="660D2B98" w14:textId="77777777">
        <w:trPr>
          <w:trHeight w:val="4884"/>
        </w:trPr>
        <w:tc>
          <w:tcPr>
            <w:tcW w:w="1725" w:type="dxa"/>
            <w:shd w:val="clear" w:color="auto" w:fill="auto"/>
            <w:tcMar>
              <w:top w:w="100" w:type="dxa"/>
              <w:left w:w="100" w:type="dxa"/>
              <w:bottom w:w="100" w:type="dxa"/>
              <w:right w:w="100" w:type="dxa"/>
            </w:tcMar>
          </w:tcPr>
          <w:p w14:paraId="7F186459" w14:textId="0BC34450" w:rsidR="0042415F" w:rsidRPr="004B4B33" w:rsidRDefault="001D082B">
            <w:pPr>
              <w:spacing w:before="0"/>
              <w:jc w:val="right"/>
              <w:rPr>
                <w:rFonts w:asciiTheme="majorHAnsi" w:hAnsiTheme="majorHAnsi" w:cstheme="majorHAnsi"/>
              </w:rPr>
            </w:pPr>
            <w:r w:rsidRPr="004B4B33">
              <w:rPr>
                <w:rFonts w:asciiTheme="majorHAnsi" w:hAnsiTheme="majorHAnsi" w:cstheme="majorHAnsi"/>
              </w:rPr>
              <w:lastRenderedPageBreak/>
              <w:t>Překážky a</w:t>
            </w:r>
            <w:r w:rsidR="000D7449">
              <w:rPr>
                <w:rFonts w:asciiTheme="majorHAnsi" w:hAnsiTheme="majorHAnsi" w:cstheme="majorHAnsi"/>
              </w:rPr>
              <w:t> </w:t>
            </w:r>
            <w:r w:rsidRPr="004B4B33">
              <w:rPr>
                <w:rFonts w:asciiTheme="majorHAnsi" w:hAnsiTheme="majorHAnsi" w:cstheme="majorHAnsi"/>
              </w:rPr>
              <w:t>rizika</w:t>
            </w:r>
          </w:p>
        </w:tc>
        <w:tc>
          <w:tcPr>
            <w:tcW w:w="7275" w:type="dxa"/>
            <w:shd w:val="clear" w:color="auto" w:fill="auto"/>
            <w:tcMar>
              <w:top w:w="100" w:type="dxa"/>
              <w:left w:w="100" w:type="dxa"/>
              <w:bottom w:w="100" w:type="dxa"/>
              <w:right w:w="100" w:type="dxa"/>
            </w:tcMar>
          </w:tcPr>
          <w:p w14:paraId="48AC204B" w14:textId="52AFCAC7" w:rsidR="0042415F" w:rsidRPr="004B4B33" w:rsidRDefault="001D082B">
            <w:pPr>
              <w:spacing w:before="0"/>
              <w:jc w:val="both"/>
              <w:rPr>
                <w:rFonts w:asciiTheme="majorHAnsi" w:hAnsiTheme="majorHAnsi" w:cstheme="majorHAnsi"/>
              </w:rPr>
            </w:pPr>
            <w:r w:rsidRPr="004B4B33">
              <w:rPr>
                <w:rFonts w:asciiTheme="majorHAnsi" w:hAnsiTheme="majorHAnsi" w:cstheme="majorHAnsi"/>
              </w:rPr>
              <w:t>Lze předpokládat potřebu intenzivnější komunikace mj. se samosprávami, které budou zákon fakticky implementovat. Žádoucí je poučit se z</w:t>
            </w:r>
            <w:r w:rsidR="000D7449">
              <w:rPr>
                <w:rFonts w:asciiTheme="majorHAnsi" w:hAnsiTheme="majorHAnsi" w:cstheme="majorHAnsi"/>
              </w:rPr>
              <w:t> </w:t>
            </w:r>
            <w:r w:rsidRPr="004B4B33">
              <w:rPr>
                <w:rFonts w:asciiTheme="majorHAnsi" w:hAnsiTheme="majorHAnsi" w:cstheme="majorHAnsi"/>
              </w:rPr>
              <w:t>neúspěchu při prosazování zákona o</w:t>
            </w:r>
            <w:r w:rsidR="000D7449">
              <w:rPr>
                <w:rFonts w:asciiTheme="majorHAnsi" w:hAnsiTheme="majorHAnsi" w:cstheme="majorHAnsi"/>
              </w:rPr>
              <w:t> </w:t>
            </w:r>
            <w:r w:rsidRPr="004B4B33">
              <w:rPr>
                <w:rFonts w:asciiTheme="majorHAnsi" w:hAnsiTheme="majorHAnsi" w:cstheme="majorHAnsi"/>
              </w:rPr>
              <w:t>sociálním bydlení a</w:t>
            </w:r>
            <w:r w:rsidR="000D7449">
              <w:rPr>
                <w:rFonts w:asciiTheme="majorHAnsi" w:hAnsiTheme="majorHAnsi" w:cstheme="majorHAnsi"/>
              </w:rPr>
              <w:t> </w:t>
            </w:r>
            <w:r w:rsidRPr="004B4B33">
              <w:rPr>
                <w:rFonts w:asciiTheme="majorHAnsi" w:hAnsiTheme="majorHAnsi" w:cstheme="majorHAnsi"/>
              </w:rPr>
              <w:t>reflektovat okolnosti spojené s</w:t>
            </w:r>
            <w:r w:rsidR="000D7449">
              <w:rPr>
                <w:rFonts w:asciiTheme="majorHAnsi" w:hAnsiTheme="majorHAnsi" w:cstheme="majorHAnsi"/>
              </w:rPr>
              <w:t> </w:t>
            </w:r>
            <w:r w:rsidRPr="004B4B33">
              <w:rPr>
                <w:rFonts w:asciiTheme="majorHAnsi" w:hAnsiTheme="majorHAnsi" w:cstheme="majorHAnsi"/>
              </w:rPr>
              <w:t>jeho projednáváním. Zákon o</w:t>
            </w:r>
            <w:r w:rsidR="000D7449">
              <w:rPr>
                <w:rFonts w:asciiTheme="majorHAnsi" w:hAnsiTheme="majorHAnsi" w:cstheme="majorHAnsi"/>
              </w:rPr>
              <w:t> </w:t>
            </w:r>
            <w:r w:rsidRPr="004B4B33">
              <w:rPr>
                <w:rFonts w:asciiTheme="majorHAnsi" w:hAnsiTheme="majorHAnsi" w:cstheme="majorHAnsi"/>
              </w:rPr>
              <w:t>podpoře v</w:t>
            </w:r>
            <w:r w:rsidR="000D7449">
              <w:rPr>
                <w:rFonts w:asciiTheme="majorHAnsi" w:hAnsiTheme="majorHAnsi" w:cstheme="majorHAnsi"/>
              </w:rPr>
              <w:t> </w:t>
            </w:r>
            <w:r w:rsidRPr="004B4B33">
              <w:rPr>
                <w:rFonts w:asciiTheme="majorHAnsi" w:hAnsiTheme="majorHAnsi" w:cstheme="majorHAnsi"/>
              </w:rPr>
              <w:t>bydlení musí reflektovat různorodé potřeby a</w:t>
            </w:r>
            <w:r w:rsidR="000D7449">
              <w:rPr>
                <w:rFonts w:asciiTheme="majorHAnsi" w:hAnsiTheme="majorHAnsi" w:cstheme="majorHAnsi"/>
              </w:rPr>
              <w:t> </w:t>
            </w:r>
            <w:r w:rsidRPr="004B4B33">
              <w:rPr>
                <w:rFonts w:asciiTheme="majorHAnsi" w:hAnsiTheme="majorHAnsi" w:cstheme="majorHAnsi"/>
              </w:rPr>
              <w:t>podmínky v</w:t>
            </w:r>
            <w:r w:rsidR="000D7449">
              <w:rPr>
                <w:rFonts w:asciiTheme="majorHAnsi" w:hAnsiTheme="majorHAnsi" w:cstheme="majorHAnsi"/>
              </w:rPr>
              <w:t> </w:t>
            </w:r>
            <w:r w:rsidRPr="004B4B33">
              <w:rPr>
                <w:rFonts w:asciiTheme="majorHAnsi" w:hAnsiTheme="majorHAnsi" w:cstheme="majorHAnsi"/>
              </w:rPr>
              <w:t>regionech a</w:t>
            </w:r>
            <w:r w:rsidR="000D7449">
              <w:rPr>
                <w:rFonts w:asciiTheme="majorHAnsi" w:hAnsiTheme="majorHAnsi" w:cstheme="majorHAnsi"/>
              </w:rPr>
              <w:t> </w:t>
            </w:r>
            <w:r w:rsidRPr="004B4B33">
              <w:rPr>
                <w:rFonts w:asciiTheme="majorHAnsi" w:hAnsiTheme="majorHAnsi" w:cstheme="majorHAnsi"/>
              </w:rPr>
              <w:t>obcích, rozdílné přístupy a</w:t>
            </w:r>
            <w:r w:rsidR="000D7449">
              <w:rPr>
                <w:rFonts w:asciiTheme="majorHAnsi" w:hAnsiTheme="majorHAnsi" w:cstheme="majorHAnsi"/>
              </w:rPr>
              <w:t> </w:t>
            </w:r>
            <w:r w:rsidRPr="004B4B33">
              <w:rPr>
                <w:rFonts w:asciiTheme="majorHAnsi" w:hAnsiTheme="majorHAnsi" w:cstheme="majorHAnsi"/>
              </w:rPr>
              <w:t>preference samospráv. Nabídka nástrojů tak musí být široká a</w:t>
            </w:r>
            <w:r w:rsidR="000D7449">
              <w:rPr>
                <w:rFonts w:asciiTheme="majorHAnsi" w:hAnsiTheme="majorHAnsi" w:cstheme="majorHAnsi"/>
              </w:rPr>
              <w:t> </w:t>
            </w:r>
            <w:r w:rsidRPr="004B4B33">
              <w:rPr>
                <w:rFonts w:asciiTheme="majorHAnsi" w:hAnsiTheme="majorHAnsi" w:cstheme="majorHAnsi"/>
              </w:rPr>
              <w:t>flexibilní.</w:t>
            </w:r>
          </w:p>
          <w:p w14:paraId="1535D9D0" w14:textId="6FA6589C" w:rsidR="0042415F" w:rsidRPr="004B4B33" w:rsidRDefault="001D082B">
            <w:pPr>
              <w:jc w:val="both"/>
              <w:rPr>
                <w:rFonts w:asciiTheme="majorHAnsi" w:hAnsiTheme="majorHAnsi" w:cstheme="majorHAnsi"/>
              </w:rPr>
            </w:pPr>
            <w:r w:rsidRPr="004B4B33">
              <w:rPr>
                <w:rFonts w:asciiTheme="majorHAnsi" w:hAnsiTheme="majorHAnsi" w:cstheme="majorHAnsi"/>
              </w:rPr>
              <w:t>Rizikem je také širší nedostupnost bydlení i</w:t>
            </w:r>
            <w:r w:rsidR="000D7449">
              <w:rPr>
                <w:rFonts w:asciiTheme="majorHAnsi" w:hAnsiTheme="majorHAnsi" w:cstheme="majorHAnsi"/>
              </w:rPr>
              <w:t> </w:t>
            </w:r>
            <w:r w:rsidRPr="004B4B33">
              <w:rPr>
                <w:rFonts w:asciiTheme="majorHAnsi" w:hAnsiTheme="majorHAnsi" w:cstheme="majorHAnsi"/>
              </w:rPr>
              <w:t>pro střední příjmové skupiny a</w:t>
            </w:r>
            <w:r w:rsidR="000D7449">
              <w:rPr>
                <w:rFonts w:asciiTheme="majorHAnsi" w:hAnsiTheme="majorHAnsi" w:cstheme="majorHAnsi"/>
              </w:rPr>
              <w:t> </w:t>
            </w:r>
            <w:r w:rsidRPr="004B4B33">
              <w:rPr>
                <w:rFonts w:asciiTheme="majorHAnsi" w:hAnsiTheme="majorHAnsi" w:cstheme="majorHAnsi"/>
              </w:rPr>
              <w:t>stigma spojené s</w:t>
            </w:r>
            <w:r w:rsidR="000D7449">
              <w:rPr>
                <w:rFonts w:asciiTheme="majorHAnsi" w:hAnsiTheme="majorHAnsi" w:cstheme="majorHAnsi"/>
              </w:rPr>
              <w:t> </w:t>
            </w:r>
            <w:r w:rsidRPr="004B4B33">
              <w:rPr>
                <w:rFonts w:asciiTheme="majorHAnsi" w:hAnsiTheme="majorHAnsi" w:cstheme="majorHAnsi"/>
              </w:rPr>
              <w:t>cílovou skupinou osob v</w:t>
            </w:r>
            <w:r w:rsidR="000D7449">
              <w:rPr>
                <w:rFonts w:asciiTheme="majorHAnsi" w:hAnsiTheme="majorHAnsi" w:cstheme="majorHAnsi"/>
              </w:rPr>
              <w:t> </w:t>
            </w:r>
            <w:r w:rsidRPr="004B4B33">
              <w:rPr>
                <w:rFonts w:asciiTheme="majorHAnsi" w:hAnsiTheme="majorHAnsi" w:cstheme="majorHAnsi"/>
              </w:rPr>
              <w:t>bytové nouzi. Navrhovaná reforma ovšem cílí daleko šířeji než předchozí návrhy zákonů o</w:t>
            </w:r>
            <w:r w:rsidR="000D7449">
              <w:rPr>
                <w:rFonts w:asciiTheme="majorHAnsi" w:hAnsiTheme="majorHAnsi" w:cstheme="majorHAnsi"/>
              </w:rPr>
              <w:t> </w:t>
            </w:r>
            <w:r w:rsidRPr="004B4B33">
              <w:rPr>
                <w:rFonts w:asciiTheme="majorHAnsi" w:hAnsiTheme="majorHAnsi" w:cstheme="majorHAnsi"/>
              </w:rPr>
              <w:t>sociálním bydlení. Reforma je navíc propojena s</w:t>
            </w:r>
            <w:r w:rsidR="000D7449">
              <w:rPr>
                <w:rFonts w:asciiTheme="majorHAnsi" w:hAnsiTheme="majorHAnsi" w:cstheme="majorHAnsi"/>
              </w:rPr>
              <w:t> </w:t>
            </w:r>
            <w:r w:rsidRPr="004B4B33">
              <w:rPr>
                <w:rFonts w:asciiTheme="majorHAnsi" w:hAnsiTheme="majorHAnsi" w:cstheme="majorHAnsi"/>
              </w:rPr>
              <w:t>investiční částí této komponenty, která má posílit nabídku dostupného bydlení napříč regiony v</w:t>
            </w:r>
            <w:r w:rsidR="000D7449">
              <w:rPr>
                <w:rFonts w:asciiTheme="majorHAnsi" w:hAnsiTheme="majorHAnsi" w:cstheme="majorHAnsi"/>
              </w:rPr>
              <w:t> </w:t>
            </w:r>
            <w:r w:rsidRPr="004B4B33">
              <w:rPr>
                <w:rFonts w:asciiTheme="majorHAnsi" w:hAnsiTheme="majorHAnsi" w:cstheme="majorHAnsi"/>
              </w:rPr>
              <w:t>ČR.</w:t>
            </w:r>
          </w:p>
          <w:p w14:paraId="2398E0D2" w14:textId="7A99BFF3" w:rsidR="0042415F" w:rsidRPr="004B4B33" w:rsidRDefault="001D082B">
            <w:pPr>
              <w:jc w:val="both"/>
              <w:rPr>
                <w:rFonts w:asciiTheme="majorHAnsi" w:hAnsiTheme="majorHAnsi" w:cstheme="majorHAnsi"/>
              </w:rPr>
            </w:pPr>
            <w:r w:rsidRPr="004B4B33">
              <w:rPr>
                <w:rFonts w:asciiTheme="majorHAnsi" w:hAnsiTheme="majorHAnsi" w:cstheme="majorHAnsi"/>
              </w:rPr>
              <w:t>Vzhledem k</w:t>
            </w:r>
            <w:r w:rsidR="000D7449">
              <w:rPr>
                <w:rFonts w:asciiTheme="majorHAnsi" w:hAnsiTheme="majorHAnsi" w:cstheme="majorHAnsi"/>
              </w:rPr>
              <w:t> </w:t>
            </w:r>
            <w:r w:rsidRPr="004B4B33">
              <w:rPr>
                <w:rFonts w:asciiTheme="majorHAnsi" w:hAnsiTheme="majorHAnsi" w:cstheme="majorHAnsi"/>
              </w:rPr>
              <w:t>poměrně velkému rozsahu této reformy lze předpokládat překážky na některých úrovních schvalovacího procesu, což bude vyžadovat vzájemnou intenzivní debatu s</w:t>
            </w:r>
            <w:r w:rsidR="000D7449">
              <w:rPr>
                <w:rFonts w:asciiTheme="majorHAnsi" w:hAnsiTheme="majorHAnsi" w:cstheme="majorHAnsi"/>
              </w:rPr>
              <w:t> </w:t>
            </w:r>
            <w:r w:rsidRPr="004B4B33">
              <w:rPr>
                <w:rFonts w:asciiTheme="majorHAnsi" w:hAnsiTheme="majorHAnsi" w:cstheme="majorHAnsi"/>
              </w:rPr>
              <w:t xml:space="preserve">cílem tato rizika eliminovat. </w:t>
            </w:r>
          </w:p>
        </w:tc>
      </w:tr>
      <w:tr w:rsidR="0042415F" w:rsidRPr="004B4B33" w14:paraId="42F8AE4B" w14:textId="77777777">
        <w:tc>
          <w:tcPr>
            <w:tcW w:w="1725" w:type="dxa"/>
            <w:shd w:val="clear" w:color="auto" w:fill="auto"/>
            <w:tcMar>
              <w:top w:w="100" w:type="dxa"/>
              <w:left w:w="100" w:type="dxa"/>
              <w:bottom w:w="100" w:type="dxa"/>
              <w:right w:w="100" w:type="dxa"/>
            </w:tcMar>
          </w:tcPr>
          <w:p w14:paraId="5D296E8F"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Cílové skupiny</w:t>
            </w:r>
          </w:p>
          <w:p w14:paraId="3E259639"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populace</w:t>
            </w:r>
          </w:p>
          <w:p w14:paraId="21100351"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a ekonomické</w:t>
            </w:r>
          </w:p>
          <w:p w14:paraId="7A4B6F86"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subjekty</w:t>
            </w:r>
          </w:p>
        </w:tc>
        <w:tc>
          <w:tcPr>
            <w:tcW w:w="7275" w:type="dxa"/>
            <w:shd w:val="clear" w:color="auto" w:fill="auto"/>
            <w:tcMar>
              <w:top w:w="100" w:type="dxa"/>
              <w:left w:w="100" w:type="dxa"/>
              <w:bottom w:w="100" w:type="dxa"/>
              <w:right w:w="100" w:type="dxa"/>
            </w:tcMar>
          </w:tcPr>
          <w:p w14:paraId="0EAD52D4" w14:textId="14415F32" w:rsidR="0042415F" w:rsidRPr="004B4B33" w:rsidRDefault="001D082B">
            <w:pPr>
              <w:numPr>
                <w:ilvl w:val="0"/>
                <w:numId w:val="9"/>
              </w:numPr>
              <w:spacing w:before="0" w:after="0"/>
              <w:ind w:left="425"/>
              <w:jc w:val="both"/>
              <w:rPr>
                <w:rFonts w:asciiTheme="majorHAnsi" w:hAnsiTheme="majorHAnsi" w:cstheme="majorHAnsi"/>
              </w:rPr>
            </w:pPr>
            <w:r w:rsidRPr="004B4B33">
              <w:rPr>
                <w:rFonts w:asciiTheme="majorHAnsi" w:hAnsiTheme="majorHAnsi" w:cstheme="majorHAnsi"/>
              </w:rPr>
              <w:t>domácnosti v</w:t>
            </w:r>
            <w:r w:rsidR="000D7449">
              <w:rPr>
                <w:rFonts w:asciiTheme="majorHAnsi" w:hAnsiTheme="majorHAnsi" w:cstheme="majorHAnsi"/>
              </w:rPr>
              <w:t> </w:t>
            </w:r>
            <w:r w:rsidRPr="004B4B33">
              <w:rPr>
                <w:rFonts w:asciiTheme="majorHAnsi" w:hAnsiTheme="majorHAnsi" w:cstheme="majorHAnsi"/>
              </w:rPr>
              <w:t>bytové nouzi (cca 140 tis. lidí) nebo ohrožené ztrátou bydlení (dalších cca 1,3 mil. lidí vč. osob zasažených energetickou chudobou);</w:t>
            </w:r>
          </w:p>
          <w:p w14:paraId="1ED5F137" w14:textId="14132CE7" w:rsidR="0042415F" w:rsidRPr="004B4B33" w:rsidRDefault="001D082B">
            <w:pPr>
              <w:numPr>
                <w:ilvl w:val="0"/>
                <w:numId w:val="9"/>
              </w:numPr>
              <w:spacing w:before="0" w:after="0"/>
              <w:ind w:left="425"/>
              <w:jc w:val="both"/>
              <w:rPr>
                <w:rFonts w:asciiTheme="majorHAnsi" w:hAnsiTheme="majorHAnsi" w:cstheme="majorHAnsi"/>
              </w:rPr>
            </w:pPr>
            <w:r w:rsidRPr="004B4B33">
              <w:rPr>
                <w:rFonts w:asciiTheme="majorHAnsi" w:hAnsiTheme="majorHAnsi" w:cstheme="majorHAnsi"/>
              </w:rPr>
              <w:t>primárně obecní úřady s</w:t>
            </w:r>
            <w:r w:rsidR="000D7449">
              <w:rPr>
                <w:rFonts w:asciiTheme="majorHAnsi" w:hAnsiTheme="majorHAnsi" w:cstheme="majorHAnsi"/>
              </w:rPr>
              <w:t> </w:t>
            </w:r>
            <w:r w:rsidRPr="004B4B33">
              <w:rPr>
                <w:rFonts w:asciiTheme="majorHAnsi" w:hAnsiTheme="majorHAnsi" w:cstheme="majorHAnsi"/>
              </w:rPr>
              <w:t>rozšířenou působností a</w:t>
            </w:r>
            <w:r w:rsidR="000D7449">
              <w:rPr>
                <w:rFonts w:asciiTheme="majorHAnsi" w:hAnsiTheme="majorHAnsi" w:cstheme="majorHAnsi"/>
              </w:rPr>
              <w:t> </w:t>
            </w:r>
            <w:r w:rsidRPr="004B4B33">
              <w:rPr>
                <w:rFonts w:asciiTheme="majorHAnsi" w:hAnsiTheme="majorHAnsi" w:cstheme="majorHAnsi"/>
              </w:rPr>
              <w:t>samosprávy měst a</w:t>
            </w:r>
            <w:r w:rsidR="000D7449">
              <w:rPr>
                <w:rFonts w:asciiTheme="majorHAnsi" w:hAnsiTheme="majorHAnsi" w:cstheme="majorHAnsi"/>
              </w:rPr>
              <w:t> </w:t>
            </w:r>
            <w:r w:rsidRPr="004B4B33">
              <w:rPr>
                <w:rFonts w:asciiTheme="majorHAnsi" w:hAnsiTheme="majorHAnsi" w:cstheme="majorHAnsi"/>
              </w:rPr>
              <w:t>obcí;</w:t>
            </w:r>
          </w:p>
          <w:p w14:paraId="5B891253" w14:textId="2D8A1C20" w:rsidR="0042415F" w:rsidRPr="004B4B33" w:rsidRDefault="001D082B">
            <w:pPr>
              <w:numPr>
                <w:ilvl w:val="0"/>
                <w:numId w:val="9"/>
              </w:numPr>
              <w:spacing w:before="0" w:after="0"/>
              <w:ind w:left="425"/>
              <w:jc w:val="both"/>
              <w:rPr>
                <w:rFonts w:asciiTheme="majorHAnsi" w:hAnsiTheme="majorHAnsi" w:cstheme="majorHAnsi"/>
              </w:rPr>
            </w:pPr>
            <w:r w:rsidRPr="004B4B33">
              <w:rPr>
                <w:rFonts w:asciiTheme="majorHAnsi" w:hAnsiTheme="majorHAnsi" w:cstheme="majorHAnsi"/>
              </w:rPr>
              <w:t>odborná veřejnost participující na implementaci Zákona, resp. koncepčních a</w:t>
            </w:r>
            <w:r w:rsidR="000D7449">
              <w:rPr>
                <w:rFonts w:asciiTheme="majorHAnsi" w:hAnsiTheme="majorHAnsi" w:cstheme="majorHAnsi"/>
              </w:rPr>
              <w:t> </w:t>
            </w:r>
            <w:r w:rsidRPr="004B4B33">
              <w:rPr>
                <w:rFonts w:asciiTheme="majorHAnsi" w:hAnsiTheme="majorHAnsi" w:cstheme="majorHAnsi"/>
              </w:rPr>
              <w:t>strategických aktivitách spojených s</w:t>
            </w:r>
            <w:r w:rsidR="000D7449">
              <w:rPr>
                <w:rFonts w:asciiTheme="majorHAnsi" w:hAnsiTheme="majorHAnsi" w:cstheme="majorHAnsi"/>
              </w:rPr>
              <w:t> </w:t>
            </w:r>
            <w:r w:rsidRPr="004B4B33">
              <w:rPr>
                <w:rFonts w:asciiTheme="majorHAnsi" w:hAnsiTheme="majorHAnsi" w:cstheme="majorHAnsi"/>
              </w:rPr>
              <w:t>jeho implementací;</w:t>
            </w:r>
          </w:p>
          <w:p w14:paraId="41517603" w14:textId="77777777" w:rsidR="0042415F" w:rsidRPr="004B4B33" w:rsidRDefault="001D082B">
            <w:pPr>
              <w:numPr>
                <w:ilvl w:val="0"/>
                <w:numId w:val="9"/>
              </w:numPr>
              <w:spacing w:before="0" w:after="0"/>
              <w:ind w:left="425"/>
              <w:jc w:val="both"/>
              <w:rPr>
                <w:rFonts w:asciiTheme="majorHAnsi" w:hAnsiTheme="majorHAnsi" w:cstheme="majorHAnsi"/>
              </w:rPr>
            </w:pPr>
            <w:r w:rsidRPr="004B4B33">
              <w:rPr>
                <w:rFonts w:asciiTheme="majorHAnsi" w:hAnsiTheme="majorHAnsi" w:cstheme="majorHAnsi"/>
              </w:rPr>
              <w:t>státní správa;</w:t>
            </w:r>
          </w:p>
          <w:p w14:paraId="66D56A25" w14:textId="77777777" w:rsidR="0042415F" w:rsidRPr="004B4B33" w:rsidRDefault="001D082B">
            <w:pPr>
              <w:numPr>
                <w:ilvl w:val="0"/>
                <w:numId w:val="9"/>
              </w:numPr>
              <w:spacing w:before="0"/>
              <w:ind w:left="425"/>
              <w:jc w:val="both"/>
              <w:rPr>
                <w:rFonts w:asciiTheme="majorHAnsi" w:hAnsiTheme="majorHAnsi" w:cstheme="majorHAnsi"/>
              </w:rPr>
            </w:pPr>
            <w:r w:rsidRPr="004B4B33">
              <w:rPr>
                <w:rFonts w:asciiTheme="majorHAnsi" w:hAnsiTheme="majorHAnsi" w:cstheme="majorHAnsi"/>
              </w:rPr>
              <w:t>neziskový sektor</w:t>
            </w:r>
          </w:p>
        </w:tc>
      </w:tr>
      <w:tr w:rsidR="0042415F" w:rsidRPr="004B4B33" w14:paraId="7C644554" w14:textId="77777777">
        <w:tc>
          <w:tcPr>
            <w:tcW w:w="1725" w:type="dxa"/>
            <w:shd w:val="clear" w:color="auto" w:fill="auto"/>
            <w:tcMar>
              <w:top w:w="100" w:type="dxa"/>
              <w:left w:w="100" w:type="dxa"/>
              <w:bottom w:w="100" w:type="dxa"/>
              <w:right w:w="100" w:type="dxa"/>
            </w:tcMar>
          </w:tcPr>
          <w:p w14:paraId="45102924"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Souhrnné náklady</w:t>
            </w:r>
          </w:p>
          <w:p w14:paraId="5DB29D0E"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realizace</w:t>
            </w:r>
          </w:p>
          <w:p w14:paraId="096489F9" w14:textId="26396C6B"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financované z</w:t>
            </w:r>
            <w:r w:rsidR="000D7449">
              <w:rPr>
                <w:rFonts w:asciiTheme="majorHAnsi" w:hAnsiTheme="majorHAnsi" w:cstheme="majorHAnsi"/>
              </w:rPr>
              <w:t> </w:t>
            </w:r>
            <w:r w:rsidRPr="004B4B33">
              <w:rPr>
                <w:rFonts w:asciiTheme="majorHAnsi" w:hAnsiTheme="majorHAnsi" w:cstheme="majorHAnsi"/>
              </w:rPr>
              <w:t>RRF za celé období</w:t>
            </w:r>
          </w:p>
        </w:tc>
        <w:tc>
          <w:tcPr>
            <w:tcW w:w="7275" w:type="dxa"/>
            <w:shd w:val="clear" w:color="auto" w:fill="auto"/>
            <w:tcMar>
              <w:top w:w="100" w:type="dxa"/>
              <w:left w:w="100" w:type="dxa"/>
              <w:bottom w:w="100" w:type="dxa"/>
              <w:right w:w="100" w:type="dxa"/>
            </w:tcMar>
          </w:tcPr>
          <w:p w14:paraId="085D330E" w14:textId="399F6251" w:rsidR="0042415F" w:rsidRPr="004B4B33" w:rsidRDefault="001D082B">
            <w:pPr>
              <w:spacing w:before="0"/>
              <w:jc w:val="both"/>
              <w:rPr>
                <w:rFonts w:asciiTheme="majorHAnsi" w:hAnsiTheme="majorHAnsi" w:cstheme="majorHAnsi"/>
              </w:rPr>
            </w:pPr>
            <w:r w:rsidRPr="004B4B33">
              <w:rPr>
                <w:rFonts w:asciiTheme="majorHAnsi" w:hAnsiTheme="majorHAnsi" w:cstheme="majorHAnsi"/>
              </w:rPr>
              <w:t>Agendový informační systém pro implementaci zákona (věcný návrh včetně architektury, provazby na související existující a</w:t>
            </w:r>
            <w:r w:rsidR="000D7449">
              <w:rPr>
                <w:rFonts w:asciiTheme="majorHAnsi" w:hAnsiTheme="majorHAnsi" w:cstheme="majorHAnsi"/>
              </w:rPr>
              <w:t> </w:t>
            </w:r>
            <w:r w:rsidRPr="004B4B33">
              <w:rPr>
                <w:rFonts w:asciiTheme="majorHAnsi" w:hAnsiTheme="majorHAnsi" w:cstheme="majorHAnsi"/>
              </w:rPr>
              <w:t>perspektivní systémy státu, vlastní realizace)</w:t>
            </w:r>
          </w:p>
          <w:p w14:paraId="01FEB2C6" w14:textId="6CE58CE4" w:rsidR="0042415F" w:rsidRPr="004B4B33" w:rsidRDefault="001D082B">
            <w:pPr>
              <w:jc w:val="both"/>
              <w:rPr>
                <w:rFonts w:asciiTheme="majorHAnsi" w:hAnsiTheme="majorHAnsi" w:cstheme="majorHAnsi"/>
              </w:rPr>
            </w:pPr>
            <w:r w:rsidRPr="004B4B33">
              <w:rPr>
                <w:rFonts w:asciiTheme="majorHAnsi" w:hAnsiTheme="majorHAnsi" w:cstheme="majorHAnsi"/>
              </w:rPr>
              <w:t>Odborná edukace a</w:t>
            </w:r>
            <w:r w:rsidR="000D7449">
              <w:rPr>
                <w:rFonts w:asciiTheme="majorHAnsi" w:hAnsiTheme="majorHAnsi" w:cstheme="majorHAnsi"/>
              </w:rPr>
              <w:t> </w:t>
            </w:r>
            <w:r w:rsidRPr="004B4B33">
              <w:rPr>
                <w:rFonts w:asciiTheme="majorHAnsi" w:hAnsiTheme="majorHAnsi" w:cstheme="majorHAnsi"/>
              </w:rPr>
              <w:t>osvěta - průběžná veřejná diskuse o</w:t>
            </w:r>
            <w:r w:rsidR="000D7449">
              <w:rPr>
                <w:rFonts w:asciiTheme="majorHAnsi" w:hAnsiTheme="majorHAnsi" w:cstheme="majorHAnsi"/>
              </w:rPr>
              <w:t> </w:t>
            </w:r>
            <w:r w:rsidRPr="004B4B33">
              <w:rPr>
                <w:rFonts w:asciiTheme="majorHAnsi" w:hAnsiTheme="majorHAnsi" w:cstheme="majorHAnsi"/>
              </w:rPr>
              <w:t>dostupnosti bydlení a</w:t>
            </w:r>
            <w:r w:rsidR="000D7449">
              <w:rPr>
                <w:rFonts w:asciiTheme="majorHAnsi" w:hAnsiTheme="majorHAnsi" w:cstheme="majorHAnsi"/>
              </w:rPr>
              <w:t> </w:t>
            </w:r>
            <w:r w:rsidRPr="004B4B33">
              <w:rPr>
                <w:rFonts w:asciiTheme="majorHAnsi" w:hAnsiTheme="majorHAnsi" w:cstheme="majorHAnsi"/>
              </w:rPr>
              <w:t>efektivních nástrojích řešení a</w:t>
            </w:r>
            <w:r w:rsidR="000D7449">
              <w:rPr>
                <w:rFonts w:asciiTheme="majorHAnsi" w:hAnsiTheme="majorHAnsi" w:cstheme="majorHAnsi"/>
              </w:rPr>
              <w:t> </w:t>
            </w:r>
            <w:r w:rsidRPr="004B4B33">
              <w:rPr>
                <w:rFonts w:asciiTheme="majorHAnsi" w:hAnsiTheme="majorHAnsi" w:cstheme="majorHAnsi"/>
              </w:rPr>
              <w:t>osvětová kampaň k</w:t>
            </w:r>
            <w:r w:rsidR="000D7449">
              <w:rPr>
                <w:rFonts w:asciiTheme="majorHAnsi" w:hAnsiTheme="majorHAnsi" w:cstheme="majorHAnsi"/>
              </w:rPr>
              <w:t> </w:t>
            </w:r>
            <w:r w:rsidRPr="004B4B33">
              <w:rPr>
                <w:rFonts w:asciiTheme="majorHAnsi" w:hAnsiTheme="majorHAnsi" w:cstheme="majorHAnsi"/>
              </w:rPr>
              <w:t>Zákonu pro širokou a</w:t>
            </w:r>
            <w:r w:rsidR="000D7449">
              <w:rPr>
                <w:rFonts w:asciiTheme="majorHAnsi" w:hAnsiTheme="majorHAnsi" w:cstheme="majorHAnsi"/>
              </w:rPr>
              <w:t> </w:t>
            </w:r>
            <w:r w:rsidRPr="004B4B33">
              <w:rPr>
                <w:rFonts w:asciiTheme="majorHAnsi" w:hAnsiTheme="majorHAnsi" w:cstheme="majorHAnsi"/>
              </w:rPr>
              <w:t>odbornou veřejnost, zástupce samospráv apod. Půjde zejména o</w:t>
            </w:r>
            <w:r w:rsidR="000D7449">
              <w:rPr>
                <w:rFonts w:asciiTheme="majorHAnsi" w:hAnsiTheme="majorHAnsi" w:cstheme="majorHAnsi"/>
              </w:rPr>
              <w:t> </w:t>
            </w:r>
            <w:r w:rsidRPr="004B4B33">
              <w:rPr>
                <w:rFonts w:asciiTheme="majorHAnsi" w:hAnsiTheme="majorHAnsi" w:cstheme="majorHAnsi"/>
              </w:rPr>
              <w:t>obousměrnou komunikaci mezi zástupci obcí, krajů a</w:t>
            </w:r>
            <w:r w:rsidR="000D7449">
              <w:rPr>
                <w:rFonts w:asciiTheme="majorHAnsi" w:hAnsiTheme="majorHAnsi" w:cstheme="majorHAnsi"/>
              </w:rPr>
              <w:t> </w:t>
            </w:r>
            <w:r w:rsidRPr="004B4B33">
              <w:rPr>
                <w:rFonts w:asciiTheme="majorHAnsi" w:hAnsiTheme="majorHAnsi" w:cstheme="majorHAnsi"/>
              </w:rPr>
              <w:t>poskytovatelů podpůrných nástrojů na jedné straně a</w:t>
            </w:r>
            <w:r w:rsidR="000D7449">
              <w:rPr>
                <w:rFonts w:asciiTheme="majorHAnsi" w:hAnsiTheme="majorHAnsi" w:cstheme="majorHAnsi"/>
              </w:rPr>
              <w:t> </w:t>
            </w:r>
            <w:r w:rsidRPr="004B4B33">
              <w:rPr>
                <w:rFonts w:asciiTheme="majorHAnsi" w:hAnsiTheme="majorHAnsi" w:cstheme="majorHAnsi"/>
              </w:rPr>
              <w:t>MMR či MPSV na straně druhé, přípravu odborných metodických podkladů pro pilotování a</w:t>
            </w:r>
            <w:r w:rsidR="000D7449">
              <w:rPr>
                <w:rFonts w:asciiTheme="majorHAnsi" w:hAnsiTheme="majorHAnsi" w:cstheme="majorHAnsi"/>
              </w:rPr>
              <w:t> </w:t>
            </w:r>
            <w:r w:rsidRPr="004B4B33">
              <w:rPr>
                <w:rFonts w:asciiTheme="majorHAnsi" w:hAnsiTheme="majorHAnsi" w:cstheme="majorHAnsi"/>
              </w:rPr>
              <w:t>implementaci nástrojů připravovaného zákona či přehledových informací o</w:t>
            </w:r>
            <w:r w:rsidR="000D7449">
              <w:rPr>
                <w:rFonts w:asciiTheme="majorHAnsi" w:hAnsiTheme="majorHAnsi" w:cstheme="majorHAnsi"/>
              </w:rPr>
              <w:t> </w:t>
            </w:r>
            <w:r w:rsidRPr="004B4B33">
              <w:rPr>
                <w:rFonts w:asciiTheme="majorHAnsi" w:hAnsiTheme="majorHAnsi" w:cstheme="majorHAnsi"/>
              </w:rPr>
              <w:t>novém systému podpory pro veřejnost.</w:t>
            </w:r>
          </w:p>
          <w:p w14:paraId="2ABE0B48" w14:textId="77777777" w:rsidR="0042415F" w:rsidRPr="004B4B33" w:rsidRDefault="001D082B">
            <w:pPr>
              <w:jc w:val="both"/>
              <w:rPr>
                <w:rFonts w:asciiTheme="majorHAnsi" w:hAnsiTheme="majorHAnsi" w:cstheme="majorHAnsi"/>
              </w:rPr>
            </w:pPr>
            <w:r w:rsidRPr="004B4B33">
              <w:rPr>
                <w:rFonts w:asciiTheme="majorHAnsi" w:hAnsiTheme="majorHAnsi" w:cstheme="majorHAnsi"/>
              </w:rPr>
              <w:t xml:space="preserve">80 mil. Kč </w:t>
            </w:r>
          </w:p>
        </w:tc>
      </w:tr>
      <w:tr w:rsidR="0042415F" w:rsidRPr="004B4B33" w14:paraId="7B9AAB26" w14:textId="77777777">
        <w:tc>
          <w:tcPr>
            <w:tcW w:w="1725" w:type="dxa"/>
            <w:shd w:val="clear" w:color="auto" w:fill="auto"/>
            <w:tcMar>
              <w:top w:w="100" w:type="dxa"/>
              <w:left w:w="100" w:type="dxa"/>
              <w:bottom w:w="100" w:type="dxa"/>
              <w:right w:w="100" w:type="dxa"/>
            </w:tcMar>
          </w:tcPr>
          <w:p w14:paraId="668FB1ED"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Dodržování pravidel státní podpory</w:t>
            </w:r>
          </w:p>
        </w:tc>
        <w:tc>
          <w:tcPr>
            <w:tcW w:w="7275" w:type="dxa"/>
            <w:shd w:val="clear" w:color="auto" w:fill="auto"/>
            <w:tcMar>
              <w:top w:w="100" w:type="dxa"/>
              <w:left w:w="100" w:type="dxa"/>
              <w:bottom w:w="100" w:type="dxa"/>
              <w:right w:w="100" w:type="dxa"/>
            </w:tcMar>
          </w:tcPr>
          <w:p w14:paraId="4CD27855" w14:textId="77777777" w:rsidR="0042415F" w:rsidRPr="004B4B33" w:rsidRDefault="001D082B">
            <w:pPr>
              <w:spacing w:before="0"/>
              <w:jc w:val="both"/>
              <w:rPr>
                <w:rFonts w:asciiTheme="majorHAnsi" w:hAnsiTheme="majorHAnsi" w:cstheme="majorHAnsi"/>
              </w:rPr>
            </w:pPr>
            <w:r w:rsidRPr="004B4B33">
              <w:rPr>
                <w:rFonts w:asciiTheme="majorHAnsi" w:hAnsiTheme="majorHAnsi" w:cstheme="majorHAnsi"/>
              </w:rPr>
              <w:t>Samotná příprava Zákona nemá vliv na veřejnou podporu.</w:t>
            </w:r>
          </w:p>
        </w:tc>
      </w:tr>
      <w:tr w:rsidR="0042415F" w:rsidRPr="004B4B33" w14:paraId="03ED436E" w14:textId="77777777">
        <w:tc>
          <w:tcPr>
            <w:tcW w:w="1725" w:type="dxa"/>
            <w:shd w:val="clear" w:color="auto" w:fill="auto"/>
            <w:tcMar>
              <w:top w:w="100" w:type="dxa"/>
              <w:left w:w="100" w:type="dxa"/>
              <w:bottom w:w="100" w:type="dxa"/>
              <w:right w:w="100" w:type="dxa"/>
            </w:tcMar>
          </w:tcPr>
          <w:p w14:paraId="39800F3F"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lastRenderedPageBreak/>
              <w:t>Uveďte dobu</w:t>
            </w:r>
          </w:p>
          <w:p w14:paraId="11A6EEEB"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implementace</w:t>
            </w:r>
          </w:p>
        </w:tc>
        <w:tc>
          <w:tcPr>
            <w:tcW w:w="7275" w:type="dxa"/>
            <w:shd w:val="clear" w:color="auto" w:fill="auto"/>
            <w:tcMar>
              <w:top w:w="100" w:type="dxa"/>
              <w:left w:w="100" w:type="dxa"/>
              <w:bottom w:w="100" w:type="dxa"/>
              <w:right w:w="100" w:type="dxa"/>
            </w:tcMar>
          </w:tcPr>
          <w:p w14:paraId="184ABF1A" w14:textId="6435BD2D" w:rsidR="0042415F" w:rsidRPr="004B4B33" w:rsidRDefault="001D082B">
            <w:pPr>
              <w:spacing w:before="0" w:line="240" w:lineRule="auto"/>
              <w:rPr>
                <w:rFonts w:asciiTheme="majorHAnsi" w:hAnsiTheme="majorHAnsi" w:cstheme="majorHAnsi"/>
              </w:rPr>
            </w:pPr>
            <w:r w:rsidRPr="004B4B33">
              <w:rPr>
                <w:rFonts w:asciiTheme="majorHAnsi" w:hAnsiTheme="majorHAnsi" w:cstheme="majorHAnsi"/>
              </w:rPr>
              <w:t>Doba implementace 2023 - 2025, vstup zákona v</w:t>
            </w:r>
            <w:r w:rsidR="000D7449">
              <w:rPr>
                <w:rFonts w:asciiTheme="majorHAnsi" w:hAnsiTheme="majorHAnsi" w:cstheme="majorHAnsi"/>
              </w:rPr>
              <w:t> </w:t>
            </w:r>
            <w:r w:rsidRPr="004B4B33">
              <w:rPr>
                <w:rFonts w:asciiTheme="majorHAnsi" w:hAnsiTheme="majorHAnsi" w:cstheme="majorHAnsi"/>
              </w:rPr>
              <w:t xml:space="preserve">platnost 2025. </w:t>
            </w:r>
          </w:p>
        </w:tc>
      </w:tr>
    </w:tbl>
    <w:p w14:paraId="41C8F396" w14:textId="77777777" w:rsidR="0042415F" w:rsidRPr="004B4B33" w:rsidRDefault="0042415F">
      <w:pPr>
        <w:rPr>
          <w:rFonts w:asciiTheme="majorHAnsi" w:hAnsiTheme="majorHAnsi" w:cstheme="majorHAnsi"/>
          <w:b/>
        </w:rPr>
      </w:pPr>
    </w:p>
    <w:p w14:paraId="7C2FB8E5" w14:textId="4D430F95" w:rsidR="0042415F" w:rsidRPr="004B4B33" w:rsidRDefault="001D082B" w:rsidP="5B41DABB">
      <w:pPr>
        <w:rPr>
          <w:rFonts w:asciiTheme="majorHAnsi" w:hAnsiTheme="majorHAnsi" w:cstheme="majorBidi"/>
          <w:b/>
          <w:bCs/>
          <w:sz w:val="24"/>
          <w:szCs w:val="24"/>
        </w:rPr>
      </w:pPr>
      <w:r w:rsidRPr="5B41DABB">
        <w:rPr>
          <w:rFonts w:asciiTheme="majorHAnsi" w:hAnsiTheme="majorHAnsi" w:cstheme="majorBidi"/>
          <w:b/>
          <w:bCs/>
          <w:sz w:val="24"/>
          <w:szCs w:val="24"/>
          <w:highlight w:val="white"/>
        </w:rPr>
        <w:t xml:space="preserve">2. </w:t>
      </w:r>
      <w:r>
        <w:tab/>
      </w:r>
      <w:r w:rsidRPr="5B41DABB">
        <w:rPr>
          <w:rFonts w:asciiTheme="majorHAnsi" w:hAnsiTheme="majorHAnsi" w:cstheme="majorBidi"/>
          <w:b/>
          <w:bCs/>
          <w:sz w:val="24"/>
          <w:szCs w:val="24"/>
          <w:highlight w:val="white"/>
        </w:rPr>
        <w:t>Vytvoření podpůrných kapacit k</w:t>
      </w:r>
      <w:r w:rsidR="000D7449">
        <w:rPr>
          <w:rFonts w:asciiTheme="majorHAnsi" w:hAnsiTheme="majorHAnsi" w:cstheme="majorBidi"/>
          <w:b/>
          <w:bCs/>
          <w:sz w:val="24"/>
          <w:szCs w:val="24"/>
          <w:highlight w:val="white"/>
        </w:rPr>
        <w:t> </w:t>
      </w:r>
      <w:r w:rsidRPr="5B41DABB">
        <w:rPr>
          <w:rFonts w:asciiTheme="majorHAnsi" w:hAnsiTheme="majorHAnsi" w:cstheme="majorBidi"/>
          <w:b/>
          <w:bCs/>
          <w:sz w:val="24"/>
          <w:szCs w:val="24"/>
          <w:highlight w:val="white"/>
        </w:rPr>
        <w:t>realizaci investic: Housing Investment Advisory Hub a</w:t>
      </w:r>
      <w:r w:rsidR="000D7449">
        <w:rPr>
          <w:rFonts w:asciiTheme="majorHAnsi" w:hAnsiTheme="majorHAnsi" w:cstheme="majorBidi"/>
          <w:b/>
          <w:bCs/>
          <w:sz w:val="24"/>
          <w:szCs w:val="24"/>
          <w:highlight w:val="white"/>
        </w:rPr>
        <w:t> </w:t>
      </w:r>
      <w:r w:rsidRPr="5B41DABB">
        <w:rPr>
          <w:rFonts w:asciiTheme="majorHAnsi" w:hAnsiTheme="majorHAnsi" w:cstheme="majorBidi"/>
          <w:b/>
          <w:bCs/>
          <w:sz w:val="24"/>
          <w:szCs w:val="24"/>
          <w:highlight w:val="white"/>
        </w:rPr>
        <w:t>regionální centra pro podporu investic do bydlení</w:t>
      </w:r>
    </w:p>
    <w:tbl>
      <w:tblPr>
        <w:tblStyle w:val="a0"/>
        <w:tblW w:w="885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1740"/>
        <w:gridCol w:w="7110"/>
      </w:tblGrid>
      <w:tr w:rsidR="0042415F" w:rsidRPr="004B4B33" w14:paraId="6752E3C4" w14:textId="77777777" w:rsidTr="008A01D4">
        <w:trPr>
          <w:trHeight w:val="2007"/>
        </w:trPr>
        <w:tc>
          <w:tcPr>
            <w:tcW w:w="17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A4F8B9"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Výzva</w:t>
            </w:r>
          </w:p>
        </w:tc>
        <w:tc>
          <w:tcPr>
            <w:tcW w:w="711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2A9ABD6" w14:textId="4CDC7FE8" w:rsidR="0042415F" w:rsidRPr="004B4B33" w:rsidRDefault="001D082B">
            <w:pPr>
              <w:spacing w:before="0"/>
              <w:jc w:val="both"/>
              <w:rPr>
                <w:rFonts w:asciiTheme="majorHAnsi" w:hAnsiTheme="majorHAnsi" w:cstheme="majorHAnsi"/>
              </w:rPr>
            </w:pPr>
            <w:r w:rsidRPr="004B4B33">
              <w:rPr>
                <w:rFonts w:asciiTheme="majorHAnsi" w:hAnsiTheme="majorHAnsi" w:cstheme="majorHAnsi"/>
              </w:rPr>
              <w:t>Jak již bylo popsáno výše, nedostupnost bydlení je v</w:t>
            </w:r>
            <w:r w:rsidR="000D7449">
              <w:rPr>
                <w:rFonts w:asciiTheme="majorHAnsi" w:hAnsiTheme="majorHAnsi" w:cstheme="majorHAnsi"/>
              </w:rPr>
              <w:t> </w:t>
            </w:r>
            <w:r w:rsidRPr="004B4B33">
              <w:rPr>
                <w:rFonts w:asciiTheme="majorHAnsi" w:hAnsiTheme="majorHAnsi" w:cstheme="majorHAnsi"/>
              </w:rPr>
              <w:t>ČR rozsáhlý, regionálně determinovaný a</w:t>
            </w:r>
            <w:r w:rsidR="000D7449">
              <w:rPr>
                <w:rFonts w:asciiTheme="majorHAnsi" w:hAnsiTheme="majorHAnsi" w:cstheme="majorHAnsi"/>
              </w:rPr>
              <w:t> </w:t>
            </w:r>
            <w:r w:rsidRPr="004B4B33">
              <w:rPr>
                <w:rFonts w:asciiTheme="majorHAnsi" w:hAnsiTheme="majorHAnsi" w:cstheme="majorHAnsi"/>
              </w:rPr>
              <w:t>rostoucí problém produkující ekonomické, sociální, kulturní a</w:t>
            </w:r>
            <w:r w:rsidR="000D7449">
              <w:rPr>
                <w:rFonts w:asciiTheme="majorHAnsi" w:hAnsiTheme="majorHAnsi" w:cstheme="majorHAnsi"/>
              </w:rPr>
              <w:t> </w:t>
            </w:r>
            <w:r w:rsidRPr="004B4B33">
              <w:rPr>
                <w:rFonts w:asciiTheme="majorHAnsi" w:hAnsiTheme="majorHAnsi" w:cstheme="majorHAnsi"/>
              </w:rPr>
              <w:t>environmentální externality. Stav tržního selhání opravňuje veřejnou správu k</w:t>
            </w:r>
            <w:r w:rsidR="000D7449">
              <w:rPr>
                <w:rFonts w:asciiTheme="majorHAnsi" w:hAnsiTheme="majorHAnsi" w:cstheme="majorHAnsi"/>
              </w:rPr>
              <w:t> </w:t>
            </w:r>
            <w:r w:rsidRPr="004B4B33">
              <w:rPr>
                <w:rFonts w:asciiTheme="majorHAnsi" w:hAnsiTheme="majorHAnsi" w:cstheme="majorHAnsi"/>
              </w:rPr>
              <w:t xml:space="preserve">realizaci různých forem podpory. </w:t>
            </w:r>
          </w:p>
          <w:p w14:paraId="50E5146A" w14:textId="5CD9C1ED" w:rsidR="0042415F" w:rsidRPr="004B4B33" w:rsidRDefault="001D082B">
            <w:pPr>
              <w:spacing w:before="0"/>
              <w:jc w:val="both"/>
              <w:rPr>
                <w:rFonts w:asciiTheme="majorHAnsi" w:hAnsiTheme="majorHAnsi" w:cstheme="majorHAnsi"/>
              </w:rPr>
            </w:pPr>
            <w:r w:rsidRPr="004B4B33">
              <w:rPr>
                <w:rFonts w:asciiTheme="majorHAnsi" w:hAnsiTheme="majorHAnsi" w:cstheme="majorHAnsi"/>
              </w:rPr>
              <w:t>Řešení krize dostupnosti bydlení vyžaduje harmonizovanou aplikaci finančních, administrativních, podpůrných i</w:t>
            </w:r>
            <w:r w:rsidR="000D7449">
              <w:rPr>
                <w:rFonts w:asciiTheme="majorHAnsi" w:hAnsiTheme="majorHAnsi" w:cstheme="majorHAnsi"/>
              </w:rPr>
              <w:t> </w:t>
            </w:r>
            <w:r w:rsidRPr="004B4B33">
              <w:rPr>
                <w:rFonts w:asciiTheme="majorHAnsi" w:hAnsiTheme="majorHAnsi" w:cstheme="majorHAnsi"/>
              </w:rPr>
              <w:t>regulačních nástrojů a</w:t>
            </w:r>
            <w:r w:rsidR="000D7449">
              <w:rPr>
                <w:rFonts w:asciiTheme="majorHAnsi" w:hAnsiTheme="majorHAnsi" w:cstheme="majorHAnsi"/>
              </w:rPr>
              <w:t> </w:t>
            </w:r>
            <w:r w:rsidRPr="004B4B33">
              <w:rPr>
                <w:rFonts w:asciiTheme="majorHAnsi" w:hAnsiTheme="majorHAnsi" w:cstheme="majorHAnsi"/>
              </w:rPr>
              <w:t>opatření. Neobejde se bez přiměřené míry politické podpory a</w:t>
            </w:r>
            <w:r w:rsidR="000D7449">
              <w:rPr>
                <w:rFonts w:asciiTheme="majorHAnsi" w:hAnsiTheme="majorHAnsi" w:cstheme="majorHAnsi"/>
              </w:rPr>
              <w:t> </w:t>
            </w:r>
            <w:r w:rsidRPr="004B4B33">
              <w:rPr>
                <w:rFonts w:asciiTheme="majorHAnsi" w:hAnsiTheme="majorHAnsi" w:cstheme="majorHAnsi"/>
              </w:rPr>
              <w:t>znalostně pokročilých přístupů. Bydlení je samo o</w:t>
            </w:r>
            <w:r w:rsidR="000D7449">
              <w:rPr>
                <w:rFonts w:asciiTheme="majorHAnsi" w:hAnsiTheme="majorHAnsi" w:cstheme="majorHAnsi"/>
              </w:rPr>
              <w:t> </w:t>
            </w:r>
            <w:r w:rsidRPr="004B4B33">
              <w:rPr>
                <w:rFonts w:asciiTheme="majorHAnsi" w:hAnsiTheme="majorHAnsi" w:cstheme="majorHAnsi"/>
              </w:rPr>
              <w:t>sobě velmi interdisciplinární agenda pokrývající technické obory i</w:t>
            </w:r>
            <w:r w:rsidR="000D7449">
              <w:rPr>
                <w:rFonts w:asciiTheme="majorHAnsi" w:hAnsiTheme="majorHAnsi" w:cstheme="majorHAnsi"/>
              </w:rPr>
              <w:t> </w:t>
            </w:r>
            <w:r w:rsidRPr="004B4B33">
              <w:rPr>
                <w:rFonts w:asciiTheme="majorHAnsi" w:hAnsiTheme="majorHAnsi" w:cstheme="majorHAnsi"/>
              </w:rPr>
              <w:t>vědy a</w:t>
            </w:r>
            <w:r w:rsidR="000D7449">
              <w:rPr>
                <w:rFonts w:asciiTheme="majorHAnsi" w:hAnsiTheme="majorHAnsi" w:cstheme="majorHAnsi"/>
              </w:rPr>
              <w:t> </w:t>
            </w:r>
            <w:r w:rsidRPr="004B4B33">
              <w:rPr>
                <w:rFonts w:asciiTheme="majorHAnsi" w:hAnsiTheme="majorHAnsi" w:cstheme="majorHAnsi"/>
              </w:rPr>
              <w:t>obory společensko-humanitní. Selhání, která jsou mj. parciální příčinou současného stavu nedostupného bydlení, jsou nezřídka konsekvencí právě příliš úzce sektorově a</w:t>
            </w:r>
            <w:r w:rsidR="000D7449">
              <w:rPr>
                <w:rFonts w:asciiTheme="majorHAnsi" w:hAnsiTheme="majorHAnsi" w:cstheme="majorHAnsi"/>
              </w:rPr>
              <w:t> </w:t>
            </w:r>
            <w:r w:rsidRPr="004B4B33">
              <w:rPr>
                <w:rFonts w:asciiTheme="majorHAnsi" w:hAnsiTheme="majorHAnsi" w:cstheme="majorHAnsi"/>
              </w:rPr>
              <w:t>oborově zaměřených přístupů a</w:t>
            </w:r>
            <w:r w:rsidR="000D7449">
              <w:rPr>
                <w:rFonts w:asciiTheme="majorHAnsi" w:hAnsiTheme="majorHAnsi" w:cstheme="majorHAnsi"/>
              </w:rPr>
              <w:t> </w:t>
            </w:r>
            <w:r w:rsidRPr="004B4B33">
              <w:rPr>
                <w:rFonts w:asciiTheme="majorHAnsi" w:hAnsiTheme="majorHAnsi" w:cstheme="majorHAnsi"/>
              </w:rPr>
              <w:t>neschopnosti v</w:t>
            </w:r>
            <w:r w:rsidR="000D7449">
              <w:rPr>
                <w:rFonts w:asciiTheme="majorHAnsi" w:hAnsiTheme="majorHAnsi" w:cstheme="majorHAnsi"/>
              </w:rPr>
              <w:t> </w:t>
            </w:r>
            <w:r w:rsidRPr="004B4B33">
              <w:rPr>
                <w:rFonts w:asciiTheme="majorHAnsi" w:hAnsiTheme="majorHAnsi" w:cstheme="majorHAnsi"/>
              </w:rPr>
              <w:t>politikách bydlení aplikovat holistické a</w:t>
            </w:r>
            <w:r w:rsidR="000D7449">
              <w:rPr>
                <w:rFonts w:asciiTheme="majorHAnsi" w:hAnsiTheme="majorHAnsi" w:cstheme="majorHAnsi"/>
              </w:rPr>
              <w:t> </w:t>
            </w:r>
            <w:r w:rsidRPr="004B4B33">
              <w:rPr>
                <w:rFonts w:asciiTheme="majorHAnsi" w:hAnsiTheme="majorHAnsi" w:cstheme="majorHAnsi"/>
              </w:rPr>
              <w:t>strategické přístupy.</w:t>
            </w:r>
          </w:p>
          <w:p w14:paraId="1BE3E913" w14:textId="77CC0329" w:rsidR="0042415F" w:rsidRPr="004B4B33" w:rsidRDefault="001D082B">
            <w:pPr>
              <w:jc w:val="both"/>
              <w:rPr>
                <w:rFonts w:asciiTheme="majorHAnsi" w:hAnsiTheme="majorHAnsi" w:cstheme="majorHAnsi"/>
              </w:rPr>
            </w:pPr>
            <w:r w:rsidRPr="004B4B33">
              <w:rPr>
                <w:rFonts w:asciiTheme="majorHAnsi" w:hAnsiTheme="majorHAnsi" w:cstheme="majorHAnsi"/>
              </w:rPr>
              <w:t>Pro efektivní rozvoj bydlení v</w:t>
            </w:r>
            <w:r w:rsidR="000D7449">
              <w:rPr>
                <w:rFonts w:asciiTheme="majorHAnsi" w:hAnsiTheme="majorHAnsi" w:cstheme="majorHAnsi"/>
              </w:rPr>
              <w:t> </w:t>
            </w:r>
            <w:r w:rsidRPr="004B4B33">
              <w:rPr>
                <w:rFonts w:asciiTheme="majorHAnsi" w:hAnsiTheme="majorHAnsi" w:cstheme="majorHAnsi"/>
              </w:rPr>
              <w:t>regionech jsou nezbytné dostatečné zkušenosti a</w:t>
            </w:r>
            <w:r w:rsidR="000D7449">
              <w:rPr>
                <w:rFonts w:asciiTheme="majorHAnsi" w:hAnsiTheme="majorHAnsi" w:cstheme="majorHAnsi"/>
              </w:rPr>
              <w:t> </w:t>
            </w:r>
            <w:r w:rsidRPr="004B4B33">
              <w:rPr>
                <w:rFonts w:asciiTheme="majorHAnsi" w:hAnsiTheme="majorHAnsi" w:cstheme="majorHAnsi"/>
              </w:rPr>
              <w:t>znalosti s</w:t>
            </w:r>
            <w:r w:rsidR="000D7449">
              <w:rPr>
                <w:rFonts w:asciiTheme="majorHAnsi" w:hAnsiTheme="majorHAnsi" w:cstheme="majorHAnsi"/>
              </w:rPr>
              <w:t> </w:t>
            </w:r>
            <w:r w:rsidRPr="004B4B33">
              <w:rPr>
                <w:rFonts w:asciiTheme="majorHAnsi" w:hAnsiTheme="majorHAnsi" w:cstheme="majorHAnsi"/>
              </w:rPr>
              <w:t>veřejným investováním v</w:t>
            </w:r>
            <w:r w:rsidR="000D7449">
              <w:rPr>
                <w:rFonts w:asciiTheme="majorHAnsi" w:hAnsiTheme="majorHAnsi" w:cstheme="majorHAnsi"/>
              </w:rPr>
              <w:t> </w:t>
            </w:r>
            <w:r w:rsidRPr="004B4B33">
              <w:rPr>
                <w:rFonts w:asciiTheme="majorHAnsi" w:hAnsiTheme="majorHAnsi" w:cstheme="majorHAnsi"/>
              </w:rPr>
              <w:t>území, a</w:t>
            </w:r>
            <w:r w:rsidR="000D7449">
              <w:rPr>
                <w:rFonts w:asciiTheme="majorHAnsi" w:hAnsiTheme="majorHAnsi" w:cstheme="majorHAnsi"/>
              </w:rPr>
              <w:t> </w:t>
            </w:r>
            <w:r w:rsidRPr="004B4B33">
              <w:rPr>
                <w:rFonts w:asciiTheme="majorHAnsi" w:hAnsiTheme="majorHAnsi" w:cstheme="majorHAnsi"/>
              </w:rPr>
              <w:t>to speciálně do bytové výstavby. Praxe zatím ukazuje, že až na velká města, která si mohou dovolit větší expertní týmy, jsou znalosti a</w:t>
            </w:r>
            <w:r w:rsidR="000D7449">
              <w:rPr>
                <w:rFonts w:asciiTheme="majorHAnsi" w:hAnsiTheme="majorHAnsi" w:cstheme="majorHAnsi"/>
              </w:rPr>
              <w:t> </w:t>
            </w:r>
            <w:r w:rsidRPr="004B4B33">
              <w:rPr>
                <w:rFonts w:asciiTheme="majorHAnsi" w:hAnsiTheme="majorHAnsi" w:cstheme="majorHAnsi"/>
              </w:rPr>
              <w:t>zkušenosti v</w:t>
            </w:r>
            <w:r w:rsidR="000D7449">
              <w:rPr>
                <w:rFonts w:asciiTheme="majorHAnsi" w:hAnsiTheme="majorHAnsi" w:cstheme="majorHAnsi"/>
              </w:rPr>
              <w:t> </w:t>
            </w:r>
            <w:r w:rsidRPr="004B4B33">
              <w:rPr>
                <w:rFonts w:asciiTheme="majorHAnsi" w:hAnsiTheme="majorHAnsi" w:cstheme="majorHAnsi"/>
              </w:rPr>
              <w:t>oblasti veřejného investování omezené a</w:t>
            </w:r>
            <w:r w:rsidR="000D7449">
              <w:rPr>
                <w:rFonts w:asciiTheme="majorHAnsi" w:hAnsiTheme="majorHAnsi" w:cstheme="majorHAnsi"/>
              </w:rPr>
              <w:t> </w:t>
            </w:r>
            <w:r w:rsidRPr="004B4B33">
              <w:rPr>
                <w:rFonts w:asciiTheme="majorHAnsi" w:hAnsiTheme="majorHAnsi" w:cstheme="majorHAnsi"/>
              </w:rPr>
              <w:t>je potřeba dosáhnout v</w:t>
            </w:r>
            <w:r w:rsidR="000D7449">
              <w:rPr>
                <w:rFonts w:asciiTheme="majorHAnsi" w:hAnsiTheme="majorHAnsi" w:cstheme="majorHAnsi"/>
              </w:rPr>
              <w:t> </w:t>
            </w:r>
            <w:r w:rsidRPr="004B4B33">
              <w:rPr>
                <w:rFonts w:asciiTheme="majorHAnsi" w:hAnsiTheme="majorHAnsi" w:cstheme="majorHAnsi"/>
              </w:rPr>
              <w:t>tomto systémové změny.</w:t>
            </w:r>
          </w:p>
          <w:p w14:paraId="3929C863" w14:textId="571A869C" w:rsidR="0042415F" w:rsidRPr="004B4B33" w:rsidRDefault="001D082B">
            <w:pPr>
              <w:jc w:val="both"/>
              <w:rPr>
                <w:rFonts w:asciiTheme="majorHAnsi" w:hAnsiTheme="majorHAnsi" w:cstheme="majorHAnsi"/>
              </w:rPr>
            </w:pPr>
            <w:r w:rsidRPr="004B4B33">
              <w:rPr>
                <w:rFonts w:asciiTheme="majorHAnsi" w:hAnsiTheme="majorHAnsi" w:cstheme="majorHAnsi"/>
              </w:rPr>
              <w:t>Na základě výše identifikovaných problémů lze také indikovat potíže samospráv zodpovědných za bydlení vyplývajících z</w:t>
            </w:r>
            <w:r w:rsidR="000D7449">
              <w:rPr>
                <w:rFonts w:asciiTheme="majorHAnsi" w:hAnsiTheme="majorHAnsi" w:cstheme="majorHAnsi"/>
              </w:rPr>
              <w:t> </w:t>
            </w:r>
            <w:r w:rsidRPr="004B4B33">
              <w:rPr>
                <w:rFonts w:asciiTheme="majorHAnsi" w:hAnsiTheme="majorHAnsi" w:cstheme="majorHAnsi"/>
              </w:rPr>
              <w:t>různého rozsahu bytového fondu a</w:t>
            </w:r>
            <w:r w:rsidR="000D7449">
              <w:rPr>
                <w:rFonts w:asciiTheme="majorHAnsi" w:hAnsiTheme="majorHAnsi" w:cstheme="majorHAnsi"/>
              </w:rPr>
              <w:t> </w:t>
            </w:r>
            <w:r w:rsidRPr="004B4B33">
              <w:rPr>
                <w:rFonts w:asciiTheme="majorHAnsi" w:hAnsiTheme="majorHAnsi" w:cstheme="majorHAnsi"/>
              </w:rPr>
              <w:t>jeho stavu, nesouladu potřeb a</w:t>
            </w:r>
            <w:r w:rsidR="000D7449">
              <w:rPr>
                <w:rFonts w:asciiTheme="majorHAnsi" w:hAnsiTheme="majorHAnsi" w:cstheme="majorHAnsi"/>
              </w:rPr>
              <w:t> </w:t>
            </w:r>
            <w:r w:rsidRPr="004B4B33">
              <w:rPr>
                <w:rFonts w:asciiTheme="majorHAnsi" w:hAnsiTheme="majorHAnsi" w:cstheme="majorHAnsi"/>
              </w:rPr>
              <w:t>problémů v</w:t>
            </w:r>
            <w:r w:rsidR="000D7449">
              <w:rPr>
                <w:rFonts w:asciiTheme="majorHAnsi" w:hAnsiTheme="majorHAnsi" w:cstheme="majorHAnsi"/>
              </w:rPr>
              <w:t> </w:t>
            </w:r>
            <w:r w:rsidRPr="004B4B33">
              <w:rPr>
                <w:rFonts w:asciiTheme="majorHAnsi" w:hAnsiTheme="majorHAnsi" w:cstheme="majorHAnsi"/>
              </w:rPr>
              <w:t>bydlení s</w:t>
            </w:r>
            <w:r w:rsidR="000D7449">
              <w:rPr>
                <w:rFonts w:asciiTheme="majorHAnsi" w:hAnsiTheme="majorHAnsi" w:cstheme="majorHAnsi"/>
              </w:rPr>
              <w:t> </w:t>
            </w:r>
            <w:r w:rsidRPr="004B4B33">
              <w:rPr>
                <w:rFonts w:asciiTheme="majorHAnsi" w:hAnsiTheme="majorHAnsi" w:cstheme="majorHAnsi"/>
              </w:rPr>
              <w:t>cíli a</w:t>
            </w:r>
            <w:r w:rsidR="000D7449">
              <w:rPr>
                <w:rFonts w:asciiTheme="majorHAnsi" w:hAnsiTheme="majorHAnsi" w:cstheme="majorHAnsi"/>
              </w:rPr>
              <w:t> </w:t>
            </w:r>
            <w:r w:rsidRPr="004B4B33">
              <w:rPr>
                <w:rFonts w:asciiTheme="majorHAnsi" w:hAnsiTheme="majorHAnsi" w:cstheme="majorHAnsi"/>
              </w:rPr>
              <w:t>prioritami obecních bytových politik (a hodnotových systémů samospráv), ale i</w:t>
            </w:r>
            <w:r w:rsidR="000D7449">
              <w:rPr>
                <w:rFonts w:asciiTheme="majorHAnsi" w:hAnsiTheme="majorHAnsi" w:cstheme="majorHAnsi"/>
              </w:rPr>
              <w:t> </w:t>
            </w:r>
            <w:r w:rsidRPr="004B4B33">
              <w:rPr>
                <w:rFonts w:asciiTheme="majorHAnsi" w:hAnsiTheme="majorHAnsi" w:cstheme="majorHAnsi"/>
              </w:rPr>
              <w:t>deficitu kapacit k</w:t>
            </w:r>
            <w:r w:rsidR="000D7449">
              <w:rPr>
                <w:rFonts w:asciiTheme="majorHAnsi" w:hAnsiTheme="majorHAnsi" w:cstheme="majorHAnsi"/>
              </w:rPr>
              <w:t> </w:t>
            </w:r>
            <w:r w:rsidRPr="004B4B33">
              <w:rPr>
                <w:rFonts w:asciiTheme="majorHAnsi" w:hAnsiTheme="majorHAnsi" w:cstheme="majorHAnsi"/>
              </w:rPr>
              <w:t>řešení problematiky sociálního a</w:t>
            </w:r>
            <w:r w:rsidR="000D7449">
              <w:rPr>
                <w:rFonts w:asciiTheme="majorHAnsi" w:hAnsiTheme="majorHAnsi" w:cstheme="majorHAnsi"/>
              </w:rPr>
              <w:t> </w:t>
            </w:r>
            <w:r w:rsidRPr="004B4B33">
              <w:rPr>
                <w:rFonts w:asciiTheme="majorHAnsi" w:hAnsiTheme="majorHAnsi" w:cstheme="majorHAnsi"/>
              </w:rPr>
              <w:t>dostupného bydlení. Nezřídka jde i</w:t>
            </w:r>
            <w:r w:rsidR="000D7449">
              <w:rPr>
                <w:rFonts w:asciiTheme="majorHAnsi" w:hAnsiTheme="majorHAnsi" w:cstheme="majorHAnsi"/>
              </w:rPr>
              <w:t> </w:t>
            </w:r>
            <w:r w:rsidRPr="004B4B33">
              <w:rPr>
                <w:rFonts w:asciiTheme="majorHAnsi" w:hAnsiTheme="majorHAnsi" w:cstheme="majorHAnsi"/>
              </w:rPr>
              <w:t>o problém kvality a</w:t>
            </w:r>
            <w:r w:rsidR="000D7449">
              <w:rPr>
                <w:rFonts w:asciiTheme="majorHAnsi" w:hAnsiTheme="majorHAnsi" w:cstheme="majorHAnsi"/>
              </w:rPr>
              <w:t> </w:t>
            </w:r>
            <w:r w:rsidRPr="004B4B33">
              <w:rPr>
                <w:rFonts w:asciiTheme="majorHAnsi" w:hAnsiTheme="majorHAnsi" w:cstheme="majorHAnsi"/>
              </w:rPr>
              <w:t>kompetence správy, nepřístupnosti existujícího know-how, omezených kapacit na přípravu záměrů a</w:t>
            </w:r>
            <w:r w:rsidR="000D7449">
              <w:rPr>
                <w:rFonts w:asciiTheme="majorHAnsi" w:hAnsiTheme="majorHAnsi" w:cstheme="majorHAnsi"/>
              </w:rPr>
              <w:t> </w:t>
            </w:r>
            <w:r w:rsidRPr="004B4B33">
              <w:rPr>
                <w:rFonts w:asciiTheme="majorHAnsi" w:hAnsiTheme="majorHAnsi" w:cstheme="majorHAnsi"/>
              </w:rPr>
              <w:t>projektů apod.</w:t>
            </w:r>
          </w:p>
          <w:p w14:paraId="086D70ED" w14:textId="77777777" w:rsidR="0042415F" w:rsidRPr="004B4B33" w:rsidRDefault="001D082B">
            <w:pPr>
              <w:jc w:val="both"/>
              <w:rPr>
                <w:rFonts w:asciiTheme="majorHAnsi" w:hAnsiTheme="majorHAnsi" w:cstheme="majorHAnsi"/>
              </w:rPr>
            </w:pPr>
            <w:r w:rsidRPr="004B4B33">
              <w:rPr>
                <w:rFonts w:asciiTheme="majorHAnsi" w:hAnsiTheme="majorHAnsi" w:cstheme="majorHAnsi"/>
              </w:rPr>
              <w:t xml:space="preserve">Výsledkem je skutečnost, že aktivity samospráv při rozvoji bydlení (ve vlastnictví obcí nebo podpoře soukromých investic) jsou významně závislé na iniciativě jednotlivců, např. starostů nebo radních, tedy dlouhodobě neudržitelné. Sdílení dobré praxe je omezené, což snižuje efektivitu aktivit. </w:t>
            </w:r>
          </w:p>
          <w:p w14:paraId="6DA54AEB" w14:textId="459EDAFE" w:rsidR="0042415F" w:rsidRPr="004B4B33" w:rsidRDefault="001D082B">
            <w:pPr>
              <w:jc w:val="both"/>
              <w:rPr>
                <w:rFonts w:asciiTheme="majorHAnsi" w:hAnsiTheme="majorHAnsi" w:cstheme="majorHAnsi"/>
              </w:rPr>
            </w:pPr>
            <w:r w:rsidRPr="004B4B33">
              <w:rPr>
                <w:rFonts w:asciiTheme="majorHAnsi" w:hAnsiTheme="majorHAnsi" w:cstheme="majorHAnsi"/>
              </w:rPr>
              <w:t>Přestože je bydlení základní životní potřebou a</w:t>
            </w:r>
            <w:r w:rsidR="000D7449">
              <w:rPr>
                <w:rFonts w:asciiTheme="majorHAnsi" w:hAnsiTheme="majorHAnsi" w:cstheme="majorHAnsi"/>
              </w:rPr>
              <w:t> </w:t>
            </w:r>
            <w:r w:rsidRPr="004B4B33">
              <w:rPr>
                <w:rFonts w:asciiTheme="majorHAnsi" w:hAnsiTheme="majorHAnsi" w:cstheme="majorHAnsi"/>
              </w:rPr>
              <w:t>výdaje spojené s</w:t>
            </w:r>
            <w:r w:rsidR="000D7449">
              <w:rPr>
                <w:rFonts w:asciiTheme="majorHAnsi" w:hAnsiTheme="majorHAnsi" w:cstheme="majorHAnsi"/>
              </w:rPr>
              <w:t> </w:t>
            </w:r>
            <w:r w:rsidRPr="004B4B33">
              <w:rPr>
                <w:rFonts w:asciiTheme="majorHAnsi" w:hAnsiTheme="majorHAnsi" w:cstheme="majorHAnsi"/>
              </w:rPr>
              <w:t>bydlením tvoří největší položku nákladů většiny domácností, obce jako významní aktéři pro své aktivity v</w:t>
            </w:r>
            <w:r w:rsidR="000D7449">
              <w:rPr>
                <w:rFonts w:asciiTheme="majorHAnsi" w:hAnsiTheme="majorHAnsi" w:cstheme="majorHAnsi"/>
              </w:rPr>
              <w:t> </w:t>
            </w:r>
            <w:r w:rsidRPr="004B4B33">
              <w:rPr>
                <w:rFonts w:asciiTheme="majorHAnsi" w:hAnsiTheme="majorHAnsi" w:cstheme="majorHAnsi"/>
              </w:rPr>
              <w:t xml:space="preserve">bydlení nedostávají metodickou podporu odpovídající významu této agendy. </w:t>
            </w:r>
          </w:p>
          <w:p w14:paraId="36FBD2A1" w14:textId="59B36FFC" w:rsidR="0042415F" w:rsidRPr="004B4B33" w:rsidRDefault="001D082B">
            <w:pPr>
              <w:jc w:val="both"/>
              <w:rPr>
                <w:rFonts w:asciiTheme="majorHAnsi" w:hAnsiTheme="majorHAnsi" w:cstheme="majorHAnsi"/>
              </w:rPr>
            </w:pPr>
            <w:r w:rsidRPr="004B4B33">
              <w:rPr>
                <w:rFonts w:asciiTheme="majorHAnsi" w:hAnsiTheme="majorHAnsi" w:cstheme="majorHAnsi"/>
              </w:rPr>
              <w:lastRenderedPageBreak/>
              <w:t>Stát také nemá v</w:t>
            </w:r>
            <w:r w:rsidR="000D7449">
              <w:rPr>
                <w:rFonts w:asciiTheme="majorHAnsi" w:hAnsiTheme="majorHAnsi" w:cstheme="majorHAnsi"/>
              </w:rPr>
              <w:t> </w:t>
            </w:r>
            <w:r w:rsidRPr="004B4B33">
              <w:rPr>
                <w:rFonts w:asciiTheme="majorHAnsi" w:hAnsiTheme="majorHAnsi" w:cstheme="majorHAnsi"/>
              </w:rPr>
              <w:t>území vybudované struktury, které by přenášely aktuální priority veřejného zájmu v</w:t>
            </w:r>
            <w:r w:rsidR="000D7449">
              <w:rPr>
                <w:rFonts w:asciiTheme="majorHAnsi" w:hAnsiTheme="majorHAnsi" w:cstheme="majorHAnsi"/>
              </w:rPr>
              <w:t> </w:t>
            </w:r>
            <w:r w:rsidRPr="004B4B33">
              <w:rPr>
                <w:rFonts w:asciiTheme="majorHAnsi" w:hAnsiTheme="majorHAnsi" w:cstheme="majorHAnsi"/>
              </w:rPr>
              <w:t>oblasti bydlení. Dlouhodobě se jedná např. o</w:t>
            </w:r>
            <w:r w:rsidR="000D7449">
              <w:rPr>
                <w:rFonts w:asciiTheme="majorHAnsi" w:hAnsiTheme="majorHAnsi" w:cstheme="majorHAnsi"/>
              </w:rPr>
              <w:t> </w:t>
            </w:r>
            <w:r w:rsidRPr="004B4B33">
              <w:rPr>
                <w:rFonts w:asciiTheme="majorHAnsi" w:hAnsiTheme="majorHAnsi" w:cstheme="majorHAnsi"/>
              </w:rPr>
              <w:t>energetickou účinnost, prevenci a</w:t>
            </w:r>
            <w:r w:rsidR="000D7449">
              <w:rPr>
                <w:rFonts w:asciiTheme="majorHAnsi" w:hAnsiTheme="majorHAnsi" w:cstheme="majorHAnsi"/>
              </w:rPr>
              <w:t> </w:t>
            </w:r>
            <w:r w:rsidRPr="004B4B33">
              <w:rPr>
                <w:rFonts w:asciiTheme="majorHAnsi" w:hAnsiTheme="majorHAnsi" w:cstheme="majorHAnsi"/>
              </w:rPr>
              <w:t>řešení bytové nouze, která generuje další náklady z</w:t>
            </w:r>
            <w:r w:rsidR="000D7449">
              <w:rPr>
                <w:rFonts w:asciiTheme="majorHAnsi" w:hAnsiTheme="majorHAnsi" w:cstheme="majorHAnsi"/>
              </w:rPr>
              <w:t> </w:t>
            </w:r>
            <w:r w:rsidRPr="004B4B33">
              <w:rPr>
                <w:rFonts w:asciiTheme="majorHAnsi" w:hAnsiTheme="majorHAnsi" w:cstheme="majorHAnsi"/>
              </w:rPr>
              <w:t>veřejných rozpočtů. Krátkodobě pak chybí např. přehled o</w:t>
            </w:r>
            <w:r w:rsidR="000D7449">
              <w:rPr>
                <w:rFonts w:asciiTheme="majorHAnsi" w:hAnsiTheme="majorHAnsi" w:cstheme="majorHAnsi"/>
              </w:rPr>
              <w:t> </w:t>
            </w:r>
            <w:r w:rsidRPr="004B4B33">
              <w:rPr>
                <w:rFonts w:asciiTheme="majorHAnsi" w:hAnsiTheme="majorHAnsi" w:cstheme="majorHAnsi"/>
              </w:rPr>
              <w:t>disponibilních kapacitách pro zajištění bydlení během uprchlické krize nebo naopak hlavní výzvy a</w:t>
            </w:r>
            <w:r w:rsidR="000D7449">
              <w:rPr>
                <w:rFonts w:asciiTheme="majorHAnsi" w:hAnsiTheme="majorHAnsi" w:cstheme="majorHAnsi"/>
              </w:rPr>
              <w:t> </w:t>
            </w:r>
            <w:r w:rsidRPr="004B4B33">
              <w:rPr>
                <w:rFonts w:asciiTheme="majorHAnsi" w:hAnsiTheme="majorHAnsi" w:cstheme="majorHAnsi"/>
              </w:rPr>
              <w:t>bariéry naplňování těchto priorit na místní úrovni, čímž by podporovaly tvorbu a</w:t>
            </w:r>
            <w:r w:rsidR="000D7449">
              <w:rPr>
                <w:rFonts w:asciiTheme="majorHAnsi" w:hAnsiTheme="majorHAnsi" w:cstheme="majorHAnsi"/>
              </w:rPr>
              <w:t> </w:t>
            </w:r>
            <w:r w:rsidRPr="004B4B33">
              <w:rPr>
                <w:rFonts w:asciiTheme="majorHAnsi" w:hAnsiTheme="majorHAnsi" w:cstheme="majorHAnsi"/>
              </w:rPr>
              <w:t>implementaci široce chápaných politik bydlení na obecní i</w:t>
            </w:r>
            <w:r w:rsidR="000D7449">
              <w:rPr>
                <w:rFonts w:asciiTheme="majorHAnsi" w:hAnsiTheme="majorHAnsi" w:cstheme="majorHAnsi"/>
              </w:rPr>
              <w:t> </w:t>
            </w:r>
            <w:r w:rsidRPr="004B4B33">
              <w:rPr>
                <w:rFonts w:asciiTheme="majorHAnsi" w:hAnsiTheme="majorHAnsi" w:cstheme="majorHAnsi"/>
              </w:rPr>
              <w:t>národní úrovni. Zároveň stát nedokáže efektivně předávat znalosti, jakým způsobem financovat výstavbu bydlení v</w:t>
            </w:r>
            <w:r w:rsidR="000D7449">
              <w:rPr>
                <w:rFonts w:asciiTheme="majorHAnsi" w:hAnsiTheme="majorHAnsi" w:cstheme="majorHAnsi"/>
              </w:rPr>
              <w:t> </w:t>
            </w:r>
            <w:r w:rsidRPr="004B4B33">
              <w:rPr>
                <w:rFonts w:asciiTheme="majorHAnsi" w:hAnsiTheme="majorHAnsi" w:cstheme="majorHAnsi"/>
              </w:rPr>
              <w:t>obcích, ačkoliv existuje mnoho možností. Kapacity expertů v</w:t>
            </w:r>
            <w:r w:rsidR="000D7449">
              <w:rPr>
                <w:rFonts w:asciiTheme="majorHAnsi" w:hAnsiTheme="majorHAnsi" w:cstheme="majorHAnsi"/>
              </w:rPr>
              <w:t> </w:t>
            </w:r>
            <w:r w:rsidRPr="004B4B33">
              <w:rPr>
                <w:rFonts w:asciiTheme="majorHAnsi" w:hAnsiTheme="majorHAnsi" w:cstheme="majorHAnsi"/>
              </w:rPr>
              <w:t xml:space="preserve">obcích však chybí. </w:t>
            </w:r>
          </w:p>
        </w:tc>
      </w:tr>
      <w:tr w:rsidR="0042415F" w:rsidRPr="004B4B33" w14:paraId="74303D10" w14:textId="77777777">
        <w:trPr>
          <w:trHeight w:val="4025"/>
        </w:trPr>
        <w:tc>
          <w:tcPr>
            <w:tcW w:w="17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98D55BA"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lastRenderedPageBreak/>
              <w:t>Cíl</w:t>
            </w:r>
          </w:p>
        </w:tc>
        <w:tc>
          <w:tcPr>
            <w:tcW w:w="711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18D25EF9" w14:textId="3DF8084B" w:rsidR="0042415F" w:rsidRPr="004B4B33" w:rsidRDefault="001D082B">
            <w:pPr>
              <w:spacing w:before="0"/>
              <w:jc w:val="both"/>
              <w:rPr>
                <w:rFonts w:asciiTheme="majorHAnsi" w:hAnsiTheme="majorHAnsi" w:cstheme="majorHAnsi"/>
              </w:rPr>
            </w:pPr>
            <w:r w:rsidRPr="004B4B33">
              <w:rPr>
                <w:rFonts w:asciiTheme="majorHAnsi" w:hAnsiTheme="majorHAnsi" w:cstheme="majorHAnsi"/>
              </w:rPr>
              <w:t>Vytvoření systémového nástroje k</w:t>
            </w:r>
            <w:r w:rsidR="000D7449">
              <w:rPr>
                <w:rFonts w:asciiTheme="majorHAnsi" w:hAnsiTheme="majorHAnsi" w:cstheme="majorHAnsi"/>
              </w:rPr>
              <w:t> </w:t>
            </w:r>
            <w:r w:rsidRPr="004B4B33">
              <w:rPr>
                <w:rFonts w:asciiTheme="majorHAnsi" w:hAnsiTheme="majorHAnsi" w:cstheme="majorHAnsi"/>
              </w:rPr>
              <w:t>soustředění a</w:t>
            </w:r>
            <w:r w:rsidR="000D7449">
              <w:rPr>
                <w:rFonts w:asciiTheme="majorHAnsi" w:hAnsiTheme="majorHAnsi" w:cstheme="majorHAnsi"/>
              </w:rPr>
              <w:t> </w:t>
            </w:r>
            <w:r w:rsidRPr="004B4B33">
              <w:rPr>
                <w:rFonts w:asciiTheme="majorHAnsi" w:hAnsiTheme="majorHAnsi" w:cstheme="majorHAnsi"/>
              </w:rPr>
              <w:t>aplikaci potřebných znalostí a</w:t>
            </w:r>
            <w:r w:rsidR="000D7449">
              <w:rPr>
                <w:rFonts w:asciiTheme="majorHAnsi" w:hAnsiTheme="majorHAnsi" w:cstheme="majorHAnsi"/>
              </w:rPr>
              <w:t> </w:t>
            </w:r>
            <w:r w:rsidRPr="004B4B33">
              <w:rPr>
                <w:rFonts w:asciiTheme="majorHAnsi" w:hAnsiTheme="majorHAnsi" w:cstheme="majorHAnsi"/>
              </w:rPr>
              <w:t>postupů k</w:t>
            </w:r>
            <w:r w:rsidR="000D7449">
              <w:rPr>
                <w:rFonts w:asciiTheme="majorHAnsi" w:hAnsiTheme="majorHAnsi" w:cstheme="majorHAnsi"/>
              </w:rPr>
              <w:t> </w:t>
            </w:r>
            <w:r w:rsidRPr="004B4B33">
              <w:rPr>
                <w:rFonts w:asciiTheme="majorHAnsi" w:hAnsiTheme="majorHAnsi" w:cstheme="majorHAnsi"/>
              </w:rPr>
              <w:t xml:space="preserve">rozvoji investic do bydlení. Jeho zastřešením na centrální úrovni bude </w:t>
            </w:r>
            <w:r w:rsidRPr="004B4B33">
              <w:rPr>
                <w:rFonts w:asciiTheme="majorHAnsi" w:hAnsiTheme="majorHAnsi" w:cstheme="majorHAnsi"/>
                <w:b/>
              </w:rPr>
              <w:t>Housing Investment Advisory Hub</w:t>
            </w:r>
            <w:r w:rsidRPr="004B4B33">
              <w:rPr>
                <w:rFonts w:asciiTheme="majorHAnsi" w:hAnsiTheme="majorHAnsi" w:cstheme="majorHAnsi"/>
              </w:rPr>
              <w:t xml:space="preserve"> (interdisciplinární znalostní platformu), jehož účelem bude systémová koordinace získávání a</w:t>
            </w:r>
            <w:r w:rsidR="000D7449">
              <w:rPr>
                <w:rFonts w:asciiTheme="majorHAnsi" w:hAnsiTheme="majorHAnsi" w:cstheme="majorHAnsi"/>
              </w:rPr>
              <w:t> </w:t>
            </w:r>
            <w:r w:rsidRPr="004B4B33">
              <w:rPr>
                <w:rFonts w:asciiTheme="majorHAnsi" w:hAnsiTheme="majorHAnsi" w:cstheme="majorHAnsi"/>
              </w:rPr>
              <w:t>sdílení znalostí v</w:t>
            </w:r>
            <w:r w:rsidR="000D7449">
              <w:rPr>
                <w:rFonts w:asciiTheme="majorHAnsi" w:hAnsiTheme="majorHAnsi" w:cstheme="majorHAnsi"/>
              </w:rPr>
              <w:t> </w:t>
            </w:r>
            <w:r w:rsidRPr="004B4B33">
              <w:rPr>
                <w:rFonts w:asciiTheme="majorHAnsi" w:hAnsiTheme="majorHAnsi" w:cstheme="majorHAnsi"/>
              </w:rPr>
              <w:t xml:space="preserve">oblasti veřejného investování do bydlení. Pro potřeby diseminace know how do území vznikne </w:t>
            </w:r>
            <w:r w:rsidRPr="004B4B33">
              <w:rPr>
                <w:rFonts w:asciiTheme="majorHAnsi" w:hAnsiTheme="majorHAnsi" w:cstheme="majorHAnsi"/>
                <w:b/>
              </w:rPr>
              <w:t>krajská síť regionálních poradenských center pro investice do bydlení</w:t>
            </w:r>
            <w:r w:rsidRPr="004B4B33">
              <w:rPr>
                <w:rFonts w:asciiTheme="majorHAnsi" w:hAnsiTheme="majorHAnsi" w:cstheme="majorHAnsi"/>
              </w:rPr>
              <w:t>. Tato síť zajistí odbornou a</w:t>
            </w:r>
            <w:r w:rsidR="000D7449">
              <w:rPr>
                <w:rFonts w:asciiTheme="majorHAnsi" w:hAnsiTheme="majorHAnsi" w:cstheme="majorHAnsi"/>
              </w:rPr>
              <w:t> </w:t>
            </w:r>
            <w:r w:rsidRPr="004B4B33">
              <w:rPr>
                <w:rFonts w:asciiTheme="majorHAnsi" w:hAnsiTheme="majorHAnsi" w:cstheme="majorHAnsi"/>
              </w:rPr>
              <w:t>metodickou podporu a</w:t>
            </w:r>
            <w:r w:rsidR="000D7449">
              <w:rPr>
                <w:rFonts w:asciiTheme="majorHAnsi" w:hAnsiTheme="majorHAnsi" w:cstheme="majorHAnsi"/>
              </w:rPr>
              <w:t> </w:t>
            </w:r>
            <w:r w:rsidRPr="004B4B33">
              <w:rPr>
                <w:rFonts w:asciiTheme="majorHAnsi" w:hAnsiTheme="majorHAnsi" w:cstheme="majorHAnsi"/>
              </w:rPr>
              <w:t>koordinaci bytových politik obcí a</w:t>
            </w:r>
            <w:r w:rsidR="000D7449">
              <w:rPr>
                <w:rFonts w:asciiTheme="majorHAnsi" w:hAnsiTheme="majorHAnsi" w:cstheme="majorHAnsi"/>
              </w:rPr>
              <w:t> </w:t>
            </w:r>
            <w:r w:rsidRPr="004B4B33">
              <w:rPr>
                <w:rFonts w:asciiTheme="majorHAnsi" w:hAnsiTheme="majorHAnsi" w:cstheme="majorHAnsi"/>
              </w:rPr>
              <w:t>dalších aktérů v</w:t>
            </w:r>
            <w:r w:rsidR="000D7449">
              <w:rPr>
                <w:rFonts w:asciiTheme="majorHAnsi" w:hAnsiTheme="majorHAnsi" w:cstheme="majorHAnsi"/>
              </w:rPr>
              <w:t> </w:t>
            </w:r>
            <w:r w:rsidRPr="004B4B33">
              <w:rPr>
                <w:rFonts w:asciiTheme="majorHAnsi" w:hAnsiTheme="majorHAnsi" w:cstheme="majorHAnsi"/>
              </w:rPr>
              <w:t>oblastech sociálního a</w:t>
            </w:r>
            <w:r w:rsidR="000D7449">
              <w:rPr>
                <w:rFonts w:asciiTheme="majorHAnsi" w:hAnsiTheme="majorHAnsi" w:cstheme="majorHAnsi"/>
              </w:rPr>
              <w:t> </w:t>
            </w:r>
            <w:r w:rsidRPr="004B4B33">
              <w:rPr>
                <w:rFonts w:asciiTheme="majorHAnsi" w:hAnsiTheme="majorHAnsi" w:cstheme="majorHAnsi"/>
              </w:rPr>
              <w:t>dostupného bydlení.</w:t>
            </w:r>
          </w:p>
          <w:p w14:paraId="0EBBABA3" w14:textId="77777777" w:rsidR="0042415F" w:rsidRPr="004B4B33" w:rsidRDefault="001D082B">
            <w:pPr>
              <w:spacing w:before="240"/>
              <w:jc w:val="both"/>
              <w:rPr>
                <w:rFonts w:asciiTheme="majorHAnsi" w:hAnsiTheme="majorHAnsi" w:cstheme="majorHAnsi"/>
                <w:u w:val="single"/>
              </w:rPr>
            </w:pPr>
            <w:r w:rsidRPr="004B4B33">
              <w:rPr>
                <w:rFonts w:asciiTheme="majorHAnsi" w:hAnsiTheme="majorHAnsi" w:cstheme="majorHAnsi"/>
                <w:u w:val="single"/>
              </w:rPr>
              <w:t>Popis Housing Investment Advisory Hub (HIAH):</w:t>
            </w:r>
          </w:p>
          <w:p w14:paraId="1C487C93" w14:textId="0DEE7E39" w:rsidR="0042415F" w:rsidRPr="004B4B33" w:rsidRDefault="001D082B">
            <w:pPr>
              <w:spacing w:before="240"/>
              <w:jc w:val="both"/>
              <w:rPr>
                <w:rFonts w:asciiTheme="majorHAnsi" w:hAnsiTheme="majorHAnsi" w:cstheme="majorHAnsi"/>
              </w:rPr>
            </w:pPr>
            <w:r w:rsidRPr="004B4B33">
              <w:rPr>
                <w:rFonts w:asciiTheme="majorHAnsi" w:hAnsiTheme="majorHAnsi" w:cstheme="majorHAnsi"/>
              </w:rPr>
              <w:t>Cílem HIAH bude rychlá a</w:t>
            </w:r>
            <w:r w:rsidR="000D7449">
              <w:rPr>
                <w:rFonts w:asciiTheme="majorHAnsi" w:hAnsiTheme="majorHAnsi" w:cstheme="majorHAnsi"/>
              </w:rPr>
              <w:t> </w:t>
            </w:r>
            <w:r w:rsidRPr="004B4B33">
              <w:rPr>
                <w:rFonts w:asciiTheme="majorHAnsi" w:hAnsiTheme="majorHAnsi" w:cstheme="majorHAnsi"/>
              </w:rPr>
              <w:t>efektivní příprava bytových politik s</w:t>
            </w:r>
            <w:r w:rsidR="000D7449">
              <w:rPr>
                <w:rFonts w:asciiTheme="majorHAnsi" w:hAnsiTheme="majorHAnsi" w:cstheme="majorHAnsi"/>
              </w:rPr>
              <w:t> </w:t>
            </w:r>
            <w:r w:rsidRPr="004B4B33">
              <w:rPr>
                <w:rFonts w:asciiTheme="majorHAnsi" w:hAnsiTheme="majorHAnsi" w:cstheme="majorHAnsi"/>
              </w:rPr>
              <w:t>následujícími parciálními cíli:</w:t>
            </w:r>
          </w:p>
          <w:p w14:paraId="1E420579" w14:textId="0DECF1D0" w:rsidR="0042415F" w:rsidRPr="004B4B33" w:rsidRDefault="001D082B">
            <w:pPr>
              <w:numPr>
                <w:ilvl w:val="0"/>
                <w:numId w:val="20"/>
              </w:numPr>
              <w:spacing w:after="0"/>
              <w:jc w:val="both"/>
              <w:rPr>
                <w:rFonts w:asciiTheme="majorHAnsi" w:hAnsiTheme="majorHAnsi" w:cstheme="majorHAnsi"/>
              </w:rPr>
            </w:pPr>
            <w:r w:rsidRPr="004B4B33">
              <w:rPr>
                <w:rFonts w:asciiTheme="majorHAnsi" w:hAnsiTheme="majorHAnsi" w:cstheme="majorHAnsi"/>
              </w:rPr>
              <w:t>vytvořit znalostní bázi pro veřejné investování do bydlení a</w:t>
            </w:r>
            <w:r w:rsidR="000D7449">
              <w:rPr>
                <w:rFonts w:asciiTheme="majorHAnsi" w:hAnsiTheme="majorHAnsi" w:cstheme="majorHAnsi"/>
              </w:rPr>
              <w:t> </w:t>
            </w:r>
            <w:r w:rsidRPr="004B4B33">
              <w:rPr>
                <w:rFonts w:asciiTheme="majorHAnsi" w:hAnsiTheme="majorHAnsi" w:cstheme="majorHAnsi"/>
              </w:rPr>
              <w:t>metodicky zajistit s</w:t>
            </w:r>
            <w:r w:rsidR="000D7449">
              <w:rPr>
                <w:rFonts w:asciiTheme="majorHAnsi" w:hAnsiTheme="majorHAnsi" w:cstheme="majorHAnsi"/>
              </w:rPr>
              <w:t> </w:t>
            </w:r>
            <w:r w:rsidRPr="004B4B33">
              <w:rPr>
                <w:rFonts w:asciiTheme="majorHAnsi" w:hAnsiTheme="majorHAnsi" w:cstheme="majorHAnsi"/>
              </w:rPr>
              <w:t>tím spojené aktivity.;</w:t>
            </w:r>
          </w:p>
          <w:p w14:paraId="40DBDF8F" w14:textId="33D05EE0" w:rsidR="0042415F" w:rsidRPr="004B4B33" w:rsidRDefault="001D082B">
            <w:pPr>
              <w:numPr>
                <w:ilvl w:val="0"/>
                <w:numId w:val="20"/>
              </w:numPr>
              <w:spacing w:before="0" w:after="0"/>
              <w:jc w:val="both"/>
              <w:rPr>
                <w:rFonts w:asciiTheme="majorHAnsi" w:hAnsiTheme="majorHAnsi" w:cstheme="majorHAnsi"/>
              </w:rPr>
            </w:pPr>
            <w:r w:rsidRPr="004B4B33">
              <w:rPr>
                <w:rFonts w:asciiTheme="majorHAnsi" w:hAnsiTheme="majorHAnsi" w:cstheme="majorHAnsi"/>
              </w:rPr>
              <w:t>napomoci transferu know-how ze zemí se zkušenostmi s</w:t>
            </w:r>
            <w:r w:rsidR="000D7449">
              <w:rPr>
                <w:rFonts w:asciiTheme="majorHAnsi" w:hAnsiTheme="majorHAnsi" w:cstheme="majorHAnsi"/>
              </w:rPr>
              <w:t> </w:t>
            </w:r>
            <w:r w:rsidRPr="004B4B33">
              <w:rPr>
                <w:rFonts w:asciiTheme="majorHAnsi" w:hAnsiTheme="majorHAnsi" w:cstheme="majorHAnsi"/>
              </w:rPr>
              <w:t>realizací efektivních a</w:t>
            </w:r>
            <w:r w:rsidR="000D7449">
              <w:rPr>
                <w:rFonts w:asciiTheme="majorHAnsi" w:hAnsiTheme="majorHAnsi" w:cstheme="majorHAnsi"/>
              </w:rPr>
              <w:t> </w:t>
            </w:r>
            <w:r w:rsidRPr="004B4B33">
              <w:rPr>
                <w:rFonts w:asciiTheme="majorHAnsi" w:hAnsiTheme="majorHAnsi" w:cstheme="majorHAnsi"/>
              </w:rPr>
              <w:t>udržitelných bytových politik. Prezentace příkladů dobré praxe;</w:t>
            </w:r>
          </w:p>
          <w:p w14:paraId="5264C773" w14:textId="268638CF" w:rsidR="0042415F" w:rsidRPr="004B4B33" w:rsidRDefault="001D082B">
            <w:pPr>
              <w:numPr>
                <w:ilvl w:val="0"/>
                <w:numId w:val="20"/>
              </w:numPr>
              <w:spacing w:before="0" w:after="0"/>
              <w:jc w:val="both"/>
              <w:rPr>
                <w:rFonts w:asciiTheme="majorHAnsi" w:hAnsiTheme="majorHAnsi" w:cstheme="majorHAnsi"/>
              </w:rPr>
            </w:pPr>
            <w:r w:rsidRPr="004B4B33">
              <w:rPr>
                <w:rFonts w:asciiTheme="majorHAnsi" w:hAnsiTheme="majorHAnsi" w:cstheme="majorHAnsi"/>
              </w:rPr>
              <w:t>reflektovat nové ekonomické, sociální a</w:t>
            </w:r>
            <w:r w:rsidR="000D7449">
              <w:rPr>
                <w:rFonts w:asciiTheme="majorHAnsi" w:hAnsiTheme="majorHAnsi" w:cstheme="majorHAnsi"/>
              </w:rPr>
              <w:t> </w:t>
            </w:r>
            <w:r w:rsidRPr="004B4B33">
              <w:rPr>
                <w:rFonts w:asciiTheme="majorHAnsi" w:hAnsiTheme="majorHAnsi" w:cstheme="majorHAnsi"/>
              </w:rPr>
              <w:t>environmentální výzvy spojené s</w:t>
            </w:r>
            <w:r w:rsidR="000D7449">
              <w:rPr>
                <w:rFonts w:asciiTheme="majorHAnsi" w:hAnsiTheme="majorHAnsi" w:cstheme="majorHAnsi"/>
              </w:rPr>
              <w:t> </w:t>
            </w:r>
            <w:r w:rsidRPr="004B4B33">
              <w:rPr>
                <w:rFonts w:asciiTheme="majorHAnsi" w:hAnsiTheme="majorHAnsi" w:cstheme="majorHAnsi"/>
              </w:rPr>
              <w:t>dostupností bydlení, především pak situaci tržního selhání na trhu rezidenčních nemovitostí (vč. trhu s</w:t>
            </w:r>
            <w:r w:rsidR="000D7449">
              <w:rPr>
                <w:rFonts w:asciiTheme="majorHAnsi" w:hAnsiTheme="majorHAnsi" w:cstheme="majorHAnsi"/>
              </w:rPr>
              <w:t> </w:t>
            </w:r>
            <w:r w:rsidRPr="004B4B33">
              <w:rPr>
                <w:rFonts w:asciiTheme="majorHAnsi" w:hAnsiTheme="majorHAnsi" w:cstheme="majorHAnsi"/>
              </w:rPr>
              <w:t>nájemním bydlením);</w:t>
            </w:r>
          </w:p>
          <w:p w14:paraId="5D4B4957" w14:textId="029A2452" w:rsidR="0042415F" w:rsidRPr="004B4B33" w:rsidRDefault="001D082B">
            <w:pPr>
              <w:numPr>
                <w:ilvl w:val="0"/>
                <w:numId w:val="20"/>
              </w:numPr>
              <w:spacing w:before="0" w:after="0"/>
              <w:jc w:val="both"/>
              <w:rPr>
                <w:rFonts w:asciiTheme="majorHAnsi" w:hAnsiTheme="majorHAnsi" w:cstheme="majorHAnsi"/>
              </w:rPr>
            </w:pPr>
            <w:r w:rsidRPr="004B4B33">
              <w:rPr>
                <w:rFonts w:asciiTheme="majorHAnsi" w:hAnsiTheme="majorHAnsi" w:cstheme="majorHAnsi"/>
              </w:rPr>
              <w:t>efektivně využít znalostních kapacit relevantních expertů a</w:t>
            </w:r>
            <w:r w:rsidR="000D7449">
              <w:rPr>
                <w:rFonts w:asciiTheme="majorHAnsi" w:hAnsiTheme="majorHAnsi" w:cstheme="majorHAnsi"/>
              </w:rPr>
              <w:t> </w:t>
            </w:r>
            <w:r w:rsidRPr="004B4B33">
              <w:rPr>
                <w:rFonts w:asciiTheme="majorHAnsi" w:hAnsiTheme="majorHAnsi" w:cstheme="majorHAnsi"/>
              </w:rPr>
              <w:t>odborných institucí, využít současné informační výstupy z</w:t>
            </w:r>
            <w:r w:rsidR="000D7449">
              <w:rPr>
                <w:rFonts w:asciiTheme="majorHAnsi" w:hAnsiTheme="majorHAnsi" w:cstheme="majorHAnsi"/>
              </w:rPr>
              <w:t> </w:t>
            </w:r>
            <w:r w:rsidRPr="004B4B33">
              <w:rPr>
                <w:rFonts w:asciiTheme="majorHAnsi" w:hAnsiTheme="majorHAnsi" w:cstheme="majorHAnsi"/>
              </w:rPr>
              <w:t>výzkumného, univerzitního i</w:t>
            </w:r>
            <w:r w:rsidR="000D7449">
              <w:rPr>
                <w:rFonts w:asciiTheme="majorHAnsi" w:hAnsiTheme="majorHAnsi" w:cstheme="majorHAnsi"/>
              </w:rPr>
              <w:t> </w:t>
            </w:r>
            <w:r w:rsidRPr="004B4B33">
              <w:rPr>
                <w:rFonts w:asciiTheme="majorHAnsi" w:hAnsiTheme="majorHAnsi" w:cstheme="majorHAnsi"/>
              </w:rPr>
              <w:t>korporátního sektoru;</w:t>
            </w:r>
          </w:p>
          <w:p w14:paraId="6B44DAC7" w14:textId="77777777" w:rsidR="0042415F" w:rsidRPr="004B4B33" w:rsidRDefault="001D082B">
            <w:pPr>
              <w:numPr>
                <w:ilvl w:val="0"/>
                <w:numId w:val="20"/>
              </w:numPr>
              <w:spacing w:before="0" w:after="0"/>
              <w:jc w:val="both"/>
              <w:rPr>
                <w:rFonts w:asciiTheme="majorHAnsi" w:hAnsiTheme="majorHAnsi" w:cstheme="majorHAnsi"/>
              </w:rPr>
            </w:pPr>
            <w:r w:rsidRPr="004B4B33">
              <w:rPr>
                <w:rFonts w:asciiTheme="majorHAnsi" w:hAnsiTheme="majorHAnsi" w:cstheme="majorHAnsi"/>
              </w:rPr>
              <w:t>koordinovat komunikace veřejných politik. Podpořit diseminační, regionálně diverzifikované, diseminační aktivity;</w:t>
            </w:r>
          </w:p>
          <w:p w14:paraId="6CD041E7" w14:textId="7D335B0D" w:rsidR="0042415F" w:rsidRPr="004B4B33" w:rsidRDefault="001D082B">
            <w:pPr>
              <w:numPr>
                <w:ilvl w:val="0"/>
                <w:numId w:val="20"/>
              </w:numPr>
              <w:spacing w:before="0" w:after="0"/>
              <w:jc w:val="both"/>
              <w:rPr>
                <w:rFonts w:asciiTheme="majorHAnsi" w:hAnsiTheme="majorHAnsi" w:cstheme="majorHAnsi"/>
              </w:rPr>
            </w:pPr>
            <w:r w:rsidRPr="004B4B33">
              <w:rPr>
                <w:rFonts w:asciiTheme="majorHAnsi" w:hAnsiTheme="majorHAnsi" w:cstheme="majorHAnsi"/>
              </w:rPr>
              <w:t>koordinovat získávání a</w:t>
            </w:r>
            <w:r w:rsidR="000D7449">
              <w:rPr>
                <w:rFonts w:asciiTheme="majorHAnsi" w:hAnsiTheme="majorHAnsi" w:cstheme="majorHAnsi"/>
              </w:rPr>
              <w:t> </w:t>
            </w:r>
            <w:r w:rsidRPr="004B4B33">
              <w:rPr>
                <w:rFonts w:asciiTheme="majorHAnsi" w:hAnsiTheme="majorHAnsi" w:cstheme="majorHAnsi"/>
              </w:rPr>
              <w:t>sdílení znalostí v</w:t>
            </w:r>
            <w:r w:rsidR="000D7449">
              <w:rPr>
                <w:rFonts w:asciiTheme="majorHAnsi" w:hAnsiTheme="majorHAnsi" w:cstheme="majorHAnsi"/>
              </w:rPr>
              <w:t> </w:t>
            </w:r>
            <w:r w:rsidRPr="004B4B33">
              <w:rPr>
                <w:rFonts w:asciiTheme="majorHAnsi" w:hAnsiTheme="majorHAnsi" w:cstheme="majorHAnsi"/>
              </w:rPr>
              <w:t>oblasti veřejného investování do bydlení.</w:t>
            </w:r>
          </w:p>
          <w:p w14:paraId="526786E1" w14:textId="6ACA216E" w:rsidR="0042415F" w:rsidRPr="004B4B33" w:rsidRDefault="001D082B">
            <w:pPr>
              <w:jc w:val="both"/>
              <w:rPr>
                <w:rFonts w:asciiTheme="majorHAnsi" w:hAnsiTheme="majorHAnsi" w:cstheme="majorHAnsi"/>
              </w:rPr>
            </w:pPr>
            <w:r w:rsidRPr="004B4B33">
              <w:rPr>
                <w:rFonts w:asciiTheme="majorHAnsi" w:hAnsiTheme="majorHAnsi" w:cstheme="majorHAnsi"/>
              </w:rPr>
              <w:t>Předpokládá se model zapojení na bázi blížící se formátu centra kompetence (či řízeného s</w:t>
            </w:r>
            <w:r w:rsidR="000D7449">
              <w:rPr>
                <w:rFonts w:asciiTheme="majorHAnsi" w:hAnsiTheme="majorHAnsi" w:cstheme="majorHAnsi"/>
              </w:rPr>
              <w:t> </w:t>
            </w:r>
            <w:r w:rsidRPr="004B4B33">
              <w:rPr>
                <w:rFonts w:asciiTheme="majorHAnsi" w:hAnsiTheme="majorHAnsi" w:cstheme="majorHAnsi"/>
              </w:rPr>
              <w:t>využitím metod inovačního projektového managementu). Jedná se o</w:t>
            </w:r>
            <w:r w:rsidR="000D7449">
              <w:rPr>
                <w:rFonts w:asciiTheme="majorHAnsi" w:hAnsiTheme="majorHAnsi" w:cstheme="majorHAnsi"/>
              </w:rPr>
              <w:t> </w:t>
            </w:r>
            <w:r w:rsidRPr="004B4B33">
              <w:rPr>
                <w:rFonts w:asciiTheme="majorHAnsi" w:hAnsiTheme="majorHAnsi" w:cstheme="majorHAnsi"/>
              </w:rPr>
              <w:t>výkonný think-tank v</w:t>
            </w:r>
            <w:r w:rsidR="000D7449">
              <w:rPr>
                <w:rFonts w:asciiTheme="majorHAnsi" w:hAnsiTheme="majorHAnsi" w:cstheme="majorHAnsi"/>
              </w:rPr>
              <w:t> </w:t>
            </w:r>
            <w:r w:rsidRPr="004B4B33">
              <w:rPr>
                <w:rFonts w:asciiTheme="majorHAnsi" w:hAnsiTheme="majorHAnsi" w:cstheme="majorHAnsi"/>
              </w:rPr>
              <w:t>maximální možné míře využívající stávající expertní kapacity a</w:t>
            </w:r>
            <w:r w:rsidR="000D7449">
              <w:rPr>
                <w:rFonts w:asciiTheme="majorHAnsi" w:hAnsiTheme="majorHAnsi" w:cstheme="majorHAnsi"/>
              </w:rPr>
              <w:t> </w:t>
            </w:r>
            <w:r w:rsidRPr="004B4B33">
              <w:rPr>
                <w:rFonts w:asciiTheme="majorHAnsi" w:hAnsiTheme="majorHAnsi" w:cstheme="majorHAnsi"/>
              </w:rPr>
              <w:t xml:space="preserve">vytvářející provazby mezi potřebami veřejného sektoru </w:t>
            </w:r>
            <w:r w:rsidRPr="004B4B33">
              <w:rPr>
                <w:rFonts w:asciiTheme="majorHAnsi" w:hAnsiTheme="majorHAnsi" w:cstheme="majorHAnsi"/>
              </w:rPr>
              <w:lastRenderedPageBreak/>
              <w:t>a</w:t>
            </w:r>
            <w:r w:rsidR="000D7449">
              <w:rPr>
                <w:rFonts w:asciiTheme="majorHAnsi" w:hAnsiTheme="majorHAnsi" w:cstheme="majorHAnsi"/>
              </w:rPr>
              <w:t> </w:t>
            </w:r>
            <w:r w:rsidRPr="004B4B33">
              <w:rPr>
                <w:rFonts w:asciiTheme="majorHAnsi" w:hAnsiTheme="majorHAnsi" w:cstheme="majorHAnsi"/>
              </w:rPr>
              <w:t>kapacitami sektoru privátního a</w:t>
            </w:r>
            <w:r w:rsidR="000D7449">
              <w:rPr>
                <w:rFonts w:asciiTheme="majorHAnsi" w:hAnsiTheme="majorHAnsi" w:cstheme="majorHAnsi"/>
              </w:rPr>
              <w:t> </w:t>
            </w:r>
            <w:r w:rsidRPr="004B4B33">
              <w:rPr>
                <w:rFonts w:asciiTheme="majorHAnsi" w:hAnsiTheme="majorHAnsi" w:cstheme="majorHAnsi"/>
              </w:rPr>
              <w:t>výzkumného.</w:t>
            </w:r>
          </w:p>
          <w:p w14:paraId="58553949" w14:textId="2F693E12" w:rsidR="0042415F" w:rsidRPr="004B4B33" w:rsidRDefault="001D082B">
            <w:pPr>
              <w:spacing w:after="0"/>
              <w:jc w:val="both"/>
              <w:rPr>
                <w:rFonts w:asciiTheme="majorHAnsi" w:hAnsiTheme="majorHAnsi" w:cstheme="majorHAnsi"/>
              </w:rPr>
            </w:pPr>
            <w:r w:rsidRPr="004B4B33">
              <w:rPr>
                <w:rFonts w:asciiTheme="majorHAnsi" w:hAnsiTheme="majorHAnsi" w:cstheme="majorHAnsi"/>
              </w:rPr>
              <w:t>Ukotvení HIAH v</w:t>
            </w:r>
            <w:r w:rsidR="000D7449">
              <w:rPr>
                <w:rFonts w:asciiTheme="majorHAnsi" w:hAnsiTheme="majorHAnsi" w:cstheme="majorHAnsi"/>
              </w:rPr>
              <w:t> </w:t>
            </w:r>
            <w:r w:rsidRPr="004B4B33">
              <w:rPr>
                <w:rFonts w:asciiTheme="majorHAnsi" w:hAnsiTheme="majorHAnsi" w:cstheme="majorHAnsi"/>
              </w:rPr>
              <w:t>rámci struktury Státního fondu podpory investic (SFPI) je determinováno potřebou harmonizovat inovační, integrační a</w:t>
            </w:r>
            <w:r w:rsidR="000D7449">
              <w:rPr>
                <w:rFonts w:asciiTheme="majorHAnsi" w:hAnsiTheme="majorHAnsi" w:cstheme="majorHAnsi"/>
              </w:rPr>
              <w:t> </w:t>
            </w:r>
            <w:r w:rsidRPr="004B4B33">
              <w:rPr>
                <w:rFonts w:asciiTheme="majorHAnsi" w:hAnsiTheme="majorHAnsi" w:cstheme="majorHAnsi"/>
              </w:rPr>
              <w:t>interdisciplinární potenciál hubu s</w:t>
            </w:r>
            <w:r w:rsidR="000D7449">
              <w:rPr>
                <w:rFonts w:asciiTheme="majorHAnsi" w:hAnsiTheme="majorHAnsi" w:cstheme="majorHAnsi"/>
              </w:rPr>
              <w:t> </w:t>
            </w:r>
            <w:r w:rsidRPr="004B4B33">
              <w:rPr>
                <w:rFonts w:asciiTheme="majorHAnsi" w:hAnsiTheme="majorHAnsi" w:cstheme="majorHAnsi"/>
              </w:rPr>
              <w:t>potřebou synchronizovat jeho fungování s</w:t>
            </w:r>
            <w:r w:rsidR="000D7449">
              <w:rPr>
                <w:rFonts w:asciiTheme="majorHAnsi" w:hAnsiTheme="majorHAnsi" w:cstheme="majorHAnsi"/>
              </w:rPr>
              <w:t> </w:t>
            </w:r>
            <w:r w:rsidRPr="004B4B33">
              <w:rPr>
                <w:rFonts w:asciiTheme="majorHAnsi" w:hAnsiTheme="majorHAnsi" w:cstheme="majorHAnsi"/>
              </w:rPr>
              <w:t>realizací veřejných politik v</w:t>
            </w:r>
            <w:r w:rsidR="000D7449">
              <w:rPr>
                <w:rFonts w:asciiTheme="majorHAnsi" w:hAnsiTheme="majorHAnsi" w:cstheme="majorHAnsi"/>
              </w:rPr>
              <w:t> </w:t>
            </w:r>
            <w:r w:rsidRPr="004B4B33">
              <w:rPr>
                <w:rFonts w:asciiTheme="majorHAnsi" w:hAnsiTheme="majorHAnsi" w:cstheme="majorHAnsi"/>
              </w:rPr>
              <w:t>oblasti veřejného investování a</w:t>
            </w:r>
            <w:r w:rsidR="000D7449">
              <w:rPr>
                <w:rFonts w:asciiTheme="majorHAnsi" w:hAnsiTheme="majorHAnsi" w:cstheme="majorHAnsi"/>
              </w:rPr>
              <w:t> </w:t>
            </w:r>
            <w:r w:rsidRPr="004B4B33">
              <w:rPr>
                <w:rFonts w:asciiTheme="majorHAnsi" w:hAnsiTheme="majorHAnsi" w:cstheme="majorHAnsi"/>
              </w:rPr>
              <w:t xml:space="preserve">dalších entit včetně nově tvořených regionálních center podpory investic bydlení. </w:t>
            </w:r>
          </w:p>
          <w:p w14:paraId="0874C2FC" w14:textId="7B8C894D" w:rsidR="0042415F" w:rsidRPr="004B4B33" w:rsidRDefault="001D082B">
            <w:pPr>
              <w:spacing w:before="240"/>
              <w:jc w:val="both"/>
              <w:rPr>
                <w:rFonts w:asciiTheme="majorHAnsi" w:hAnsiTheme="majorHAnsi" w:cstheme="majorHAnsi"/>
              </w:rPr>
            </w:pPr>
            <w:r w:rsidRPr="004B4B33">
              <w:rPr>
                <w:rFonts w:asciiTheme="majorHAnsi" w:hAnsiTheme="majorHAnsi" w:cstheme="majorHAnsi"/>
              </w:rPr>
              <w:t>HIAH by měl vytvořit podmínky pro spolupráci v</w:t>
            </w:r>
            <w:r w:rsidR="000D7449">
              <w:rPr>
                <w:rFonts w:asciiTheme="majorHAnsi" w:hAnsiTheme="majorHAnsi" w:cstheme="majorHAnsi"/>
              </w:rPr>
              <w:t> </w:t>
            </w:r>
            <w:r w:rsidRPr="004B4B33">
              <w:rPr>
                <w:rFonts w:asciiTheme="majorHAnsi" w:hAnsiTheme="majorHAnsi" w:cstheme="majorHAnsi"/>
              </w:rPr>
              <w:t>oblasti veřejného investování a</w:t>
            </w:r>
            <w:r w:rsidR="000D7449">
              <w:rPr>
                <w:rFonts w:asciiTheme="majorHAnsi" w:hAnsiTheme="majorHAnsi" w:cstheme="majorHAnsi"/>
              </w:rPr>
              <w:t> </w:t>
            </w:r>
            <w:r w:rsidRPr="004B4B33">
              <w:rPr>
                <w:rFonts w:asciiTheme="majorHAnsi" w:hAnsiTheme="majorHAnsi" w:cstheme="majorHAnsi"/>
              </w:rPr>
              <w:t>spojení mezi veřejným a</w:t>
            </w:r>
            <w:r w:rsidR="000D7449">
              <w:rPr>
                <w:rFonts w:asciiTheme="majorHAnsi" w:hAnsiTheme="majorHAnsi" w:cstheme="majorHAnsi"/>
              </w:rPr>
              <w:t> </w:t>
            </w:r>
            <w:r w:rsidRPr="004B4B33">
              <w:rPr>
                <w:rFonts w:asciiTheme="majorHAnsi" w:hAnsiTheme="majorHAnsi" w:cstheme="majorHAnsi"/>
              </w:rPr>
              <w:t>soukromým sektorem a</w:t>
            </w:r>
            <w:r w:rsidR="000D7449">
              <w:rPr>
                <w:rFonts w:asciiTheme="majorHAnsi" w:hAnsiTheme="majorHAnsi" w:cstheme="majorHAnsi"/>
              </w:rPr>
              <w:t> </w:t>
            </w:r>
            <w:r w:rsidRPr="004B4B33">
              <w:rPr>
                <w:rFonts w:asciiTheme="majorHAnsi" w:hAnsiTheme="majorHAnsi" w:cstheme="majorHAnsi"/>
              </w:rPr>
              <w:t>stimulovat vznik strategických partnerství s</w:t>
            </w:r>
            <w:r w:rsidR="000D7449">
              <w:rPr>
                <w:rFonts w:asciiTheme="majorHAnsi" w:hAnsiTheme="majorHAnsi" w:cstheme="majorHAnsi"/>
              </w:rPr>
              <w:t> </w:t>
            </w:r>
            <w:r w:rsidRPr="004B4B33">
              <w:rPr>
                <w:rFonts w:asciiTheme="majorHAnsi" w:hAnsiTheme="majorHAnsi" w:cstheme="majorHAnsi"/>
              </w:rPr>
              <w:t>důrazem na realizaci a</w:t>
            </w:r>
            <w:r w:rsidR="000D7449">
              <w:rPr>
                <w:rFonts w:asciiTheme="majorHAnsi" w:hAnsiTheme="majorHAnsi" w:cstheme="majorHAnsi"/>
              </w:rPr>
              <w:t> </w:t>
            </w:r>
            <w:r w:rsidRPr="004B4B33">
              <w:rPr>
                <w:rFonts w:asciiTheme="majorHAnsi" w:hAnsiTheme="majorHAnsi" w:cstheme="majorHAnsi"/>
              </w:rPr>
              <w:t>zhodnocení výsledků nejnovějších trendů v</w:t>
            </w:r>
            <w:r w:rsidR="000D7449">
              <w:rPr>
                <w:rFonts w:asciiTheme="majorHAnsi" w:hAnsiTheme="majorHAnsi" w:cstheme="majorHAnsi"/>
              </w:rPr>
              <w:t> </w:t>
            </w:r>
            <w:r w:rsidRPr="004B4B33">
              <w:rPr>
                <w:rFonts w:asciiTheme="majorHAnsi" w:hAnsiTheme="majorHAnsi" w:cstheme="majorHAnsi"/>
              </w:rPr>
              <w:t>praxi a</w:t>
            </w:r>
            <w:r w:rsidR="000D7449">
              <w:rPr>
                <w:rFonts w:asciiTheme="majorHAnsi" w:hAnsiTheme="majorHAnsi" w:cstheme="majorHAnsi"/>
              </w:rPr>
              <w:t> </w:t>
            </w:r>
            <w:r w:rsidRPr="004B4B33">
              <w:rPr>
                <w:rFonts w:asciiTheme="majorHAnsi" w:hAnsiTheme="majorHAnsi" w:cstheme="majorHAnsi"/>
              </w:rPr>
              <w:t>při naplňování veřejného zájmu. V</w:t>
            </w:r>
            <w:r w:rsidR="000D7449">
              <w:rPr>
                <w:rFonts w:asciiTheme="majorHAnsi" w:hAnsiTheme="majorHAnsi" w:cstheme="majorHAnsi"/>
              </w:rPr>
              <w:t> </w:t>
            </w:r>
            <w:r w:rsidRPr="004B4B33">
              <w:rPr>
                <w:rFonts w:asciiTheme="majorHAnsi" w:hAnsiTheme="majorHAnsi" w:cstheme="majorHAnsi"/>
              </w:rPr>
              <w:t>neposlední řadě je katalyzátorem zvyšování kvality veřejné správy.</w:t>
            </w:r>
          </w:p>
          <w:p w14:paraId="441D44E0" w14:textId="55C32206" w:rsidR="0042415F" w:rsidRPr="004B4B33" w:rsidRDefault="001D082B">
            <w:pPr>
              <w:jc w:val="both"/>
              <w:rPr>
                <w:rFonts w:asciiTheme="majorHAnsi" w:hAnsiTheme="majorHAnsi" w:cstheme="majorHAnsi"/>
              </w:rPr>
            </w:pPr>
            <w:r w:rsidRPr="004B4B33">
              <w:rPr>
                <w:rFonts w:asciiTheme="majorHAnsi" w:hAnsiTheme="majorHAnsi" w:cstheme="majorHAnsi"/>
              </w:rPr>
              <w:t>Tento přístup k</w:t>
            </w:r>
            <w:r w:rsidR="000D7449">
              <w:rPr>
                <w:rFonts w:asciiTheme="majorHAnsi" w:hAnsiTheme="majorHAnsi" w:cstheme="majorHAnsi"/>
              </w:rPr>
              <w:t> </w:t>
            </w:r>
            <w:r w:rsidRPr="004B4B33">
              <w:rPr>
                <w:rFonts w:asciiTheme="majorHAnsi" w:hAnsiTheme="majorHAnsi" w:cstheme="majorHAnsi"/>
              </w:rPr>
              <w:t>řízení realisticky reflektuje paradigma fungování veřejné správy s</w:t>
            </w:r>
            <w:r w:rsidR="000D7449">
              <w:rPr>
                <w:rFonts w:asciiTheme="majorHAnsi" w:hAnsiTheme="majorHAnsi" w:cstheme="majorHAnsi"/>
              </w:rPr>
              <w:t> </w:t>
            </w:r>
            <w:r w:rsidRPr="004B4B33">
              <w:rPr>
                <w:rFonts w:asciiTheme="majorHAnsi" w:hAnsiTheme="majorHAnsi" w:cstheme="majorHAnsi"/>
              </w:rPr>
              <w:t>ambicí jeho kvalitativního posunu po vzoru podobných zahraničních struktur.</w:t>
            </w:r>
          </w:p>
          <w:p w14:paraId="3690693A" w14:textId="577F3DE6" w:rsidR="0042415F" w:rsidRPr="004B4B33" w:rsidRDefault="001D082B">
            <w:pPr>
              <w:jc w:val="both"/>
              <w:rPr>
                <w:rFonts w:asciiTheme="majorHAnsi" w:hAnsiTheme="majorHAnsi" w:cstheme="majorHAnsi"/>
              </w:rPr>
            </w:pPr>
            <w:r w:rsidRPr="004B4B33">
              <w:rPr>
                <w:rFonts w:asciiTheme="majorHAnsi" w:hAnsiTheme="majorHAnsi" w:cstheme="majorHAnsi"/>
              </w:rPr>
              <w:t>HIAH by měl fungovat jako poradní orgán. Předpokládá se zapojení expertů jak z</w:t>
            </w:r>
            <w:r w:rsidR="000D7449">
              <w:rPr>
                <w:rFonts w:asciiTheme="majorHAnsi" w:hAnsiTheme="majorHAnsi" w:cstheme="majorHAnsi"/>
              </w:rPr>
              <w:t> </w:t>
            </w:r>
            <w:r w:rsidRPr="004B4B33">
              <w:rPr>
                <w:rFonts w:asciiTheme="majorHAnsi" w:hAnsiTheme="majorHAnsi" w:cstheme="majorHAnsi"/>
              </w:rPr>
              <w:t>veřejného, tak soukromého sektoru s</w:t>
            </w:r>
            <w:r w:rsidR="000D7449">
              <w:rPr>
                <w:rFonts w:asciiTheme="majorHAnsi" w:hAnsiTheme="majorHAnsi" w:cstheme="majorHAnsi"/>
              </w:rPr>
              <w:t> </w:t>
            </w:r>
            <w:r w:rsidRPr="004B4B33">
              <w:rPr>
                <w:rFonts w:asciiTheme="majorHAnsi" w:hAnsiTheme="majorHAnsi" w:cstheme="majorHAnsi"/>
              </w:rPr>
              <w:t>propojením na klíčové instituce a</w:t>
            </w:r>
            <w:r w:rsidR="000D7449">
              <w:rPr>
                <w:rFonts w:asciiTheme="majorHAnsi" w:hAnsiTheme="majorHAnsi" w:cstheme="majorHAnsi"/>
              </w:rPr>
              <w:t> </w:t>
            </w:r>
            <w:r w:rsidRPr="004B4B33">
              <w:rPr>
                <w:rFonts w:asciiTheme="majorHAnsi" w:hAnsiTheme="majorHAnsi" w:cstheme="majorHAnsi"/>
              </w:rPr>
              <w:t>asociace (např. SFPI, NRB, MMR, MF, MPO, MŽP, CzechInvest, EIB, Česká bankovní asociace a</w:t>
            </w:r>
            <w:r w:rsidR="000D7449">
              <w:rPr>
                <w:rFonts w:asciiTheme="majorHAnsi" w:hAnsiTheme="majorHAnsi" w:cstheme="majorHAnsi"/>
              </w:rPr>
              <w:t> </w:t>
            </w:r>
            <w:r w:rsidRPr="004B4B33">
              <w:rPr>
                <w:rFonts w:asciiTheme="majorHAnsi" w:hAnsiTheme="majorHAnsi" w:cstheme="majorHAnsi"/>
              </w:rPr>
              <w:t>další).</w:t>
            </w:r>
          </w:p>
          <w:p w14:paraId="39FE0C87" w14:textId="77777777" w:rsidR="0042415F" w:rsidRPr="004B4B33" w:rsidRDefault="001D082B">
            <w:pPr>
              <w:jc w:val="both"/>
              <w:rPr>
                <w:rFonts w:asciiTheme="majorHAnsi" w:hAnsiTheme="majorHAnsi" w:cstheme="majorHAnsi"/>
              </w:rPr>
            </w:pPr>
            <w:r w:rsidRPr="004B4B33">
              <w:rPr>
                <w:rFonts w:asciiTheme="majorHAnsi" w:hAnsiTheme="majorHAnsi" w:cstheme="majorHAnsi"/>
              </w:rPr>
              <w:t>Očekávané dopady HIAH by měly být následující:</w:t>
            </w:r>
          </w:p>
          <w:p w14:paraId="2CD170E0" w14:textId="282B275B" w:rsidR="0042415F" w:rsidRPr="004B4B33" w:rsidRDefault="001D082B">
            <w:pPr>
              <w:numPr>
                <w:ilvl w:val="0"/>
                <w:numId w:val="12"/>
              </w:numPr>
              <w:spacing w:after="0"/>
              <w:jc w:val="both"/>
              <w:rPr>
                <w:rFonts w:asciiTheme="majorHAnsi" w:hAnsiTheme="majorHAnsi" w:cstheme="majorHAnsi"/>
              </w:rPr>
            </w:pPr>
            <w:r w:rsidRPr="004B4B33">
              <w:rPr>
                <w:rFonts w:asciiTheme="majorHAnsi" w:hAnsiTheme="majorHAnsi" w:cstheme="majorHAnsi"/>
              </w:rPr>
              <w:t>Zkvalitnění přípravy programů a</w:t>
            </w:r>
            <w:r w:rsidR="000D7449">
              <w:rPr>
                <w:rFonts w:asciiTheme="majorHAnsi" w:hAnsiTheme="majorHAnsi" w:cstheme="majorHAnsi"/>
              </w:rPr>
              <w:t> </w:t>
            </w:r>
            <w:r w:rsidRPr="004B4B33">
              <w:rPr>
                <w:rFonts w:asciiTheme="majorHAnsi" w:hAnsiTheme="majorHAnsi" w:cstheme="majorHAnsi"/>
              </w:rPr>
              <w:t>politiky investic do bydlení,</w:t>
            </w:r>
          </w:p>
          <w:p w14:paraId="2D761F04" w14:textId="5B963144" w:rsidR="0042415F" w:rsidRPr="004B4B33" w:rsidRDefault="001D082B">
            <w:pPr>
              <w:numPr>
                <w:ilvl w:val="0"/>
                <w:numId w:val="12"/>
              </w:numPr>
              <w:spacing w:before="0" w:after="0"/>
              <w:jc w:val="both"/>
              <w:rPr>
                <w:rFonts w:asciiTheme="majorHAnsi" w:hAnsiTheme="majorHAnsi" w:cstheme="majorHAnsi"/>
              </w:rPr>
            </w:pPr>
            <w:r w:rsidRPr="004B4B33">
              <w:rPr>
                <w:rFonts w:asciiTheme="majorHAnsi" w:hAnsiTheme="majorHAnsi" w:cstheme="majorHAnsi"/>
              </w:rPr>
              <w:t>Efektivnější implementace finančních a</w:t>
            </w:r>
            <w:r w:rsidR="000D7449">
              <w:rPr>
                <w:rFonts w:asciiTheme="majorHAnsi" w:hAnsiTheme="majorHAnsi" w:cstheme="majorHAnsi"/>
              </w:rPr>
              <w:t> </w:t>
            </w:r>
            <w:r w:rsidRPr="004B4B33">
              <w:rPr>
                <w:rFonts w:asciiTheme="majorHAnsi" w:hAnsiTheme="majorHAnsi" w:cstheme="majorHAnsi"/>
              </w:rPr>
              <w:t>administrativních nástrojů především na straně municipalit,</w:t>
            </w:r>
          </w:p>
          <w:p w14:paraId="006D0A1A" w14:textId="77777777" w:rsidR="0042415F" w:rsidRPr="004B4B33" w:rsidRDefault="001D082B">
            <w:pPr>
              <w:numPr>
                <w:ilvl w:val="0"/>
                <w:numId w:val="12"/>
              </w:numPr>
              <w:spacing w:before="0" w:after="0"/>
              <w:jc w:val="both"/>
              <w:rPr>
                <w:rFonts w:asciiTheme="majorHAnsi" w:hAnsiTheme="majorHAnsi" w:cstheme="majorHAnsi"/>
              </w:rPr>
            </w:pPr>
            <w:r w:rsidRPr="004B4B33">
              <w:rPr>
                <w:rFonts w:asciiTheme="majorHAnsi" w:hAnsiTheme="majorHAnsi" w:cstheme="majorHAnsi"/>
              </w:rPr>
              <w:t xml:space="preserve">Zvýšení stavební kultury, využívání výstupů aplikovaného výzkumu, </w:t>
            </w:r>
          </w:p>
          <w:p w14:paraId="53A698A0" w14:textId="3C0F5363" w:rsidR="0042415F" w:rsidRPr="004B4B33" w:rsidRDefault="001D082B">
            <w:pPr>
              <w:numPr>
                <w:ilvl w:val="0"/>
                <w:numId w:val="12"/>
              </w:numPr>
              <w:spacing w:before="0" w:after="0"/>
              <w:jc w:val="both"/>
              <w:rPr>
                <w:rFonts w:asciiTheme="majorHAnsi" w:hAnsiTheme="majorHAnsi" w:cstheme="majorHAnsi"/>
              </w:rPr>
            </w:pPr>
            <w:r w:rsidRPr="004B4B33">
              <w:rPr>
                <w:rFonts w:asciiTheme="majorHAnsi" w:hAnsiTheme="majorHAnsi" w:cstheme="majorHAnsi"/>
              </w:rPr>
              <w:t>Efektivnější naplňování veřejného zájmu v</w:t>
            </w:r>
            <w:r w:rsidR="000D7449">
              <w:rPr>
                <w:rFonts w:asciiTheme="majorHAnsi" w:hAnsiTheme="majorHAnsi" w:cstheme="majorHAnsi"/>
              </w:rPr>
              <w:t> </w:t>
            </w:r>
            <w:r w:rsidRPr="004B4B33">
              <w:rPr>
                <w:rFonts w:asciiTheme="majorHAnsi" w:hAnsiTheme="majorHAnsi" w:cstheme="majorHAnsi"/>
              </w:rPr>
              <w:t>oblasti bydlení, sociální koheze, stavební kultury, udržitelného rozvoje,</w:t>
            </w:r>
          </w:p>
          <w:p w14:paraId="34E2D096" w14:textId="7549F117" w:rsidR="0042415F" w:rsidRPr="004B4B33" w:rsidRDefault="001D082B">
            <w:pPr>
              <w:numPr>
                <w:ilvl w:val="0"/>
                <w:numId w:val="12"/>
              </w:numPr>
              <w:spacing w:before="0" w:after="0"/>
              <w:jc w:val="both"/>
              <w:rPr>
                <w:rFonts w:asciiTheme="majorHAnsi" w:hAnsiTheme="majorHAnsi" w:cstheme="majorHAnsi"/>
              </w:rPr>
            </w:pPr>
            <w:r w:rsidRPr="004B4B33">
              <w:rPr>
                <w:rFonts w:asciiTheme="majorHAnsi" w:hAnsiTheme="majorHAnsi" w:cstheme="majorHAnsi"/>
              </w:rPr>
              <w:t>Harmonizace resortních i</w:t>
            </w:r>
            <w:r w:rsidR="000D7449">
              <w:rPr>
                <w:rFonts w:asciiTheme="majorHAnsi" w:hAnsiTheme="majorHAnsi" w:cstheme="majorHAnsi"/>
              </w:rPr>
              <w:t> </w:t>
            </w:r>
            <w:r w:rsidRPr="004B4B33">
              <w:rPr>
                <w:rFonts w:asciiTheme="majorHAnsi" w:hAnsiTheme="majorHAnsi" w:cstheme="majorHAnsi"/>
              </w:rPr>
              <w:t>meziresortních aktivit,</w:t>
            </w:r>
          </w:p>
          <w:p w14:paraId="6A70F02C" w14:textId="5ECC19A4" w:rsidR="0042415F" w:rsidRPr="004B4B33" w:rsidRDefault="001D082B">
            <w:pPr>
              <w:numPr>
                <w:ilvl w:val="0"/>
                <w:numId w:val="12"/>
              </w:numPr>
              <w:spacing w:before="0" w:after="360"/>
              <w:jc w:val="both"/>
              <w:rPr>
                <w:rFonts w:asciiTheme="majorHAnsi" w:hAnsiTheme="majorHAnsi" w:cstheme="majorHAnsi"/>
              </w:rPr>
            </w:pPr>
            <w:r w:rsidRPr="004B4B33">
              <w:rPr>
                <w:rFonts w:asciiTheme="majorHAnsi" w:hAnsiTheme="majorHAnsi" w:cstheme="majorHAnsi"/>
              </w:rPr>
              <w:t>Efektivnější využití lidských i</w:t>
            </w:r>
            <w:r w:rsidR="000D7449">
              <w:rPr>
                <w:rFonts w:asciiTheme="majorHAnsi" w:hAnsiTheme="majorHAnsi" w:cstheme="majorHAnsi"/>
              </w:rPr>
              <w:t> </w:t>
            </w:r>
            <w:r w:rsidRPr="004B4B33">
              <w:rPr>
                <w:rFonts w:asciiTheme="majorHAnsi" w:hAnsiTheme="majorHAnsi" w:cstheme="majorHAnsi"/>
              </w:rPr>
              <w:t>institucionálních kapacit.</w:t>
            </w:r>
          </w:p>
          <w:p w14:paraId="1BDBBFBD" w14:textId="3B88B336" w:rsidR="0042415F" w:rsidRPr="004B4B33" w:rsidRDefault="001D082B">
            <w:pPr>
              <w:jc w:val="both"/>
              <w:rPr>
                <w:rFonts w:asciiTheme="majorHAnsi" w:hAnsiTheme="majorHAnsi" w:cstheme="majorHAnsi"/>
              </w:rPr>
            </w:pPr>
            <w:r w:rsidRPr="004B4B33">
              <w:rPr>
                <w:rFonts w:asciiTheme="majorHAnsi" w:hAnsiTheme="majorHAnsi" w:cstheme="majorHAnsi"/>
              </w:rPr>
              <w:t>Pro koordinaci HIAH bude na SFPI etablována koordinační jednotka, která bude metodicky a</w:t>
            </w:r>
            <w:r w:rsidR="000D7449">
              <w:rPr>
                <w:rFonts w:asciiTheme="majorHAnsi" w:hAnsiTheme="majorHAnsi" w:cstheme="majorHAnsi"/>
              </w:rPr>
              <w:t> </w:t>
            </w:r>
            <w:r w:rsidRPr="004B4B33">
              <w:rPr>
                <w:rFonts w:asciiTheme="majorHAnsi" w:hAnsiTheme="majorHAnsi" w:cstheme="majorHAnsi"/>
              </w:rPr>
              <w:t>projektově koordinovat všechny subjekty participující na realizaci politik bydlení z</w:t>
            </w:r>
            <w:r w:rsidR="000D7449">
              <w:rPr>
                <w:rFonts w:asciiTheme="majorHAnsi" w:hAnsiTheme="majorHAnsi" w:cstheme="majorHAnsi"/>
              </w:rPr>
              <w:t> </w:t>
            </w:r>
            <w:r w:rsidRPr="004B4B33">
              <w:rPr>
                <w:rFonts w:asciiTheme="majorHAnsi" w:hAnsiTheme="majorHAnsi" w:cstheme="majorHAnsi"/>
              </w:rPr>
              <w:t>hlediska investiční dimenze, především pak politik dostupného bydlení. Úlohou této jednotky bude:</w:t>
            </w:r>
          </w:p>
          <w:p w14:paraId="4220C42C" w14:textId="455A4DE8" w:rsidR="0042415F" w:rsidRPr="004B4B33" w:rsidRDefault="001D082B">
            <w:pPr>
              <w:numPr>
                <w:ilvl w:val="0"/>
                <w:numId w:val="6"/>
              </w:numPr>
              <w:spacing w:after="0"/>
              <w:jc w:val="both"/>
              <w:rPr>
                <w:rFonts w:asciiTheme="majorHAnsi" w:hAnsiTheme="majorHAnsi" w:cstheme="majorHAnsi"/>
              </w:rPr>
            </w:pPr>
            <w:r w:rsidRPr="004B4B33">
              <w:rPr>
                <w:rFonts w:asciiTheme="majorHAnsi" w:hAnsiTheme="majorHAnsi" w:cstheme="majorHAnsi"/>
              </w:rPr>
              <w:t>řízení a</w:t>
            </w:r>
            <w:r w:rsidR="000D7449">
              <w:rPr>
                <w:rFonts w:asciiTheme="majorHAnsi" w:hAnsiTheme="majorHAnsi" w:cstheme="majorHAnsi"/>
              </w:rPr>
              <w:t> </w:t>
            </w:r>
            <w:r w:rsidRPr="004B4B33">
              <w:rPr>
                <w:rFonts w:asciiTheme="majorHAnsi" w:hAnsiTheme="majorHAnsi" w:cstheme="majorHAnsi"/>
              </w:rPr>
              <w:t>koordinace regionálních center;</w:t>
            </w:r>
          </w:p>
          <w:p w14:paraId="49071554" w14:textId="211DD494" w:rsidR="0042415F" w:rsidRPr="004B4B33" w:rsidRDefault="001D082B">
            <w:pPr>
              <w:numPr>
                <w:ilvl w:val="0"/>
                <w:numId w:val="6"/>
              </w:numPr>
              <w:spacing w:before="0" w:after="0"/>
              <w:jc w:val="both"/>
              <w:rPr>
                <w:rFonts w:asciiTheme="majorHAnsi" w:hAnsiTheme="majorHAnsi" w:cstheme="majorHAnsi"/>
              </w:rPr>
            </w:pPr>
            <w:r w:rsidRPr="004B4B33">
              <w:rPr>
                <w:rFonts w:asciiTheme="majorHAnsi" w:hAnsiTheme="majorHAnsi" w:cstheme="majorHAnsi"/>
              </w:rPr>
              <w:t>převod záměrů HIAH a</w:t>
            </w:r>
            <w:r w:rsidR="000D7449">
              <w:rPr>
                <w:rFonts w:asciiTheme="majorHAnsi" w:hAnsiTheme="majorHAnsi" w:cstheme="majorHAnsi"/>
              </w:rPr>
              <w:t> </w:t>
            </w:r>
            <w:r w:rsidRPr="004B4B33">
              <w:rPr>
                <w:rFonts w:asciiTheme="majorHAnsi" w:hAnsiTheme="majorHAnsi" w:cstheme="majorHAnsi"/>
              </w:rPr>
              <w:t>regionálních center investic do bydlení do praxe;</w:t>
            </w:r>
          </w:p>
          <w:p w14:paraId="09D0F260" w14:textId="598F853B" w:rsidR="0042415F" w:rsidRPr="004B4B33" w:rsidRDefault="001D082B">
            <w:pPr>
              <w:numPr>
                <w:ilvl w:val="0"/>
                <w:numId w:val="6"/>
              </w:numPr>
              <w:spacing w:before="0" w:after="0"/>
              <w:jc w:val="both"/>
              <w:rPr>
                <w:rFonts w:asciiTheme="majorHAnsi" w:hAnsiTheme="majorHAnsi" w:cstheme="majorHAnsi"/>
              </w:rPr>
            </w:pPr>
            <w:r w:rsidRPr="004B4B33">
              <w:rPr>
                <w:rFonts w:asciiTheme="majorHAnsi" w:hAnsiTheme="majorHAnsi" w:cstheme="majorHAnsi"/>
              </w:rPr>
              <w:t>verifikace koncepčních strategických dokumentů z</w:t>
            </w:r>
            <w:r w:rsidR="000D7449">
              <w:rPr>
                <w:rFonts w:asciiTheme="majorHAnsi" w:hAnsiTheme="majorHAnsi" w:cstheme="majorHAnsi"/>
              </w:rPr>
              <w:t> </w:t>
            </w:r>
            <w:r w:rsidRPr="004B4B33">
              <w:rPr>
                <w:rFonts w:asciiTheme="majorHAnsi" w:hAnsiTheme="majorHAnsi" w:cstheme="majorHAnsi"/>
              </w:rPr>
              <w:t>předmětné agendy;</w:t>
            </w:r>
          </w:p>
          <w:p w14:paraId="3D8C4EB6" w14:textId="77777777" w:rsidR="0042415F" w:rsidRPr="004B4B33" w:rsidRDefault="001D082B">
            <w:pPr>
              <w:numPr>
                <w:ilvl w:val="0"/>
                <w:numId w:val="6"/>
              </w:numPr>
              <w:spacing w:before="0" w:after="0"/>
              <w:jc w:val="both"/>
              <w:rPr>
                <w:rFonts w:asciiTheme="majorHAnsi" w:hAnsiTheme="majorHAnsi" w:cstheme="majorHAnsi"/>
              </w:rPr>
            </w:pPr>
            <w:r w:rsidRPr="004B4B33">
              <w:rPr>
                <w:rFonts w:asciiTheme="majorHAnsi" w:hAnsiTheme="majorHAnsi" w:cstheme="majorHAnsi"/>
              </w:rPr>
              <w:t>koordinace komplementárních finančních, administrativních, regulačních nástrojů na meziresortní bázi;</w:t>
            </w:r>
          </w:p>
          <w:p w14:paraId="45FF7337" w14:textId="30B0F478" w:rsidR="0042415F" w:rsidRPr="004B4B33" w:rsidRDefault="001D082B">
            <w:pPr>
              <w:numPr>
                <w:ilvl w:val="0"/>
                <w:numId w:val="6"/>
              </w:numPr>
              <w:spacing w:before="0" w:after="0"/>
              <w:jc w:val="both"/>
              <w:rPr>
                <w:rFonts w:asciiTheme="majorHAnsi" w:hAnsiTheme="majorHAnsi" w:cstheme="majorHAnsi"/>
              </w:rPr>
            </w:pPr>
            <w:r w:rsidRPr="004B4B33">
              <w:rPr>
                <w:rFonts w:asciiTheme="majorHAnsi" w:hAnsiTheme="majorHAnsi" w:cstheme="majorHAnsi"/>
              </w:rPr>
              <w:t>koordinace hubu, poradenských center pro investice do bydlení, aktivit SFPI apod. v</w:t>
            </w:r>
            <w:r w:rsidR="000D7449">
              <w:rPr>
                <w:rFonts w:asciiTheme="majorHAnsi" w:hAnsiTheme="majorHAnsi" w:cstheme="majorHAnsi"/>
              </w:rPr>
              <w:t> </w:t>
            </w:r>
            <w:r w:rsidRPr="004B4B33">
              <w:rPr>
                <w:rFonts w:asciiTheme="majorHAnsi" w:hAnsiTheme="majorHAnsi" w:cstheme="majorHAnsi"/>
              </w:rPr>
              <w:t>oblasti realizace bytových politik;</w:t>
            </w:r>
          </w:p>
          <w:p w14:paraId="7BC794AD" w14:textId="6FCF595D" w:rsidR="0042415F" w:rsidRPr="004B4B33" w:rsidRDefault="001D082B">
            <w:pPr>
              <w:numPr>
                <w:ilvl w:val="0"/>
                <w:numId w:val="6"/>
              </w:numPr>
              <w:spacing w:after="0"/>
              <w:jc w:val="both"/>
              <w:rPr>
                <w:rFonts w:asciiTheme="majorHAnsi" w:hAnsiTheme="majorHAnsi" w:cstheme="majorHAnsi"/>
              </w:rPr>
            </w:pPr>
            <w:r w:rsidRPr="004B4B33">
              <w:rPr>
                <w:rFonts w:asciiTheme="majorHAnsi" w:hAnsiTheme="majorHAnsi" w:cstheme="majorHAnsi"/>
              </w:rPr>
              <w:lastRenderedPageBreak/>
              <w:t>komunikace s</w:t>
            </w:r>
            <w:r w:rsidR="000D7449">
              <w:rPr>
                <w:rFonts w:asciiTheme="majorHAnsi" w:hAnsiTheme="majorHAnsi" w:cstheme="majorHAnsi"/>
              </w:rPr>
              <w:t> </w:t>
            </w:r>
            <w:r w:rsidRPr="004B4B33">
              <w:rPr>
                <w:rFonts w:asciiTheme="majorHAnsi" w:hAnsiTheme="majorHAnsi" w:cstheme="majorHAnsi"/>
              </w:rPr>
              <w:t>nevládními organizacemi samospráv (SMO ČR, SMS ČR, AK ČR).</w:t>
            </w:r>
          </w:p>
          <w:p w14:paraId="05190618" w14:textId="77777777" w:rsidR="0042415F" w:rsidRPr="004B4B33" w:rsidRDefault="001D082B">
            <w:pPr>
              <w:spacing w:before="200"/>
              <w:jc w:val="both"/>
              <w:rPr>
                <w:rFonts w:asciiTheme="majorHAnsi" w:hAnsiTheme="majorHAnsi" w:cstheme="majorHAnsi"/>
                <w:u w:val="single"/>
              </w:rPr>
            </w:pPr>
            <w:r w:rsidRPr="004B4B33">
              <w:rPr>
                <w:rFonts w:asciiTheme="majorHAnsi" w:hAnsiTheme="majorHAnsi" w:cstheme="majorHAnsi"/>
                <w:u w:val="single"/>
              </w:rPr>
              <w:t>Popis regionálních center:</w:t>
            </w:r>
          </w:p>
          <w:p w14:paraId="74BD9781" w14:textId="4F5A7A18" w:rsidR="0042415F" w:rsidRPr="004B4B33" w:rsidRDefault="001D082B">
            <w:pPr>
              <w:jc w:val="both"/>
              <w:rPr>
                <w:rFonts w:asciiTheme="majorHAnsi" w:hAnsiTheme="majorHAnsi" w:cstheme="majorHAnsi"/>
              </w:rPr>
            </w:pPr>
            <w:r w:rsidRPr="004B4B33">
              <w:rPr>
                <w:rFonts w:asciiTheme="majorHAnsi" w:hAnsiTheme="majorHAnsi" w:cstheme="majorHAnsi"/>
              </w:rPr>
              <w:t>Úlohou regionálních center bude poskytovat komplexní poradenskou činnost primárně obcím a</w:t>
            </w:r>
            <w:r w:rsidR="000D7449">
              <w:rPr>
                <w:rFonts w:asciiTheme="majorHAnsi" w:hAnsiTheme="majorHAnsi" w:cstheme="majorHAnsi"/>
              </w:rPr>
              <w:t> </w:t>
            </w:r>
            <w:r w:rsidRPr="004B4B33">
              <w:rPr>
                <w:rFonts w:asciiTheme="majorHAnsi" w:hAnsiTheme="majorHAnsi" w:cstheme="majorHAnsi"/>
              </w:rPr>
              <w:t>jiným veřejným právnickým osobám. Předmětem jejich poradenské a</w:t>
            </w:r>
            <w:r w:rsidR="000D7449">
              <w:rPr>
                <w:rFonts w:asciiTheme="majorHAnsi" w:hAnsiTheme="majorHAnsi" w:cstheme="majorHAnsi"/>
              </w:rPr>
              <w:t> </w:t>
            </w:r>
            <w:r w:rsidRPr="004B4B33">
              <w:rPr>
                <w:rFonts w:asciiTheme="majorHAnsi" w:hAnsiTheme="majorHAnsi" w:cstheme="majorHAnsi"/>
              </w:rPr>
              <w:t>koordinační činnosti bude agenda rozvoje obecních bytových fondů a</w:t>
            </w:r>
            <w:r w:rsidR="000D7449">
              <w:rPr>
                <w:rFonts w:asciiTheme="majorHAnsi" w:hAnsiTheme="majorHAnsi" w:cstheme="majorHAnsi"/>
              </w:rPr>
              <w:t> </w:t>
            </w:r>
            <w:r w:rsidRPr="004B4B33">
              <w:rPr>
                <w:rFonts w:asciiTheme="majorHAnsi" w:hAnsiTheme="majorHAnsi" w:cstheme="majorHAnsi"/>
              </w:rPr>
              <w:t>dalších kapacit dostupného a</w:t>
            </w:r>
            <w:r w:rsidR="000D7449">
              <w:rPr>
                <w:rFonts w:asciiTheme="majorHAnsi" w:hAnsiTheme="majorHAnsi" w:cstheme="majorHAnsi"/>
              </w:rPr>
              <w:t> </w:t>
            </w:r>
            <w:r w:rsidRPr="004B4B33">
              <w:rPr>
                <w:rFonts w:asciiTheme="majorHAnsi" w:hAnsiTheme="majorHAnsi" w:cstheme="majorHAnsi"/>
              </w:rPr>
              <w:t>sociálního bydlení, využívání všech forem veřejné podpory spojené s</w:t>
            </w:r>
            <w:r w:rsidR="000D7449">
              <w:rPr>
                <w:rFonts w:asciiTheme="majorHAnsi" w:hAnsiTheme="majorHAnsi" w:cstheme="majorHAnsi"/>
              </w:rPr>
              <w:t> </w:t>
            </w:r>
            <w:r w:rsidRPr="004B4B33">
              <w:rPr>
                <w:rFonts w:asciiTheme="majorHAnsi" w:hAnsiTheme="majorHAnsi" w:cstheme="majorHAnsi"/>
              </w:rPr>
              <w:t>předmětnou agendou, podpora aktivit směřujících k</w:t>
            </w:r>
            <w:r w:rsidR="000D7449">
              <w:rPr>
                <w:rFonts w:asciiTheme="majorHAnsi" w:hAnsiTheme="majorHAnsi" w:cstheme="majorHAnsi"/>
              </w:rPr>
              <w:t> </w:t>
            </w:r>
            <w:r w:rsidRPr="004B4B33">
              <w:rPr>
                <w:rFonts w:asciiTheme="majorHAnsi" w:hAnsiTheme="majorHAnsi" w:cstheme="majorHAnsi"/>
              </w:rPr>
              <w:t>navýšení kapacit dostupného bydlení, metodická a</w:t>
            </w:r>
            <w:r w:rsidR="000D7449">
              <w:rPr>
                <w:rFonts w:asciiTheme="majorHAnsi" w:hAnsiTheme="majorHAnsi" w:cstheme="majorHAnsi"/>
              </w:rPr>
              <w:t> </w:t>
            </w:r>
            <w:r w:rsidRPr="004B4B33">
              <w:rPr>
                <w:rFonts w:asciiTheme="majorHAnsi" w:hAnsiTheme="majorHAnsi" w:cstheme="majorHAnsi"/>
              </w:rPr>
              <w:t>konzultační podpora samospráv při budování kapacit dostupného a</w:t>
            </w:r>
            <w:r w:rsidR="000D7449">
              <w:rPr>
                <w:rFonts w:asciiTheme="majorHAnsi" w:hAnsiTheme="majorHAnsi" w:cstheme="majorHAnsi"/>
              </w:rPr>
              <w:t> </w:t>
            </w:r>
            <w:r w:rsidRPr="004B4B33">
              <w:rPr>
                <w:rFonts w:asciiTheme="majorHAnsi" w:hAnsiTheme="majorHAnsi" w:cstheme="majorHAnsi"/>
              </w:rPr>
              <w:t>sociálního bydlení a</w:t>
            </w:r>
            <w:r w:rsidR="000D7449">
              <w:rPr>
                <w:rFonts w:asciiTheme="majorHAnsi" w:hAnsiTheme="majorHAnsi" w:cstheme="majorHAnsi"/>
              </w:rPr>
              <w:t> </w:t>
            </w:r>
            <w:r w:rsidRPr="004B4B33">
              <w:rPr>
                <w:rFonts w:asciiTheme="majorHAnsi" w:hAnsiTheme="majorHAnsi" w:cstheme="majorHAnsi"/>
              </w:rPr>
              <w:t>při jejich správě, diseminační aktivity, konzultační participace na implementaci dotačních a</w:t>
            </w:r>
            <w:r w:rsidR="000D7449">
              <w:rPr>
                <w:rFonts w:asciiTheme="majorHAnsi" w:hAnsiTheme="majorHAnsi" w:cstheme="majorHAnsi"/>
              </w:rPr>
              <w:t> </w:t>
            </w:r>
            <w:r w:rsidRPr="004B4B33">
              <w:rPr>
                <w:rFonts w:asciiTheme="majorHAnsi" w:hAnsiTheme="majorHAnsi" w:cstheme="majorHAnsi"/>
              </w:rPr>
              <w:t>nových finančních nástrojů spojených s</w:t>
            </w:r>
            <w:r w:rsidR="000D7449">
              <w:rPr>
                <w:rFonts w:asciiTheme="majorHAnsi" w:hAnsiTheme="majorHAnsi" w:cstheme="majorHAnsi"/>
              </w:rPr>
              <w:t> </w:t>
            </w:r>
            <w:r w:rsidRPr="004B4B33">
              <w:rPr>
                <w:rFonts w:asciiTheme="majorHAnsi" w:hAnsiTheme="majorHAnsi" w:cstheme="majorHAnsi"/>
              </w:rPr>
              <w:t>agendou sociálního a</w:t>
            </w:r>
            <w:r w:rsidR="000D7449">
              <w:rPr>
                <w:rFonts w:asciiTheme="majorHAnsi" w:hAnsiTheme="majorHAnsi" w:cstheme="majorHAnsi"/>
              </w:rPr>
              <w:t> </w:t>
            </w:r>
            <w:r w:rsidRPr="004B4B33">
              <w:rPr>
                <w:rFonts w:asciiTheme="majorHAnsi" w:hAnsiTheme="majorHAnsi" w:cstheme="majorHAnsi"/>
              </w:rPr>
              <w:t>dostupného bydlení, koordinace regionálních aktivit veřejné správy a</w:t>
            </w:r>
            <w:r w:rsidR="000D7449">
              <w:rPr>
                <w:rFonts w:asciiTheme="majorHAnsi" w:hAnsiTheme="majorHAnsi" w:cstheme="majorHAnsi"/>
              </w:rPr>
              <w:t> </w:t>
            </w:r>
            <w:r w:rsidRPr="004B4B33">
              <w:rPr>
                <w:rFonts w:asciiTheme="majorHAnsi" w:hAnsiTheme="majorHAnsi" w:cstheme="majorHAnsi"/>
              </w:rPr>
              <w:t>korporátního i</w:t>
            </w:r>
            <w:r w:rsidR="000D7449">
              <w:rPr>
                <w:rFonts w:asciiTheme="majorHAnsi" w:hAnsiTheme="majorHAnsi" w:cstheme="majorHAnsi"/>
              </w:rPr>
              <w:t> </w:t>
            </w:r>
            <w:r w:rsidRPr="004B4B33">
              <w:rPr>
                <w:rFonts w:asciiTheme="majorHAnsi" w:hAnsiTheme="majorHAnsi" w:cstheme="majorHAnsi"/>
              </w:rPr>
              <w:t>neziskového sektoru v</w:t>
            </w:r>
            <w:r w:rsidR="000D7449">
              <w:rPr>
                <w:rFonts w:asciiTheme="majorHAnsi" w:hAnsiTheme="majorHAnsi" w:cstheme="majorHAnsi"/>
              </w:rPr>
              <w:t> </w:t>
            </w:r>
            <w:r w:rsidRPr="004B4B33">
              <w:rPr>
                <w:rFonts w:asciiTheme="majorHAnsi" w:hAnsiTheme="majorHAnsi" w:cstheme="majorHAnsi"/>
              </w:rPr>
              <w:t>oblasti sociálního a</w:t>
            </w:r>
            <w:r w:rsidR="000D7449">
              <w:rPr>
                <w:rFonts w:asciiTheme="majorHAnsi" w:hAnsiTheme="majorHAnsi" w:cstheme="majorHAnsi"/>
              </w:rPr>
              <w:t> </w:t>
            </w:r>
            <w:r w:rsidRPr="004B4B33">
              <w:rPr>
                <w:rFonts w:asciiTheme="majorHAnsi" w:hAnsiTheme="majorHAnsi" w:cstheme="majorHAnsi"/>
              </w:rPr>
              <w:t>dostupného bydlení.</w:t>
            </w:r>
          </w:p>
          <w:p w14:paraId="4D1FF6F0" w14:textId="7F5D480D" w:rsidR="0042415F" w:rsidRPr="004B4B33" w:rsidRDefault="001D082B">
            <w:pPr>
              <w:jc w:val="both"/>
              <w:rPr>
                <w:rFonts w:asciiTheme="majorHAnsi" w:hAnsiTheme="majorHAnsi" w:cstheme="majorHAnsi"/>
              </w:rPr>
            </w:pPr>
            <w:r w:rsidRPr="004B4B33">
              <w:rPr>
                <w:rFonts w:asciiTheme="majorHAnsi" w:hAnsiTheme="majorHAnsi" w:cstheme="majorHAnsi"/>
              </w:rPr>
              <w:t>V kontextu dalších součástí komponenty bude cílem regionálních center podpora absorpční kapacity na místní úrovni a</w:t>
            </w:r>
            <w:r w:rsidR="000D7449">
              <w:rPr>
                <w:rFonts w:asciiTheme="majorHAnsi" w:hAnsiTheme="majorHAnsi" w:cstheme="majorHAnsi"/>
              </w:rPr>
              <w:t> </w:t>
            </w:r>
            <w:r w:rsidRPr="004B4B33">
              <w:rPr>
                <w:rFonts w:asciiTheme="majorHAnsi" w:hAnsiTheme="majorHAnsi" w:cstheme="majorHAnsi"/>
              </w:rPr>
              <w:t>akcelerace přípravy projektů určených pro podporu finančními nástroji.</w:t>
            </w:r>
          </w:p>
          <w:p w14:paraId="2A8611E4" w14:textId="04D9B31B" w:rsidR="0042415F" w:rsidRPr="004B4B33" w:rsidRDefault="001D082B">
            <w:pPr>
              <w:jc w:val="both"/>
              <w:rPr>
                <w:rFonts w:asciiTheme="majorHAnsi" w:hAnsiTheme="majorHAnsi" w:cstheme="majorHAnsi"/>
              </w:rPr>
            </w:pPr>
            <w:r w:rsidRPr="004B4B33">
              <w:rPr>
                <w:rFonts w:asciiTheme="majorHAnsi" w:hAnsiTheme="majorHAnsi" w:cstheme="majorHAnsi"/>
              </w:rPr>
              <w:t>V každém z</w:t>
            </w:r>
            <w:r w:rsidR="000D7449">
              <w:rPr>
                <w:rFonts w:asciiTheme="majorHAnsi" w:hAnsiTheme="majorHAnsi" w:cstheme="majorHAnsi"/>
              </w:rPr>
              <w:t> </w:t>
            </w:r>
            <w:r w:rsidRPr="004B4B33">
              <w:rPr>
                <w:rFonts w:asciiTheme="majorHAnsi" w:hAnsiTheme="majorHAnsi" w:cstheme="majorHAnsi"/>
              </w:rPr>
              <w:t>regionálních center bude malý tým expertů na přípravu a</w:t>
            </w:r>
            <w:r w:rsidR="000D7449">
              <w:rPr>
                <w:rFonts w:asciiTheme="majorHAnsi" w:hAnsiTheme="majorHAnsi" w:cstheme="majorHAnsi"/>
              </w:rPr>
              <w:t> </w:t>
            </w:r>
            <w:r w:rsidRPr="004B4B33">
              <w:rPr>
                <w:rFonts w:asciiTheme="majorHAnsi" w:hAnsiTheme="majorHAnsi" w:cstheme="majorHAnsi"/>
              </w:rPr>
              <w:t>financování dostupného a</w:t>
            </w:r>
            <w:r w:rsidR="000D7449">
              <w:rPr>
                <w:rFonts w:asciiTheme="majorHAnsi" w:hAnsiTheme="majorHAnsi" w:cstheme="majorHAnsi"/>
              </w:rPr>
              <w:t> </w:t>
            </w:r>
            <w:r w:rsidRPr="004B4B33">
              <w:rPr>
                <w:rFonts w:asciiTheme="majorHAnsi" w:hAnsiTheme="majorHAnsi" w:cstheme="majorHAnsi"/>
              </w:rPr>
              <w:t>sociálního bydlení, přičemž odborně budou zaměřeni zejména na finanční nástroje, land development a</w:t>
            </w:r>
            <w:r w:rsidR="000D7449">
              <w:rPr>
                <w:rFonts w:asciiTheme="majorHAnsi" w:hAnsiTheme="majorHAnsi" w:cstheme="majorHAnsi"/>
              </w:rPr>
              <w:t> </w:t>
            </w:r>
            <w:r w:rsidRPr="004B4B33">
              <w:rPr>
                <w:rFonts w:asciiTheme="majorHAnsi" w:hAnsiTheme="majorHAnsi" w:cstheme="majorHAnsi"/>
              </w:rPr>
              <w:t>na obecní bytovou politiku. Kromě expertů působících přímo v</w:t>
            </w:r>
            <w:r w:rsidR="000D7449">
              <w:rPr>
                <w:rFonts w:asciiTheme="majorHAnsi" w:hAnsiTheme="majorHAnsi" w:cstheme="majorHAnsi"/>
              </w:rPr>
              <w:t> </w:t>
            </w:r>
            <w:r w:rsidRPr="004B4B33">
              <w:rPr>
                <w:rFonts w:asciiTheme="majorHAnsi" w:hAnsiTheme="majorHAnsi" w:cstheme="majorHAnsi"/>
              </w:rPr>
              <w:t>regionálních centrech bude celý tým doplněn také o</w:t>
            </w:r>
            <w:r w:rsidR="000D7449">
              <w:rPr>
                <w:rFonts w:asciiTheme="majorHAnsi" w:hAnsiTheme="majorHAnsi" w:cstheme="majorHAnsi"/>
              </w:rPr>
              <w:t> </w:t>
            </w:r>
            <w:r w:rsidRPr="004B4B33">
              <w:rPr>
                <w:rFonts w:asciiTheme="majorHAnsi" w:hAnsiTheme="majorHAnsi" w:cstheme="majorHAnsi"/>
              </w:rPr>
              <w:t>odborné pozice, které budou sdíleny mezi jednotlivými regionálními centry a</w:t>
            </w:r>
            <w:r w:rsidR="000D7449">
              <w:rPr>
                <w:rFonts w:asciiTheme="majorHAnsi" w:hAnsiTheme="majorHAnsi" w:cstheme="majorHAnsi"/>
              </w:rPr>
              <w:t> </w:t>
            </w:r>
            <w:r w:rsidRPr="004B4B33">
              <w:rPr>
                <w:rFonts w:asciiTheme="majorHAnsi" w:hAnsiTheme="majorHAnsi" w:cstheme="majorHAnsi"/>
              </w:rPr>
              <w:t>které se budou zaměřovat mj. na problematiku veřejné podpory, veřejných zakázek, nájemního práva, koordinaci sociálních služeb apod. Centra budou řízena Státním fondem podpory investic (SFPI)</w:t>
            </w:r>
            <w:r w:rsidR="002A3F52" w:rsidRPr="004B4B33">
              <w:rPr>
                <w:rFonts w:asciiTheme="majorHAnsi" w:hAnsiTheme="majorHAnsi" w:cstheme="majorHAnsi"/>
              </w:rPr>
              <w:t>, MMR bude mít na starost metodické nastavení, vyhodnocování a</w:t>
            </w:r>
            <w:r w:rsidR="000D7449">
              <w:rPr>
                <w:rFonts w:asciiTheme="majorHAnsi" w:hAnsiTheme="majorHAnsi" w:cstheme="majorHAnsi"/>
              </w:rPr>
              <w:t> </w:t>
            </w:r>
            <w:r w:rsidR="002A3F52" w:rsidRPr="004B4B33">
              <w:rPr>
                <w:rFonts w:asciiTheme="majorHAnsi" w:hAnsiTheme="majorHAnsi" w:cstheme="majorHAnsi"/>
              </w:rPr>
              <w:t>strategické směřování činnosti center</w:t>
            </w:r>
            <w:r w:rsidRPr="004B4B33">
              <w:rPr>
                <w:rFonts w:asciiTheme="majorHAnsi" w:hAnsiTheme="majorHAnsi" w:cstheme="majorHAnsi"/>
              </w:rPr>
              <w:t>. Jejich činnost bude provázána s</w:t>
            </w:r>
            <w:r w:rsidR="000D7449">
              <w:rPr>
                <w:rFonts w:asciiTheme="majorHAnsi" w:hAnsiTheme="majorHAnsi" w:cstheme="majorHAnsi"/>
              </w:rPr>
              <w:t> </w:t>
            </w:r>
            <w:r w:rsidRPr="004B4B33">
              <w:rPr>
                <w:rFonts w:asciiTheme="majorHAnsi" w:hAnsiTheme="majorHAnsi" w:cstheme="majorHAnsi"/>
              </w:rPr>
              <w:t>know-how a</w:t>
            </w:r>
            <w:r w:rsidR="000D7449">
              <w:rPr>
                <w:rFonts w:asciiTheme="majorHAnsi" w:hAnsiTheme="majorHAnsi" w:cstheme="majorHAnsi"/>
              </w:rPr>
              <w:t> </w:t>
            </w:r>
            <w:r w:rsidRPr="004B4B33">
              <w:rPr>
                <w:rFonts w:asciiTheme="majorHAnsi" w:hAnsiTheme="majorHAnsi" w:cstheme="majorHAnsi"/>
              </w:rPr>
              <w:t>doporučeními Housing Investment Advisory Hubu (viz níže) a</w:t>
            </w:r>
            <w:r w:rsidR="000D7449">
              <w:rPr>
                <w:rFonts w:asciiTheme="majorHAnsi" w:hAnsiTheme="majorHAnsi" w:cstheme="majorHAnsi"/>
              </w:rPr>
              <w:t> </w:t>
            </w:r>
            <w:r w:rsidRPr="004B4B33">
              <w:rPr>
                <w:rFonts w:asciiTheme="majorHAnsi" w:hAnsiTheme="majorHAnsi" w:cstheme="majorHAnsi"/>
              </w:rPr>
              <w:t>s relevantními odbory MMR.</w:t>
            </w:r>
          </w:p>
          <w:p w14:paraId="601D9AD6" w14:textId="0012707A" w:rsidR="0042415F" w:rsidRPr="004B4B33" w:rsidRDefault="001D082B">
            <w:pPr>
              <w:jc w:val="both"/>
              <w:rPr>
                <w:rFonts w:asciiTheme="majorHAnsi" w:hAnsiTheme="majorHAnsi" w:cstheme="majorHAnsi"/>
              </w:rPr>
            </w:pPr>
            <w:r w:rsidRPr="004B4B33">
              <w:rPr>
                <w:rFonts w:asciiTheme="majorHAnsi" w:hAnsiTheme="majorHAnsi" w:cstheme="majorHAnsi"/>
              </w:rPr>
              <w:t>Vznik regionálních center je naplánován do 2 fází. Část z</w:t>
            </w:r>
            <w:r w:rsidR="000D7449">
              <w:rPr>
                <w:rFonts w:asciiTheme="majorHAnsi" w:hAnsiTheme="majorHAnsi" w:cstheme="majorHAnsi"/>
              </w:rPr>
              <w:t> </w:t>
            </w:r>
            <w:r w:rsidRPr="004B4B33">
              <w:rPr>
                <w:rFonts w:asciiTheme="majorHAnsi" w:hAnsiTheme="majorHAnsi" w:cstheme="majorHAnsi"/>
              </w:rPr>
              <w:t>nich zahájí činnost v</w:t>
            </w:r>
            <w:r w:rsidR="000D7449">
              <w:rPr>
                <w:rFonts w:asciiTheme="majorHAnsi" w:hAnsiTheme="majorHAnsi" w:cstheme="majorHAnsi"/>
              </w:rPr>
              <w:t> </w:t>
            </w:r>
            <w:r w:rsidRPr="004B4B33">
              <w:rPr>
                <w:rFonts w:asciiTheme="majorHAnsi" w:hAnsiTheme="majorHAnsi" w:cstheme="majorHAnsi"/>
              </w:rPr>
              <w:t>návaznosti na ustavení centrální metodické jednotky na</w:t>
            </w:r>
            <w:r w:rsidR="002A3F52" w:rsidRPr="004B4B33">
              <w:rPr>
                <w:rFonts w:asciiTheme="majorHAnsi" w:hAnsiTheme="majorHAnsi" w:cstheme="majorHAnsi"/>
              </w:rPr>
              <w:t xml:space="preserve"> MMR a</w:t>
            </w:r>
            <w:r w:rsidR="000D7449">
              <w:rPr>
                <w:rFonts w:asciiTheme="majorHAnsi" w:hAnsiTheme="majorHAnsi" w:cstheme="majorHAnsi"/>
              </w:rPr>
              <w:t> </w:t>
            </w:r>
            <w:r w:rsidRPr="004B4B33">
              <w:rPr>
                <w:rFonts w:asciiTheme="majorHAnsi" w:hAnsiTheme="majorHAnsi" w:cstheme="majorHAnsi"/>
              </w:rPr>
              <w:t>SFPI nejpozději v</w:t>
            </w:r>
            <w:r w:rsidR="000D7449">
              <w:rPr>
                <w:rFonts w:asciiTheme="majorHAnsi" w:hAnsiTheme="majorHAnsi" w:cstheme="majorHAnsi"/>
              </w:rPr>
              <w:t> </w:t>
            </w:r>
            <w:r w:rsidRPr="004B4B33">
              <w:rPr>
                <w:rFonts w:asciiTheme="majorHAnsi" w:hAnsiTheme="majorHAnsi" w:cstheme="majorHAnsi"/>
              </w:rPr>
              <w:t>Q1 2024, zbytek pak v</w:t>
            </w:r>
            <w:r w:rsidR="000D7449">
              <w:rPr>
                <w:rFonts w:asciiTheme="majorHAnsi" w:hAnsiTheme="majorHAnsi" w:cstheme="majorHAnsi"/>
              </w:rPr>
              <w:t> </w:t>
            </w:r>
            <w:r w:rsidRPr="004B4B33">
              <w:rPr>
                <w:rFonts w:asciiTheme="majorHAnsi" w:hAnsiTheme="majorHAnsi" w:cstheme="majorHAnsi"/>
              </w:rPr>
              <w:t>průběhu roku 2024. Kraje s</w:t>
            </w:r>
            <w:r w:rsidR="000D7449">
              <w:rPr>
                <w:rFonts w:asciiTheme="majorHAnsi" w:hAnsiTheme="majorHAnsi" w:cstheme="majorHAnsi"/>
              </w:rPr>
              <w:t> </w:t>
            </w:r>
            <w:r w:rsidRPr="004B4B33">
              <w:rPr>
                <w:rFonts w:asciiTheme="majorHAnsi" w:hAnsiTheme="majorHAnsi" w:cstheme="majorHAnsi"/>
              </w:rPr>
              <w:t>největší absorpční kapacitou budou mít samostatná regionální centra, pro zbylé kraje bude podpora sloučena. Celkově bude nejpozději v</w:t>
            </w:r>
            <w:r w:rsidR="000D7449">
              <w:rPr>
                <w:rFonts w:asciiTheme="majorHAnsi" w:hAnsiTheme="majorHAnsi" w:cstheme="majorHAnsi"/>
              </w:rPr>
              <w:t> </w:t>
            </w:r>
            <w:r w:rsidRPr="004B4B33">
              <w:rPr>
                <w:rFonts w:asciiTheme="majorHAnsi" w:hAnsiTheme="majorHAnsi" w:cstheme="majorHAnsi"/>
              </w:rPr>
              <w:t>Q1 2025 působit celkem 8 regionálních center, která pokryjí celou ČR.</w:t>
            </w:r>
          </w:p>
          <w:p w14:paraId="72A3D3EC" w14:textId="2B049DD8" w:rsidR="0042415F" w:rsidRPr="004B4B33" w:rsidRDefault="001D082B" w:rsidP="003804AC">
            <w:pPr>
              <w:jc w:val="both"/>
              <w:rPr>
                <w:rFonts w:asciiTheme="majorHAnsi" w:hAnsiTheme="majorHAnsi" w:cstheme="majorHAnsi"/>
              </w:rPr>
            </w:pPr>
            <w:r w:rsidRPr="004B4B33">
              <w:rPr>
                <w:rFonts w:asciiTheme="majorHAnsi" w:hAnsiTheme="majorHAnsi" w:cstheme="majorHAnsi"/>
              </w:rPr>
              <w:t>Potřeba rozšíření podpory aktérů v</w:t>
            </w:r>
            <w:r w:rsidR="000D7449">
              <w:rPr>
                <w:rFonts w:asciiTheme="majorHAnsi" w:hAnsiTheme="majorHAnsi" w:cstheme="majorHAnsi"/>
              </w:rPr>
              <w:t> </w:t>
            </w:r>
            <w:r w:rsidRPr="004B4B33">
              <w:rPr>
                <w:rFonts w:asciiTheme="majorHAnsi" w:hAnsiTheme="majorHAnsi" w:cstheme="majorHAnsi"/>
              </w:rPr>
              <w:t>bydlení a</w:t>
            </w:r>
            <w:r w:rsidR="000D7449">
              <w:rPr>
                <w:rFonts w:asciiTheme="majorHAnsi" w:hAnsiTheme="majorHAnsi" w:cstheme="majorHAnsi"/>
              </w:rPr>
              <w:t> </w:t>
            </w:r>
            <w:r w:rsidRPr="004B4B33">
              <w:rPr>
                <w:rFonts w:asciiTheme="majorHAnsi" w:hAnsiTheme="majorHAnsi" w:cstheme="majorHAnsi"/>
              </w:rPr>
              <w:t>prověření potřebnosti vzniku těchto center uložila již Koncepce bydlení ČR 2021+. Zájem o</w:t>
            </w:r>
            <w:r w:rsidR="000D7449">
              <w:rPr>
                <w:rFonts w:asciiTheme="majorHAnsi" w:hAnsiTheme="majorHAnsi" w:cstheme="majorHAnsi"/>
              </w:rPr>
              <w:t> </w:t>
            </w:r>
            <w:r w:rsidRPr="004B4B33">
              <w:rPr>
                <w:rFonts w:asciiTheme="majorHAnsi" w:hAnsiTheme="majorHAnsi" w:cstheme="majorHAnsi"/>
              </w:rPr>
              <w:t>rozšíření podpory bydlení na regionální úrovni vyjádřili zástupci některých krajských i</w:t>
            </w:r>
            <w:r w:rsidR="000D7449">
              <w:rPr>
                <w:rFonts w:asciiTheme="majorHAnsi" w:hAnsiTheme="majorHAnsi" w:cstheme="majorHAnsi"/>
              </w:rPr>
              <w:t> </w:t>
            </w:r>
            <w:r w:rsidRPr="004B4B33">
              <w:rPr>
                <w:rFonts w:asciiTheme="majorHAnsi" w:hAnsiTheme="majorHAnsi" w:cstheme="majorHAnsi"/>
              </w:rPr>
              <w:t>obecních samospráv.</w:t>
            </w:r>
          </w:p>
        </w:tc>
      </w:tr>
      <w:tr w:rsidR="0042415F" w:rsidRPr="004B4B33" w14:paraId="4A8DD469" w14:textId="77777777">
        <w:trPr>
          <w:trHeight w:val="540"/>
        </w:trPr>
        <w:tc>
          <w:tcPr>
            <w:tcW w:w="17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80FD910"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lastRenderedPageBreak/>
              <w:t>Implementace</w:t>
            </w:r>
          </w:p>
        </w:tc>
        <w:tc>
          <w:tcPr>
            <w:tcW w:w="711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37DFB075" w14:textId="193B4E58" w:rsidR="0042415F" w:rsidRPr="004B4B33" w:rsidRDefault="001D082B">
            <w:pPr>
              <w:spacing w:before="0"/>
              <w:jc w:val="both"/>
              <w:rPr>
                <w:rFonts w:asciiTheme="majorHAnsi" w:hAnsiTheme="majorHAnsi" w:cstheme="majorHAnsi"/>
              </w:rPr>
            </w:pPr>
            <w:r w:rsidRPr="004B4B33">
              <w:rPr>
                <w:rFonts w:asciiTheme="majorHAnsi" w:hAnsiTheme="majorHAnsi" w:cstheme="majorHAnsi"/>
              </w:rPr>
              <w:t>SFPI ve spolupráci s</w:t>
            </w:r>
            <w:r w:rsidR="000D7449">
              <w:rPr>
                <w:rFonts w:asciiTheme="majorHAnsi" w:hAnsiTheme="majorHAnsi" w:cstheme="majorHAnsi"/>
              </w:rPr>
              <w:t> </w:t>
            </w:r>
            <w:r w:rsidRPr="004B4B33">
              <w:rPr>
                <w:rFonts w:asciiTheme="majorHAnsi" w:hAnsiTheme="majorHAnsi" w:cstheme="majorHAnsi"/>
              </w:rPr>
              <w:t>Ministerstvem pro místní rozvoj a</w:t>
            </w:r>
            <w:r w:rsidR="000D7449">
              <w:rPr>
                <w:rFonts w:asciiTheme="majorHAnsi" w:hAnsiTheme="majorHAnsi" w:cstheme="majorHAnsi"/>
              </w:rPr>
              <w:t> </w:t>
            </w:r>
            <w:r w:rsidRPr="004B4B33">
              <w:rPr>
                <w:rFonts w:asciiTheme="majorHAnsi" w:hAnsiTheme="majorHAnsi" w:cstheme="majorHAnsi"/>
              </w:rPr>
              <w:t>partnery v</w:t>
            </w:r>
            <w:r w:rsidR="000D7449">
              <w:rPr>
                <w:rFonts w:asciiTheme="majorHAnsi" w:hAnsiTheme="majorHAnsi" w:cstheme="majorHAnsi"/>
              </w:rPr>
              <w:t> </w:t>
            </w:r>
            <w:r w:rsidRPr="004B4B33">
              <w:rPr>
                <w:rFonts w:asciiTheme="majorHAnsi" w:hAnsiTheme="majorHAnsi" w:cstheme="majorHAnsi"/>
              </w:rPr>
              <w:t>území. Možná participace dalších institucí jako například Národní rozvojová banka nebo CzechInvest.</w:t>
            </w:r>
          </w:p>
        </w:tc>
      </w:tr>
      <w:tr w:rsidR="0042415F" w:rsidRPr="004B4B33" w14:paraId="2814E9D4" w14:textId="77777777">
        <w:trPr>
          <w:trHeight w:val="1475"/>
        </w:trPr>
        <w:tc>
          <w:tcPr>
            <w:tcW w:w="17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E816D3C" w14:textId="18CA54A5"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Spolupráce a</w:t>
            </w:r>
            <w:r w:rsidR="000D7449">
              <w:rPr>
                <w:rFonts w:asciiTheme="majorHAnsi" w:hAnsiTheme="majorHAnsi" w:cstheme="majorHAnsi"/>
              </w:rPr>
              <w:t> </w:t>
            </w:r>
            <w:r w:rsidRPr="004B4B33">
              <w:rPr>
                <w:rFonts w:asciiTheme="majorHAnsi" w:hAnsiTheme="majorHAnsi" w:cstheme="majorHAnsi"/>
              </w:rPr>
              <w:t>zapojení</w:t>
            </w:r>
          </w:p>
          <w:p w14:paraId="7782E89C"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zúčastněných stran</w:t>
            </w:r>
          </w:p>
        </w:tc>
        <w:tc>
          <w:tcPr>
            <w:tcW w:w="7110" w:type="dxa"/>
            <w:tcBorders>
              <w:top w:val="nil"/>
              <w:left w:val="nil"/>
              <w:bottom w:val="single" w:sz="8" w:space="0" w:color="000000"/>
              <w:right w:val="single" w:sz="8" w:space="0" w:color="000000"/>
            </w:tcBorders>
            <w:shd w:val="clear" w:color="auto" w:fill="FFFFFF"/>
            <w:tcMar>
              <w:top w:w="100" w:type="dxa"/>
              <w:left w:w="100" w:type="dxa"/>
              <w:bottom w:w="100" w:type="dxa"/>
              <w:right w:w="100" w:type="dxa"/>
            </w:tcMar>
          </w:tcPr>
          <w:p w14:paraId="2BCE67D4" w14:textId="0A0DF8AD" w:rsidR="0042415F" w:rsidRPr="004B4B33" w:rsidRDefault="001D082B">
            <w:pPr>
              <w:numPr>
                <w:ilvl w:val="0"/>
                <w:numId w:val="26"/>
              </w:numPr>
              <w:spacing w:after="0"/>
              <w:ind w:left="425"/>
              <w:jc w:val="both"/>
              <w:rPr>
                <w:rFonts w:asciiTheme="majorHAnsi" w:hAnsiTheme="majorHAnsi" w:cstheme="majorHAnsi"/>
              </w:rPr>
            </w:pPr>
            <w:r w:rsidRPr="004B4B33">
              <w:rPr>
                <w:rFonts w:asciiTheme="majorHAnsi" w:hAnsiTheme="majorHAnsi" w:cstheme="majorHAnsi"/>
              </w:rPr>
              <w:t>Vybrané ústřední orgány státní správy a</w:t>
            </w:r>
            <w:r w:rsidR="000D7449">
              <w:rPr>
                <w:rFonts w:asciiTheme="majorHAnsi" w:hAnsiTheme="majorHAnsi" w:cstheme="majorHAnsi"/>
              </w:rPr>
              <w:t> </w:t>
            </w:r>
            <w:r w:rsidRPr="004B4B33">
              <w:rPr>
                <w:rFonts w:asciiTheme="majorHAnsi" w:hAnsiTheme="majorHAnsi" w:cstheme="majorHAnsi"/>
              </w:rPr>
              <w:t>jejich resortní organizace;</w:t>
            </w:r>
          </w:p>
          <w:p w14:paraId="5803E91E" w14:textId="77777777" w:rsidR="0042415F" w:rsidRPr="004B4B33" w:rsidRDefault="001D082B">
            <w:pPr>
              <w:numPr>
                <w:ilvl w:val="0"/>
                <w:numId w:val="26"/>
              </w:numPr>
              <w:spacing w:before="0" w:after="0"/>
              <w:ind w:left="425"/>
              <w:jc w:val="both"/>
              <w:rPr>
                <w:rFonts w:asciiTheme="majorHAnsi" w:hAnsiTheme="majorHAnsi" w:cstheme="majorHAnsi"/>
              </w:rPr>
            </w:pPr>
            <w:r w:rsidRPr="004B4B33">
              <w:rPr>
                <w:rFonts w:asciiTheme="majorHAnsi" w:hAnsiTheme="majorHAnsi" w:cstheme="majorHAnsi"/>
              </w:rPr>
              <w:t>samosprávy;</w:t>
            </w:r>
          </w:p>
          <w:p w14:paraId="79D849BA" w14:textId="6ED79201" w:rsidR="0042415F" w:rsidRPr="004B4B33" w:rsidRDefault="001D082B">
            <w:pPr>
              <w:numPr>
                <w:ilvl w:val="0"/>
                <w:numId w:val="26"/>
              </w:numPr>
              <w:spacing w:before="0" w:after="0"/>
              <w:ind w:left="425"/>
              <w:jc w:val="both"/>
              <w:rPr>
                <w:rFonts w:asciiTheme="majorHAnsi" w:hAnsiTheme="majorHAnsi" w:cstheme="majorHAnsi"/>
              </w:rPr>
            </w:pPr>
            <w:r w:rsidRPr="004B4B33">
              <w:rPr>
                <w:rFonts w:asciiTheme="majorHAnsi" w:hAnsiTheme="majorHAnsi" w:cstheme="majorHAnsi"/>
              </w:rPr>
              <w:t>univerzitní a</w:t>
            </w:r>
            <w:r w:rsidR="000D7449">
              <w:rPr>
                <w:rFonts w:asciiTheme="majorHAnsi" w:hAnsiTheme="majorHAnsi" w:cstheme="majorHAnsi"/>
              </w:rPr>
              <w:t> </w:t>
            </w:r>
            <w:r w:rsidRPr="004B4B33">
              <w:rPr>
                <w:rFonts w:asciiTheme="majorHAnsi" w:hAnsiTheme="majorHAnsi" w:cstheme="majorHAnsi"/>
              </w:rPr>
              <w:t>výzkumný sektor, Technologická agentura ČR;</w:t>
            </w:r>
          </w:p>
          <w:p w14:paraId="19954372" w14:textId="0FFC8246" w:rsidR="0042415F" w:rsidRPr="004B4B33" w:rsidRDefault="001D082B">
            <w:pPr>
              <w:numPr>
                <w:ilvl w:val="0"/>
                <w:numId w:val="26"/>
              </w:numPr>
              <w:spacing w:before="0" w:after="0"/>
              <w:ind w:left="425"/>
              <w:jc w:val="both"/>
              <w:rPr>
                <w:rFonts w:asciiTheme="majorHAnsi" w:hAnsiTheme="majorHAnsi" w:cstheme="majorHAnsi"/>
              </w:rPr>
            </w:pPr>
            <w:r w:rsidRPr="004B4B33">
              <w:rPr>
                <w:rFonts w:asciiTheme="majorHAnsi" w:hAnsiTheme="majorHAnsi" w:cstheme="majorHAnsi"/>
              </w:rPr>
              <w:t>Svaz místních samospráv ČR a</w:t>
            </w:r>
            <w:r w:rsidR="000D7449">
              <w:rPr>
                <w:rFonts w:asciiTheme="majorHAnsi" w:hAnsiTheme="majorHAnsi" w:cstheme="majorHAnsi"/>
              </w:rPr>
              <w:t> </w:t>
            </w:r>
            <w:r w:rsidRPr="004B4B33">
              <w:rPr>
                <w:rFonts w:asciiTheme="majorHAnsi" w:hAnsiTheme="majorHAnsi" w:cstheme="majorHAnsi"/>
              </w:rPr>
              <w:t>Svaz měst a</w:t>
            </w:r>
            <w:r w:rsidR="000D7449">
              <w:rPr>
                <w:rFonts w:asciiTheme="majorHAnsi" w:hAnsiTheme="majorHAnsi" w:cstheme="majorHAnsi"/>
              </w:rPr>
              <w:t> </w:t>
            </w:r>
            <w:r w:rsidRPr="004B4B33">
              <w:rPr>
                <w:rFonts w:asciiTheme="majorHAnsi" w:hAnsiTheme="majorHAnsi" w:cstheme="majorHAnsi"/>
              </w:rPr>
              <w:t>obcí ČR;</w:t>
            </w:r>
          </w:p>
          <w:p w14:paraId="2AAA386F" w14:textId="77777777" w:rsidR="0042415F" w:rsidRPr="004B4B33" w:rsidRDefault="001D082B">
            <w:pPr>
              <w:numPr>
                <w:ilvl w:val="0"/>
                <w:numId w:val="26"/>
              </w:numPr>
              <w:spacing w:before="0" w:after="0"/>
              <w:ind w:left="425"/>
              <w:jc w:val="both"/>
              <w:rPr>
                <w:rFonts w:asciiTheme="majorHAnsi" w:hAnsiTheme="majorHAnsi" w:cstheme="majorHAnsi"/>
              </w:rPr>
            </w:pPr>
            <w:r w:rsidRPr="004B4B33">
              <w:rPr>
                <w:rFonts w:asciiTheme="majorHAnsi" w:hAnsiTheme="majorHAnsi" w:cstheme="majorHAnsi"/>
              </w:rPr>
              <w:t>Asociace krajů ČR;</w:t>
            </w:r>
          </w:p>
          <w:p w14:paraId="336C8159" w14:textId="77777777" w:rsidR="0042415F" w:rsidRPr="004B4B33" w:rsidRDefault="001D082B">
            <w:pPr>
              <w:numPr>
                <w:ilvl w:val="0"/>
                <w:numId w:val="26"/>
              </w:numPr>
              <w:spacing w:before="0" w:after="0"/>
              <w:ind w:left="425"/>
              <w:jc w:val="both"/>
              <w:rPr>
                <w:rFonts w:asciiTheme="majorHAnsi" w:hAnsiTheme="majorHAnsi" w:cstheme="majorHAnsi"/>
              </w:rPr>
            </w:pPr>
            <w:r w:rsidRPr="004B4B33">
              <w:rPr>
                <w:rFonts w:asciiTheme="majorHAnsi" w:hAnsiTheme="majorHAnsi" w:cstheme="majorHAnsi"/>
              </w:rPr>
              <w:t>zástupci finančního sektoru;</w:t>
            </w:r>
          </w:p>
          <w:p w14:paraId="2D3CD702" w14:textId="5D791B1D" w:rsidR="0042415F" w:rsidRPr="004B4B33" w:rsidRDefault="001D082B">
            <w:pPr>
              <w:numPr>
                <w:ilvl w:val="0"/>
                <w:numId w:val="26"/>
              </w:numPr>
              <w:spacing w:before="0" w:after="0"/>
              <w:ind w:left="425"/>
              <w:jc w:val="both"/>
              <w:rPr>
                <w:rFonts w:asciiTheme="majorHAnsi" w:hAnsiTheme="majorHAnsi" w:cstheme="majorHAnsi"/>
              </w:rPr>
            </w:pPr>
            <w:r w:rsidRPr="004B4B33">
              <w:rPr>
                <w:rFonts w:asciiTheme="majorHAnsi" w:hAnsiTheme="majorHAnsi" w:cstheme="majorHAnsi"/>
              </w:rPr>
              <w:t>expertní a</w:t>
            </w:r>
            <w:r w:rsidR="000D7449">
              <w:rPr>
                <w:rFonts w:asciiTheme="majorHAnsi" w:hAnsiTheme="majorHAnsi" w:cstheme="majorHAnsi"/>
              </w:rPr>
              <w:t> </w:t>
            </w:r>
            <w:r w:rsidRPr="004B4B33">
              <w:rPr>
                <w:rFonts w:asciiTheme="majorHAnsi" w:hAnsiTheme="majorHAnsi" w:cstheme="majorHAnsi"/>
              </w:rPr>
              <w:t>profesní instituce zabývající se předmětnou agendou;</w:t>
            </w:r>
          </w:p>
          <w:p w14:paraId="37C059CB" w14:textId="77777777" w:rsidR="0042415F" w:rsidRPr="004B4B33" w:rsidRDefault="001D082B">
            <w:pPr>
              <w:numPr>
                <w:ilvl w:val="0"/>
                <w:numId w:val="26"/>
              </w:numPr>
              <w:spacing w:before="0" w:after="0"/>
              <w:ind w:left="425"/>
              <w:jc w:val="both"/>
              <w:rPr>
                <w:rFonts w:asciiTheme="majorHAnsi" w:hAnsiTheme="majorHAnsi" w:cstheme="majorHAnsi"/>
              </w:rPr>
            </w:pPr>
            <w:r w:rsidRPr="004B4B33">
              <w:rPr>
                <w:rFonts w:asciiTheme="majorHAnsi" w:hAnsiTheme="majorHAnsi" w:cstheme="majorHAnsi"/>
              </w:rPr>
              <w:t>nevládní organizace zabývající se předmětnou agendou;</w:t>
            </w:r>
          </w:p>
          <w:p w14:paraId="26C07C1B" w14:textId="77777777" w:rsidR="0042415F" w:rsidRPr="004B4B33" w:rsidRDefault="001D082B">
            <w:pPr>
              <w:numPr>
                <w:ilvl w:val="0"/>
                <w:numId w:val="26"/>
              </w:numPr>
              <w:spacing w:before="0"/>
              <w:ind w:left="425"/>
              <w:jc w:val="both"/>
              <w:rPr>
                <w:rFonts w:asciiTheme="majorHAnsi" w:hAnsiTheme="majorHAnsi" w:cstheme="majorHAnsi"/>
              </w:rPr>
            </w:pPr>
            <w:r w:rsidRPr="004B4B33">
              <w:rPr>
                <w:rFonts w:asciiTheme="majorHAnsi" w:hAnsiTheme="majorHAnsi" w:cstheme="majorHAnsi"/>
              </w:rPr>
              <w:t>partnerské zahraniční instituce.</w:t>
            </w:r>
          </w:p>
        </w:tc>
      </w:tr>
      <w:tr w:rsidR="0042415F" w:rsidRPr="004B4B33" w14:paraId="3030F8DE" w14:textId="77777777">
        <w:trPr>
          <w:trHeight w:val="590"/>
        </w:trPr>
        <w:tc>
          <w:tcPr>
            <w:tcW w:w="17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3504F8C" w14:textId="6FFC6F58"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Překážky a</w:t>
            </w:r>
            <w:r w:rsidR="000D7449">
              <w:rPr>
                <w:rFonts w:asciiTheme="majorHAnsi" w:hAnsiTheme="majorHAnsi" w:cstheme="majorHAnsi"/>
              </w:rPr>
              <w:t> </w:t>
            </w:r>
            <w:r w:rsidRPr="004B4B33">
              <w:rPr>
                <w:rFonts w:asciiTheme="majorHAnsi" w:hAnsiTheme="majorHAnsi" w:cstheme="majorHAnsi"/>
              </w:rPr>
              <w:t>rizika</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0863D900" w14:textId="73CB9612" w:rsidR="0042415F" w:rsidRPr="004B4B33" w:rsidRDefault="001D082B">
            <w:pPr>
              <w:numPr>
                <w:ilvl w:val="0"/>
                <w:numId w:val="19"/>
              </w:numPr>
              <w:spacing w:after="0" w:line="240" w:lineRule="auto"/>
              <w:ind w:left="425"/>
              <w:jc w:val="both"/>
              <w:rPr>
                <w:rFonts w:asciiTheme="majorHAnsi" w:hAnsiTheme="majorHAnsi" w:cstheme="majorHAnsi"/>
              </w:rPr>
            </w:pPr>
            <w:r w:rsidRPr="004B4B33">
              <w:rPr>
                <w:rFonts w:asciiTheme="majorHAnsi" w:hAnsiTheme="majorHAnsi" w:cstheme="majorHAnsi"/>
              </w:rPr>
              <w:t>Hodnotová a</w:t>
            </w:r>
            <w:r w:rsidR="000D7449">
              <w:rPr>
                <w:rFonts w:asciiTheme="majorHAnsi" w:hAnsiTheme="majorHAnsi" w:cstheme="majorHAnsi"/>
              </w:rPr>
              <w:t> </w:t>
            </w:r>
            <w:r w:rsidRPr="004B4B33">
              <w:rPr>
                <w:rFonts w:asciiTheme="majorHAnsi" w:hAnsiTheme="majorHAnsi" w:cstheme="majorHAnsi"/>
              </w:rPr>
              <w:t>politická nesourodost klíčových stakeholders;</w:t>
            </w:r>
          </w:p>
          <w:p w14:paraId="04633DA7" w14:textId="25DDC3AE" w:rsidR="0042415F" w:rsidRPr="004B4B33" w:rsidRDefault="001D082B">
            <w:pPr>
              <w:numPr>
                <w:ilvl w:val="0"/>
                <w:numId w:val="19"/>
              </w:numPr>
              <w:spacing w:before="0" w:after="0"/>
              <w:ind w:left="425"/>
              <w:jc w:val="both"/>
              <w:rPr>
                <w:rFonts w:asciiTheme="majorHAnsi" w:hAnsiTheme="majorHAnsi" w:cstheme="majorHAnsi"/>
              </w:rPr>
            </w:pPr>
            <w:r w:rsidRPr="004B4B33">
              <w:rPr>
                <w:rFonts w:asciiTheme="majorHAnsi" w:hAnsiTheme="majorHAnsi" w:cstheme="majorHAnsi"/>
              </w:rPr>
              <w:t>náročnost komunikačních sdělení týkajících se potřeby regulace za stavu selhání trhu s</w:t>
            </w:r>
            <w:r w:rsidR="000D7449">
              <w:rPr>
                <w:rFonts w:asciiTheme="majorHAnsi" w:hAnsiTheme="majorHAnsi" w:cstheme="majorHAnsi"/>
              </w:rPr>
              <w:t> </w:t>
            </w:r>
            <w:r w:rsidRPr="004B4B33">
              <w:rPr>
                <w:rFonts w:asciiTheme="majorHAnsi" w:hAnsiTheme="majorHAnsi" w:cstheme="majorHAnsi"/>
              </w:rPr>
              <w:t>bydlením a</w:t>
            </w:r>
            <w:r w:rsidR="000D7449">
              <w:rPr>
                <w:rFonts w:asciiTheme="majorHAnsi" w:hAnsiTheme="majorHAnsi" w:cstheme="majorHAnsi"/>
              </w:rPr>
              <w:t> </w:t>
            </w:r>
            <w:r w:rsidRPr="004B4B33">
              <w:rPr>
                <w:rFonts w:asciiTheme="majorHAnsi" w:hAnsiTheme="majorHAnsi" w:cstheme="majorHAnsi"/>
              </w:rPr>
              <w:t>reputační rizika s</w:t>
            </w:r>
            <w:r w:rsidR="000D7449">
              <w:rPr>
                <w:rFonts w:asciiTheme="majorHAnsi" w:hAnsiTheme="majorHAnsi" w:cstheme="majorHAnsi"/>
              </w:rPr>
              <w:t> </w:t>
            </w:r>
            <w:r w:rsidRPr="004B4B33">
              <w:rPr>
                <w:rFonts w:asciiTheme="majorHAnsi" w:hAnsiTheme="majorHAnsi" w:cstheme="majorHAnsi"/>
              </w:rPr>
              <w:t>tím spojená;</w:t>
            </w:r>
          </w:p>
          <w:p w14:paraId="20ECEF56" w14:textId="30731886" w:rsidR="0042415F" w:rsidRPr="004B4B33" w:rsidRDefault="001D082B">
            <w:pPr>
              <w:numPr>
                <w:ilvl w:val="0"/>
                <w:numId w:val="19"/>
              </w:numPr>
              <w:spacing w:before="0" w:after="0"/>
              <w:ind w:left="425"/>
              <w:jc w:val="both"/>
              <w:rPr>
                <w:rFonts w:asciiTheme="majorHAnsi" w:hAnsiTheme="majorHAnsi" w:cstheme="majorHAnsi"/>
              </w:rPr>
            </w:pPr>
            <w:r w:rsidRPr="004B4B33">
              <w:rPr>
                <w:rFonts w:asciiTheme="majorHAnsi" w:hAnsiTheme="majorHAnsi" w:cstheme="majorHAnsi"/>
              </w:rPr>
              <w:t>časová náročnost přípravy projektů a</w:t>
            </w:r>
            <w:r w:rsidR="000D7449">
              <w:rPr>
                <w:rFonts w:asciiTheme="majorHAnsi" w:hAnsiTheme="majorHAnsi" w:cstheme="majorHAnsi"/>
              </w:rPr>
              <w:t> </w:t>
            </w:r>
            <w:r w:rsidRPr="004B4B33">
              <w:rPr>
                <w:rFonts w:asciiTheme="majorHAnsi" w:hAnsiTheme="majorHAnsi" w:cstheme="majorHAnsi"/>
              </w:rPr>
              <w:t>výběru jejich nositelů;</w:t>
            </w:r>
          </w:p>
          <w:p w14:paraId="785BC8CF" w14:textId="77777777" w:rsidR="0042415F" w:rsidRPr="004B4B33" w:rsidRDefault="001D082B">
            <w:pPr>
              <w:numPr>
                <w:ilvl w:val="0"/>
                <w:numId w:val="19"/>
              </w:numPr>
              <w:spacing w:before="0"/>
              <w:ind w:left="425"/>
              <w:jc w:val="both"/>
              <w:rPr>
                <w:rFonts w:asciiTheme="majorHAnsi" w:hAnsiTheme="majorHAnsi" w:cstheme="majorHAnsi"/>
              </w:rPr>
            </w:pPr>
            <w:r w:rsidRPr="004B4B33">
              <w:rPr>
                <w:rFonts w:asciiTheme="majorHAnsi" w:hAnsiTheme="majorHAnsi" w:cstheme="majorHAnsi"/>
              </w:rPr>
              <w:t>schematizované pojetí resortních kompetencí při implementaci interdisciplinárních agend;</w:t>
            </w:r>
          </w:p>
        </w:tc>
      </w:tr>
      <w:tr w:rsidR="0042415F" w:rsidRPr="004B4B33" w14:paraId="486D3720" w14:textId="77777777">
        <w:trPr>
          <w:trHeight w:val="1535"/>
        </w:trPr>
        <w:tc>
          <w:tcPr>
            <w:tcW w:w="17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F93B853"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Cílové skupiny</w:t>
            </w:r>
          </w:p>
          <w:p w14:paraId="3B8447E6"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populace</w:t>
            </w:r>
          </w:p>
          <w:p w14:paraId="0D8333FA"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a ekonomické</w:t>
            </w:r>
          </w:p>
          <w:p w14:paraId="00E849B6"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subjekty</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48FBF020" w14:textId="77777777" w:rsidR="0042415F" w:rsidRPr="004B4B33" w:rsidRDefault="001D082B">
            <w:pPr>
              <w:numPr>
                <w:ilvl w:val="0"/>
                <w:numId w:val="4"/>
              </w:numPr>
              <w:spacing w:before="0" w:after="0"/>
              <w:ind w:left="425"/>
              <w:jc w:val="both"/>
              <w:rPr>
                <w:rFonts w:asciiTheme="majorHAnsi" w:hAnsiTheme="majorHAnsi" w:cstheme="majorHAnsi"/>
              </w:rPr>
            </w:pPr>
            <w:r w:rsidRPr="004B4B33">
              <w:rPr>
                <w:rFonts w:asciiTheme="majorHAnsi" w:hAnsiTheme="majorHAnsi" w:cstheme="majorHAnsi"/>
              </w:rPr>
              <w:t>samosprávy, případně organizace jimi řízené;</w:t>
            </w:r>
          </w:p>
          <w:p w14:paraId="13A51233" w14:textId="77777777" w:rsidR="0042415F" w:rsidRPr="004B4B33" w:rsidRDefault="001D082B">
            <w:pPr>
              <w:numPr>
                <w:ilvl w:val="0"/>
                <w:numId w:val="4"/>
              </w:numPr>
              <w:spacing w:before="0" w:after="0"/>
              <w:ind w:left="425"/>
              <w:jc w:val="both"/>
              <w:rPr>
                <w:rFonts w:asciiTheme="majorHAnsi" w:hAnsiTheme="majorHAnsi" w:cstheme="majorHAnsi"/>
              </w:rPr>
            </w:pPr>
            <w:r w:rsidRPr="004B4B33">
              <w:rPr>
                <w:rFonts w:asciiTheme="majorHAnsi" w:hAnsiTheme="majorHAnsi" w:cstheme="majorHAnsi"/>
              </w:rPr>
              <w:t>poskytovatelé sociálních služeb (včetně NNO);</w:t>
            </w:r>
          </w:p>
          <w:p w14:paraId="58278DDC" w14:textId="77777777" w:rsidR="0042415F" w:rsidRPr="004B4B33" w:rsidRDefault="001D082B">
            <w:pPr>
              <w:numPr>
                <w:ilvl w:val="0"/>
                <w:numId w:val="4"/>
              </w:numPr>
              <w:spacing w:before="0" w:after="0"/>
              <w:ind w:left="425"/>
              <w:jc w:val="both"/>
              <w:rPr>
                <w:rFonts w:asciiTheme="majorHAnsi" w:hAnsiTheme="majorHAnsi" w:cstheme="majorHAnsi"/>
              </w:rPr>
            </w:pPr>
            <w:r w:rsidRPr="004B4B33">
              <w:rPr>
                <w:rFonts w:asciiTheme="majorHAnsi" w:hAnsiTheme="majorHAnsi" w:cstheme="majorHAnsi"/>
              </w:rPr>
              <w:t>bytová družstva;</w:t>
            </w:r>
          </w:p>
          <w:p w14:paraId="649ECA89" w14:textId="6A02BE22" w:rsidR="0042415F" w:rsidRPr="004B4B33" w:rsidRDefault="001D082B">
            <w:pPr>
              <w:numPr>
                <w:ilvl w:val="0"/>
                <w:numId w:val="4"/>
              </w:numPr>
              <w:spacing w:before="0" w:after="0"/>
              <w:ind w:left="425"/>
              <w:jc w:val="both"/>
              <w:rPr>
                <w:rFonts w:asciiTheme="majorHAnsi" w:hAnsiTheme="majorHAnsi" w:cstheme="majorHAnsi"/>
              </w:rPr>
            </w:pPr>
            <w:r w:rsidRPr="004B4B33">
              <w:rPr>
                <w:rFonts w:asciiTheme="majorHAnsi" w:hAnsiTheme="majorHAnsi" w:cstheme="majorHAnsi"/>
              </w:rPr>
              <w:t>právnické osoby připravující a</w:t>
            </w:r>
            <w:r w:rsidR="000D7449">
              <w:rPr>
                <w:rFonts w:asciiTheme="majorHAnsi" w:hAnsiTheme="majorHAnsi" w:cstheme="majorHAnsi"/>
              </w:rPr>
              <w:t> </w:t>
            </w:r>
            <w:r w:rsidRPr="004B4B33">
              <w:rPr>
                <w:rFonts w:asciiTheme="majorHAnsi" w:hAnsiTheme="majorHAnsi" w:cstheme="majorHAnsi"/>
              </w:rPr>
              <w:t>realizující projekty dostupného bydlení (podpořené v</w:t>
            </w:r>
            <w:r w:rsidR="000D7449">
              <w:rPr>
                <w:rFonts w:asciiTheme="majorHAnsi" w:hAnsiTheme="majorHAnsi" w:cstheme="majorHAnsi"/>
              </w:rPr>
              <w:t> </w:t>
            </w:r>
            <w:r w:rsidRPr="004B4B33">
              <w:rPr>
                <w:rFonts w:asciiTheme="majorHAnsi" w:hAnsiTheme="majorHAnsi" w:cstheme="majorHAnsi"/>
              </w:rPr>
              <w:t>rámci této komponenty nebo jiných zdrojů);</w:t>
            </w:r>
          </w:p>
          <w:p w14:paraId="15A00F4C" w14:textId="1FB8988D" w:rsidR="0042415F" w:rsidRPr="004B4B33" w:rsidRDefault="001D082B">
            <w:pPr>
              <w:numPr>
                <w:ilvl w:val="0"/>
                <w:numId w:val="4"/>
              </w:numPr>
              <w:spacing w:before="0" w:after="0"/>
              <w:ind w:left="425"/>
              <w:jc w:val="both"/>
              <w:rPr>
                <w:rFonts w:asciiTheme="majorHAnsi" w:hAnsiTheme="majorHAnsi" w:cstheme="majorHAnsi"/>
              </w:rPr>
            </w:pPr>
            <w:r w:rsidRPr="004B4B33">
              <w:rPr>
                <w:rFonts w:asciiTheme="majorHAnsi" w:hAnsiTheme="majorHAnsi" w:cstheme="majorHAnsi"/>
              </w:rPr>
              <w:t>odborná veřejnost participující na přípravě, schvalování a</w:t>
            </w:r>
            <w:r w:rsidR="000D7449">
              <w:rPr>
                <w:rFonts w:asciiTheme="majorHAnsi" w:hAnsiTheme="majorHAnsi" w:cstheme="majorHAnsi"/>
              </w:rPr>
              <w:t> </w:t>
            </w:r>
            <w:r w:rsidRPr="004B4B33">
              <w:rPr>
                <w:rFonts w:asciiTheme="majorHAnsi" w:hAnsiTheme="majorHAnsi" w:cstheme="majorHAnsi"/>
              </w:rPr>
              <w:t>realizaci projektů, expertní opinion leaders;</w:t>
            </w:r>
          </w:p>
          <w:p w14:paraId="5C20650B" w14:textId="77777777" w:rsidR="0042415F" w:rsidRPr="004B4B33" w:rsidRDefault="001D082B">
            <w:pPr>
              <w:numPr>
                <w:ilvl w:val="0"/>
                <w:numId w:val="4"/>
              </w:numPr>
              <w:spacing w:before="0" w:after="0"/>
              <w:ind w:left="425"/>
              <w:jc w:val="both"/>
              <w:rPr>
                <w:rFonts w:asciiTheme="majorHAnsi" w:hAnsiTheme="majorHAnsi" w:cstheme="majorHAnsi"/>
              </w:rPr>
            </w:pPr>
            <w:r w:rsidRPr="004B4B33">
              <w:rPr>
                <w:rFonts w:asciiTheme="majorHAnsi" w:hAnsiTheme="majorHAnsi" w:cstheme="majorHAnsi"/>
              </w:rPr>
              <w:t>uživatelé bydlení;</w:t>
            </w:r>
          </w:p>
          <w:p w14:paraId="45227CFC" w14:textId="77777777" w:rsidR="0042415F" w:rsidRPr="004B4B33" w:rsidRDefault="001D082B">
            <w:pPr>
              <w:numPr>
                <w:ilvl w:val="0"/>
                <w:numId w:val="4"/>
              </w:numPr>
              <w:spacing w:before="0" w:after="0"/>
              <w:ind w:left="425"/>
              <w:jc w:val="both"/>
              <w:rPr>
                <w:rFonts w:asciiTheme="majorHAnsi" w:hAnsiTheme="majorHAnsi" w:cstheme="majorHAnsi"/>
              </w:rPr>
            </w:pPr>
            <w:r w:rsidRPr="004B4B33">
              <w:rPr>
                <w:rFonts w:asciiTheme="majorHAnsi" w:hAnsiTheme="majorHAnsi" w:cstheme="majorHAnsi"/>
              </w:rPr>
              <w:t>finanční sektor;</w:t>
            </w:r>
          </w:p>
          <w:p w14:paraId="55F82F53" w14:textId="77777777" w:rsidR="0042415F" w:rsidRPr="004B4B33" w:rsidRDefault="001D082B">
            <w:pPr>
              <w:numPr>
                <w:ilvl w:val="0"/>
                <w:numId w:val="4"/>
              </w:numPr>
              <w:spacing w:before="0"/>
              <w:ind w:left="425"/>
              <w:jc w:val="both"/>
              <w:rPr>
                <w:rFonts w:asciiTheme="majorHAnsi" w:hAnsiTheme="majorHAnsi" w:cstheme="majorHAnsi"/>
              </w:rPr>
            </w:pPr>
            <w:r w:rsidRPr="004B4B33">
              <w:rPr>
                <w:rFonts w:asciiTheme="majorHAnsi" w:hAnsiTheme="majorHAnsi" w:cstheme="majorHAnsi"/>
              </w:rPr>
              <w:t>participující státní správa.</w:t>
            </w:r>
          </w:p>
        </w:tc>
      </w:tr>
      <w:tr w:rsidR="0042415F" w:rsidRPr="004B4B33" w14:paraId="5A954F2A" w14:textId="77777777">
        <w:trPr>
          <w:trHeight w:val="1355"/>
        </w:trPr>
        <w:tc>
          <w:tcPr>
            <w:tcW w:w="17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FF7C3A"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Souhrnné náklady</w:t>
            </w:r>
          </w:p>
          <w:p w14:paraId="4E4BE31E"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realizace</w:t>
            </w:r>
          </w:p>
          <w:p w14:paraId="33579F0A" w14:textId="1760FA8D"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financované z</w:t>
            </w:r>
            <w:r w:rsidR="000D7449">
              <w:rPr>
                <w:rFonts w:asciiTheme="majorHAnsi" w:hAnsiTheme="majorHAnsi" w:cstheme="majorHAnsi"/>
              </w:rPr>
              <w:t> </w:t>
            </w:r>
            <w:r w:rsidRPr="004B4B33">
              <w:rPr>
                <w:rFonts w:asciiTheme="majorHAnsi" w:hAnsiTheme="majorHAnsi" w:cstheme="majorHAnsi"/>
              </w:rPr>
              <w:t>RRF za celé období</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11EB8865" w14:textId="73093CF5" w:rsidR="0042415F" w:rsidRPr="004B4B33" w:rsidRDefault="001D082B">
            <w:pPr>
              <w:spacing w:before="0"/>
              <w:jc w:val="both"/>
              <w:rPr>
                <w:rFonts w:asciiTheme="majorHAnsi" w:hAnsiTheme="majorHAnsi" w:cstheme="majorHAnsi"/>
              </w:rPr>
            </w:pPr>
            <w:r w:rsidRPr="004B4B33">
              <w:rPr>
                <w:rFonts w:asciiTheme="majorHAnsi" w:hAnsiTheme="majorHAnsi" w:cstheme="majorHAnsi"/>
              </w:rPr>
              <w:t>Indikativní mzdové náklady (zázemí HIAH vč. koordinační jednotky, experti v</w:t>
            </w:r>
            <w:r w:rsidR="000D7449">
              <w:rPr>
                <w:rFonts w:asciiTheme="majorHAnsi" w:hAnsiTheme="majorHAnsi" w:cstheme="majorHAnsi"/>
              </w:rPr>
              <w:t> </w:t>
            </w:r>
            <w:r w:rsidRPr="004B4B33">
              <w:rPr>
                <w:rFonts w:asciiTheme="majorHAnsi" w:hAnsiTheme="majorHAnsi" w:cstheme="majorHAnsi"/>
              </w:rPr>
              <w:t>centrech a</w:t>
            </w:r>
            <w:r w:rsidR="000D7449">
              <w:rPr>
                <w:rFonts w:asciiTheme="majorHAnsi" w:hAnsiTheme="majorHAnsi" w:cstheme="majorHAnsi"/>
              </w:rPr>
              <w:t> </w:t>
            </w:r>
            <w:r w:rsidRPr="004B4B33">
              <w:rPr>
                <w:rFonts w:asciiTheme="majorHAnsi" w:hAnsiTheme="majorHAnsi" w:cstheme="majorHAnsi"/>
              </w:rPr>
              <w:t>jejich společné metodické řízení/expertní zázemí, experti MMR) a</w:t>
            </w:r>
            <w:r w:rsidR="000D7449">
              <w:rPr>
                <w:rFonts w:asciiTheme="majorHAnsi" w:hAnsiTheme="majorHAnsi" w:cstheme="majorHAnsi"/>
              </w:rPr>
              <w:t> </w:t>
            </w:r>
            <w:r w:rsidRPr="004B4B33">
              <w:rPr>
                <w:rFonts w:asciiTheme="majorHAnsi" w:hAnsiTheme="majorHAnsi" w:cstheme="majorHAnsi"/>
              </w:rPr>
              <w:t>provozní (neinvestiční) náklady center (HW a</w:t>
            </w:r>
            <w:r w:rsidR="000D7449">
              <w:rPr>
                <w:rFonts w:asciiTheme="majorHAnsi" w:hAnsiTheme="majorHAnsi" w:cstheme="majorHAnsi"/>
              </w:rPr>
              <w:t> </w:t>
            </w:r>
            <w:r w:rsidRPr="004B4B33">
              <w:rPr>
                <w:rFonts w:asciiTheme="majorHAnsi" w:hAnsiTheme="majorHAnsi" w:cstheme="majorHAnsi"/>
              </w:rPr>
              <w:t>SW vybavení, pronájem prostor, ad hoc expertní služby nebo sběr dat) pokrývajících celé území ČR a</w:t>
            </w:r>
            <w:r w:rsidR="000D7449">
              <w:rPr>
                <w:rFonts w:asciiTheme="majorHAnsi" w:hAnsiTheme="majorHAnsi" w:cstheme="majorHAnsi"/>
              </w:rPr>
              <w:t> </w:t>
            </w:r>
            <w:r w:rsidRPr="004B4B33">
              <w:rPr>
                <w:rFonts w:asciiTheme="majorHAnsi" w:hAnsiTheme="majorHAnsi" w:cstheme="majorHAnsi"/>
              </w:rPr>
              <w:t>zajišťujících podporu dostupnou ve všech krajích. Bude upřesněno v</w:t>
            </w:r>
            <w:r w:rsidR="000D7449">
              <w:rPr>
                <w:rFonts w:asciiTheme="majorHAnsi" w:hAnsiTheme="majorHAnsi" w:cstheme="majorHAnsi"/>
              </w:rPr>
              <w:t> </w:t>
            </w:r>
            <w:r w:rsidRPr="004B4B33">
              <w:rPr>
                <w:rFonts w:asciiTheme="majorHAnsi" w:hAnsiTheme="majorHAnsi" w:cstheme="majorHAnsi"/>
              </w:rPr>
              <w:t>přípravném období implementace.</w:t>
            </w:r>
          </w:p>
          <w:p w14:paraId="63781D0F" w14:textId="77777777" w:rsidR="0042415F" w:rsidRPr="004B4B33" w:rsidRDefault="00DD7370">
            <w:pPr>
              <w:jc w:val="both"/>
              <w:rPr>
                <w:rFonts w:asciiTheme="majorHAnsi" w:hAnsiTheme="majorHAnsi" w:cstheme="majorHAnsi"/>
              </w:rPr>
            </w:pPr>
            <w:r w:rsidRPr="004B4B33">
              <w:rPr>
                <w:rFonts w:asciiTheme="majorHAnsi" w:hAnsiTheme="majorHAnsi" w:cstheme="majorHAnsi"/>
              </w:rPr>
              <w:t>42</w:t>
            </w:r>
            <w:r w:rsidR="001D082B" w:rsidRPr="004B4B33">
              <w:rPr>
                <w:rFonts w:asciiTheme="majorHAnsi" w:hAnsiTheme="majorHAnsi" w:cstheme="majorHAnsi"/>
              </w:rPr>
              <w:t xml:space="preserve">0 mil. Kč </w:t>
            </w:r>
          </w:p>
        </w:tc>
      </w:tr>
      <w:tr w:rsidR="0042415F" w:rsidRPr="004B4B33" w14:paraId="58511EF0" w14:textId="77777777">
        <w:trPr>
          <w:trHeight w:val="845"/>
        </w:trPr>
        <w:tc>
          <w:tcPr>
            <w:tcW w:w="17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CC21B45"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Dodržování pravidel státní podpory</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2C446C45" w14:textId="781B493F" w:rsidR="0042415F" w:rsidRPr="004B4B33" w:rsidRDefault="001D082B">
            <w:pPr>
              <w:spacing w:before="0"/>
              <w:rPr>
                <w:rFonts w:asciiTheme="majorHAnsi" w:hAnsiTheme="majorHAnsi" w:cstheme="majorHAnsi"/>
              </w:rPr>
            </w:pPr>
            <w:r w:rsidRPr="004B4B33">
              <w:rPr>
                <w:rFonts w:asciiTheme="majorHAnsi" w:hAnsiTheme="majorHAnsi" w:cstheme="majorHAnsi"/>
              </w:rPr>
              <w:t>Zřízení a</w:t>
            </w:r>
            <w:r w:rsidR="000D7449">
              <w:rPr>
                <w:rFonts w:asciiTheme="majorHAnsi" w:hAnsiTheme="majorHAnsi" w:cstheme="majorHAnsi"/>
              </w:rPr>
              <w:t> </w:t>
            </w:r>
            <w:r w:rsidRPr="004B4B33">
              <w:rPr>
                <w:rFonts w:asciiTheme="majorHAnsi" w:hAnsiTheme="majorHAnsi" w:cstheme="majorHAnsi"/>
              </w:rPr>
              <w:t>provozování HIAH a</w:t>
            </w:r>
            <w:r w:rsidR="000D7449">
              <w:rPr>
                <w:rFonts w:asciiTheme="majorHAnsi" w:hAnsiTheme="majorHAnsi" w:cstheme="majorHAnsi"/>
              </w:rPr>
              <w:t> </w:t>
            </w:r>
            <w:r w:rsidRPr="004B4B33">
              <w:rPr>
                <w:rFonts w:asciiTheme="majorHAnsi" w:hAnsiTheme="majorHAnsi" w:cstheme="majorHAnsi"/>
              </w:rPr>
              <w:t>center nemá vliv na veřejnou podporu.</w:t>
            </w:r>
          </w:p>
        </w:tc>
      </w:tr>
      <w:tr w:rsidR="0042415F" w:rsidRPr="004B4B33" w14:paraId="6F96F8C4" w14:textId="77777777">
        <w:trPr>
          <w:trHeight w:val="845"/>
        </w:trPr>
        <w:tc>
          <w:tcPr>
            <w:tcW w:w="17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2C62CB7"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lastRenderedPageBreak/>
              <w:t>Uveďte dobu</w:t>
            </w:r>
          </w:p>
          <w:p w14:paraId="473AE432"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implementace</w:t>
            </w:r>
          </w:p>
        </w:tc>
        <w:tc>
          <w:tcPr>
            <w:tcW w:w="7110" w:type="dxa"/>
            <w:tcBorders>
              <w:top w:val="nil"/>
              <w:left w:val="nil"/>
              <w:bottom w:val="single" w:sz="8" w:space="0" w:color="000000"/>
              <w:right w:val="single" w:sz="8" w:space="0" w:color="000000"/>
            </w:tcBorders>
            <w:tcMar>
              <w:top w:w="100" w:type="dxa"/>
              <w:left w:w="100" w:type="dxa"/>
              <w:bottom w:w="100" w:type="dxa"/>
              <w:right w:w="100" w:type="dxa"/>
            </w:tcMar>
          </w:tcPr>
          <w:p w14:paraId="05AD051C" w14:textId="2F4BEDBE" w:rsidR="0042415F" w:rsidRPr="004B4B33" w:rsidRDefault="001D082B">
            <w:pPr>
              <w:spacing w:before="0"/>
              <w:rPr>
                <w:rFonts w:asciiTheme="majorHAnsi" w:hAnsiTheme="majorHAnsi" w:cstheme="majorHAnsi"/>
              </w:rPr>
            </w:pPr>
            <w:r w:rsidRPr="004B4B33">
              <w:rPr>
                <w:rFonts w:asciiTheme="majorHAnsi" w:hAnsiTheme="majorHAnsi" w:cstheme="majorHAnsi"/>
              </w:rPr>
              <w:t>Zahájení realizace Q3 2023, vznik zázemí a</w:t>
            </w:r>
            <w:r w:rsidR="000D7449">
              <w:rPr>
                <w:rFonts w:asciiTheme="majorHAnsi" w:hAnsiTheme="majorHAnsi" w:cstheme="majorHAnsi"/>
              </w:rPr>
              <w:t> </w:t>
            </w:r>
            <w:r w:rsidRPr="004B4B33">
              <w:rPr>
                <w:rFonts w:asciiTheme="majorHAnsi" w:hAnsiTheme="majorHAnsi" w:cstheme="majorHAnsi"/>
              </w:rPr>
              <w:t xml:space="preserve">HIAH Q1 2024, vznik prvních regionálních center Q1 2024, plné pokrytí všech regionů nejpozději Q1 2025. </w:t>
            </w:r>
          </w:p>
        </w:tc>
      </w:tr>
    </w:tbl>
    <w:p w14:paraId="0D0B940D" w14:textId="77777777" w:rsidR="008A01D4" w:rsidRPr="004B4B33" w:rsidRDefault="008A01D4">
      <w:pPr>
        <w:rPr>
          <w:rFonts w:asciiTheme="majorHAnsi" w:hAnsiTheme="majorHAnsi" w:cstheme="majorHAnsi"/>
        </w:rPr>
      </w:pPr>
    </w:p>
    <w:p w14:paraId="29D6B04F" w14:textId="77777777" w:rsidR="0042415F" w:rsidRPr="004B4B33" w:rsidRDefault="001D082B">
      <w:pPr>
        <w:rPr>
          <w:rFonts w:asciiTheme="majorHAnsi" w:hAnsiTheme="majorHAnsi" w:cstheme="majorHAnsi"/>
        </w:rPr>
      </w:pPr>
      <w:r w:rsidRPr="004B4B33">
        <w:rPr>
          <w:rFonts w:asciiTheme="majorHAnsi" w:hAnsiTheme="majorHAnsi" w:cstheme="majorHAnsi"/>
        </w:rPr>
        <w:t xml:space="preserve"> </w:t>
      </w:r>
    </w:p>
    <w:p w14:paraId="2550B2FC" w14:textId="77777777" w:rsidR="0042415F" w:rsidRPr="004B4B33" w:rsidRDefault="001D082B" w:rsidP="5B41DABB">
      <w:pPr>
        <w:rPr>
          <w:rFonts w:asciiTheme="majorHAnsi" w:hAnsiTheme="majorHAnsi" w:cstheme="majorBidi"/>
          <w:b/>
          <w:bCs/>
          <w:sz w:val="24"/>
          <w:szCs w:val="24"/>
        </w:rPr>
      </w:pPr>
      <w:r w:rsidRPr="5B41DABB">
        <w:rPr>
          <w:rFonts w:asciiTheme="majorHAnsi" w:hAnsiTheme="majorHAnsi" w:cstheme="majorBidi"/>
          <w:b/>
          <w:bCs/>
          <w:sz w:val="24"/>
          <w:szCs w:val="24"/>
        </w:rPr>
        <w:t xml:space="preserve">3. </w:t>
      </w:r>
      <w:r>
        <w:tab/>
      </w:r>
      <w:r w:rsidRPr="5B41DABB">
        <w:rPr>
          <w:rFonts w:asciiTheme="majorHAnsi" w:hAnsiTheme="majorHAnsi" w:cstheme="majorBidi"/>
          <w:b/>
          <w:bCs/>
          <w:sz w:val="24"/>
          <w:szCs w:val="24"/>
        </w:rPr>
        <w:t>Investiční program pro zvýšení dostupnosti bydlení</w:t>
      </w:r>
    </w:p>
    <w:tbl>
      <w:tblPr>
        <w:tblStyle w:val="a1"/>
        <w:tblW w:w="8865"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1665"/>
        <w:gridCol w:w="7200"/>
      </w:tblGrid>
      <w:tr w:rsidR="0042415F" w:rsidRPr="004B4B33" w14:paraId="77538ED3" w14:textId="77777777" w:rsidTr="5B41DABB">
        <w:trPr>
          <w:trHeight w:val="590"/>
          <w:jc w:val="center"/>
        </w:trPr>
        <w:tc>
          <w:tcPr>
            <w:tcW w:w="166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64BB0A8"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Výzva</w:t>
            </w:r>
          </w:p>
        </w:tc>
        <w:tc>
          <w:tcPr>
            <w:tcW w:w="7200" w:type="dxa"/>
            <w:tcBorders>
              <w:top w:val="single" w:sz="8" w:space="0" w:color="000000" w:themeColor="text1"/>
              <w:left w:val="nil"/>
              <w:bottom w:val="single" w:sz="8" w:space="0" w:color="000000" w:themeColor="text1"/>
              <w:right w:val="single" w:sz="8" w:space="0" w:color="000000" w:themeColor="text1"/>
            </w:tcBorders>
            <w:tcMar>
              <w:top w:w="100" w:type="dxa"/>
              <w:left w:w="100" w:type="dxa"/>
              <w:bottom w:w="100" w:type="dxa"/>
              <w:right w:w="100" w:type="dxa"/>
            </w:tcMar>
          </w:tcPr>
          <w:p w14:paraId="00DA12C3" w14:textId="7498CBFF" w:rsidR="0042415F" w:rsidRPr="004B4B33" w:rsidRDefault="001D082B" w:rsidP="4966BBAE">
            <w:pPr>
              <w:spacing w:before="0"/>
              <w:jc w:val="both"/>
              <w:rPr>
                <w:rFonts w:asciiTheme="majorHAnsi" w:hAnsiTheme="majorHAnsi" w:cstheme="majorBidi"/>
              </w:rPr>
            </w:pPr>
            <w:r w:rsidRPr="5B41DABB">
              <w:rPr>
                <w:rFonts w:asciiTheme="majorHAnsi" w:hAnsiTheme="majorHAnsi" w:cstheme="majorBidi"/>
              </w:rPr>
              <w:t>Pokud jde o</w:t>
            </w:r>
            <w:r w:rsidR="000D7449">
              <w:rPr>
                <w:rFonts w:asciiTheme="majorHAnsi" w:hAnsiTheme="majorHAnsi" w:cstheme="majorBidi"/>
              </w:rPr>
              <w:t> </w:t>
            </w:r>
            <w:r w:rsidRPr="5B41DABB">
              <w:rPr>
                <w:rFonts w:asciiTheme="majorHAnsi" w:hAnsiTheme="majorHAnsi" w:cstheme="majorBidi"/>
              </w:rPr>
              <w:t>bytovou výstavbu dostupného nájemního bydlení, tak stát municipalitám zatím v</w:t>
            </w:r>
            <w:r w:rsidR="000D7449">
              <w:rPr>
                <w:rFonts w:asciiTheme="majorHAnsi" w:hAnsiTheme="majorHAnsi" w:cstheme="majorBidi"/>
              </w:rPr>
              <w:t> </w:t>
            </w:r>
            <w:r w:rsidRPr="5B41DABB">
              <w:rPr>
                <w:rFonts w:asciiTheme="majorHAnsi" w:hAnsiTheme="majorHAnsi" w:cstheme="majorBidi"/>
              </w:rPr>
              <w:t>podstatě nenabízí příliš možností podpory výstavby dostupného nájemního bydlení, nebo alternativních forem spolupráce mezi municipalitami a</w:t>
            </w:r>
            <w:r w:rsidR="000D7449">
              <w:rPr>
                <w:rFonts w:asciiTheme="majorHAnsi" w:hAnsiTheme="majorHAnsi" w:cstheme="majorBidi"/>
              </w:rPr>
              <w:t> </w:t>
            </w:r>
            <w:r w:rsidRPr="5B41DABB">
              <w:rPr>
                <w:rFonts w:asciiTheme="majorHAnsi" w:hAnsiTheme="majorHAnsi" w:cstheme="majorBidi"/>
              </w:rPr>
              <w:t>soukromými vlastníky, která by vedla s</w:t>
            </w:r>
            <w:r w:rsidR="000D7449">
              <w:rPr>
                <w:rFonts w:asciiTheme="majorHAnsi" w:hAnsiTheme="majorHAnsi" w:cstheme="majorBidi"/>
              </w:rPr>
              <w:t> </w:t>
            </w:r>
            <w:r w:rsidRPr="5B41DABB">
              <w:rPr>
                <w:rFonts w:asciiTheme="majorHAnsi" w:hAnsiTheme="majorHAnsi" w:cstheme="majorBidi"/>
              </w:rPr>
              <w:t>určitou podporou od státu ke zvýšení nabídky nájemních bytů v</w:t>
            </w:r>
            <w:r w:rsidR="000D7449">
              <w:rPr>
                <w:rFonts w:asciiTheme="majorHAnsi" w:hAnsiTheme="majorHAnsi" w:cstheme="majorBidi"/>
              </w:rPr>
              <w:t> </w:t>
            </w:r>
            <w:r w:rsidRPr="5B41DABB">
              <w:rPr>
                <w:rFonts w:asciiTheme="majorHAnsi" w:hAnsiTheme="majorHAnsi" w:cstheme="majorBidi"/>
              </w:rPr>
              <w:t>režimu dostupného nájmu.</w:t>
            </w:r>
          </w:p>
          <w:p w14:paraId="7CF71330" w14:textId="48479097" w:rsidR="0042415F" w:rsidRPr="004B4B33" w:rsidRDefault="001D082B">
            <w:pPr>
              <w:jc w:val="both"/>
              <w:rPr>
                <w:rFonts w:asciiTheme="majorHAnsi" w:hAnsiTheme="majorHAnsi" w:cstheme="majorHAnsi"/>
              </w:rPr>
            </w:pPr>
            <w:r w:rsidRPr="004B4B33">
              <w:rPr>
                <w:rFonts w:asciiTheme="majorHAnsi" w:hAnsiTheme="majorHAnsi" w:cstheme="majorHAnsi"/>
              </w:rPr>
              <w:t>Zároveň vzhledem k</w:t>
            </w:r>
            <w:r w:rsidR="000D7449">
              <w:rPr>
                <w:rFonts w:asciiTheme="majorHAnsi" w:hAnsiTheme="majorHAnsi" w:cstheme="majorHAnsi"/>
              </w:rPr>
              <w:t> </w:t>
            </w:r>
            <w:r w:rsidRPr="004B4B33">
              <w:rPr>
                <w:rFonts w:asciiTheme="majorHAnsi" w:hAnsiTheme="majorHAnsi" w:cstheme="majorHAnsi"/>
              </w:rPr>
              <w:t>finanční náročnosti bytové výstavby, stavu veřejných financí a</w:t>
            </w:r>
            <w:r w:rsidR="000D7449">
              <w:rPr>
                <w:rFonts w:asciiTheme="majorHAnsi" w:hAnsiTheme="majorHAnsi" w:cstheme="majorHAnsi"/>
              </w:rPr>
              <w:t> </w:t>
            </w:r>
            <w:r w:rsidRPr="004B4B33">
              <w:rPr>
                <w:rFonts w:asciiTheme="majorHAnsi" w:hAnsiTheme="majorHAnsi" w:cstheme="majorHAnsi"/>
              </w:rPr>
              <w:t>několika stávajícím globálním krizím světové ekonomiky je zřejmé, že stát pro nastartování jakýchkoliv masivnějších investic do dostupného bydlení nemá dostatek vlastních zdrojů a</w:t>
            </w:r>
            <w:r w:rsidR="000D7449">
              <w:rPr>
                <w:rFonts w:asciiTheme="majorHAnsi" w:hAnsiTheme="majorHAnsi" w:cstheme="majorHAnsi"/>
              </w:rPr>
              <w:t> </w:t>
            </w:r>
            <w:r w:rsidRPr="004B4B33">
              <w:rPr>
                <w:rFonts w:asciiTheme="majorHAnsi" w:hAnsiTheme="majorHAnsi" w:cstheme="majorHAnsi"/>
              </w:rPr>
              <w:t>je potřeba v</w:t>
            </w:r>
            <w:r w:rsidR="000D7449">
              <w:rPr>
                <w:rFonts w:asciiTheme="majorHAnsi" w:hAnsiTheme="majorHAnsi" w:cstheme="majorHAnsi"/>
              </w:rPr>
              <w:t> </w:t>
            </w:r>
            <w:r w:rsidRPr="004B4B33">
              <w:rPr>
                <w:rFonts w:asciiTheme="majorHAnsi" w:hAnsiTheme="majorHAnsi" w:cstheme="majorHAnsi"/>
              </w:rPr>
              <w:t>maximální míře využít zdrojů z</w:t>
            </w:r>
            <w:r w:rsidR="000D7449">
              <w:rPr>
                <w:rFonts w:asciiTheme="majorHAnsi" w:hAnsiTheme="majorHAnsi" w:cstheme="majorHAnsi"/>
              </w:rPr>
              <w:t> </w:t>
            </w:r>
            <w:r w:rsidRPr="004B4B33">
              <w:rPr>
                <w:rFonts w:asciiTheme="majorHAnsi" w:hAnsiTheme="majorHAnsi" w:cstheme="majorHAnsi"/>
              </w:rPr>
              <w:t>EU, multilaterálních mezinárodních institucí a</w:t>
            </w:r>
            <w:r w:rsidR="000D7449">
              <w:rPr>
                <w:rFonts w:asciiTheme="majorHAnsi" w:hAnsiTheme="majorHAnsi" w:cstheme="majorHAnsi"/>
              </w:rPr>
              <w:t> </w:t>
            </w:r>
            <w:r w:rsidRPr="004B4B33">
              <w:rPr>
                <w:rFonts w:asciiTheme="majorHAnsi" w:hAnsiTheme="majorHAnsi" w:cstheme="majorHAnsi"/>
              </w:rPr>
              <w:t>zdrojů soukromých.</w:t>
            </w:r>
          </w:p>
          <w:p w14:paraId="40EC2CC3" w14:textId="5D6DF0A0" w:rsidR="0042415F" w:rsidRPr="004B4B33" w:rsidRDefault="001D082B">
            <w:pPr>
              <w:jc w:val="both"/>
              <w:rPr>
                <w:rFonts w:asciiTheme="majorHAnsi" w:hAnsiTheme="majorHAnsi" w:cstheme="majorHAnsi"/>
              </w:rPr>
            </w:pPr>
            <w:r w:rsidRPr="004B4B33">
              <w:rPr>
                <w:rFonts w:asciiTheme="majorHAnsi" w:hAnsiTheme="majorHAnsi" w:cstheme="majorHAnsi"/>
              </w:rPr>
              <w:t>Je také nezbytné tyto zdroje využít efektivně, tj. výrazně snížit objem dotační složky oproti dosavadní praxi a</w:t>
            </w:r>
            <w:r w:rsidR="000D7449">
              <w:rPr>
                <w:rFonts w:asciiTheme="majorHAnsi" w:hAnsiTheme="majorHAnsi" w:cstheme="majorHAnsi"/>
              </w:rPr>
              <w:t> </w:t>
            </w:r>
            <w:r w:rsidRPr="004B4B33">
              <w:rPr>
                <w:rFonts w:asciiTheme="majorHAnsi" w:hAnsiTheme="majorHAnsi" w:cstheme="majorHAnsi"/>
              </w:rPr>
              <w:t>naopak alokovat většinu prostředků do návratných schémat, která se mohou do nástrojů opakovaně vracet (např. jako splátka půjčky), a</w:t>
            </w:r>
            <w:r w:rsidR="000D7449">
              <w:rPr>
                <w:rFonts w:asciiTheme="majorHAnsi" w:hAnsiTheme="majorHAnsi" w:cstheme="majorHAnsi"/>
              </w:rPr>
              <w:t> </w:t>
            </w:r>
            <w:r w:rsidRPr="004B4B33">
              <w:rPr>
                <w:rFonts w:asciiTheme="majorHAnsi" w:hAnsiTheme="majorHAnsi" w:cstheme="majorHAnsi"/>
              </w:rPr>
              <w:t>dále co nejvíce využít možností multiplikačního efektu veřejných zdrojů v</w:t>
            </w:r>
            <w:r w:rsidR="000D7449">
              <w:rPr>
                <w:rFonts w:asciiTheme="majorHAnsi" w:hAnsiTheme="majorHAnsi" w:cstheme="majorHAnsi"/>
              </w:rPr>
              <w:t> </w:t>
            </w:r>
            <w:r w:rsidRPr="004B4B33">
              <w:rPr>
                <w:rFonts w:asciiTheme="majorHAnsi" w:hAnsiTheme="majorHAnsi" w:cstheme="majorHAnsi"/>
              </w:rPr>
              <w:t>kombinaci se soukromým kapitálem.</w:t>
            </w:r>
          </w:p>
          <w:p w14:paraId="75CA963F" w14:textId="3F87EAF9" w:rsidR="00CF515E" w:rsidRPr="004B4B33" w:rsidRDefault="00CF515E" w:rsidP="002B1374">
            <w:pPr>
              <w:spacing w:before="0" w:after="0"/>
              <w:jc w:val="both"/>
              <w:rPr>
                <w:rFonts w:asciiTheme="majorHAnsi" w:hAnsiTheme="majorHAnsi" w:cstheme="majorHAnsi"/>
              </w:rPr>
            </w:pPr>
            <w:r w:rsidRPr="004B4B33">
              <w:rPr>
                <w:rFonts w:asciiTheme="majorHAnsi" w:hAnsiTheme="majorHAnsi" w:cstheme="majorHAnsi"/>
              </w:rPr>
              <w:t xml:space="preserve">Další výzva, kterou opatření řeší, je </w:t>
            </w:r>
            <w:r w:rsidR="00B925B8" w:rsidRPr="004B4B33">
              <w:rPr>
                <w:rFonts w:asciiTheme="majorHAnsi" w:hAnsiTheme="majorHAnsi" w:cstheme="majorHAnsi"/>
              </w:rPr>
              <w:t>nárůst energetické chudoby a</w:t>
            </w:r>
            <w:r w:rsidR="000D7449">
              <w:rPr>
                <w:rFonts w:asciiTheme="majorHAnsi" w:hAnsiTheme="majorHAnsi" w:cstheme="majorHAnsi"/>
              </w:rPr>
              <w:t> </w:t>
            </w:r>
            <w:r w:rsidRPr="004B4B33">
              <w:rPr>
                <w:rFonts w:asciiTheme="majorHAnsi" w:hAnsiTheme="majorHAnsi" w:cstheme="majorHAnsi"/>
              </w:rPr>
              <w:t>snížení cenové dostupnosti bydlení v</w:t>
            </w:r>
            <w:r w:rsidR="000D7449">
              <w:rPr>
                <w:rFonts w:asciiTheme="majorHAnsi" w:hAnsiTheme="majorHAnsi" w:cstheme="majorHAnsi"/>
              </w:rPr>
              <w:t> </w:t>
            </w:r>
            <w:r w:rsidRPr="004B4B33">
              <w:rPr>
                <w:rFonts w:asciiTheme="majorHAnsi" w:hAnsiTheme="majorHAnsi" w:cstheme="majorHAnsi"/>
              </w:rPr>
              <w:t>důsledku dramatického nárůst</w:t>
            </w:r>
            <w:r w:rsidR="00B925B8" w:rsidRPr="004B4B33">
              <w:rPr>
                <w:rFonts w:asciiTheme="majorHAnsi" w:hAnsiTheme="majorHAnsi" w:cstheme="majorHAnsi"/>
              </w:rPr>
              <w:t>u</w:t>
            </w:r>
            <w:r w:rsidRPr="004B4B33">
              <w:rPr>
                <w:rFonts w:asciiTheme="majorHAnsi" w:hAnsiTheme="majorHAnsi" w:cstheme="majorHAnsi"/>
              </w:rPr>
              <w:t xml:space="preserve"> cen energií. Za poslední rok se zvýšil podíl lidí ohrožených energetickou chudobou, </w:t>
            </w:r>
            <w:r w:rsidR="00B925B8" w:rsidRPr="004B4B33">
              <w:rPr>
                <w:rFonts w:asciiTheme="majorHAnsi" w:hAnsiTheme="majorHAnsi" w:cstheme="majorHAnsi"/>
              </w:rPr>
              <w:t>i</w:t>
            </w:r>
            <w:r w:rsidR="000D7449">
              <w:rPr>
                <w:rFonts w:asciiTheme="majorHAnsi" w:hAnsiTheme="majorHAnsi" w:cstheme="majorHAnsi"/>
              </w:rPr>
              <w:t> </w:t>
            </w:r>
            <w:r w:rsidR="00B925B8" w:rsidRPr="004B4B33">
              <w:rPr>
                <w:rFonts w:asciiTheme="majorHAnsi" w:hAnsiTheme="majorHAnsi" w:cstheme="majorHAnsi"/>
              </w:rPr>
              <w:t>v důsledku skutečnosti, že většina lidí v</w:t>
            </w:r>
            <w:r w:rsidR="000D7449">
              <w:rPr>
                <w:rFonts w:asciiTheme="majorHAnsi" w:hAnsiTheme="majorHAnsi" w:cstheme="majorHAnsi"/>
              </w:rPr>
              <w:t> </w:t>
            </w:r>
            <w:r w:rsidR="00B925B8" w:rsidRPr="004B4B33">
              <w:rPr>
                <w:rFonts w:asciiTheme="majorHAnsi" w:hAnsiTheme="majorHAnsi" w:cstheme="majorHAnsi"/>
              </w:rPr>
              <w:t xml:space="preserve">energetické chudobě bydlí ve vysoce energeticky náročných budovách. </w:t>
            </w:r>
          </w:p>
          <w:p w14:paraId="7D790E73" w14:textId="064E7307" w:rsidR="0042415F" w:rsidRPr="004B4B33" w:rsidRDefault="001D082B">
            <w:pPr>
              <w:jc w:val="both"/>
              <w:rPr>
                <w:rFonts w:asciiTheme="majorHAnsi" w:hAnsiTheme="majorHAnsi" w:cstheme="majorHAnsi"/>
              </w:rPr>
            </w:pPr>
            <w:r w:rsidRPr="004B4B33">
              <w:rPr>
                <w:rFonts w:asciiTheme="majorHAnsi" w:hAnsiTheme="majorHAnsi" w:cstheme="majorHAnsi"/>
              </w:rPr>
              <w:t>Klíčovým tématem pro úspěšné investice dostupného bydlení je dále připravenost projektů v</w:t>
            </w:r>
            <w:r w:rsidR="000D7449">
              <w:rPr>
                <w:rFonts w:asciiTheme="majorHAnsi" w:hAnsiTheme="majorHAnsi" w:cstheme="majorHAnsi"/>
              </w:rPr>
              <w:t> </w:t>
            </w:r>
            <w:r w:rsidRPr="004B4B33">
              <w:rPr>
                <w:rFonts w:asciiTheme="majorHAnsi" w:hAnsiTheme="majorHAnsi" w:cstheme="majorHAnsi"/>
              </w:rPr>
              <w:t>území. K</w:t>
            </w:r>
            <w:r w:rsidR="000D7449">
              <w:rPr>
                <w:rFonts w:asciiTheme="majorHAnsi" w:hAnsiTheme="majorHAnsi" w:cstheme="majorHAnsi"/>
              </w:rPr>
              <w:t> </w:t>
            </w:r>
            <w:r w:rsidRPr="004B4B33">
              <w:rPr>
                <w:rFonts w:asciiTheme="majorHAnsi" w:hAnsiTheme="majorHAnsi" w:cstheme="majorHAnsi"/>
              </w:rPr>
              <w:t>podpoře projektů budou mimo jiné sloužit ostatní části této komponenty, díky kterým bude možné začít intenzivněji spolupracovat s</w:t>
            </w:r>
            <w:r w:rsidR="000D7449">
              <w:rPr>
                <w:rFonts w:asciiTheme="majorHAnsi" w:hAnsiTheme="majorHAnsi" w:cstheme="majorHAnsi"/>
              </w:rPr>
              <w:t> </w:t>
            </w:r>
            <w:r w:rsidRPr="004B4B33">
              <w:rPr>
                <w:rFonts w:asciiTheme="majorHAnsi" w:hAnsiTheme="majorHAnsi" w:cstheme="majorHAnsi"/>
              </w:rPr>
              <w:t>územními partnery na přípravě projektů a</w:t>
            </w:r>
            <w:r w:rsidR="000D7449">
              <w:rPr>
                <w:rFonts w:asciiTheme="majorHAnsi" w:hAnsiTheme="majorHAnsi" w:cstheme="majorHAnsi"/>
              </w:rPr>
              <w:t> </w:t>
            </w:r>
            <w:r w:rsidRPr="004B4B33">
              <w:rPr>
                <w:rFonts w:asciiTheme="majorHAnsi" w:hAnsiTheme="majorHAnsi" w:cstheme="majorHAnsi"/>
              </w:rPr>
              <w:t xml:space="preserve">také nastavování metodické podpory do budoucna. </w:t>
            </w:r>
          </w:p>
        </w:tc>
      </w:tr>
      <w:tr w:rsidR="0042415F" w:rsidRPr="004B4B33" w14:paraId="3F07C84C" w14:textId="77777777" w:rsidTr="5B41DABB">
        <w:trPr>
          <w:trHeight w:val="590"/>
          <w:jc w:val="center"/>
        </w:trPr>
        <w:tc>
          <w:tcPr>
            <w:tcW w:w="1665"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C80F84E"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Cíl</w:t>
            </w:r>
          </w:p>
        </w:tc>
        <w:tc>
          <w:tcPr>
            <w:tcW w:w="7200" w:type="dxa"/>
            <w:tcBorders>
              <w:top w:val="single" w:sz="8" w:space="0" w:color="000000" w:themeColor="text1"/>
              <w:left w:val="nil"/>
              <w:bottom w:val="single" w:sz="8" w:space="0" w:color="000000" w:themeColor="text1"/>
              <w:right w:val="single" w:sz="8" w:space="0" w:color="000000" w:themeColor="text1"/>
            </w:tcBorders>
            <w:tcMar>
              <w:top w:w="100" w:type="dxa"/>
              <w:left w:w="100" w:type="dxa"/>
              <w:bottom w:w="100" w:type="dxa"/>
              <w:right w:w="100" w:type="dxa"/>
            </w:tcMar>
          </w:tcPr>
          <w:p w14:paraId="6B0C2DD9" w14:textId="433A0C91" w:rsidR="0042415F" w:rsidRPr="004B4B33" w:rsidRDefault="001D082B" w:rsidP="3D78BE59">
            <w:pPr>
              <w:spacing w:before="0"/>
              <w:jc w:val="both"/>
              <w:rPr>
                <w:rFonts w:asciiTheme="majorHAnsi" w:hAnsiTheme="majorHAnsi" w:cstheme="majorBidi"/>
              </w:rPr>
            </w:pPr>
            <w:r w:rsidRPr="5B41DABB">
              <w:rPr>
                <w:rFonts w:asciiTheme="majorHAnsi" w:hAnsiTheme="majorHAnsi" w:cstheme="majorBidi"/>
              </w:rPr>
              <w:t>Strategický cíl: Vytvoření a</w:t>
            </w:r>
            <w:r w:rsidR="000D7449">
              <w:rPr>
                <w:rFonts w:asciiTheme="majorHAnsi" w:hAnsiTheme="majorHAnsi" w:cstheme="majorBidi"/>
              </w:rPr>
              <w:t> </w:t>
            </w:r>
            <w:r w:rsidRPr="5B41DABB">
              <w:rPr>
                <w:rFonts w:asciiTheme="majorHAnsi" w:hAnsiTheme="majorHAnsi" w:cstheme="majorBidi"/>
              </w:rPr>
              <w:t xml:space="preserve">nastartování systému financování </w:t>
            </w:r>
            <w:r w:rsidR="000D7449" w:rsidRPr="5B41DABB">
              <w:rPr>
                <w:rFonts w:asciiTheme="majorHAnsi" w:hAnsiTheme="majorHAnsi" w:cstheme="majorBidi"/>
              </w:rPr>
              <w:t>dostupného bydlení</w:t>
            </w:r>
            <w:r w:rsidRPr="5B41DABB">
              <w:rPr>
                <w:rFonts w:asciiTheme="majorHAnsi" w:hAnsiTheme="majorHAnsi" w:cstheme="majorBidi"/>
              </w:rPr>
              <w:t xml:space="preserve"> se zapojením veřejných a</w:t>
            </w:r>
            <w:r w:rsidR="000D7449">
              <w:rPr>
                <w:rFonts w:asciiTheme="majorHAnsi" w:hAnsiTheme="majorHAnsi" w:cstheme="majorBidi"/>
              </w:rPr>
              <w:t> </w:t>
            </w:r>
            <w:r w:rsidRPr="5B41DABB">
              <w:rPr>
                <w:rFonts w:asciiTheme="majorHAnsi" w:hAnsiTheme="majorHAnsi" w:cstheme="majorBidi"/>
              </w:rPr>
              <w:t>soukromých finančních prostředků, který bude udržitelný i</w:t>
            </w:r>
            <w:r w:rsidR="000D7449">
              <w:rPr>
                <w:rFonts w:asciiTheme="majorHAnsi" w:hAnsiTheme="majorHAnsi" w:cstheme="majorBidi"/>
              </w:rPr>
              <w:t> </w:t>
            </w:r>
            <w:r w:rsidRPr="5B41DABB">
              <w:rPr>
                <w:rFonts w:asciiTheme="majorHAnsi" w:hAnsiTheme="majorHAnsi" w:cstheme="majorBidi"/>
              </w:rPr>
              <w:t>po skončení období NPO, a</w:t>
            </w:r>
            <w:r w:rsidR="000D7449">
              <w:rPr>
                <w:rFonts w:asciiTheme="majorHAnsi" w:hAnsiTheme="majorHAnsi" w:cstheme="majorBidi"/>
              </w:rPr>
              <w:t> </w:t>
            </w:r>
            <w:r w:rsidRPr="5B41DABB">
              <w:rPr>
                <w:rFonts w:asciiTheme="majorHAnsi" w:hAnsiTheme="majorHAnsi" w:cstheme="majorBidi"/>
              </w:rPr>
              <w:t xml:space="preserve">to především díky návratnosti vkládaných finančních prostředků. </w:t>
            </w:r>
          </w:p>
          <w:p w14:paraId="070996CA" w14:textId="77777777" w:rsidR="0042415F" w:rsidRPr="004B4B33" w:rsidRDefault="001D082B">
            <w:pPr>
              <w:jc w:val="both"/>
              <w:rPr>
                <w:rFonts w:asciiTheme="majorHAnsi" w:hAnsiTheme="majorHAnsi" w:cstheme="majorHAnsi"/>
              </w:rPr>
            </w:pPr>
            <w:r w:rsidRPr="004B4B33">
              <w:rPr>
                <w:rFonts w:asciiTheme="majorHAnsi" w:hAnsiTheme="majorHAnsi" w:cstheme="majorHAnsi"/>
              </w:rPr>
              <w:t>Milníky:</w:t>
            </w:r>
          </w:p>
          <w:p w14:paraId="1304787D" w14:textId="775F85DC" w:rsidR="0042415F" w:rsidRPr="004B4B33" w:rsidRDefault="001D082B">
            <w:pPr>
              <w:numPr>
                <w:ilvl w:val="0"/>
                <w:numId w:val="5"/>
              </w:numPr>
              <w:spacing w:before="0" w:after="0" w:line="288" w:lineRule="auto"/>
              <w:jc w:val="both"/>
              <w:rPr>
                <w:rFonts w:asciiTheme="majorHAnsi" w:hAnsiTheme="majorHAnsi" w:cstheme="majorHAnsi"/>
              </w:rPr>
            </w:pPr>
            <w:r w:rsidRPr="004B4B33">
              <w:rPr>
                <w:rFonts w:asciiTheme="majorHAnsi" w:eastAsia="Times New Roman" w:hAnsiTheme="majorHAnsi" w:cstheme="majorHAnsi"/>
              </w:rPr>
              <w:t>vznik investiční struktury včetně centrální správní a</w:t>
            </w:r>
            <w:r w:rsidR="000D7449">
              <w:rPr>
                <w:rFonts w:asciiTheme="majorHAnsi" w:eastAsia="Times New Roman" w:hAnsiTheme="majorHAnsi" w:cstheme="majorHAnsi"/>
              </w:rPr>
              <w:t> </w:t>
            </w:r>
            <w:r w:rsidRPr="004B4B33">
              <w:rPr>
                <w:rFonts w:asciiTheme="majorHAnsi" w:eastAsia="Times New Roman" w:hAnsiTheme="majorHAnsi" w:cstheme="majorHAnsi"/>
              </w:rPr>
              <w:t>dohledové kapacity a</w:t>
            </w:r>
            <w:r w:rsidR="000D7449">
              <w:rPr>
                <w:rFonts w:asciiTheme="majorHAnsi" w:eastAsia="Times New Roman" w:hAnsiTheme="majorHAnsi" w:cstheme="majorHAnsi"/>
              </w:rPr>
              <w:t> </w:t>
            </w:r>
            <w:r w:rsidRPr="004B4B33">
              <w:rPr>
                <w:rFonts w:asciiTheme="majorHAnsi" w:eastAsia="Times New Roman" w:hAnsiTheme="majorHAnsi" w:cstheme="majorHAnsi"/>
              </w:rPr>
              <w:t xml:space="preserve">implementační kapacity pro řízení investičního programu </w:t>
            </w:r>
            <w:r w:rsidRPr="004B4B33">
              <w:rPr>
                <w:rFonts w:asciiTheme="majorHAnsi" w:eastAsia="Times New Roman" w:hAnsiTheme="majorHAnsi" w:cstheme="majorHAnsi"/>
              </w:rPr>
              <w:lastRenderedPageBreak/>
              <w:t>komponenty;</w:t>
            </w:r>
          </w:p>
          <w:p w14:paraId="1447F2C4" w14:textId="611F8B32" w:rsidR="0042415F" w:rsidRPr="004B4B33" w:rsidRDefault="001D082B">
            <w:pPr>
              <w:numPr>
                <w:ilvl w:val="0"/>
                <w:numId w:val="5"/>
              </w:numPr>
              <w:spacing w:before="0" w:after="0" w:line="288" w:lineRule="auto"/>
              <w:jc w:val="both"/>
              <w:rPr>
                <w:rFonts w:asciiTheme="majorHAnsi" w:hAnsiTheme="majorHAnsi" w:cstheme="majorHAnsi"/>
              </w:rPr>
            </w:pPr>
            <w:r w:rsidRPr="004B4B33">
              <w:rPr>
                <w:rFonts w:asciiTheme="majorHAnsi" w:hAnsiTheme="majorHAnsi" w:cstheme="majorHAnsi"/>
              </w:rPr>
              <w:t>vznik investičního programu a</w:t>
            </w:r>
            <w:r w:rsidR="000D7449">
              <w:rPr>
                <w:rFonts w:asciiTheme="majorHAnsi" w:hAnsiTheme="majorHAnsi" w:cstheme="majorHAnsi"/>
              </w:rPr>
              <w:t> </w:t>
            </w:r>
            <w:r w:rsidRPr="004B4B33">
              <w:rPr>
                <w:rFonts w:asciiTheme="majorHAnsi" w:hAnsiTheme="majorHAnsi" w:cstheme="majorHAnsi"/>
              </w:rPr>
              <w:t>jeho odsouhlasení všemi relevantními aktéry a</w:t>
            </w:r>
            <w:r w:rsidR="000D7449">
              <w:rPr>
                <w:rFonts w:asciiTheme="majorHAnsi" w:hAnsiTheme="majorHAnsi" w:cstheme="majorHAnsi"/>
              </w:rPr>
              <w:t> </w:t>
            </w:r>
            <w:r w:rsidRPr="004B4B33">
              <w:rPr>
                <w:rFonts w:asciiTheme="majorHAnsi" w:hAnsiTheme="majorHAnsi" w:cstheme="majorHAnsi"/>
              </w:rPr>
              <w:t>nositeli řešení;</w:t>
            </w:r>
          </w:p>
          <w:p w14:paraId="754A4E99" w14:textId="3998D3DE" w:rsidR="0042415F" w:rsidRPr="004B4B33" w:rsidRDefault="001D082B">
            <w:pPr>
              <w:numPr>
                <w:ilvl w:val="0"/>
                <w:numId w:val="5"/>
              </w:numPr>
              <w:spacing w:before="0" w:after="0" w:line="288" w:lineRule="auto"/>
              <w:jc w:val="both"/>
              <w:rPr>
                <w:rFonts w:asciiTheme="majorHAnsi" w:hAnsiTheme="majorHAnsi" w:cstheme="majorHAnsi"/>
              </w:rPr>
            </w:pPr>
            <w:r w:rsidRPr="004B4B33">
              <w:rPr>
                <w:rFonts w:asciiTheme="majorHAnsi" w:hAnsiTheme="majorHAnsi" w:cstheme="majorHAnsi"/>
              </w:rPr>
              <w:t>vznik administrativně správní řídící struktury pro schvalování projektů a</w:t>
            </w:r>
            <w:r w:rsidR="000D7449">
              <w:rPr>
                <w:rFonts w:asciiTheme="majorHAnsi" w:hAnsiTheme="majorHAnsi" w:cstheme="majorHAnsi"/>
              </w:rPr>
              <w:t> </w:t>
            </w:r>
            <w:r w:rsidRPr="004B4B33">
              <w:rPr>
                <w:rFonts w:asciiTheme="majorHAnsi" w:hAnsiTheme="majorHAnsi" w:cstheme="majorHAnsi"/>
              </w:rPr>
              <w:t>jejich implementaci;</w:t>
            </w:r>
          </w:p>
          <w:p w14:paraId="0E27B00A" w14:textId="77777777" w:rsidR="0042415F" w:rsidRPr="004B4B33" w:rsidRDefault="0042415F">
            <w:pPr>
              <w:spacing w:before="0" w:after="0" w:line="288" w:lineRule="auto"/>
              <w:jc w:val="both"/>
              <w:rPr>
                <w:rFonts w:asciiTheme="majorHAnsi" w:hAnsiTheme="majorHAnsi" w:cstheme="majorHAnsi"/>
              </w:rPr>
            </w:pPr>
          </w:p>
          <w:p w14:paraId="7BA47131" w14:textId="77777777" w:rsidR="0042415F" w:rsidRPr="004B4B33" w:rsidRDefault="001D082B">
            <w:pPr>
              <w:spacing w:before="0" w:after="0" w:line="288" w:lineRule="auto"/>
              <w:jc w:val="both"/>
              <w:rPr>
                <w:rFonts w:asciiTheme="majorHAnsi" w:hAnsiTheme="majorHAnsi" w:cstheme="majorHAnsi"/>
              </w:rPr>
            </w:pPr>
            <w:r w:rsidRPr="004B4B33">
              <w:rPr>
                <w:rFonts w:asciiTheme="majorHAnsi" w:hAnsiTheme="majorHAnsi" w:cstheme="majorHAnsi"/>
              </w:rPr>
              <w:t>Budou sledovány tyto doplňkové cíle:</w:t>
            </w:r>
          </w:p>
          <w:p w14:paraId="61842F5C" w14:textId="5C2C8068" w:rsidR="0042415F" w:rsidRPr="004B4B33" w:rsidRDefault="2FD53E39" w:rsidP="5B41DABB">
            <w:pPr>
              <w:pStyle w:val="Odstavecseseznamem"/>
              <w:numPr>
                <w:ilvl w:val="0"/>
                <w:numId w:val="37"/>
              </w:numPr>
              <w:spacing w:before="0" w:after="0" w:line="288" w:lineRule="auto"/>
              <w:jc w:val="both"/>
              <w:rPr>
                <w:rFonts w:asciiTheme="majorHAnsi" w:hAnsiTheme="majorHAnsi" w:cstheme="majorBidi"/>
              </w:rPr>
            </w:pPr>
            <w:r w:rsidRPr="5B41DABB">
              <w:rPr>
                <w:rFonts w:asciiTheme="majorHAnsi" w:hAnsiTheme="majorHAnsi" w:cstheme="majorBidi"/>
              </w:rPr>
              <w:t xml:space="preserve">snížení energetické náročnosti budov cestou </w:t>
            </w:r>
            <w:r w:rsidR="000D7449" w:rsidRPr="5B41DABB">
              <w:rPr>
                <w:rFonts w:asciiTheme="majorHAnsi" w:hAnsiTheme="majorHAnsi" w:cstheme="majorBidi"/>
              </w:rPr>
              <w:t>renovací. Důraz</w:t>
            </w:r>
            <w:r w:rsidR="372E30A8" w:rsidRPr="5B41DABB">
              <w:rPr>
                <w:rFonts w:asciiTheme="majorHAnsi" w:hAnsiTheme="majorHAnsi" w:cstheme="majorBidi"/>
              </w:rPr>
              <w:t xml:space="preserve"> na </w:t>
            </w:r>
            <w:r w:rsidR="001D082B" w:rsidRPr="5B41DABB">
              <w:rPr>
                <w:rFonts w:asciiTheme="majorHAnsi" w:hAnsiTheme="majorHAnsi" w:cstheme="majorBidi"/>
              </w:rPr>
              <w:t>postupný rozjezd investičního procesu včetně přijímání investičních rozhodnutí na využití finančních nástrojů na projekty dostupného bydlení v</w:t>
            </w:r>
            <w:r w:rsidR="000D7449">
              <w:rPr>
                <w:rFonts w:asciiTheme="majorHAnsi" w:hAnsiTheme="majorHAnsi" w:cstheme="majorBidi"/>
              </w:rPr>
              <w:t> </w:t>
            </w:r>
            <w:r w:rsidR="001D082B" w:rsidRPr="5B41DABB">
              <w:rPr>
                <w:rFonts w:asciiTheme="majorHAnsi" w:hAnsiTheme="majorHAnsi" w:cstheme="majorBidi"/>
              </w:rPr>
              <w:t>území;</w:t>
            </w:r>
          </w:p>
          <w:p w14:paraId="29901AE5" w14:textId="052BB5E7" w:rsidR="0042415F" w:rsidRPr="004B4B33" w:rsidRDefault="001D082B">
            <w:pPr>
              <w:numPr>
                <w:ilvl w:val="0"/>
                <w:numId w:val="2"/>
              </w:numPr>
              <w:spacing w:before="0" w:after="0"/>
              <w:jc w:val="both"/>
              <w:rPr>
                <w:rFonts w:asciiTheme="majorHAnsi" w:hAnsiTheme="majorHAnsi" w:cstheme="majorHAnsi"/>
              </w:rPr>
            </w:pPr>
            <w:r w:rsidRPr="004B4B33">
              <w:rPr>
                <w:rFonts w:asciiTheme="majorHAnsi" w:hAnsiTheme="majorHAnsi" w:cstheme="majorHAnsi"/>
              </w:rPr>
              <w:t>účinnější a</w:t>
            </w:r>
            <w:r w:rsidR="000D7449">
              <w:rPr>
                <w:rFonts w:asciiTheme="majorHAnsi" w:hAnsiTheme="majorHAnsi" w:cstheme="majorHAnsi"/>
              </w:rPr>
              <w:t> </w:t>
            </w:r>
            <w:r w:rsidRPr="004B4B33">
              <w:rPr>
                <w:rFonts w:asciiTheme="majorHAnsi" w:hAnsiTheme="majorHAnsi" w:cstheme="majorHAnsi"/>
              </w:rPr>
              <w:t>udržitelnější způsob využívání a</w:t>
            </w:r>
            <w:r w:rsidR="000D7449">
              <w:rPr>
                <w:rFonts w:asciiTheme="majorHAnsi" w:hAnsiTheme="majorHAnsi" w:cstheme="majorHAnsi"/>
              </w:rPr>
              <w:t> </w:t>
            </w:r>
            <w:r w:rsidRPr="004B4B33">
              <w:rPr>
                <w:rFonts w:asciiTheme="majorHAnsi" w:hAnsiTheme="majorHAnsi" w:cstheme="majorHAnsi"/>
              </w:rPr>
              <w:t>sdružování různých finančních zdrojů a</w:t>
            </w:r>
            <w:r w:rsidR="000D7449">
              <w:rPr>
                <w:rFonts w:asciiTheme="majorHAnsi" w:hAnsiTheme="majorHAnsi" w:cstheme="majorHAnsi"/>
              </w:rPr>
              <w:t> </w:t>
            </w:r>
            <w:r w:rsidRPr="004B4B33">
              <w:rPr>
                <w:rFonts w:asciiTheme="majorHAnsi" w:hAnsiTheme="majorHAnsi" w:cstheme="majorHAnsi"/>
              </w:rPr>
              <w:t>to jak veřejných, tak i</w:t>
            </w:r>
            <w:r w:rsidR="000D7449">
              <w:rPr>
                <w:rFonts w:asciiTheme="majorHAnsi" w:hAnsiTheme="majorHAnsi" w:cstheme="majorHAnsi"/>
              </w:rPr>
              <w:t> </w:t>
            </w:r>
            <w:r w:rsidRPr="004B4B33">
              <w:rPr>
                <w:rFonts w:asciiTheme="majorHAnsi" w:hAnsiTheme="majorHAnsi" w:cstheme="majorHAnsi"/>
              </w:rPr>
              <w:t xml:space="preserve">napojení na soukromé zdroje; </w:t>
            </w:r>
          </w:p>
          <w:p w14:paraId="44F41DF4" w14:textId="3F76AA3A" w:rsidR="0042415F" w:rsidRPr="004B4B33" w:rsidRDefault="001D082B">
            <w:pPr>
              <w:numPr>
                <w:ilvl w:val="0"/>
                <w:numId w:val="2"/>
              </w:numPr>
              <w:spacing w:before="0" w:after="0"/>
              <w:jc w:val="both"/>
              <w:rPr>
                <w:rFonts w:asciiTheme="majorHAnsi" w:hAnsiTheme="majorHAnsi" w:cstheme="majorHAnsi"/>
              </w:rPr>
            </w:pPr>
            <w:r w:rsidRPr="004B4B33">
              <w:rPr>
                <w:rFonts w:asciiTheme="majorHAnsi" w:hAnsiTheme="majorHAnsi" w:cstheme="majorHAnsi"/>
              </w:rPr>
              <w:t>možnost pro municipality financovat projekty přímočařeji s</w:t>
            </w:r>
            <w:r w:rsidR="000D7449">
              <w:rPr>
                <w:rFonts w:asciiTheme="majorHAnsi" w:hAnsiTheme="majorHAnsi" w:cstheme="majorHAnsi"/>
              </w:rPr>
              <w:t> </w:t>
            </w:r>
            <w:r w:rsidRPr="004B4B33">
              <w:rPr>
                <w:rFonts w:asciiTheme="majorHAnsi" w:hAnsiTheme="majorHAnsi" w:cstheme="majorHAnsi"/>
              </w:rPr>
              <w:t>kvalitní podporou státu v</w:t>
            </w:r>
            <w:r w:rsidR="000D7449">
              <w:rPr>
                <w:rFonts w:asciiTheme="majorHAnsi" w:hAnsiTheme="majorHAnsi" w:cstheme="majorHAnsi"/>
              </w:rPr>
              <w:t> </w:t>
            </w:r>
            <w:r w:rsidRPr="004B4B33">
              <w:rPr>
                <w:rFonts w:asciiTheme="majorHAnsi" w:hAnsiTheme="majorHAnsi" w:cstheme="majorHAnsi"/>
              </w:rPr>
              <w:t>přípravné fázi;</w:t>
            </w:r>
          </w:p>
          <w:p w14:paraId="7A4B8395" w14:textId="77777777" w:rsidR="0042415F" w:rsidRPr="004B4B33" w:rsidRDefault="001D082B">
            <w:pPr>
              <w:numPr>
                <w:ilvl w:val="0"/>
                <w:numId w:val="2"/>
              </w:numPr>
              <w:spacing w:before="0" w:after="0"/>
              <w:jc w:val="both"/>
              <w:rPr>
                <w:rFonts w:asciiTheme="majorHAnsi" w:hAnsiTheme="majorHAnsi" w:cstheme="majorHAnsi"/>
              </w:rPr>
            </w:pPr>
            <w:r w:rsidRPr="004B4B33">
              <w:rPr>
                <w:rFonts w:asciiTheme="majorHAnsi" w:hAnsiTheme="majorHAnsi" w:cstheme="majorHAnsi"/>
              </w:rPr>
              <w:t>možnost pro municipality využít také kombinaci se soukromým financováním;</w:t>
            </w:r>
          </w:p>
          <w:p w14:paraId="70BAE4C7" w14:textId="35ABC0E8" w:rsidR="0042415F" w:rsidRPr="004B4B33" w:rsidRDefault="001D082B">
            <w:pPr>
              <w:numPr>
                <w:ilvl w:val="0"/>
                <w:numId w:val="3"/>
              </w:numPr>
              <w:spacing w:before="0" w:after="0"/>
              <w:jc w:val="both"/>
              <w:rPr>
                <w:rFonts w:asciiTheme="majorHAnsi" w:hAnsiTheme="majorHAnsi" w:cstheme="majorHAnsi"/>
                <w:highlight w:val="white"/>
              </w:rPr>
            </w:pPr>
            <w:r w:rsidRPr="004B4B33">
              <w:rPr>
                <w:rFonts w:asciiTheme="majorHAnsi" w:hAnsiTheme="majorHAnsi" w:cstheme="majorHAnsi"/>
                <w:highlight w:val="white"/>
              </w:rPr>
              <w:t>financování rekonstrukcí a</w:t>
            </w:r>
            <w:r w:rsidR="000D7449">
              <w:rPr>
                <w:rFonts w:asciiTheme="majorHAnsi" w:hAnsiTheme="majorHAnsi" w:cstheme="majorHAnsi"/>
                <w:highlight w:val="white"/>
              </w:rPr>
              <w:t> </w:t>
            </w:r>
            <w:r w:rsidRPr="004B4B33">
              <w:rPr>
                <w:rFonts w:asciiTheme="majorHAnsi" w:hAnsiTheme="majorHAnsi" w:cstheme="majorHAnsi"/>
                <w:highlight w:val="white"/>
              </w:rPr>
              <w:t>výstavby bytových jednotek;</w:t>
            </w:r>
            <w:r w:rsidR="00B228E1" w:rsidRPr="004B4B33">
              <w:rPr>
                <w:rFonts w:asciiTheme="majorHAnsi" w:hAnsiTheme="majorHAnsi" w:cstheme="majorHAnsi"/>
                <w:highlight w:val="white"/>
              </w:rPr>
              <w:t xml:space="preserve"> přičemž rekonstrukce budou podpořeny v</w:t>
            </w:r>
            <w:r w:rsidR="000D7449">
              <w:rPr>
                <w:rFonts w:asciiTheme="majorHAnsi" w:hAnsiTheme="majorHAnsi" w:cstheme="majorHAnsi"/>
                <w:highlight w:val="white"/>
              </w:rPr>
              <w:t> </w:t>
            </w:r>
            <w:r w:rsidR="00B228E1" w:rsidRPr="004B4B33">
              <w:rPr>
                <w:rFonts w:asciiTheme="majorHAnsi" w:hAnsiTheme="majorHAnsi" w:cstheme="majorHAnsi"/>
                <w:highlight w:val="white"/>
              </w:rPr>
              <w:t>každém finančním nástroji</w:t>
            </w:r>
            <w:r w:rsidRPr="004B4B33">
              <w:rPr>
                <w:rFonts w:asciiTheme="majorHAnsi" w:hAnsiTheme="majorHAnsi" w:cstheme="majorHAnsi"/>
                <w:highlight w:val="white"/>
              </w:rPr>
              <w:t xml:space="preserve"> </w:t>
            </w:r>
          </w:p>
          <w:p w14:paraId="1B1A5CEC" w14:textId="5DCE11E7" w:rsidR="0042415F" w:rsidRPr="004B4B33" w:rsidRDefault="001D082B">
            <w:pPr>
              <w:numPr>
                <w:ilvl w:val="0"/>
                <w:numId w:val="3"/>
              </w:numPr>
              <w:spacing w:before="0" w:after="0"/>
              <w:jc w:val="both"/>
              <w:rPr>
                <w:rFonts w:asciiTheme="majorHAnsi" w:hAnsiTheme="majorHAnsi" w:cstheme="majorHAnsi"/>
                <w:highlight w:val="white"/>
              </w:rPr>
            </w:pPr>
            <w:r w:rsidRPr="004B4B33">
              <w:rPr>
                <w:rFonts w:asciiTheme="majorHAnsi" w:hAnsiTheme="majorHAnsi" w:cstheme="majorHAnsi"/>
                <w:highlight w:val="white"/>
              </w:rPr>
              <w:t>realizace doprovodných urbanistických a</w:t>
            </w:r>
            <w:r w:rsidR="000D7449">
              <w:rPr>
                <w:rFonts w:asciiTheme="majorHAnsi" w:hAnsiTheme="majorHAnsi" w:cstheme="majorHAnsi"/>
                <w:highlight w:val="white"/>
              </w:rPr>
              <w:t> </w:t>
            </w:r>
            <w:r w:rsidRPr="004B4B33">
              <w:rPr>
                <w:rFonts w:asciiTheme="majorHAnsi" w:hAnsiTheme="majorHAnsi" w:cstheme="majorHAnsi"/>
                <w:highlight w:val="white"/>
              </w:rPr>
              <w:t>dalších opatření v</w:t>
            </w:r>
            <w:r w:rsidR="000D7449">
              <w:rPr>
                <w:rFonts w:asciiTheme="majorHAnsi" w:hAnsiTheme="majorHAnsi" w:cstheme="majorHAnsi"/>
                <w:highlight w:val="white"/>
              </w:rPr>
              <w:t> </w:t>
            </w:r>
            <w:r w:rsidRPr="004B4B33">
              <w:rPr>
                <w:rFonts w:asciiTheme="majorHAnsi" w:hAnsiTheme="majorHAnsi" w:cstheme="majorHAnsi"/>
                <w:highlight w:val="white"/>
              </w:rPr>
              <w:t>okolí těchto nových sídel, a</w:t>
            </w:r>
            <w:r w:rsidR="000D7449">
              <w:rPr>
                <w:rFonts w:asciiTheme="majorHAnsi" w:hAnsiTheme="majorHAnsi" w:cstheme="majorHAnsi"/>
                <w:highlight w:val="white"/>
              </w:rPr>
              <w:t> </w:t>
            </w:r>
            <w:r w:rsidRPr="004B4B33">
              <w:rPr>
                <w:rFonts w:asciiTheme="majorHAnsi" w:hAnsiTheme="majorHAnsi" w:cstheme="majorHAnsi"/>
                <w:highlight w:val="white"/>
              </w:rPr>
              <w:t>to včetně kvalitní zeleně a</w:t>
            </w:r>
            <w:r w:rsidR="000D7449">
              <w:rPr>
                <w:rFonts w:asciiTheme="majorHAnsi" w:hAnsiTheme="majorHAnsi" w:cstheme="majorHAnsi"/>
                <w:highlight w:val="white"/>
              </w:rPr>
              <w:t> </w:t>
            </w:r>
            <w:r w:rsidRPr="004B4B33">
              <w:rPr>
                <w:rFonts w:asciiTheme="majorHAnsi" w:hAnsiTheme="majorHAnsi" w:cstheme="majorHAnsi"/>
                <w:highlight w:val="white"/>
              </w:rPr>
              <w:t>hospodaření s</w:t>
            </w:r>
            <w:r w:rsidR="000D7449">
              <w:rPr>
                <w:rFonts w:asciiTheme="majorHAnsi" w:hAnsiTheme="majorHAnsi" w:cstheme="majorHAnsi"/>
                <w:highlight w:val="white"/>
              </w:rPr>
              <w:t> </w:t>
            </w:r>
            <w:r w:rsidRPr="004B4B33">
              <w:rPr>
                <w:rFonts w:asciiTheme="majorHAnsi" w:hAnsiTheme="majorHAnsi" w:cstheme="majorHAnsi"/>
                <w:highlight w:val="white"/>
              </w:rPr>
              <w:t>vodou;</w:t>
            </w:r>
          </w:p>
          <w:p w14:paraId="191A9B2C" w14:textId="0CD53E57" w:rsidR="0042415F" w:rsidRPr="004B4B33" w:rsidRDefault="621D08A5" w:rsidP="5B41DABB">
            <w:pPr>
              <w:numPr>
                <w:ilvl w:val="0"/>
                <w:numId w:val="3"/>
              </w:numPr>
              <w:spacing w:before="0" w:after="0"/>
              <w:jc w:val="both"/>
              <w:rPr>
                <w:rFonts w:asciiTheme="majorHAnsi" w:hAnsiTheme="majorHAnsi" w:cstheme="majorBidi"/>
                <w:highlight w:val="white"/>
              </w:rPr>
            </w:pPr>
            <w:r w:rsidRPr="5B41DABB">
              <w:rPr>
                <w:rFonts w:asciiTheme="majorHAnsi" w:hAnsiTheme="majorHAnsi" w:cstheme="majorBidi"/>
                <w:highlight w:val="white"/>
              </w:rPr>
              <w:t>energetický</w:t>
            </w:r>
            <w:r w:rsidR="001D082B" w:rsidRPr="5B41DABB">
              <w:rPr>
                <w:rFonts w:asciiTheme="majorHAnsi" w:hAnsiTheme="majorHAnsi" w:cstheme="majorBidi"/>
                <w:highlight w:val="white"/>
              </w:rPr>
              <w:t xml:space="preserve"> </w:t>
            </w:r>
            <w:r w:rsidR="2FB2329B" w:rsidRPr="5B41DABB">
              <w:rPr>
                <w:rFonts w:asciiTheme="majorHAnsi" w:hAnsiTheme="majorHAnsi" w:cstheme="majorBidi"/>
                <w:highlight w:val="white"/>
              </w:rPr>
              <w:t>a</w:t>
            </w:r>
            <w:r w:rsidR="000D7449">
              <w:rPr>
                <w:rFonts w:asciiTheme="majorHAnsi" w:hAnsiTheme="majorHAnsi" w:cstheme="majorBidi"/>
                <w:highlight w:val="white"/>
              </w:rPr>
              <w:t> </w:t>
            </w:r>
            <w:r w:rsidR="2FB2329B" w:rsidRPr="5B41DABB">
              <w:rPr>
                <w:rFonts w:asciiTheme="majorHAnsi" w:hAnsiTheme="majorHAnsi" w:cstheme="majorBidi"/>
                <w:highlight w:val="white"/>
              </w:rPr>
              <w:t xml:space="preserve">environmentální </w:t>
            </w:r>
            <w:r w:rsidR="001D082B" w:rsidRPr="5B41DABB">
              <w:rPr>
                <w:rFonts w:asciiTheme="majorHAnsi" w:hAnsiTheme="majorHAnsi" w:cstheme="majorBidi"/>
                <w:highlight w:val="white"/>
              </w:rPr>
              <w:t>standard u</w:t>
            </w:r>
            <w:r w:rsidR="000D7449">
              <w:rPr>
                <w:rFonts w:asciiTheme="majorHAnsi" w:hAnsiTheme="majorHAnsi" w:cstheme="majorBidi"/>
                <w:highlight w:val="white"/>
              </w:rPr>
              <w:t> </w:t>
            </w:r>
            <w:r w:rsidR="001D082B" w:rsidRPr="5B41DABB">
              <w:rPr>
                <w:rFonts w:asciiTheme="majorHAnsi" w:hAnsiTheme="majorHAnsi" w:cstheme="majorBidi"/>
                <w:highlight w:val="white"/>
              </w:rPr>
              <w:t xml:space="preserve">výstavby nových bytových domů </w:t>
            </w:r>
            <w:r w:rsidR="2FB2329B" w:rsidRPr="5B41DABB">
              <w:rPr>
                <w:rFonts w:asciiTheme="majorHAnsi" w:hAnsiTheme="majorHAnsi" w:cstheme="majorBidi"/>
                <w:highlight w:val="white"/>
              </w:rPr>
              <w:t>v</w:t>
            </w:r>
            <w:r w:rsidR="000D7449">
              <w:rPr>
                <w:rFonts w:asciiTheme="majorHAnsi" w:hAnsiTheme="majorHAnsi" w:cstheme="majorBidi"/>
                <w:highlight w:val="white"/>
              </w:rPr>
              <w:t> </w:t>
            </w:r>
            <w:r w:rsidR="2FB2329B" w:rsidRPr="5B41DABB">
              <w:rPr>
                <w:rFonts w:asciiTheme="majorHAnsi" w:hAnsiTheme="majorHAnsi" w:cstheme="majorBidi"/>
                <w:highlight w:val="white"/>
              </w:rPr>
              <w:t>souladu s</w:t>
            </w:r>
            <w:r w:rsidR="000D7449">
              <w:rPr>
                <w:rFonts w:asciiTheme="majorHAnsi" w:hAnsiTheme="majorHAnsi" w:cstheme="majorBidi"/>
                <w:highlight w:val="white"/>
              </w:rPr>
              <w:t> </w:t>
            </w:r>
            <w:r w:rsidR="2FB2329B" w:rsidRPr="5B41DABB">
              <w:rPr>
                <w:rFonts w:asciiTheme="majorHAnsi" w:hAnsiTheme="majorHAnsi" w:cstheme="majorBidi"/>
                <w:highlight w:val="white"/>
              </w:rPr>
              <w:t xml:space="preserve">požadavky principů DNSH. </w:t>
            </w:r>
          </w:p>
        </w:tc>
      </w:tr>
      <w:tr w:rsidR="0042415F" w:rsidRPr="004B4B33" w14:paraId="61B7E809" w14:textId="77777777" w:rsidTr="5B41DABB">
        <w:trPr>
          <w:trHeight w:val="590"/>
          <w:jc w:val="center"/>
        </w:trPr>
        <w:tc>
          <w:tcPr>
            <w:tcW w:w="166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4707792"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lastRenderedPageBreak/>
              <w:t>Implementace</w:t>
            </w:r>
          </w:p>
        </w:tc>
        <w:tc>
          <w:tcPr>
            <w:tcW w:w="720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0A1B954B" w14:textId="453E0439" w:rsidR="0042415F" w:rsidRPr="004B4B33" w:rsidRDefault="233FF8FA">
            <w:pPr>
              <w:spacing w:before="0" w:after="240"/>
              <w:jc w:val="both"/>
              <w:rPr>
                <w:rFonts w:asciiTheme="majorHAnsi" w:hAnsiTheme="majorHAnsi" w:cstheme="majorHAnsi"/>
              </w:rPr>
            </w:pPr>
            <w:r w:rsidRPr="004B4B33">
              <w:rPr>
                <w:rFonts w:asciiTheme="majorHAnsi" w:hAnsiTheme="majorHAnsi" w:cstheme="majorHAnsi"/>
              </w:rPr>
              <w:t>B</w:t>
            </w:r>
            <w:r w:rsidR="78F8E056" w:rsidRPr="004B4B33">
              <w:rPr>
                <w:rFonts w:asciiTheme="majorHAnsi" w:hAnsiTheme="majorHAnsi" w:cstheme="majorHAnsi"/>
              </w:rPr>
              <w:t>ude vytvořena a</w:t>
            </w:r>
            <w:r w:rsidR="000D7449">
              <w:rPr>
                <w:rFonts w:asciiTheme="majorHAnsi" w:hAnsiTheme="majorHAnsi" w:cstheme="majorHAnsi"/>
              </w:rPr>
              <w:t> </w:t>
            </w:r>
            <w:r w:rsidR="78F8E056" w:rsidRPr="004B4B33">
              <w:rPr>
                <w:rFonts w:asciiTheme="majorHAnsi" w:hAnsiTheme="majorHAnsi" w:cstheme="majorHAnsi"/>
              </w:rPr>
              <w:t>z hlediska působnosti definována integrovaná investiční struktura, která vzhledem k</w:t>
            </w:r>
            <w:r w:rsidR="000D7449">
              <w:rPr>
                <w:rFonts w:asciiTheme="majorHAnsi" w:hAnsiTheme="majorHAnsi" w:cstheme="majorHAnsi"/>
              </w:rPr>
              <w:t> </w:t>
            </w:r>
            <w:r w:rsidR="78F8E056" w:rsidRPr="004B4B33">
              <w:rPr>
                <w:rFonts w:asciiTheme="majorHAnsi" w:hAnsiTheme="majorHAnsi" w:cstheme="majorHAnsi"/>
              </w:rPr>
              <w:t>časovým zřetelům počítá především se zapojením existujících struktur včetně MMR, skupiny NRB, SFPI. Kde to bude vhodné, exekutivní struktura bude také používat kapacity finančních zprostředkovatelů (např. komerční banky, stavební spořitelny) a</w:t>
            </w:r>
            <w:r w:rsidR="000D7449">
              <w:rPr>
                <w:rFonts w:asciiTheme="majorHAnsi" w:hAnsiTheme="majorHAnsi" w:cstheme="majorHAnsi"/>
              </w:rPr>
              <w:t> </w:t>
            </w:r>
            <w:r w:rsidR="78F8E056" w:rsidRPr="004B4B33">
              <w:rPr>
                <w:rFonts w:asciiTheme="majorHAnsi" w:hAnsiTheme="majorHAnsi" w:cstheme="majorHAnsi"/>
              </w:rPr>
              <w:t>stavebního sektoru s</w:t>
            </w:r>
            <w:r w:rsidR="000D7449">
              <w:rPr>
                <w:rFonts w:asciiTheme="majorHAnsi" w:hAnsiTheme="majorHAnsi" w:cstheme="majorHAnsi"/>
              </w:rPr>
              <w:t> </w:t>
            </w:r>
            <w:r w:rsidR="78F8E056" w:rsidRPr="004B4B33">
              <w:rPr>
                <w:rFonts w:asciiTheme="majorHAnsi" w:hAnsiTheme="majorHAnsi" w:cstheme="majorHAnsi"/>
              </w:rPr>
              <w:t>cílem mj. usnadnit kombinaci veřejných a</w:t>
            </w:r>
            <w:r w:rsidR="000D7449">
              <w:rPr>
                <w:rFonts w:asciiTheme="majorHAnsi" w:hAnsiTheme="majorHAnsi" w:cstheme="majorHAnsi"/>
              </w:rPr>
              <w:t> </w:t>
            </w:r>
            <w:r w:rsidR="78F8E056" w:rsidRPr="004B4B33">
              <w:rPr>
                <w:rFonts w:asciiTheme="majorHAnsi" w:hAnsiTheme="majorHAnsi" w:cstheme="majorHAnsi"/>
              </w:rPr>
              <w:t>soukromých zdrojů a</w:t>
            </w:r>
            <w:r w:rsidR="000D7449">
              <w:rPr>
                <w:rFonts w:asciiTheme="majorHAnsi" w:hAnsiTheme="majorHAnsi" w:cstheme="majorHAnsi"/>
              </w:rPr>
              <w:t> </w:t>
            </w:r>
            <w:r w:rsidR="78F8E056" w:rsidRPr="004B4B33">
              <w:rPr>
                <w:rFonts w:asciiTheme="majorHAnsi" w:hAnsiTheme="majorHAnsi" w:cstheme="majorHAnsi"/>
              </w:rPr>
              <w:t>podpořit využití návratných finančních nástrojů i</w:t>
            </w:r>
            <w:r w:rsidR="000D7449">
              <w:rPr>
                <w:rFonts w:asciiTheme="majorHAnsi" w:hAnsiTheme="majorHAnsi" w:cstheme="majorHAnsi"/>
              </w:rPr>
              <w:t> </w:t>
            </w:r>
            <w:r w:rsidR="78F8E056" w:rsidRPr="004B4B33">
              <w:rPr>
                <w:rFonts w:asciiTheme="majorHAnsi" w:hAnsiTheme="majorHAnsi" w:cstheme="majorHAnsi"/>
              </w:rPr>
              <w:t>alternativních forem financování.</w:t>
            </w:r>
          </w:p>
          <w:p w14:paraId="096948C6" w14:textId="13436424" w:rsidR="0042415F" w:rsidRPr="004B4B33" w:rsidRDefault="78F8E056" w:rsidP="3D78BE59">
            <w:pPr>
              <w:spacing w:before="0" w:after="240"/>
              <w:jc w:val="both"/>
              <w:rPr>
                <w:rFonts w:asciiTheme="majorHAnsi" w:hAnsiTheme="majorHAnsi" w:cstheme="majorBidi"/>
              </w:rPr>
            </w:pPr>
            <w:r w:rsidRPr="5B41DABB">
              <w:rPr>
                <w:rFonts w:asciiTheme="majorHAnsi" w:hAnsiTheme="majorHAnsi" w:cstheme="majorBidi"/>
              </w:rPr>
              <w:t>V rámci investičního programu předpokládáme vytvoření řady finančních nástrojů, ve kterých bude možné zapojit výše zmiňované instituce a</w:t>
            </w:r>
            <w:r w:rsidR="000D7449">
              <w:rPr>
                <w:rFonts w:asciiTheme="majorHAnsi" w:hAnsiTheme="majorHAnsi" w:cstheme="majorBidi"/>
              </w:rPr>
              <w:t> </w:t>
            </w:r>
            <w:r w:rsidRPr="5B41DABB">
              <w:rPr>
                <w:rFonts w:asciiTheme="majorHAnsi" w:hAnsiTheme="majorHAnsi" w:cstheme="majorBidi"/>
              </w:rPr>
              <w:t>multilaterální financování kombinované z</w:t>
            </w:r>
            <w:r w:rsidR="000D7449">
              <w:rPr>
                <w:rFonts w:asciiTheme="majorHAnsi" w:hAnsiTheme="majorHAnsi" w:cstheme="majorBidi"/>
              </w:rPr>
              <w:t> </w:t>
            </w:r>
            <w:r w:rsidRPr="5B41DABB">
              <w:rPr>
                <w:rFonts w:asciiTheme="majorHAnsi" w:hAnsiTheme="majorHAnsi" w:cstheme="majorBidi"/>
              </w:rPr>
              <w:t>vícero zdrojů včetně mezinárodních institucí. Konečná struktura a</w:t>
            </w:r>
            <w:r w:rsidR="000D7449">
              <w:rPr>
                <w:rFonts w:asciiTheme="majorHAnsi" w:hAnsiTheme="majorHAnsi" w:cstheme="majorBidi"/>
              </w:rPr>
              <w:t> </w:t>
            </w:r>
            <w:r w:rsidRPr="5B41DABB">
              <w:rPr>
                <w:rFonts w:asciiTheme="majorHAnsi" w:hAnsiTheme="majorHAnsi" w:cstheme="majorBidi"/>
              </w:rPr>
              <w:t>produktové zaměření každého finančního instrumentu bude určena v</w:t>
            </w:r>
            <w:r w:rsidR="000D7449">
              <w:rPr>
                <w:rFonts w:asciiTheme="majorHAnsi" w:hAnsiTheme="majorHAnsi" w:cstheme="majorBidi"/>
              </w:rPr>
              <w:t> </w:t>
            </w:r>
            <w:r w:rsidRPr="5B41DABB">
              <w:rPr>
                <w:rFonts w:asciiTheme="majorHAnsi" w:hAnsiTheme="majorHAnsi" w:cstheme="majorBidi"/>
              </w:rPr>
              <w:t>přípravném období na základě dodatečných analýz a</w:t>
            </w:r>
            <w:r w:rsidR="000D7449">
              <w:rPr>
                <w:rFonts w:asciiTheme="majorHAnsi" w:hAnsiTheme="majorHAnsi" w:cstheme="majorBidi"/>
              </w:rPr>
              <w:t> </w:t>
            </w:r>
            <w:r w:rsidRPr="5B41DABB">
              <w:rPr>
                <w:rFonts w:asciiTheme="majorHAnsi" w:hAnsiTheme="majorHAnsi" w:cstheme="majorBidi"/>
              </w:rPr>
              <w:t>nezávislých expertních a</w:t>
            </w:r>
            <w:r w:rsidR="000D7449">
              <w:rPr>
                <w:rFonts w:asciiTheme="majorHAnsi" w:hAnsiTheme="majorHAnsi" w:cstheme="majorBidi"/>
              </w:rPr>
              <w:t> </w:t>
            </w:r>
            <w:r w:rsidRPr="5B41DABB">
              <w:rPr>
                <w:rFonts w:asciiTheme="majorHAnsi" w:hAnsiTheme="majorHAnsi" w:cstheme="majorBidi"/>
              </w:rPr>
              <w:t>poradenských vstupů. V</w:t>
            </w:r>
            <w:r w:rsidR="000D7449">
              <w:rPr>
                <w:rFonts w:asciiTheme="majorHAnsi" w:hAnsiTheme="majorHAnsi" w:cstheme="majorBidi"/>
              </w:rPr>
              <w:t> </w:t>
            </w:r>
            <w:r w:rsidRPr="5B41DABB">
              <w:rPr>
                <w:rFonts w:asciiTheme="majorHAnsi" w:hAnsiTheme="majorHAnsi" w:cstheme="majorBidi"/>
              </w:rPr>
              <w:t>závislosti na znalosti současného trhu předpokládáme, že bude třeba vytvořit finanční nástroje s</w:t>
            </w:r>
            <w:r w:rsidR="000D7449">
              <w:rPr>
                <w:rFonts w:asciiTheme="majorHAnsi" w:hAnsiTheme="majorHAnsi" w:cstheme="majorBidi"/>
              </w:rPr>
              <w:t> </w:t>
            </w:r>
            <w:r w:rsidRPr="5B41DABB">
              <w:rPr>
                <w:rFonts w:asciiTheme="majorHAnsi" w:hAnsiTheme="majorHAnsi" w:cstheme="majorBidi"/>
              </w:rPr>
              <w:t>následujícími charakteristikami:</w:t>
            </w:r>
          </w:p>
          <w:p w14:paraId="25954D6A" w14:textId="1BFCC107" w:rsidR="0042415F" w:rsidRPr="004B4B33" w:rsidRDefault="001D082B">
            <w:pPr>
              <w:spacing w:before="240" w:after="240"/>
              <w:jc w:val="both"/>
              <w:rPr>
                <w:rFonts w:asciiTheme="majorHAnsi" w:hAnsiTheme="majorHAnsi" w:cstheme="majorHAnsi"/>
                <w:u w:val="single"/>
              </w:rPr>
            </w:pPr>
            <w:r w:rsidRPr="004B4B33">
              <w:rPr>
                <w:rFonts w:asciiTheme="majorHAnsi" w:hAnsiTheme="majorHAnsi" w:cstheme="majorHAnsi"/>
                <w:u w:val="single"/>
              </w:rPr>
              <w:lastRenderedPageBreak/>
              <w:t>Zvýhodněný úvěr s</w:t>
            </w:r>
            <w:r w:rsidR="000D7449">
              <w:rPr>
                <w:rFonts w:asciiTheme="majorHAnsi" w:hAnsiTheme="majorHAnsi" w:cstheme="majorHAnsi"/>
                <w:u w:val="single"/>
              </w:rPr>
              <w:t> </w:t>
            </w:r>
            <w:r w:rsidRPr="004B4B33">
              <w:rPr>
                <w:rFonts w:asciiTheme="majorHAnsi" w:hAnsiTheme="majorHAnsi" w:cstheme="majorHAnsi"/>
                <w:u w:val="single"/>
              </w:rPr>
              <w:t>dotační pobídkou:</w:t>
            </w:r>
          </w:p>
          <w:p w14:paraId="097A418A" w14:textId="69F86F2D" w:rsidR="0042415F" w:rsidRPr="004B4B33" w:rsidRDefault="001D082B">
            <w:pPr>
              <w:spacing w:before="0"/>
              <w:jc w:val="both"/>
              <w:rPr>
                <w:rFonts w:asciiTheme="majorHAnsi" w:hAnsiTheme="majorHAnsi" w:cstheme="majorHAnsi"/>
              </w:rPr>
            </w:pPr>
            <w:r w:rsidRPr="004B4B33">
              <w:rPr>
                <w:rFonts w:asciiTheme="majorHAnsi" w:hAnsiTheme="majorHAnsi" w:cstheme="majorHAnsi"/>
              </w:rPr>
              <w:t>Finanční nástroj pro municipality, kraje, neziskové nestátní organizace, bytová družstva a</w:t>
            </w:r>
            <w:r w:rsidR="000D7449">
              <w:rPr>
                <w:rFonts w:asciiTheme="majorHAnsi" w:hAnsiTheme="majorHAnsi" w:cstheme="majorHAnsi"/>
              </w:rPr>
              <w:t> </w:t>
            </w:r>
            <w:r w:rsidRPr="004B4B33">
              <w:rPr>
                <w:rFonts w:asciiTheme="majorHAnsi" w:hAnsiTheme="majorHAnsi" w:cstheme="majorHAnsi"/>
              </w:rPr>
              <w:t xml:space="preserve">soukromé podnikatelské subjekty, jehož </w:t>
            </w:r>
            <w:r w:rsidR="000D7449" w:rsidRPr="004B4B33">
              <w:rPr>
                <w:rFonts w:asciiTheme="majorHAnsi" w:hAnsiTheme="majorHAnsi" w:cstheme="majorHAnsi"/>
              </w:rPr>
              <w:t>prostřednictvím stát</w:t>
            </w:r>
            <w:r w:rsidRPr="004B4B33">
              <w:rPr>
                <w:rFonts w:asciiTheme="majorHAnsi" w:hAnsiTheme="majorHAnsi" w:cstheme="majorHAnsi"/>
              </w:rPr>
              <w:t xml:space="preserve"> vloží prostředky (zdroje z</w:t>
            </w:r>
            <w:r w:rsidR="000D7449">
              <w:rPr>
                <w:rFonts w:asciiTheme="majorHAnsi" w:hAnsiTheme="majorHAnsi" w:cstheme="majorHAnsi"/>
              </w:rPr>
              <w:t> </w:t>
            </w:r>
            <w:r w:rsidRPr="004B4B33">
              <w:rPr>
                <w:rFonts w:asciiTheme="majorHAnsi" w:hAnsiTheme="majorHAnsi" w:cstheme="majorHAnsi"/>
              </w:rPr>
              <w:t>komponenty NPO, národní zdroje, zdroje od mezinárodních finančních institucí jako např. EIB nebo jejich kombinaci), které budou sloužit na poskytování úvěrů se zvýhodněnou úrokovou sazbou.</w:t>
            </w:r>
          </w:p>
          <w:p w14:paraId="24EB7CC8" w14:textId="3C2F6F0D" w:rsidR="0042415F" w:rsidRPr="004B4B33" w:rsidRDefault="001D082B">
            <w:pPr>
              <w:spacing w:before="0" w:after="0"/>
              <w:ind w:left="1080" w:hanging="360"/>
              <w:jc w:val="both"/>
              <w:rPr>
                <w:rFonts w:asciiTheme="majorHAnsi" w:hAnsiTheme="majorHAnsi" w:cstheme="majorHAnsi"/>
              </w:rPr>
            </w:pPr>
            <w:r w:rsidRPr="004B4B33">
              <w:rPr>
                <w:rFonts w:asciiTheme="majorHAnsi" w:eastAsia="Arial Unicode MS" w:hAnsiTheme="majorHAnsi" w:cstheme="majorHAnsi"/>
              </w:rPr>
              <w:t>●</w:t>
            </w:r>
            <w:r w:rsidRPr="004B4B33">
              <w:rPr>
                <w:rFonts w:asciiTheme="majorHAnsi" w:hAnsiTheme="majorHAnsi" w:cstheme="majorHAnsi"/>
                <w:sz w:val="14"/>
                <w:szCs w:val="14"/>
              </w:rPr>
              <w:t xml:space="preserve">      </w:t>
            </w:r>
            <w:r w:rsidRPr="004B4B33">
              <w:rPr>
                <w:rFonts w:asciiTheme="majorHAnsi" w:hAnsiTheme="majorHAnsi" w:cstheme="majorHAnsi"/>
              </w:rPr>
              <w:t>Tyto zdroje budou kombinovány s</w:t>
            </w:r>
            <w:r w:rsidR="000D7449">
              <w:rPr>
                <w:rFonts w:asciiTheme="majorHAnsi" w:hAnsiTheme="majorHAnsi" w:cstheme="majorHAnsi"/>
              </w:rPr>
              <w:t> </w:t>
            </w:r>
            <w:r w:rsidRPr="004B4B33">
              <w:rPr>
                <w:rFonts w:asciiTheme="majorHAnsi" w:hAnsiTheme="majorHAnsi" w:cstheme="majorHAnsi"/>
              </w:rPr>
              <w:t>úvěry od komerčních bank.</w:t>
            </w:r>
          </w:p>
          <w:p w14:paraId="39497AAE" w14:textId="3C48B8A8" w:rsidR="0042415F" w:rsidRPr="004B4B33" w:rsidRDefault="001D082B">
            <w:pPr>
              <w:spacing w:before="0" w:after="0"/>
              <w:ind w:left="1080" w:hanging="360"/>
              <w:jc w:val="both"/>
              <w:rPr>
                <w:rFonts w:asciiTheme="majorHAnsi" w:hAnsiTheme="majorHAnsi" w:cstheme="majorHAnsi"/>
              </w:rPr>
            </w:pPr>
            <w:r w:rsidRPr="004B4B33">
              <w:rPr>
                <w:rFonts w:asciiTheme="majorHAnsi" w:eastAsia="Arial Unicode MS" w:hAnsiTheme="majorHAnsi" w:cstheme="majorHAnsi"/>
              </w:rPr>
              <w:t>●</w:t>
            </w:r>
            <w:r w:rsidRPr="004B4B33">
              <w:rPr>
                <w:rFonts w:asciiTheme="majorHAnsi" w:hAnsiTheme="majorHAnsi" w:cstheme="majorHAnsi"/>
                <w:sz w:val="14"/>
                <w:szCs w:val="14"/>
              </w:rPr>
              <w:t xml:space="preserve">      </w:t>
            </w:r>
            <w:r w:rsidRPr="004B4B33">
              <w:rPr>
                <w:rFonts w:asciiTheme="majorHAnsi" w:hAnsiTheme="majorHAnsi" w:cstheme="majorHAnsi"/>
              </w:rPr>
              <w:t>Úvěrový finanční nástroj může obsahovat i</w:t>
            </w:r>
            <w:r w:rsidR="000D7449">
              <w:rPr>
                <w:rFonts w:asciiTheme="majorHAnsi" w:hAnsiTheme="majorHAnsi" w:cstheme="majorHAnsi"/>
              </w:rPr>
              <w:t> </w:t>
            </w:r>
            <w:r w:rsidRPr="004B4B33">
              <w:rPr>
                <w:rFonts w:asciiTheme="majorHAnsi" w:hAnsiTheme="majorHAnsi" w:cstheme="majorHAnsi"/>
              </w:rPr>
              <w:t>dotační složku (povaha a</w:t>
            </w:r>
            <w:r w:rsidR="000D7449">
              <w:rPr>
                <w:rFonts w:asciiTheme="majorHAnsi" w:hAnsiTheme="majorHAnsi" w:cstheme="majorHAnsi"/>
              </w:rPr>
              <w:t> </w:t>
            </w:r>
            <w:r w:rsidRPr="004B4B33">
              <w:rPr>
                <w:rFonts w:asciiTheme="majorHAnsi" w:hAnsiTheme="majorHAnsi" w:cstheme="majorHAnsi"/>
              </w:rPr>
              <w:t>rozsah dotace bude upřesněn v</w:t>
            </w:r>
            <w:r w:rsidR="000D7449">
              <w:rPr>
                <w:rFonts w:asciiTheme="majorHAnsi" w:hAnsiTheme="majorHAnsi" w:cstheme="majorHAnsi"/>
              </w:rPr>
              <w:t> </w:t>
            </w:r>
            <w:r w:rsidRPr="004B4B33">
              <w:rPr>
                <w:rFonts w:asciiTheme="majorHAnsi" w:hAnsiTheme="majorHAnsi" w:cstheme="majorHAnsi"/>
              </w:rPr>
              <w:t>rámci dodatečné analýzy, testování trhu a</w:t>
            </w:r>
            <w:r w:rsidR="000D7449">
              <w:rPr>
                <w:rFonts w:asciiTheme="majorHAnsi" w:hAnsiTheme="majorHAnsi" w:cstheme="majorHAnsi"/>
              </w:rPr>
              <w:t> </w:t>
            </w:r>
            <w:r w:rsidRPr="004B4B33">
              <w:rPr>
                <w:rFonts w:asciiTheme="majorHAnsi" w:hAnsiTheme="majorHAnsi" w:cstheme="majorHAnsi"/>
              </w:rPr>
              <w:t>expertního poradenství</w:t>
            </w:r>
            <w:r w:rsidR="00B228E1" w:rsidRPr="004B4B33">
              <w:rPr>
                <w:rFonts w:asciiTheme="majorHAnsi" w:hAnsiTheme="majorHAnsi" w:cstheme="majorHAnsi"/>
              </w:rPr>
              <w:t>, přičemž preference renovací bude promítnuta vyšší dotační složkou</w:t>
            </w:r>
            <w:r w:rsidRPr="004B4B33">
              <w:rPr>
                <w:rFonts w:asciiTheme="majorHAnsi" w:hAnsiTheme="majorHAnsi" w:cstheme="majorHAnsi"/>
              </w:rPr>
              <w:t>).</w:t>
            </w:r>
          </w:p>
          <w:p w14:paraId="32FF8004" w14:textId="77777777" w:rsidR="0042415F" w:rsidRPr="004B4B33" w:rsidRDefault="001D082B">
            <w:pPr>
              <w:spacing w:before="0" w:after="0"/>
              <w:ind w:left="1080" w:hanging="360"/>
              <w:jc w:val="both"/>
              <w:rPr>
                <w:rFonts w:asciiTheme="majorHAnsi" w:hAnsiTheme="majorHAnsi" w:cstheme="majorHAnsi"/>
              </w:rPr>
            </w:pPr>
            <w:r w:rsidRPr="004B4B33">
              <w:rPr>
                <w:rFonts w:asciiTheme="majorHAnsi" w:eastAsia="Arial Unicode MS" w:hAnsiTheme="majorHAnsi" w:cstheme="majorHAnsi"/>
              </w:rPr>
              <w:t>●</w:t>
            </w:r>
            <w:r w:rsidRPr="004B4B33">
              <w:rPr>
                <w:rFonts w:asciiTheme="majorHAnsi" w:hAnsiTheme="majorHAnsi" w:cstheme="majorHAnsi"/>
                <w:sz w:val="14"/>
                <w:szCs w:val="14"/>
              </w:rPr>
              <w:t xml:space="preserve">      </w:t>
            </w:r>
            <w:r w:rsidRPr="004B4B33">
              <w:rPr>
                <w:rFonts w:asciiTheme="majorHAnsi" w:hAnsiTheme="majorHAnsi" w:cstheme="majorHAnsi"/>
              </w:rPr>
              <w:t>Dlouhodobý úvěr nad rámec durace, která je dostupná na trhu.</w:t>
            </w:r>
          </w:p>
          <w:p w14:paraId="6D0FB53C" w14:textId="7582CE3A" w:rsidR="0042415F" w:rsidRPr="004B4B33" w:rsidRDefault="001D082B">
            <w:pPr>
              <w:spacing w:before="0" w:after="0"/>
              <w:ind w:left="1080" w:hanging="360"/>
              <w:jc w:val="both"/>
              <w:rPr>
                <w:rFonts w:asciiTheme="majorHAnsi" w:hAnsiTheme="majorHAnsi" w:cstheme="majorHAnsi"/>
              </w:rPr>
            </w:pPr>
            <w:r w:rsidRPr="004B4B33">
              <w:rPr>
                <w:rFonts w:asciiTheme="majorHAnsi" w:eastAsia="Arial Unicode MS" w:hAnsiTheme="majorHAnsi" w:cstheme="majorHAnsi"/>
              </w:rPr>
              <w:t>●</w:t>
            </w:r>
            <w:r w:rsidRPr="004B4B33">
              <w:rPr>
                <w:rFonts w:asciiTheme="majorHAnsi" w:hAnsiTheme="majorHAnsi" w:cstheme="majorHAnsi"/>
                <w:sz w:val="14"/>
                <w:szCs w:val="14"/>
              </w:rPr>
              <w:t xml:space="preserve">   </w:t>
            </w:r>
            <w:r w:rsidRPr="004B4B33">
              <w:rPr>
                <w:rFonts w:asciiTheme="majorHAnsi" w:hAnsiTheme="majorHAnsi" w:cstheme="majorHAnsi"/>
              </w:rPr>
              <w:t>Počítáme i</w:t>
            </w:r>
            <w:r w:rsidR="000D7449">
              <w:rPr>
                <w:rFonts w:asciiTheme="majorHAnsi" w:hAnsiTheme="majorHAnsi" w:cstheme="majorHAnsi"/>
              </w:rPr>
              <w:t> </w:t>
            </w:r>
            <w:r w:rsidRPr="004B4B33">
              <w:rPr>
                <w:rFonts w:asciiTheme="majorHAnsi" w:hAnsiTheme="majorHAnsi" w:cstheme="majorHAnsi"/>
              </w:rPr>
              <w:t xml:space="preserve">s finanční spoluúčastí </w:t>
            </w:r>
            <w:r w:rsidR="000D7449" w:rsidRPr="004B4B33">
              <w:rPr>
                <w:rFonts w:asciiTheme="majorHAnsi" w:hAnsiTheme="majorHAnsi" w:cstheme="majorHAnsi"/>
              </w:rPr>
              <w:t>investorů v</w:t>
            </w:r>
            <w:r w:rsidR="000D7449">
              <w:rPr>
                <w:rFonts w:asciiTheme="majorHAnsi" w:hAnsiTheme="majorHAnsi" w:cstheme="majorHAnsi"/>
              </w:rPr>
              <w:t> </w:t>
            </w:r>
            <w:r w:rsidRPr="004B4B33">
              <w:rPr>
                <w:rFonts w:asciiTheme="majorHAnsi" w:hAnsiTheme="majorHAnsi" w:cstheme="majorHAnsi"/>
              </w:rPr>
              <w:t>malém rozsahu, přičemž hodnota pozemku je započitatelná.</w:t>
            </w:r>
          </w:p>
          <w:p w14:paraId="70AD00D7" w14:textId="5AC64B1F" w:rsidR="00631EC1" w:rsidRPr="004B4B33" w:rsidRDefault="00631EC1" w:rsidP="00A10AD9">
            <w:pPr>
              <w:numPr>
                <w:ilvl w:val="0"/>
                <w:numId w:val="13"/>
              </w:numPr>
              <w:spacing w:before="0" w:after="0"/>
              <w:jc w:val="both"/>
              <w:rPr>
                <w:rFonts w:asciiTheme="majorHAnsi" w:hAnsiTheme="majorHAnsi" w:cstheme="majorHAnsi"/>
              </w:rPr>
            </w:pPr>
            <w:r w:rsidRPr="004B4B33">
              <w:rPr>
                <w:rFonts w:asciiTheme="majorHAnsi" w:hAnsiTheme="majorHAnsi" w:cstheme="majorHAnsi"/>
              </w:rPr>
              <w:t>Finanční nástroj bude implementován Státním fondem pro podporu investic při uplatnění dohodnutých principů nezávislé institucionální správy a</w:t>
            </w:r>
            <w:r w:rsidR="000D7449">
              <w:rPr>
                <w:rFonts w:asciiTheme="majorHAnsi" w:hAnsiTheme="majorHAnsi" w:cstheme="majorHAnsi"/>
              </w:rPr>
              <w:t> </w:t>
            </w:r>
            <w:r w:rsidRPr="004B4B33">
              <w:rPr>
                <w:rFonts w:asciiTheme="majorHAnsi" w:hAnsiTheme="majorHAnsi" w:cstheme="majorHAnsi"/>
              </w:rPr>
              <w:t>řízení.</w:t>
            </w:r>
          </w:p>
          <w:p w14:paraId="60061E4C" w14:textId="77777777" w:rsidR="0042415F" w:rsidRPr="004B4B33" w:rsidRDefault="0042415F">
            <w:pPr>
              <w:spacing w:before="0" w:after="0"/>
              <w:jc w:val="both"/>
              <w:rPr>
                <w:rFonts w:asciiTheme="majorHAnsi" w:hAnsiTheme="majorHAnsi" w:cstheme="majorHAnsi"/>
              </w:rPr>
            </w:pPr>
          </w:p>
          <w:p w14:paraId="7CC8FF3C" w14:textId="2C1E9D0C" w:rsidR="0042415F" w:rsidRPr="004B4B33" w:rsidRDefault="001D082B">
            <w:pPr>
              <w:jc w:val="both"/>
              <w:rPr>
                <w:rFonts w:asciiTheme="majorHAnsi" w:hAnsiTheme="majorHAnsi" w:cstheme="majorHAnsi"/>
                <w:u w:val="single"/>
              </w:rPr>
            </w:pPr>
            <w:r w:rsidRPr="004B4B33">
              <w:rPr>
                <w:rFonts w:asciiTheme="majorHAnsi" w:hAnsiTheme="majorHAnsi" w:cstheme="majorHAnsi"/>
                <w:u w:val="single"/>
              </w:rPr>
              <w:t>Podřízená půjčka se zvýhodněnou sazbou (kvazikapitálový finanční nástroj, “mezzanin”) pro soukromý i</w:t>
            </w:r>
            <w:r w:rsidR="000D7449">
              <w:rPr>
                <w:rFonts w:asciiTheme="majorHAnsi" w:hAnsiTheme="majorHAnsi" w:cstheme="majorHAnsi"/>
                <w:u w:val="single"/>
              </w:rPr>
              <w:t> </w:t>
            </w:r>
            <w:r w:rsidRPr="004B4B33">
              <w:rPr>
                <w:rFonts w:asciiTheme="majorHAnsi" w:hAnsiTheme="majorHAnsi" w:cstheme="majorHAnsi"/>
                <w:u w:val="single"/>
              </w:rPr>
              <w:t>veřejný sektor:</w:t>
            </w:r>
          </w:p>
          <w:p w14:paraId="5E4CEA71" w14:textId="4E4A21F2" w:rsidR="0042415F" w:rsidRPr="004B4B33" w:rsidRDefault="001D082B" w:rsidP="5B41DABB">
            <w:pPr>
              <w:numPr>
                <w:ilvl w:val="0"/>
                <w:numId w:val="13"/>
              </w:numPr>
              <w:spacing w:after="0"/>
              <w:jc w:val="both"/>
              <w:rPr>
                <w:rFonts w:asciiTheme="majorHAnsi" w:hAnsiTheme="majorHAnsi" w:cstheme="majorBidi"/>
              </w:rPr>
            </w:pPr>
            <w:r w:rsidRPr="5B41DABB">
              <w:rPr>
                <w:rFonts w:asciiTheme="majorHAnsi" w:hAnsiTheme="majorHAnsi" w:cstheme="majorBidi"/>
              </w:rPr>
              <w:t>Financování developmentu nových rezidenčních projektů se obvykle skládá z</w:t>
            </w:r>
            <w:r w:rsidR="000D7449">
              <w:rPr>
                <w:rFonts w:asciiTheme="majorHAnsi" w:hAnsiTheme="majorHAnsi" w:cstheme="majorBidi"/>
              </w:rPr>
              <w:t> </w:t>
            </w:r>
            <w:r w:rsidRPr="5B41DABB">
              <w:rPr>
                <w:rFonts w:asciiTheme="majorHAnsi" w:hAnsiTheme="majorHAnsi" w:cstheme="majorBidi"/>
              </w:rPr>
              <w:t>kombinace vlastních zdrojů investora a</w:t>
            </w:r>
            <w:r w:rsidR="000D7449">
              <w:rPr>
                <w:rFonts w:asciiTheme="majorHAnsi" w:hAnsiTheme="majorHAnsi" w:cstheme="majorBidi"/>
              </w:rPr>
              <w:t> </w:t>
            </w:r>
            <w:r w:rsidRPr="5B41DABB">
              <w:rPr>
                <w:rFonts w:asciiTheme="majorHAnsi" w:hAnsiTheme="majorHAnsi" w:cstheme="majorBidi"/>
              </w:rPr>
              <w:t>seniorního bankovního úvěru. Obvyklý požadavek financující banky na vlastní zdroje investora se pohybuje na úrovni 20% - 30% nákladů projektu. Vlastní zdroje investora mohou být nahrazeny podřízeným dluhem (mezaninovým financováním), získaným na trhu rizikového kapitálu. Zároveň rizikový kapitál preferuje perspektivní lokality s</w:t>
            </w:r>
            <w:r w:rsidR="000D7449">
              <w:rPr>
                <w:rFonts w:asciiTheme="majorHAnsi" w:hAnsiTheme="majorHAnsi" w:cstheme="majorBidi"/>
              </w:rPr>
              <w:t> </w:t>
            </w:r>
            <w:r w:rsidRPr="5B41DABB">
              <w:rPr>
                <w:rFonts w:asciiTheme="majorHAnsi" w:hAnsiTheme="majorHAnsi" w:cstheme="majorBidi"/>
              </w:rPr>
              <w:t>nízkým rizikem (krajská města a</w:t>
            </w:r>
            <w:r w:rsidR="000D7449">
              <w:rPr>
                <w:rFonts w:asciiTheme="majorHAnsi" w:hAnsiTheme="majorHAnsi" w:cstheme="majorBidi"/>
              </w:rPr>
              <w:t> </w:t>
            </w:r>
            <w:r w:rsidRPr="5B41DABB">
              <w:rPr>
                <w:rFonts w:asciiTheme="majorHAnsi" w:hAnsiTheme="majorHAnsi" w:cstheme="majorBidi"/>
              </w:rPr>
              <w:t>rozvíjející se lokality s</w:t>
            </w:r>
            <w:r w:rsidR="000D7449">
              <w:rPr>
                <w:rFonts w:asciiTheme="majorHAnsi" w:hAnsiTheme="majorHAnsi" w:cstheme="majorBidi"/>
              </w:rPr>
              <w:t> </w:t>
            </w:r>
            <w:r w:rsidRPr="5B41DABB">
              <w:rPr>
                <w:rFonts w:asciiTheme="majorHAnsi" w:hAnsiTheme="majorHAnsi" w:cstheme="majorBidi"/>
              </w:rPr>
              <w:t>dlouhodobým přírůstkem obyvatelstva).</w:t>
            </w:r>
          </w:p>
          <w:p w14:paraId="441288D2" w14:textId="5882B02B" w:rsidR="0042415F" w:rsidRPr="004B4B33" w:rsidRDefault="001D082B">
            <w:pPr>
              <w:numPr>
                <w:ilvl w:val="0"/>
                <w:numId w:val="13"/>
              </w:numPr>
              <w:spacing w:before="0" w:after="0"/>
              <w:jc w:val="both"/>
              <w:rPr>
                <w:rFonts w:asciiTheme="majorHAnsi" w:hAnsiTheme="majorHAnsi" w:cstheme="majorHAnsi"/>
              </w:rPr>
            </w:pPr>
            <w:r w:rsidRPr="004B4B33">
              <w:rPr>
                <w:rFonts w:asciiTheme="majorHAnsi" w:hAnsiTheme="majorHAnsi" w:cstheme="majorHAnsi"/>
              </w:rPr>
              <w:t>Cílem finančního nástroje je nabídnout podřízený dluh s</w:t>
            </w:r>
            <w:r w:rsidR="000D7449">
              <w:rPr>
                <w:rFonts w:asciiTheme="majorHAnsi" w:hAnsiTheme="majorHAnsi" w:cstheme="majorHAnsi"/>
              </w:rPr>
              <w:t> </w:t>
            </w:r>
            <w:r w:rsidRPr="004B4B33">
              <w:rPr>
                <w:rFonts w:asciiTheme="majorHAnsi" w:hAnsiTheme="majorHAnsi" w:cstheme="majorHAnsi"/>
              </w:rPr>
              <w:t>nižším než tržním úročením až do výše 50 % nákladů projektu (zároveň však do výše seniorního bankovního úvěru s</w:t>
            </w:r>
            <w:r w:rsidR="000D7449">
              <w:rPr>
                <w:rFonts w:asciiTheme="majorHAnsi" w:hAnsiTheme="majorHAnsi" w:cstheme="majorHAnsi"/>
              </w:rPr>
              <w:t> </w:t>
            </w:r>
            <w:r w:rsidRPr="004B4B33">
              <w:rPr>
                <w:rFonts w:asciiTheme="majorHAnsi" w:hAnsiTheme="majorHAnsi" w:cstheme="majorHAnsi"/>
              </w:rPr>
              <w:t>tržní sazbou). Podmínkou je, že finanční úspora získaná ze zvýhodněného financování bude investorem plně přenesena na slevu z</w:t>
            </w:r>
            <w:r w:rsidR="000D7449">
              <w:rPr>
                <w:rFonts w:asciiTheme="majorHAnsi" w:hAnsiTheme="majorHAnsi" w:cstheme="majorHAnsi"/>
              </w:rPr>
              <w:t> </w:t>
            </w:r>
            <w:r w:rsidRPr="004B4B33">
              <w:rPr>
                <w:rFonts w:asciiTheme="majorHAnsi" w:hAnsiTheme="majorHAnsi" w:cstheme="majorHAnsi"/>
              </w:rPr>
              <w:t>nájemného pro nájemce z</w:t>
            </w:r>
            <w:r w:rsidR="000D7449">
              <w:rPr>
                <w:rFonts w:asciiTheme="majorHAnsi" w:hAnsiTheme="majorHAnsi" w:cstheme="majorHAnsi"/>
              </w:rPr>
              <w:t> </w:t>
            </w:r>
            <w:r w:rsidRPr="004B4B33">
              <w:rPr>
                <w:rFonts w:asciiTheme="majorHAnsi" w:hAnsiTheme="majorHAnsi" w:cstheme="majorHAnsi"/>
              </w:rPr>
              <w:t xml:space="preserve">cílové skupiny </w:t>
            </w:r>
            <w:r w:rsidR="000D7449" w:rsidRPr="004B4B33">
              <w:rPr>
                <w:rFonts w:asciiTheme="majorHAnsi" w:hAnsiTheme="majorHAnsi" w:cstheme="majorHAnsi"/>
              </w:rPr>
              <w:t>obyvatelstva.</w:t>
            </w:r>
          </w:p>
          <w:p w14:paraId="3B1F8DDB" w14:textId="17F4795F" w:rsidR="0042415F" w:rsidRPr="004B4B33" w:rsidRDefault="001D082B">
            <w:pPr>
              <w:numPr>
                <w:ilvl w:val="0"/>
                <w:numId w:val="13"/>
              </w:numPr>
              <w:spacing w:before="0" w:after="0"/>
              <w:jc w:val="both"/>
              <w:rPr>
                <w:rFonts w:asciiTheme="majorHAnsi" w:hAnsiTheme="majorHAnsi" w:cstheme="majorHAnsi"/>
              </w:rPr>
            </w:pPr>
            <w:r w:rsidRPr="004B4B33">
              <w:rPr>
                <w:rFonts w:asciiTheme="majorHAnsi" w:hAnsiTheme="majorHAnsi" w:cstheme="majorHAnsi"/>
              </w:rPr>
              <w:t xml:space="preserve">Předpokládaný investiční horizont investičního </w:t>
            </w:r>
            <w:r w:rsidR="000D7449" w:rsidRPr="004B4B33">
              <w:rPr>
                <w:rFonts w:asciiTheme="majorHAnsi" w:hAnsiTheme="majorHAnsi" w:cstheme="majorHAnsi"/>
              </w:rPr>
              <w:t>nástroje ve</w:t>
            </w:r>
            <w:r w:rsidRPr="004B4B33">
              <w:rPr>
                <w:rFonts w:asciiTheme="majorHAnsi" w:hAnsiTheme="majorHAnsi" w:cstheme="majorHAnsi"/>
              </w:rPr>
              <w:t xml:space="preserve"> středním časovém horizontu </w:t>
            </w:r>
            <w:r w:rsidR="00AF39BB" w:rsidRPr="004B4B33">
              <w:rPr>
                <w:rFonts w:asciiTheme="majorHAnsi" w:hAnsiTheme="majorHAnsi" w:cstheme="majorHAnsi"/>
              </w:rPr>
              <w:t>je v</w:t>
            </w:r>
            <w:r w:rsidR="000D7449">
              <w:rPr>
                <w:rFonts w:asciiTheme="majorHAnsi" w:hAnsiTheme="majorHAnsi" w:cstheme="majorHAnsi"/>
              </w:rPr>
              <w:t> </w:t>
            </w:r>
            <w:r w:rsidR="00AF39BB" w:rsidRPr="004B4B33">
              <w:rPr>
                <w:rFonts w:asciiTheme="majorHAnsi" w:hAnsiTheme="majorHAnsi" w:cstheme="majorHAnsi"/>
              </w:rPr>
              <w:t xml:space="preserve">souladu </w:t>
            </w:r>
            <w:r w:rsidRPr="004B4B33">
              <w:rPr>
                <w:rFonts w:asciiTheme="majorHAnsi" w:hAnsiTheme="majorHAnsi" w:cstheme="majorHAnsi"/>
              </w:rPr>
              <w:t>se záměrem financovat rizikovější etapu výstavby a</w:t>
            </w:r>
            <w:r w:rsidR="000D7449">
              <w:rPr>
                <w:rFonts w:asciiTheme="majorHAnsi" w:hAnsiTheme="majorHAnsi" w:cstheme="majorHAnsi"/>
              </w:rPr>
              <w:t> </w:t>
            </w:r>
            <w:r w:rsidRPr="004B4B33">
              <w:rPr>
                <w:rFonts w:asciiTheme="majorHAnsi" w:hAnsiTheme="majorHAnsi" w:cstheme="majorHAnsi"/>
              </w:rPr>
              <w:t>fázi dosažení projektové obsazenosti, než je projekt refinancován komerčním úvěrem.</w:t>
            </w:r>
          </w:p>
          <w:p w14:paraId="78C0D262" w14:textId="1F3ECC5C" w:rsidR="0042415F" w:rsidRPr="004B4B33" w:rsidRDefault="001D082B">
            <w:pPr>
              <w:numPr>
                <w:ilvl w:val="0"/>
                <w:numId w:val="13"/>
              </w:numPr>
              <w:spacing w:before="0" w:after="0"/>
              <w:jc w:val="both"/>
              <w:rPr>
                <w:rFonts w:asciiTheme="majorHAnsi" w:hAnsiTheme="majorHAnsi" w:cstheme="majorHAnsi"/>
              </w:rPr>
            </w:pPr>
            <w:r w:rsidRPr="004B4B33">
              <w:rPr>
                <w:rFonts w:asciiTheme="majorHAnsi" w:hAnsiTheme="majorHAnsi" w:cstheme="majorHAnsi"/>
              </w:rPr>
              <w:t xml:space="preserve">Příjemcem podpory mohou být </w:t>
            </w:r>
            <w:r w:rsidR="00AF39BB" w:rsidRPr="004B4B33">
              <w:rPr>
                <w:rFonts w:asciiTheme="majorHAnsi" w:hAnsiTheme="majorHAnsi" w:cstheme="majorHAnsi"/>
              </w:rPr>
              <w:t xml:space="preserve">všechny typy investorů včetně </w:t>
            </w:r>
            <w:r w:rsidR="000D7449" w:rsidRPr="004B4B33">
              <w:rPr>
                <w:rFonts w:asciiTheme="majorHAnsi" w:hAnsiTheme="majorHAnsi" w:cstheme="majorHAnsi"/>
              </w:rPr>
              <w:t>soukromých –</w:t>
            </w:r>
            <w:r w:rsidRPr="004B4B33">
              <w:rPr>
                <w:rFonts w:asciiTheme="majorHAnsi" w:hAnsiTheme="majorHAnsi" w:cstheme="majorHAnsi"/>
              </w:rPr>
              <w:t xml:space="preserve"> koncesionář</w:t>
            </w:r>
            <w:r w:rsidR="00AF39BB" w:rsidRPr="004B4B33">
              <w:rPr>
                <w:rFonts w:asciiTheme="majorHAnsi" w:hAnsiTheme="majorHAnsi" w:cstheme="majorHAnsi"/>
              </w:rPr>
              <w:t>ů</w:t>
            </w:r>
            <w:r w:rsidRPr="004B4B33">
              <w:rPr>
                <w:rFonts w:asciiTheme="majorHAnsi" w:hAnsiTheme="majorHAnsi" w:cstheme="majorHAnsi"/>
              </w:rPr>
              <w:t xml:space="preserve"> obcí</w:t>
            </w:r>
            <w:r w:rsidR="00AF39BB" w:rsidRPr="004B4B33">
              <w:rPr>
                <w:rFonts w:asciiTheme="majorHAnsi" w:hAnsiTheme="majorHAnsi" w:cstheme="majorHAnsi"/>
              </w:rPr>
              <w:t xml:space="preserve"> na základě principu rovných podmínek </w:t>
            </w:r>
            <w:r w:rsidR="00631EC1" w:rsidRPr="004B4B33">
              <w:rPr>
                <w:rFonts w:asciiTheme="majorHAnsi" w:hAnsiTheme="majorHAnsi" w:cstheme="majorHAnsi"/>
              </w:rPr>
              <w:t>pro veřejný a</w:t>
            </w:r>
            <w:r w:rsidR="000D7449">
              <w:rPr>
                <w:rFonts w:asciiTheme="majorHAnsi" w:hAnsiTheme="majorHAnsi" w:cstheme="majorHAnsi"/>
              </w:rPr>
              <w:t> </w:t>
            </w:r>
            <w:r w:rsidR="00631EC1" w:rsidRPr="004B4B33">
              <w:rPr>
                <w:rFonts w:asciiTheme="majorHAnsi" w:hAnsiTheme="majorHAnsi" w:cstheme="majorHAnsi"/>
              </w:rPr>
              <w:t>soukromý sektor.</w:t>
            </w:r>
          </w:p>
          <w:p w14:paraId="73862CC6" w14:textId="77777777" w:rsidR="0042415F" w:rsidRPr="004B4B33" w:rsidRDefault="001D082B">
            <w:pPr>
              <w:numPr>
                <w:ilvl w:val="0"/>
                <w:numId w:val="13"/>
              </w:numPr>
              <w:spacing w:before="0"/>
              <w:jc w:val="both"/>
              <w:rPr>
                <w:rFonts w:asciiTheme="majorHAnsi" w:hAnsiTheme="majorHAnsi" w:cstheme="majorHAnsi"/>
              </w:rPr>
            </w:pPr>
            <w:r w:rsidRPr="004B4B33">
              <w:rPr>
                <w:rFonts w:asciiTheme="majorHAnsi" w:hAnsiTheme="majorHAnsi" w:cstheme="majorHAnsi"/>
              </w:rPr>
              <w:lastRenderedPageBreak/>
              <w:t xml:space="preserve">Finanční nástroj </w:t>
            </w:r>
            <w:r w:rsidR="00631EC1" w:rsidRPr="004B4B33">
              <w:rPr>
                <w:rFonts w:asciiTheme="majorHAnsi" w:hAnsiTheme="majorHAnsi" w:cstheme="majorHAnsi"/>
              </w:rPr>
              <w:t xml:space="preserve">bude implementován </w:t>
            </w:r>
            <w:r w:rsidRPr="004B4B33">
              <w:rPr>
                <w:rFonts w:asciiTheme="majorHAnsi" w:hAnsiTheme="majorHAnsi" w:cstheme="majorHAnsi"/>
              </w:rPr>
              <w:t>subjektem ze skupiny NRB.</w:t>
            </w:r>
          </w:p>
          <w:p w14:paraId="76F712FA" w14:textId="259E6EBF" w:rsidR="0042415F" w:rsidRPr="004B4B33" w:rsidRDefault="001D082B">
            <w:pPr>
              <w:jc w:val="both"/>
              <w:rPr>
                <w:rFonts w:asciiTheme="majorHAnsi" w:hAnsiTheme="majorHAnsi" w:cstheme="majorHAnsi"/>
              </w:rPr>
            </w:pPr>
            <w:r w:rsidRPr="004B4B33">
              <w:rPr>
                <w:rFonts w:asciiTheme="majorHAnsi" w:hAnsiTheme="majorHAnsi" w:cstheme="majorHAnsi"/>
                <w:u w:val="single"/>
              </w:rPr>
              <w:t>Finanční nástroj (kapitálový koinvestiční model) - využití kombinace soukromých a</w:t>
            </w:r>
            <w:r w:rsidR="000D7449">
              <w:rPr>
                <w:rFonts w:asciiTheme="majorHAnsi" w:hAnsiTheme="majorHAnsi" w:cstheme="majorHAnsi"/>
                <w:u w:val="single"/>
              </w:rPr>
              <w:t> </w:t>
            </w:r>
            <w:r w:rsidRPr="004B4B33">
              <w:rPr>
                <w:rFonts w:asciiTheme="majorHAnsi" w:hAnsiTheme="majorHAnsi" w:cstheme="majorHAnsi"/>
                <w:u w:val="single"/>
              </w:rPr>
              <w:t>veřejných zdrojů:</w:t>
            </w:r>
          </w:p>
          <w:p w14:paraId="6B21005C" w14:textId="48BBE42D" w:rsidR="0042415F" w:rsidRPr="004B4B33" w:rsidRDefault="001D082B">
            <w:pPr>
              <w:numPr>
                <w:ilvl w:val="0"/>
                <w:numId w:val="15"/>
              </w:numPr>
              <w:spacing w:after="0"/>
              <w:jc w:val="both"/>
              <w:rPr>
                <w:rFonts w:asciiTheme="majorHAnsi" w:hAnsiTheme="majorHAnsi" w:cstheme="majorHAnsi"/>
              </w:rPr>
            </w:pPr>
            <w:r w:rsidRPr="004B4B33">
              <w:rPr>
                <w:rFonts w:asciiTheme="majorHAnsi" w:hAnsiTheme="majorHAnsi" w:cstheme="majorHAnsi"/>
              </w:rPr>
              <w:t>Jedná se o</w:t>
            </w:r>
            <w:r w:rsidR="000D7449">
              <w:rPr>
                <w:rFonts w:asciiTheme="majorHAnsi" w:hAnsiTheme="majorHAnsi" w:cstheme="majorHAnsi"/>
              </w:rPr>
              <w:t> </w:t>
            </w:r>
            <w:r w:rsidRPr="004B4B33">
              <w:rPr>
                <w:rFonts w:asciiTheme="majorHAnsi" w:hAnsiTheme="majorHAnsi" w:cstheme="majorHAnsi"/>
              </w:rPr>
              <w:t>investiční model se soukromými spoluinvestory, kteří budou do společného fondu investovat za stejných podmínek jako veřejný investor. Předpokládá se nižší než tržní výnos společného fondu. Soukromým koinvestorem mohou být například korporace v</w:t>
            </w:r>
            <w:r w:rsidR="000D7449">
              <w:rPr>
                <w:rFonts w:asciiTheme="majorHAnsi" w:hAnsiTheme="majorHAnsi" w:cstheme="majorHAnsi"/>
              </w:rPr>
              <w:t> </w:t>
            </w:r>
            <w:r w:rsidRPr="004B4B33">
              <w:rPr>
                <w:rFonts w:asciiTheme="majorHAnsi" w:hAnsiTheme="majorHAnsi" w:cstheme="majorHAnsi"/>
              </w:rPr>
              <w:t>rámci svých programů Corporate Social Responsibility nebo nestátní neziskové organizace.</w:t>
            </w:r>
          </w:p>
          <w:p w14:paraId="2550E449" w14:textId="797736C5" w:rsidR="0042415F" w:rsidRPr="004B4B33" w:rsidRDefault="001D082B">
            <w:pPr>
              <w:numPr>
                <w:ilvl w:val="0"/>
                <w:numId w:val="15"/>
              </w:numPr>
              <w:spacing w:before="0" w:after="0"/>
              <w:jc w:val="both"/>
              <w:rPr>
                <w:rFonts w:asciiTheme="majorHAnsi" w:hAnsiTheme="majorHAnsi" w:cstheme="majorHAnsi"/>
              </w:rPr>
            </w:pPr>
            <w:r w:rsidRPr="004B4B33">
              <w:rPr>
                <w:rFonts w:asciiTheme="majorHAnsi" w:hAnsiTheme="majorHAnsi" w:cstheme="majorHAnsi"/>
              </w:rPr>
              <w:t>Společný investiční fond bude pořizovat vhodné nemovitosti nebo developerské projekty do svého majetku a</w:t>
            </w:r>
            <w:r w:rsidR="000D7449">
              <w:rPr>
                <w:rFonts w:asciiTheme="majorHAnsi" w:hAnsiTheme="majorHAnsi" w:cstheme="majorHAnsi"/>
              </w:rPr>
              <w:t> </w:t>
            </w:r>
            <w:r w:rsidRPr="004B4B33">
              <w:rPr>
                <w:rFonts w:asciiTheme="majorHAnsi" w:hAnsiTheme="majorHAnsi" w:cstheme="majorHAnsi"/>
              </w:rPr>
              <w:t>to po celé republice. Projekty budou vybírány na principu návratnosti, ale nutným předpokladem je akceptace nižšího výnosu ze strany investorů. Rozdíl mezi sníženým výnosem a</w:t>
            </w:r>
            <w:r w:rsidR="000D7449">
              <w:rPr>
                <w:rFonts w:asciiTheme="majorHAnsi" w:hAnsiTheme="majorHAnsi" w:cstheme="majorHAnsi"/>
              </w:rPr>
              <w:t> </w:t>
            </w:r>
            <w:r w:rsidRPr="004B4B33">
              <w:rPr>
                <w:rFonts w:asciiTheme="majorHAnsi" w:hAnsiTheme="majorHAnsi" w:cstheme="majorHAnsi"/>
              </w:rPr>
              <w:t>běžnými výnosy z</w:t>
            </w:r>
            <w:r w:rsidR="000D7449">
              <w:rPr>
                <w:rFonts w:asciiTheme="majorHAnsi" w:hAnsiTheme="majorHAnsi" w:cstheme="majorHAnsi"/>
              </w:rPr>
              <w:t> </w:t>
            </w:r>
            <w:r w:rsidRPr="004B4B33">
              <w:rPr>
                <w:rFonts w:asciiTheme="majorHAnsi" w:hAnsiTheme="majorHAnsi" w:cstheme="majorHAnsi"/>
              </w:rPr>
              <w:t>nájemních projektů vytvoří prostor pro nižší nájemné oproti běžným tržním podmínkám.</w:t>
            </w:r>
          </w:p>
          <w:p w14:paraId="080C7F6D" w14:textId="77777777" w:rsidR="0042415F" w:rsidRPr="004B4B33" w:rsidRDefault="001D082B">
            <w:pPr>
              <w:numPr>
                <w:ilvl w:val="0"/>
                <w:numId w:val="15"/>
              </w:numPr>
              <w:spacing w:before="0" w:after="0"/>
              <w:jc w:val="both"/>
              <w:rPr>
                <w:rFonts w:asciiTheme="majorHAnsi" w:hAnsiTheme="majorHAnsi" w:cstheme="majorHAnsi"/>
              </w:rPr>
            </w:pPr>
            <w:r w:rsidRPr="004B4B33">
              <w:rPr>
                <w:rFonts w:asciiTheme="majorHAnsi" w:hAnsiTheme="majorHAnsi" w:cstheme="majorHAnsi"/>
              </w:rPr>
              <w:t>Nakupované nemovitosti by měly zahrnovat:</w:t>
            </w:r>
          </w:p>
          <w:p w14:paraId="46D1CA1F" w14:textId="77777777" w:rsidR="0042415F" w:rsidRPr="004B4B33" w:rsidRDefault="001D082B">
            <w:pPr>
              <w:numPr>
                <w:ilvl w:val="0"/>
                <w:numId w:val="10"/>
              </w:numPr>
              <w:spacing w:before="0" w:after="0"/>
              <w:jc w:val="both"/>
              <w:rPr>
                <w:rFonts w:asciiTheme="majorHAnsi" w:hAnsiTheme="majorHAnsi" w:cstheme="majorHAnsi"/>
              </w:rPr>
            </w:pPr>
            <w:r w:rsidRPr="004B4B33">
              <w:rPr>
                <w:rFonts w:asciiTheme="majorHAnsi" w:hAnsiTheme="majorHAnsi" w:cstheme="majorHAnsi"/>
              </w:rPr>
              <w:t>hotové byty</w:t>
            </w:r>
          </w:p>
          <w:p w14:paraId="40ED1D6F" w14:textId="77777777" w:rsidR="0042415F" w:rsidRPr="004B4B33" w:rsidRDefault="001D082B">
            <w:pPr>
              <w:numPr>
                <w:ilvl w:val="0"/>
                <w:numId w:val="10"/>
              </w:numPr>
              <w:spacing w:before="0" w:after="0"/>
              <w:jc w:val="both"/>
              <w:rPr>
                <w:rFonts w:asciiTheme="majorHAnsi" w:hAnsiTheme="majorHAnsi" w:cstheme="majorHAnsi"/>
              </w:rPr>
            </w:pPr>
            <w:r w:rsidRPr="004B4B33">
              <w:rPr>
                <w:rFonts w:asciiTheme="majorHAnsi" w:hAnsiTheme="majorHAnsi" w:cstheme="majorHAnsi"/>
              </w:rPr>
              <w:t>projekty ve výstavbě nebo fázi připravenosti</w:t>
            </w:r>
          </w:p>
          <w:p w14:paraId="38EAE6D3" w14:textId="733420EF" w:rsidR="0042415F" w:rsidRPr="004B4B33" w:rsidRDefault="001D082B">
            <w:pPr>
              <w:numPr>
                <w:ilvl w:val="0"/>
                <w:numId w:val="10"/>
              </w:numPr>
              <w:spacing w:before="0" w:after="0"/>
              <w:jc w:val="both"/>
              <w:rPr>
                <w:rFonts w:asciiTheme="majorHAnsi" w:hAnsiTheme="majorHAnsi" w:cstheme="majorHAnsi"/>
              </w:rPr>
            </w:pPr>
            <w:r w:rsidRPr="004B4B33">
              <w:rPr>
                <w:rFonts w:asciiTheme="majorHAnsi" w:hAnsiTheme="majorHAnsi" w:cstheme="majorHAnsi"/>
              </w:rPr>
              <w:t>bytové domy k</w:t>
            </w:r>
            <w:r w:rsidR="000D7449">
              <w:rPr>
                <w:rFonts w:asciiTheme="majorHAnsi" w:hAnsiTheme="majorHAnsi" w:cstheme="majorHAnsi"/>
              </w:rPr>
              <w:t> </w:t>
            </w:r>
            <w:r w:rsidRPr="004B4B33">
              <w:rPr>
                <w:rFonts w:asciiTheme="majorHAnsi" w:hAnsiTheme="majorHAnsi" w:cstheme="majorHAnsi"/>
              </w:rPr>
              <w:t>rekonstrukci</w:t>
            </w:r>
          </w:p>
          <w:p w14:paraId="17D74990" w14:textId="5E8B126F" w:rsidR="0042415F" w:rsidRPr="004B4B33" w:rsidRDefault="001D082B">
            <w:pPr>
              <w:numPr>
                <w:ilvl w:val="0"/>
                <w:numId w:val="15"/>
              </w:numPr>
              <w:spacing w:before="0"/>
              <w:jc w:val="both"/>
              <w:rPr>
                <w:rFonts w:asciiTheme="majorHAnsi" w:hAnsiTheme="majorHAnsi" w:cstheme="majorHAnsi"/>
              </w:rPr>
            </w:pPr>
            <w:r w:rsidRPr="004B4B33">
              <w:rPr>
                <w:rFonts w:asciiTheme="majorHAnsi" w:hAnsiTheme="majorHAnsi" w:cstheme="majorHAnsi"/>
              </w:rPr>
              <w:t>Pořízené nemovitosti bude fond nabízet k</w:t>
            </w:r>
            <w:r w:rsidR="000D7449">
              <w:rPr>
                <w:rFonts w:asciiTheme="majorHAnsi" w:hAnsiTheme="majorHAnsi" w:cstheme="majorHAnsi"/>
              </w:rPr>
              <w:t> </w:t>
            </w:r>
            <w:r w:rsidRPr="004B4B33">
              <w:rPr>
                <w:rFonts w:asciiTheme="majorHAnsi" w:hAnsiTheme="majorHAnsi" w:cstheme="majorHAnsi"/>
              </w:rPr>
              <w:t>pronájmu cílovým skupinám, které kvůli svému znevýhodnění na základě sociálního nebo ekonomického statusu nemají možnost získat nájemní bydlení za tržních podmínek. Přesná definice cílových skupin bude popsána v</w:t>
            </w:r>
            <w:r w:rsidR="000D7449">
              <w:rPr>
                <w:rFonts w:asciiTheme="majorHAnsi" w:hAnsiTheme="majorHAnsi" w:cstheme="majorHAnsi"/>
              </w:rPr>
              <w:t> </w:t>
            </w:r>
            <w:r w:rsidRPr="004B4B33">
              <w:rPr>
                <w:rFonts w:asciiTheme="majorHAnsi" w:hAnsiTheme="majorHAnsi" w:cstheme="majorHAnsi"/>
              </w:rPr>
              <w:t>rámci investiční strategie na základě konzultací s</w:t>
            </w:r>
            <w:r w:rsidR="000D7449">
              <w:rPr>
                <w:rFonts w:asciiTheme="majorHAnsi" w:hAnsiTheme="majorHAnsi" w:cstheme="majorHAnsi"/>
              </w:rPr>
              <w:t> </w:t>
            </w:r>
            <w:r w:rsidRPr="004B4B33">
              <w:rPr>
                <w:rFonts w:asciiTheme="majorHAnsi" w:hAnsiTheme="majorHAnsi" w:cstheme="majorHAnsi"/>
              </w:rPr>
              <w:t>relevantními aktéry v</w:t>
            </w:r>
            <w:r w:rsidR="000D7449">
              <w:rPr>
                <w:rFonts w:asciiTheme="majorHAnsi" w:hAnsiTheme="majorHAnsi" w:cstheme="majorHAnsi"/>
              </w:rPr>
              <w:t> </w:t>
            </w:r>
            <w:r w:rsidRPr="004B4B33">
              <w:rPr>
                <w:rFonts w:asciiTheme="majorHAnsi" w:hAnsiTheme="majorHAnsi" w:cstheme="majorHAnsi"/>
              </w:rPr>
              <w:t>této oblasti (např. ministerstva, municipality, neziskové instituce apod.).</w:t>
            </w:r>
          </w:p>
          <w:p w14:paraId="2786D68E" w14:textId="77777777" w:rsidR="00631EC1" w:rsidRPr="004B4B33" w:rsidRDefault="00631EC1">
            <w:pPr>
              <w:numPr>
                <w:ilvl w:val="0"/>
                <w:numId w:val="15"/>
              </w:numPr>
              <w:spacing w:before="0"/>
              <w:jc w:val="both"/>
              <w:rPr>
                <w:rFonts w:asciiTheme="majorHAnsi" w:hAnsiTheme="majorHAnsi" w:cstheme="majorHAnsi"/>
              </w:rPr>
            </w:pPr>
            <w:r w:rsidRPr="004B4B33">
              <w:rPr>
                <w:rFonts w:asciiTheme="majorHAnsi" w:hAnsiTheme="majorHAnsi" w:cstheme="majorHAnsi"/>
              </w:rPr>
              <w:t>Finanční nástroj bude implementován subjektem ze skupiny NRB.</w:t>
            </w:r>
          </w:p>
          <w:p w14:paraId="0C233269" w14:textId="6C6BC1D8" w:rsidR="0042415F" w:rsidRPr="004B4B33" w:rsidRDefault="001D082B">
            <w:pPr>
              <w:spacing w:before="0" w:after="240"/>
              <w:jc w:val="both"/>
              <w:rPr>
                <w:rFonts w:asciiTheme="majorHAnsi" w:hAnsiTheme="majorHAnsi" w:cstheme="majorHAnsi"/>
              </w:rPr>
            </w:pPr>
            <w:r w:rsidRPr="004B4B33">
              <w:rPr>
                <w:rFonts w:asciiTheme="majorHAnsi" w:hAnsiTheme="majorHAnsi" w:cstheme="majorHAnsi"/>
              </w:rPr>
              <w:t>Řídící a</w:t>
            </w:r>
            <w:r w:rsidR="000D7449">
              <w:rPr>
                <w:rFonts w:asciiTheme="majorHAnsi" w:hAnsiTheme="majorHAnsi" w:cstheme="majorHAnsi"/>
              </w:rPr>
              <w:t> </w:t>
            </w:r>
            <w:r w:rsidRPr="004B4B33">
              <w:rPr>
                <w:rFonts w:asciiTheme="majorHAnsi" w:hAnsiTheme="majorHAnsi" w:cstheme="majorHAnsi"/>
              </w:rPr>
              <w:t>monitorovací funkce bude na Ministerstvu pro místní rozvoj. Exekutivní řízení a</w:t>
            </w:r>
            <w:r w:rsidR="000D7449">
              <w:rPr>
                <w:rFonts w:asciiTheme="majorHAnsi" w:hAnsiTheme="majorHAnsi" w:cstheme="majorHAnsi"/>
              </w:rPr>
              <w:t> </w:t>
            </w:r>
            <w:r w:rsidRPr="004B4B33">
              <w:rPr>
                <w:rFonts w:asciiTheme="majorHAnsi" w:hAnsiTheme="majorHAnsi" w:cstheme="majorHAnsi"/>
              </w:rPr>
              <w:t>administrace finančních instrumentů bude realizována implementačními partnery.  Bližší ustanovení o</w:t>
            </w:r>
            <w:r w:rsidR="000D7449">
              <w:rPr>
                <w:rFonts w:asciiTheme="majorHAnsi" w:hAnsiTheme="majorHAnsi" w:cstheme="majorHAnsi"/>
              </w:rPr>
              <w:t> </w:t>
            </w:r>
            <w:r w:rsidRPr="004B4B33">
              <w:rPr>
                <w:rFonts w:asciiTheme="majorHAnsi" w:hAnsiTheme="majorHAnsi" w:cstheme="majorHAnsi"/>
              </w:rPr>
              <w:t xml:space="preserve">systému správy viz kapitola </w:t>
            </w:r>
            <w:r w:rsidR="00446A7E" w:rsidRPr="004B4B33">
              <w:rPr>
                <w:rFonts w:asciiTheme="majorHAnsi" w:hAnsiTheme="majorHAnsi" w:cstheme="majorHAnsi"/>
              </w:rPr>
              <w:t>Správní rámec</w:t>
            </w:r>
            <w:r w:rsidRPr="004B4B33">
              <w:rPr>
                <w:rFonts w:asciiTheme="majorHAnsi" w:hAnsiTheme="majorHAnsi" w:cstheme="majorHAnsi"/>
              </w:rPr>
              <w:t xml:space="preserve">. </w:t>
            </w:r>
          </w:p>
          <w:p w14:paraId="24D2EFDD" w14:textId="6099AAAA" w:rsidR="0042415F" w:rsidRPr="004B4B33" w:rsidRDefault="001D082B">
            <w:pPr>
              <w:spacing w:before="0"/>
              <w:jc w:val="both"/>
              <w:rPr>
                <w:rFonts w:asciiTheme="majorHAnsi" w:hAnsiTheme="majorHAnsi" w:cstheme="majorHAnsi"/>
              </w:rPr>
            </w:pPr>
            <w:r w:rsidRPr="004B4B33">
              <w:rPr>
                <w:rFonts w:asciiTheme="majorHAnsi" w:hAnsiTheme="majorHAnsi" w:cstheme="majorHAnsi"/>
              </w:rPr>
              <w:t>Vytvoření finančních nástrojů očekáváme v</w:t>
            </w:r>
            <w:r w:rsidR="000D7449">
              <w:rPr>
                <w:rFonts w:asciiTheme="majorHAnsi" w:hAnsiTheme="majorHAnsi" w:cstheme="majorHAnsi"/>
              </w:rPr>
              <w:t> </w:t>
            </w:r>
            <w:r w:rsidRPr="004B4B33">
              <w:rPr>
                <w:rFonts w:asciiTheme="majorHAnsi" w:hAnsiTheme="majorHAnsi" w:cstheme="majorHAnsi"/>
              </w:rPr>
              <w:t>první polovině roku 2024.</w:t>
            </w:r>
          </w:p>
          <w:p w14:paraId="5FF0A3A6" w14:textId="4D05782A" w:rsidR="0042415F" w:rsidRPr="004B4B33" w:rsidRDefault="001D082B">
            <w:pPr>
              <w:spacing w:before="0"/>
              <w:jc w:val="both"/>
              <w:rPr>
                <w:rFonts w:asciiTheme="majorHAnsi" w:hAnsiTheme="majorHAnsi" w:cstheme="majorHAnsi"/>
              </w:rPr>
            </w:pPr>
            <w:r w:rsidRPr="004B4B33">
              <w:rPr>
                <w:rFonts w:asciiTheme="majorHAnsi" w:hAnsiTheme="majorHAnsi" w:cstheme="majorHAnsi"/>
              </w:rPr>
              <w:t>Nezbytnou součástí je provazba na ostatní části komponenty, díky kterým bude možné vést významnou komunikační kampaň v</w:t>
            </w:r>
            <w:r w:rsidR="000D7449">
              <w:rPr>
                <w:rFonts w:asciiTheme="majorHAnsi" w:hAnsiTheme="majorHAnsi" w:cstheme="majorHAnsi"/>
              </w:rPr>
              <w:t> </w:t>
            </w:r>
            <w:r w:rsidRPr="004B4B33">
              <w:rPr>
                <w:rFonts w:asciiTheme="majorHAnsi" w:hAnsiTheme="majorHAnsi" w:cstheme="majorHAnsi"/>
              </w:rPr>
              <w:t>území už během roku 2023 tak, aby byla zajištěna příprava vhodných projektů pro zasmluvnění po spuštění finančních nástrojů.</w:t>
            </w:r>
          </w:p>
        </w:tc>
      </w:tr>
      <w:tr w:rsidR="0042415F" w:rsidRPr="004B4B33" w14:paraId="153A0C59" w14:textId="77777777" w:rsidTr="5B41DABB">
        <w:trPr>
          <w:trHeight w:val="1100"/>
          <w:jc w:val="center"/>
        </w:trPr>
        <w:tc>
          <w:tcPr>
            <w:tcW w:w="166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2D0FE171"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lastRenderedPageBreak/>
              <w:t>Spolupráce</w:t>
            </w:r>
          </w:p>
          <w:p w14:paraId="4507B70A"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a zapojení</w:t>
            </w:r>
          </w:p>
          <w:p w14:paraId="2C37472B"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zúčastněných stran</w:t>
            </w:r>
          </w:p>
        </w:tc>
        <w:tc>
          <w:tcPr>
            <w:tcW w:w="7200" w:type="dxa"/>
            <w:tcBorders>
              <w:top w:val="nil"/>
              <w:left w:val="nil"/>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237FF00F" w14:textId="0F52D667" w:rsidR="0042415F" w:rsidRPr="004B4B33" w:rsidRDefault="001D082B">
            <w:pPr>
              <w:numPr>
                <w:ilvl w:val="0"/>
                <w:numId w:val="7"/>
              </w:numPr>
              <w:spacing w:after="0"/>
              <w:ind w:left="425"/>
              <w:jc w:val="both"/>
              <w:rPr>
                <w:rFonts w:asciiTheme="majorHAnsi" w:hAnsiTheme="majorHAnsi" w:cstheme="majorHAnsi"/>
              </w:rPr>
            </w:pPr>
            <w:r w:rsidRPr="004B4B33">
              <w:rPr>
                <w:rFonts w:asciiTheme="majorHAnsi" w:hAnsiTheme="majorHAnsi" w:cstheme="majorHAnsi"/>
              </w:rPr>
              <w:t>Ústřední orgány státní správy a</w:t>
            </w:r>
            <w:r w:rsidR="000D7449">
              <w:rPr>
                <w:rFonts w:asciiTheme="majorHAnsi" w:hAnsiTheme="majorHAnsi" w:cstheme="majorHAnsi"/>
              </w:rPr>
              <w:t> </w:t>
            </w:r>
            <w:r w:rsidRPr="004B4B33">
              <w:rPr>
                <w:rFonts w:asciiTheme="majorHAnsi" w:hAnsiTheme="majorHAnsi" w:cstheme="majorHAnsi"/>
              </w:rPr>
              <w:t>jejich resortní organizace: Ministerstvo financí ČR, Ministerstvo práce a</w:t>
            </w:r>
            <w:r w:rsidR="000D7449">
              <w:rPr>
                <w:rFonts w:asciiTheme="majorHAnsi" w:hAnsiTheme="majorHAnsi" w:cstheme="majorHAnsi"/>
              </w:rPr>
              <w:t> </w:t>
            </w:r>
            <w:r w:rsidRPr="004B4B33">
              <w:rPr>
                <w:rFonts w:asciiTheme="majorHAnsi" w:hAnsiTheme="majorHAnsi" w:cstheme="majorHAnsi"/>
              </w:rPr>
              <w:t>sociálních věcí ČR, Ministerstvo životního prostředí ČR, Ministerstvo průmyslu a</w:t>
            </w:r>
            <w:r w:rsidR="000D7449">
              <w:rPr>
                <w:rFonts w:asciiTheme="majorHAnsi" w:hAnsiTheme="majorHAnsi" w:cstheme="majorHAnsi"/>
              </w:rPr>
              <w:t> </w:t>
            </w:r>
            <w:r w:rsidRPr="004B4B33">
              <w:rPr>
                <w:rFonts w:asciiTheme="majorHAnsi" w:hAnsiTheme="majorHAnsi" w:cstheme="majorHAnsi"/>
              </w:rPr>
              <w:t>obchodu ČR;</w:t>
            </w:r>
          </w:p>
          <w:p w14:paraId="4E6B52F7" w14:textId="168229B3" w:rsidR="0042415F" w:rsidRPr="004B4B33" w:rsidRDefault="001D082B">
            <w:pPr>
              <w:numPr>
                <w:ilvl w:val="0"/>
                <w:numId w:val="7"/>
              </w:numPr>
              <w:spacing w:before="0" w:after="0"/>
              <w:ind w:left="425"/>
              <w:jc w:val="both"/>
              <w:rPr>
                <w:rFonts w:asciiTheme="majorHAnsi" w:hAnsiTheme="majorHAnsi" w:cstheme="majorHAnsi"/>
              </w:rPr>
            </w:pPr>
            <w:r w:rsidRPr="004B4B33">
              <w:rPr>
                <w:rFonts w:asciiTheme="majorHAnsi" w:hAnsiTheme="majorHAnsi" w:cstheme="majorHAnsi"/>
              </w:rPr>
              <w:t xml:space="preserve">Municipality, kraje, Asociace krajů ČR, Sdružení místních samospráv ČR </w:t>
            </w:r>
            <w:r w:rsidRPr="004B4B33">
              <w:rPr>
                <w:rFonts w:asciiTheme="majorHAnsi" w:hAnsiTheme="majorHAnsi" w:cstheme="majorHAnsi"/>
              </w:rPr>
              <w:lastRenderedPageBreak/>
              <w:t>a</w:t>
            </w:r>
            <w:r w:rsidR="000D7449">
              <w:rPr>
                <w:rFonts w:asciiTheme="majorHAnsi" w:hAnsiTheme="majorHAnsi" w:cstheme="majorHAnsi"/>
              </w:rPr>
              <w:t> </w:t>
            </w:r>
            <w:r w:rsidRPr="004B4B33">
              <w:rPr>
                <w:rFonts w:asciiTheme="majorHAnsi" w:hAnsiTheme="majorHAnsi" w:cstheme="majorHAnsi"/>
              </w:rPr>
              <w:t>Svaz měst a</w:t>
            </w:r>
            <w:r w:rsidR="000D7449">
              <w:rPr>
                <w:rFonts w:asciiTheme="majorHAnsi" w:hAnsiTheme="majorHAnsi" w:cstheme="majorHAnsi"/>
              </w:rPr>
              <w:t> </w:t>
            </w:r>
            <w:r w:rsidRPr="004B4B33">
              <w:rPr>
                <w:rFonts w:asciiTheme="majorHAnsi" w:hAnsiTheme="majorHAnsi" w:cstheme="majorHAnsi"/>
              </w:rPr>
              <w:t>obcí ČR;</w:t>
            </w:r>
          </w:p>
          <w:p w14:paraId="59A684ED" w14:textId="3316172E" w:rsidR="0042415F" w:rsidRPr="004B4B33" w:rsidRDefault="001D082B">
            <w:pPr>
              <w:numPr>
                <w:ilvl w:val="0"/>
                <w:numId w:val="7"/>
              </w:numPr>
              <w:spacing w:before="0" w:after="0"/>
              <w:ind w:left="425"/>
              <w:jc w:val="both"/>
              <w:rPr>
                <w:rFonts w:asciiTheme="majorHAnsi" w:hAnsiTheme="majorHAnsi" w:cstheme="majorHAnsi"/>
              </w:rPr>
            </w:pPr>
            <w:r w:rsidRPr="004B4B33">
              <w:rPr>
                <w:rFonts w:asciiTheme="majorHAnsi" w:hAnsiTheme="majorHAnsi" w:cstheme="majorHAnsi"/>
              </w:rPr>
              <w:t>Národní a</w:t>
            </w:r>
            <w:r w:rsidR="000D7449">
              <w:rPr>
                <w:rFonts w:asciiTheme="majorHAnsi" w:hAnsiTheme="majorHAnsi" w:cstheme="majorHAnsi"/>
              </w:rPr>
              <w:t> </w:t>
            </w:r>
            <w:r w:rsidRPr="004B4B33">
              <w:rPr>
                <w:rFonts w:asciiTheme="majorHAnsi" w:hAnsiTheme="majorHAnsi" w:cstheme="majorHAnsi"/>
              </w:rPr>
              <w:t>mezinárodní finanční instituce - finanční sektor, NRB, SFPI, EIB</w:t>
            </w:r>
          </w:p>
          <w:p w14:paraId="130F45E7" w14:textId="77777777" w:rsidR="0042415F" w:rsidRPr="004B4B33" w:rsidRDefault="001D082B">
            <w:pPr>
              <w:numPr>
                <w:ilvl w:val="0"/>
                <w:numId w:val="7"/>
              </w:numPr>
              <w:spacing w:before="0" w:after="0"/>
              <w:ind w:left="425"/>
              <w:jc w:val="both"/>
              <w:rPr>
                <w:rFonts w:asciiTheme="majorHAnsi" w:hAnsiTheme="majorHAnsi" w:cstheme="majorHAnsi"/>
              </w:rPr>
            </w:pPr>
            <w:r w:rsidRPr="004B4B33">
              <w:rPr>
                <w:rFonts w:asciiTheme="majorHAnsi" w:hAnsiTheme="majorHAnsi" w:cstheme="majorHAnsi"/>
              </w:rPr>
              <w:t>Svaz podnikatelů ve stavebnictví (případně další zástupci korporátního sektoru, mj. klíčových developerů);</w:t>
            </w:r>
          </w:p>
          <w:p w14:paraId="450DF215" w14:textId="77777777" w:rsidR="0042415F" w:rsidRPr="004B4B33" w:rsidRDefault="001D082B">
            <w:pPr>
              <w:numPr>
                <w:ilvl w:val="0"/>
                <w:numId w:val="7"/>
              </w:numPr>
              <w:spacing w:before="0"/>
              <w:ind w:left="425"/>
              <w:jc w:val="both"/>
              <w:rPr>
                <w:rFonts w:asciiTheme="majorHAnsi" w:hAnsiTheme="majorHAnsi" w:cstheme="majorHAnsi"/>
              </w:rPr>
            </w:pPr>
            <w:r w:rsidRPr="004B4B33">
              <w:rPr>
                <w:rFonts w:asciiTheme="majorHAnsi" w:hAnsiTheme="majorHAnsi" w:cstheme="majorHAnsi"/>
              </w:rPr>
              <w:t>Neziskové organizace.</w:t>
            </w:r>
          </w:p>
        </w:tc>
      </w:tr>
      <w:tr w:rsidR="0042415F" w:rsidRPr="004B4B33" w14:paraId="7C0AC81A" w14:textId="77777777" w:rsidTr="5B41DABB">
        <w:trPr>
          <w:trHeight w:val="590"/>
          <w:jc w:val="center"/>
        </w:trPr>
        <w:tc>
          <w:tcPr>
            <w:tcW w:w="166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322538B" w14:textId="7433E3A0"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lastRenderedPageBreak/>
              <w:t>Překážky a</w:t>
            </w:r>
            <w:r w:rsidR="000D7449">
              <w:rPr>
                <w:rFonts w:asciiTheme="majorHAnsi" w:hAnsiTheme="majorHAnsi" w:cstheme="majorHAnsi"/>
              </w:rPr>
              <w:t> </w:t>
            </w:r>
            <w:r w:rsidRPr="004B4B33">
              <w:rPr>
                <w:rFonts w:asciiTheme="majorHAnsi" w:hAnsiTheme="majorHAnsi" w:cstheme="majorHAnsi"/>
              </w:rPr>
              <w:t>rizika</w:t>
            </w:r>
          </w:p>
        </w:tc>
        <w:tc>
          <w:tcPr>
            <w:tcW w:w="720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58C47E0A" w14:textId="6902828B" w:rsidR="0042415F" w:rsidRPr="004B4B33" w:rsidRDefault="001D082B">
            <w:pPr>
              <w:numPr>
                <w:ilvl w:val="0"/>
                <w:numId w:val="11"/>
              </w:numPr>
              <w:spacing w:before="0" w:after="0"/>
              <w:ind w:left="425"/>
              <w:jc w:val="both"/>
              <w:rPr>
                <w:rFonts w:asciiTheme="majorHAnsi" w:hAnsiTheme="majorHAnsi" w:cstheme="majorHAnsi"/>
              </w:rPr>
            </w:pPr>
            <w:r w:rsidRPr="004B4B33">
              <w:rPr>
                <w:rFonts w:asciiTheme="majorHAnsi" w:hAnsiTheme="majorHAnsi" w:cstheme="majorHAnsi"/>
              </w:rPr>
              <w:t>dostatek kvalitních záměrů a</w:t>
            </w:r>
            <w:r w:rsidR="000D7449">
              <w:rPr>
                <w:rFonts w:asciiTheme="majorHAnsi" w:hAnsiTheme="majorHAnsi" w:cstheme="majorHAnsi"/>
              </w:rPr>
              <w:t> </w:t>
            </w:r>
            <w:r w:rsidRPr="004B4B33">
              <w:rPr>
                <w:rFonts w:asciiTheme="majorHAnsi" w:hAnsiTheme="majorHAnsi" w:cstheme="majorHAnsi"/>
              </w:rPr>
              <w:t>projektů v</w:t>
            </w:r>
            <w:r w:rsidR="000D7449">
              <w:rPr>
                <w:rFonts w:asciiTheme="majorHAnsi" w:hAnsiTheme="majorHAnsi" w:cstheme="majorHAnsi"/>
              </w:rPr>
              <w:t> </w:t>
            </w:r>
            <w:r w:rsidRPr="004B4B33">
              <w:rPr>
                <w:rFonts w:asciiTheme="majorHAnsi" w:hAnsiTheme="majorHAnsi" w:cstheme="majorHAnsi"/>
              </w:rPr>
              <w:t>území</w:t>
            </w:r>
          </w:p>
          <w:p w14:paraId="1A762A76" w14:textId="45380D95" w:rsidR="0042415F" w:rsidRPr="004B4B33" w:rsidRDefault="001D082B">
            <w:pPr>
              <w:numPr>
                <w:ilvl w:val="0"/>
                <w:numId w:val="11"/>
              </w:numPr>
              <w:spacing w:before="0" w:after="0"/>
              <w:ind w:left="425"/>
              <w:jc w:val="both"/>
              <w:rPr>
                <w:rFonts w:asciiTheme="majorHAnsi" w:hAnsiTheme="majorHAnsi" w:cstheme="majorHAnsi"/>
              </w:rPr>
            </w:pPr>
            <w:r w:rsidRPr="004B4B33">
              <w:rPr>
                <w:rFonts w:asciiTheme="majorHAnsi" w:hAnsiTheme="majorHAnsi" w:cstheme="majorHAnsi"/>
              </w:rPr>
              <w:t>neočekávané dopady na investorské prostředí v</w:t>
            </w:r>
            <w:r w:rsidR="000D7449">
              <w:rPr>
                <w:rFonts w:asciiTheme="majorHAnsi" w:hAnsiTheme="majorHAnsi" w:cstheme="majorHAnsi"/>
              </w:rPr>
              <w:t> </w:t>
            </w:r>
            <w:r w:rsidRPr="004B4B33">
              <w:rPr>
                <w:rFonts w:asciiTheme="majorHAnsi" w:hAnsiTheme="majorHAnsi" w:cstheme="majorHAnsi"/>
              </w:rPr>
              <w:t>důsledku globálních výkyvů</w:t>
            </w:r>
          </w:p>
          <w:p w14:paraId="23467C43" w14:textId="77777777" w:rsidR="0042415F" w:rsidRPr="004B4B33" w:rsidRDefault="001D082B">
            <w:pPr>
              <w:numPr>
                <w:ilvl w:val="0"/>
                <w:numId w:val="11"/>
              </w:numPr>
              <w:spacing w:before="0" w:after="200"/>
              <w:ind w:left="425"/>
              <w:jc w:val="both"/>
              <w:rPr>
                <w:rFonts w:asciiTheme="majorHAnsi" w:hAnsiTheme="majorHAnsi" w:cstheme="majorHAnsi"/>
              </w:rPr>
            </w:pPr>
            <w:r w:rsidRPr="004B4B33">
              <w:rPr>
                <w:rFonts w:asciiTheme="majorHAnsi" w:hAnsiTheme="majorHAnsi" w:cstheme="majorHAnsi"/>
              </w:rPr>
              <w:t>komplexita vytvoření finančních nástrojů</w:t>
            </w:r>
          </w:p>
        </w:tc>
      </w:tr>
      <w:tr w:rsidR="0042415F" w:rsidRPr="004B4B33" w14:paraId="71465993" w14:textId="77777777" w:rsidTr="5B41DABB">
        <w:trPr>
          <w:trHeight w:val="1355"/>
          <w:jc w:val="center"/>
        </w:trPr>
        <w:tc>
          <w:tcPr>
            <w:tcW w:w="166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BAEE4D2"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Cílové skupiny</w:t>
            </w:r>
          </w:p>
          <w:p w14:paraId="1B7F7B7B"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populace</w:t>
            </w:r>
          </w:p>
          <w:p w14:paraId="08DE7B29"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a ekonomické</w:t>
            </w:r>
          </w:p>
          <w:p w14:paraId="7D8002B9"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subjekty</w:t>
            </w:r>
          </w:p>
        </w:tc>
        <w:tc>
          <w:tcPr>
            <w:tcW w:w="720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7105545" w14:textId="77777777" w:rsidR="0042415F" w:rsidRPr="004B4B33" w:rsidRDefault="001D082B">
            <w:pPr>
              <w:numPr>
                <w:ilvl w:val="0"/>
                <w:numId w:val="27"/>
              </w:numPr>
              <w:spacing w:before="0" w:after="0"/>
              <w:ind w:left="420"/>
              <w:jc w:val="both"/>
              <w:rPr>
                <w:rFonts w:asciiTheme="majorHAnsi" w:hAnsiTheme="majorHAnsi" w:cstheme="majorHAnsi"/>
              </w:rPr>
            </w:pPr>
            <w:r w:rsidRPr="004B4B33">
              <w:rPr>
                <w:rFonts w:asciiTheme="majorHAnsi" w:hAnsiTheme="majorHAnsi" w:cstheme="majorHAnsi"/>
              </w:rPr>
              <w:t>občané splňující kritéria pro získání dostupného nájemního bydlení;</w:t>
            </w:r>
          </w:p>
          <w:p w14:paraId="2A4375A0" w14:textId="77777777" w:rsidR="0042415F" w:rsidRPr="004B4B33" w:rsidRDefault="001D082B">
            <w:pPr>
              <w:numPr>
                <w:ilvl w:val="0"/>
                <w:numId w:val="27"/>
              </w:numPr>
              <w:spacing w:before="0" w:after="0"/>
              <w:ind w:left="420"/>
              <w:jc w:val="both"/>
              <w:rPr>
                <w:rFonts w:asciiTheme="majorHAnsi" w:hAnsiTheme="majorHAnsi" w:cstheme="majorHAnsi"/>
              </w:rPr>
            </w:pPr>
            <w:r w:rsidRPr="004B4B33">
              <w:rPr>
                <w:rFonts w:asciiTheme="majorHAnsi" w:hAnsiTheme="majorHAnsi" w:cstheme="majorHAnsi"/>
              </w:rPr>
              <w:t>veřejný sektor (např. municipality) realizující projekty dostupného bydlení;</w:t>
            </w:r>
          </w:p>
          <w:p w14:paraId="1EA8DA7A" w14:textId="77777777" w:rsidR="0042415F" w:rsidRPr="004B4B33" w:rsidRDefault="001D082B">
            <w:pPr>
              <w:numPr>
                <w:ilvl w:val="0"/>
                <w:numId w:val="27"/>
              </w:numPr>
              <w:spacing w:before="0"/>
              <w:ind w:left="420"/>
              <w:jc w:val="both"/>
              <w:rPr>
                <w:rFonts w:asciiTheme="majorHAnsi" w:hAnsiTheme="majorHAnsi" w:cstheme="majorHAnsi"/>
              </w:rPr>
            </w:pPr>
            <w:r w:rsidRPr="004B4B33">
              <w:rPr>
                <w:rFonts w:asciiTheme="majorHAnsi" w:hAnsiTheme="majorHAnsi" w:cstheme="majorHAnsi"/>
              </w:rPr>
              <w:t>soukromí investoři do výstavby dostupného bydlení (např. finanční sektor).</w:t>
            </w:r>
          </w:p>
          <w:p w14:paraId="3F687904" w14:textId="45552BE7" w:rsidR="0042415F" w:rsidRPr="004B4B33" w:rsidRDefault="78F8E056">
            <w:pPr>
              <w:spacing w:before="0"/>
              <w:jc w:val="both"/>
              <w:rPr>
                <w:rFonts w:asciiTheme="majorHAnsi" w:hAnsiTheme="majorHAnsi" w:cstheme="majorHAnsi"/>
              </w:rPr>
            </w:pPr>
            <w:r w:rsidRPr="004B4B33">
              <w:rPr>
                <w:rFonts w:asciiTheme="majorHAnsi" w:hAnsiTheme="majorHAnsi" w:cstheme="majorHAnsi"/>
              </w:rPr>
              <w:t>Dostupným nájemním bydlením je nájemní bydlení, které se poskytuje za dostupné nájemné, tj. nižší než tržní</w:t>
            </w:r>
            <w:r w:rsidR="6539CB71" w:rsidRPr="004B4B33">
              <w:rPr>
                <w:rFonts w:asciiTheme="majorHAnsi" w:hAnsiTheme="majorHAnsi" w:cstheme="majorHAnsi"/>
              </w:rPr>
              <w:t xml:space="preserve"> (nákladové nájemné s</w:t>
            </w:r>
            <w:r w:rsidR="000D7449">
              <w:rPr>
                <w:rFonts w:asciiTheme="majorHAnsi" w:hAnsiTheme="majorHAnsi" w:cstheme="majorHAnsi"/>
              </w:rPr>
              <w:t> </w:t>
            </w:r>
            <w:r w:rsidR="6539CB71" w:rsidRPr="004B4B33">
              <w:rPr>
                <w:rFonts w:asciiTheme="majorHAnsi" w:hAnsiTheme="majorHAnsi" w:cstheme="majorHAnsi"/>
              </w:rPr>
              <w:t>limitovaným navýšením a</w:t>
            </w:r>
            <w:r w:rsidR="000D7449">
              <w:rPr>
                <w:rFonts w:asciiTheme="majorHAnsi" w:hAnsiTheme="majorHAnsi" w:cstheme="majorHAnsi"/>
              </w:rPr>
              <w:t> </w:t>
            </w:r>
            <w:r w:rsidR="6FE3E6E3" w:rsidRPr="004B4B33">
              <w:rPr>
                <w:rFonts w:asciiTheme="majorHAnsi" w:hAnsiTheme="majorHAnsi" w:cstheme="majorHAnsi"/>
              </w:rPr>
              <w:t>nízkými náklady za energie)</w:t>
            </w:r>
            <w:r w:rsidRPr="004B4B33">
              <w:rPr>
                <w:rFonts w:asciiTheme="majorHAnsi" w:hAnsiTheme="majorHAnsi" w:cstheme="majorHAnsi"/>
              </w:rPr>
              <w:t>. Je určeno zejména pro osoby, které si nejsou schopny samy udržet ani obstarat vhodné bydlení na trhu. Jedná se hlavně o</w:t>
            </w:r>
            <w:r w:rsidR="000D7449">
              <w:rPr>
                <w:rFonts w:asciiTheme="majorHAnsi" w:hAnsiTheme="majorHAnsi" w:cstheme="majorHAnsi"/>
              </w:rPr>
              <w:t> </w:t>
            </w:r>
            <w:r w:rsidRPr="004B4B33">
              <w:rPr>
                <w:rFonts w:asciiTheme="majorHAnsi" w:hAnsiTheme="majorHAnsi" w:cstheme="majorHAnsi"/>
              </w:rPr>
              <w:t>osoby trpící nedostatkem finančních prostředků pro zajištění vhodného bydlení, včetně osob spadajících do typologie Ethos, včetně obětí domácího násilí. Dostupné nájemní bydlení se dále poskytuje i</w:t>
            </w:r>
            <w:r w:rsidR="000D7449">
              <w:rPr>
                <w:rFonts w:asciiTheme="majorHAnsi" w:hAnsiTheme="majorHAnsi" w:cstheme="majorHAnsi"/>
              </w:rPr>
              <w:t> </w:t>
            </w:r>
            <w:r w:rsidRPr="004B4B33">
              <w:rPr>
                <w:rFonts w:asciiTheme="majorHAnsi" w:hAnsiTheme="majorHAnsi" w:cstheme="majorHAnsi"/>
              </w:rPr>
              <w:t>osobám, kteří jsou svým profesním zaměřením, popřípadě z</w:t>
            </w:r>
            <w:r w:rsidR="000D7449">
              <w:rPr>
                <w:rFonts w:asciiTheme="majorHAnsi" w:hAnsiTheme="majorHAnsi" w:cstheme="majorHAnsi"/>
              </w:rPr>
              <w:t> </w:t>
            </w:r>
            <w:r w:rsidRPr="004B4B33">
              <w:rPr>
                <w:rFonts w:asciiTheme="majorHAnsi" w:hAnsiTheme="majorHAnsi" w:cstheme="majorHAnsi"/>
              </w:rPr>
              <w:t>jiných důvodů, důležití pro rozvoj území, na kterém se poskytuje dostupné nájemní bydlení (např. lékařský personál, hasiči, policisté apod.).</w:t>
            </w:r>
          </w:p>
        </w:tc>
      </w:tr>
      <w:tr w:rsidR="0042415F" w:rsidRPr="004B4B33" w14:paraId="3EE9F675" w14:textId="77777777" w:rsidTr="5B41DABB">
        <w:trPr>
          <w:trHeight w:val="1355"/>
          <w:jc w:val="center"/>
        </w:trPr>
        <w:tc>
          <w:tcPr>
            <w:tcW w:w="166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550AC08"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Souhrnné náklady</w:t>
            </w:r>
          </w:p>
          <w:p w14:paraId="0EB691F4"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realizace</w:t>
            </w:r>
          </w:p>
          <w:p w14:paraId="39C1E3E0" w14:textId="6A1ABFE4"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financované z</w:t>
            </w:r>
            <w:r w:rsidR="000D7449">
              <w:rPr>
                <w:rFonts w:asciiTheme="majorHAnsi" w:hAnsiTheme="majorHAnsi" w:cstheme="majorHAnsi"/>
              </w:rPr>
              <w:t> </w:t>
            </w:r>
            <w:r w:rsidRPr="004B4B33">
              <w:rPr>
                <w:rFonts w:asciiTheme="majorHAnsi" w:hAnsiTheme="majorHAnsi" w:cstheme="majorHAnsi"/>
              </w:rPr>
              <w:t>RRF za celé období</w:t>
            </w:r>
          </w:p>
        </w:tc>
        <w:tc>
          <w:tcPr>
            <w:tcW w:w="720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1223F4F8" w14:textId="4F7D6220" w:rsidR="0042415F" w:rsidRPr="004B4B33" w:rsidRDefault="001D082B">
            <w:pPr>
              <w:spacing w:before="0"/>
              <w:jc w:val="both"/>
              <w:rPr>
                <w:rFonts w:asciiTheme="majorHAnsi" w:hAnsiTheme="majorHAnsi" w:cstheme="majorHAnsi"/>
                <w:highlight w:val="yellow"/>
              </w:rPr>
            </w:pPr>
            <w:r w:rsidRPr="004B4B33">
              <w:rPr>
                <w:rFonts w:asciiTheme="majorHAnsi" w:hAnsiTheme="majorHAnsi" w:cstheme="majorHAnsi"/>
              </w:rPr>
              <w:t>Investiční program pro zvýšení dostupnosti bydlení předpokládá alokaci 8 mld. Kč.</w:t>
            </w:r>
            <w:r w:rsidR="009A13D2" w:rsidRPr="004B4B33">
              <w:rPr>
                <w:rFonts w:asciiTheme="majorHAnsi" w:hAnsiTheme="majorHAnsi" w:cstheme="majorHAnsi"/>
              </w:rPr>
              <w:t xml:space="preserve"> Tato alokace zahrnuje i</w:t>
            </w:r>
            <w:r w:rsidR="000D7449">
              <w:rPr>
                <w:rFonts w:asciiTheme="majorHAnsi" w:hAnsiTheme="majorHAnsi" w:cstheme="majorHAnsi"/>
              </w:rPr>
              <w:t> </w:t>
            </w:r>
            <w:r w:rsidR="009A13D2" w:rsidRPr="004B4B33">
              <w:rPr>
                <w:rFonts w:asciiTheme="majorHAnsi" w:hAnsiTheme="majorHAnsi" w:cstheme="majorHAnsi"/>
              </w:rPr>
              <w:t xml:space="preserve">náklady implementačních partnerů na realizaci investičního programu. </w:t>
            </w:r>
            <w:r w:rsidR="00E82E67" w:rsidRPr="004B4B33">
              <w:rPr>
                <w:rFonts w:asciiTheme="majorHAnsi" w:hAnsiTheme="majorHAnsi" w:cstheme="majorHAnsi"/>
              </w:rPr>
              <w:t>Dalších 70 mil. je dále určeno pro přípravu a</w:t>
            </w:r>
            <w:r w:rsidR="000D7449">
              <w:rPr>
                <w:rFonts w:asciiTheme="majorHAnsi" w:hAnsiTheme="majorHAnsi" w:cstheme="majorHAnsi"/>
              </w:rPr>
              <w:t> </w:t>
            </w:r>
            <w:r w:rsidR="00E82E67" w:rsidRPr="004B4B33">
              <w:rPr>
                <w:rFonts w:asciiTheme="majorHAnsi" w:hAnsiTheme="majorHAnsi" w:cstheme="majorHAnsi"/>
              </w:rPr>
              <w:t>nutný monitoring Investičního programu.</w:t>
            </w:r>
          </w:p>
        </w:tc>
      </w:tr>
      <w:tr w:rsidR="0042415F" w:rsidRPr="004B4B33" w14:paraId="05B00362" w14:textId="77777777" w:rsidTr="5B41DABB">
        <w:trPr>
          <w:trHeight w:val="845"/>
          <w:jc w:val="center"/>
        </w:trPr>
        <w:tc>
          <w:tcPr>
            <w:tcW w:w="166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CA880A7" w14:textId="77777777" w:rsidR="0042415F" w:rsidRPr="004B4B33" w:rsidRDefault="001D082B" w:rsidP="4B0D8A6E">
            <w:pPr>
              <w:spacing w:before="0" w:after="0"/>
              <w:jc w:val="right"/>
              <w:rPr>
                <w:rFonts w:asciiTheme="majorHAnsi" w:hAnsiTheme="majorHAnsi" w:cstheme="majorHAnsi"/>
                <w:b/>
                <w:bCs/>
              </w:rPr>
            </w:pPr>
            <w:r w:rsidRPr="004B4B33">
              <w:rPr>
                <w:rFonts w:asciiTheme="majorHAnsi" w:hAnsiTheme="majorHAnsi" w:cstheme="majorHAnsi"/>
                <w:b/>
                <w:bCs/>
              </w:rPr>
              <w:t>Dodržování pravidel veřejné podpory</w:t>
            </w:r>
          </w:p>
        </w:tc>
        <w:tc>
          <w:tcPr>
            <w:tcW w:w="720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2AB9BEFF" w14:textId="77777777" w:rsidR="0042415F" w:rsidRPr="004B4B33" w:rsidRDefault="001D082B">
            <w:pPr>
              <w:spacing w:before="240" w:after="240"/>
              <w:jc w:val="both"/>
              <w:rPr>
                <w:rFonts w:asciiTheme="majorHAnsi" w:hAnsiTheme="majorHAnsi" w:cstheme="majorHAnsi"/>
                <w:u w:val="single"/>
              </w:rPr>
            </w:pPr>
            <w:r w:rsidRPr="004B4B33">
              <w:rPr>
                <w:rFonts w:asciiTheme="majorHAnsi" w:hAnsiTheme="majorHAnsi" w:cstheme="majorHAnsi"/>
                <w:u w:val="single"/>
              </w:rPr>
              <w:t>FI1: Zvýhodněný úvěr</w:t>
            </w:r>
          </w:p>
          <w:p w14:paraId="7AE2C4F5" w14:textId="062FCE60"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t>Aktuálně pracujeme se třemi režimy podpory, přičemž preferovanou variantou podpory je zejména v</w:t>
            </w:r>
            <w:r w:rsidR="000D7449">
              <w:rPr>
                <w:rFonts w:asciiTheme="majorHAnsi" w:hAnsiTheme="majorHAnsi" w:cstheme="majorHAnsi"/>
              </w:rPr>
              <w:t> </w:t>
            </w:r>
            <w:r w:rsidRPr="004B4B33">
              <w:rPr>
                <w:rFonts w:asciiTheme="majorHAnsi" w:hAnsiTheme="majorHAnsi" w:cstheme="majorHAnsi"/>
              </w:rPr>
              <w:t>současné době notifikovaný program Dostupného nájemního bydlení, v</w:t>
            </w:r>
            <w:r w:rsidR="000D7449">
              <w:rPr>
                <w:rFonts w:asciiTheme="majorHAnsi" w:hAnsiTheme="majorHAnsi" w:cstheme="majorHAnsi"/>
              </w:rPr>
              <w:t> </w:t>
            </w:r>
            <w:r w:rsidRPr="004B4B33">
              <w:rPr>
                <w:rFonts w:asciiTheme="majorHAnsi" w:hAnsiTheme="majorHAnsi" w:cstheme="majorHAnsi"/>
              </w:rPr>
              <w:t>závislosti na časové náročnosti notifikace a</w:t>
            </w:r>
            <w:r w:rsidR="000D7449">
              <w:rPr>
                <w:rFonts w:asciiTheme="majorHAnsi" w:hAnsiTheme="majorHAnsi" w:cstheme="majorHAnsi"/>
              </w:rPr>
              <w:t> </w:t>
            </w:r>
            <w:r w:rsidRPr="004B4B33">
              <w:rPr>
                <w:rFonts w:asciiTheme="majorHAnsi" w:hAnsiTheme="majorHAnsi" w:cstheme="majorHAnsi"/>
              </w:rPr>
              <w:t>připravenosti žadatelů budeme vyhlašovat program i</w:t>
            </w:r>
            <w:r w:rsidR="000D7449">
              <w:rPr>
                <w:rFonts w:asciiTheme="majorHAnsi" w:hAnsiTheme="majorHAnsi" w:cstheme="majorHAnsi"/>
              </w:rPr>
              <w:t> </w:t>
            </w:r>
            <w:r w:rsidRPr="004B4B33">
              <w:rPr>
                <w:rFonts w:asciiTheme="majorHAnsi" w:hAnsiTheme="majorHAnsi" w:cstheme="majorHAnsi"/>
              </w:rPr>
              <w:t>v režimu de minimis (dle nařízení Komise (EU) č. 1407/2013), de minimis SOHZ (dle nařízení Komise (EU) č. 360/2012) a</w:t>
            </w:r>
            <w:r w:rsidR="000D7449">
              <w:rPr>
                <w:rFonts w:asciiTheme="majorHAnsi" w:hAnsiTheme="majorHAnsi" w:cstheme="majorHAnsi"/>
              </w:rPr>
              <w:t> </w:t>
            </w:r>
            <w:r w:rsidRPr="004B4B33">
              <w:rPr>
                <w:rFonts w:asciiTheme="majorHAnsi" w:hAnsiTheme="majorHAnsi" w:cstheme="majorHAnsi"/>
              </w:rPr>
              <w:t>SOHZ (dle rozhodnutí Komise 2012/21/EU)</w:t>
            </w:r>
          </w:p>
          <w:p w14:paraId="43EB60ED" w14:textId="41FF7CD8" w:rsidR="0042415F" w:rsidRPr="004B4B33" w:rsidRDefault="001D082B" w:rsidP="008A01D4">
            <w:pPr>
              <w:spacing w:before="240" w:after="240"/>
              <w:jc w:val="both"/>
              <w:rPr>
                <w:rFonts w:asciiTheme="majorHAnsi" w:hAnsiTheme="majorHAnsi" w:cstheme="majorHAnsi"/>
              </w:rPr>
            </w:pPr>
            <w:r w:rsidRPr="004B4B33">
              <w:rPr>
                <w:rFonts w:asciiTheme="majorHAnsi" w:hAnsiTheme="majorHAnsi" w:cstheme="majorHAnsi"/>
              </w:rPr>
              <w:lastRenderedPageBreak/>
              <w:t>Notifikovaný program podpory dostupného nájemního bydlení: Státní fond podpory investic vstoupil začátkem roku 2023 do prenotifikačního řízení s</w:t>
            </w:r>
            <w:r w:rsidR="000D7449">
              <w:rPr>
                <w:rFonts w:asciiTheme="majorHAnsi" w:hAnsiTheme="majorHAnsi" w:cstheme="majorHAnsi"/>
              </w:rPr>
              <w:t> </w:t>
            </w:r>
            <w:r w:rsidRPr="004B4B33">
              <w:rPr>
                <w:rFonts w:asciiTheme="majorHAnsi" w:hAnsiTheme="majorHAnsi" w:cstheme="majorHAnsi"/>
              </w:rPr>
              <w:t>EK ve věci podpory pro dostupné nájemní bydlení (SA. 106249 - Affordable Rental Housing). Prenotifikovaný program vychází z</w:t>
            </w:r>
            <w:r w:rsidR="000D7449">
              <w:rPr>
                <w:rFonts w:asciiTheme="majorHAnsi" w:hAnsiTheme="majorHAnsi" w:cstheme="majorHAnsi"/>
              </w:rPr>
              <w:t> </w:t>
            </w:r>
            <w:r w:rsidRPr="004B4B33">
              <w:rPr>
                <w:rFonts w:asciiTheme="majorHAnsi" w:hAnsiTheme="majorHAnsi" w:cstheme="majorHAnsi"/>
              </w:rPr>
              <w:t>principů definovaných v</w:t>
            </w:r>
            <w:r w:rsidR="000D7449">
              <w:rPr>
                <w:rFonts w:asciiTheme="majorHAnsi" w:hAnsiTheme="majorHAnsi" w:cstheme="majorHAnsi"/>
              </w:rPr>
              <w:t> </w:t>
            </w:r>
            <w:r w:rsidRPr="004B4B33">
              <w:rPr>
                <w:rFonts w:asciiTheme="majorHAnsi" w:hAnsiTheme="majorHAnsi" w:cstheme="majorHAnsi"/>
              </w:rPr>
              <w:t>rozhodnutí SA.56305 (2020/NN) – Sweden - Aid scheme for rental housing, který byl shledán slučitelným s</w:t>
            </w:r>
            <w:r w:rsidR="000D7449">
              <w:rPr>
                <w:rFonts w:asciiTheme="majorHAnsi" w:hAnsiTheme="majorHAnsi" w:cstheme="majorHAnsi"/>
              </w:rPr>
              <w:t> </w:t>
            </w:r>
            <w:r w:rsidRPr="004B4B33">
              <w:rPr>
                <w:rFonts w:asciiTheme="majorHAnsi" w:hAnsiTheme="majorHAnsi" w:cstheme="majorHAnsi"/>
              </w:rPr>
              <w:t>vnitřním trhem dle článku 107 odst. 3 písm. c</w:t>
            </w:r>
            <w:r w:rsidR="000D7449">
              <w:rPr>
                <w:rFonts w:asciiTheme="majorHAnsi" w:hAnsiTheme="majorHAnsi" w:cstheme="majorHAnsi"/>
              </w:rPr>
              <w:t> </w:t>
            </w:r>
            <w:r w:rsidRPr="004B4B33">
              <w:rPr>
                <w:rFonts w:asciiTheme="majorHAnsi" w:hAnsiTheme="majorHAnsi" w:cstheme="majorHAnsi"/>
              </w:rPr>
              <w:t>Smlouvy o</w:t>
            </w:r>
            <w:r w:rsidR="000D7449">
              <w:rPr>
                <w:rFonts w:asciiTheme="majorHAnsi" w:hAnsiTheme="majorHAnsi" w:cstheme="majorHAnsi"/>
              </w:rPr>
              <w:t> </w:t>
            </w:r>
            <w:r w:rsidRPr="004B4B33">
              <w:rPr>
                <w:rFonts w:asciiTheme="majorHAnsi" w:hAnsiTheme="majorHAnsi" w:cstheme="majorHAnsi"/>
              </w:rPr>
              <w:t>fungování EU. Domníváme se, že program podpory splňuje všechny podmínky stanovené v</w:t>
            </w:r>
            <w:r w:rsidR="000D7449">
              <w:rPr>
                <w:rFonts w:asciiTheme="majorHAnsi" w:hAnsiTheme="majorHAnsi" w:cstheme="majorHAnsi"/>
              </w:rPr>
              <w:t> </w:t>
            </w:r>
            <w:r w:rsidRPr="004B4B33">
              <w:rPr>
                <w:rFonts w:asciiTheme="majorHAnsi" w:hAnsiTheme="majorHAnsi" w:cstheme="majorHAnsi"/>
              </w:rPr>
              <w:t>čl. 107 odst. 3 písm. c) Smlouvy o</w:t>
            </w:r>
            <w:r w:rsidR="000D7449">
              <w:rPr>
                <w:rFonts w:asciiTheme="majorHAnsi" w:hAnsiTheme="majorHAnsi" w:cstheme="majorHAnsi"/>
              </w:rPr>
              <w:t> </w:t>
            </w:r>
            <w:r w:rsidRPr="004B4B33">
              <w:rPr>
                <w:rFonts w:asciiTheme="majorHAnsi" w:hAnsiTheme="majorHAnsi" w:cstheme="majorHAnsi"/>
              </w:rPr>
              <w:t>fungování EU, protože program podpory i) sleduje cíl společného zájmu, kterým je řešení rostoucího nedostatku nájemního bydlení a</w:t>
            </w:r>
            <w:r w:rsidR="000D7449">
              <w:rPr>
                <w:rFonts w:asciiTheme="majorHAnsi" w:hAnsiTheme="majorHAnsi" w:cstheme="majorHAnsi"/>
              </w:rPr>
              <w:t> </w:t>
            </w:r>
            <w:r w:rsidRPr="004B4B33">
              <w:rPr>
                <w:rFonts w:asciiTheme="majorHAnsi" w:hAnsiTheme="majorHAnsi" w:cstheme="majorHAnsi"/>
              </w:rPr>
              <w:t>neefektivity mobility na trhu práce; ii) je vhodný, protože se zaměřuje na nájemní bydlení, které je nejpružnější formou vlastnictví z</w:t>
            </w:r>
            <w:r w:rsidR="000D7449">
              <w:rPr>
                <w:rFonts w:asciiTheme="majorHAnsi" w:hAnsiTheme="majorHAnsi" w:cstheme="majorHAnsi"/>
              </w:rPr>
              <w:t> </w:t>
            </w:r>
            <w:r w:rsidRPr="004B4B33">
              <w:rPr>
                <w:rFonts w:asciiTheme="majorHAnsi" w:hAnsiTheme="majorHAnsi" w:cstheme="majorHAnsi"/>
              </w:rPr>
              <w:t>hlediska usnadnění mobility; (iii) je přiměřený, neboť podpora je navržena tak, aby působila proti nákladným projektům s</w:t>
            </w:r>
            <w:r w:rsidR="000D7449">
              <w:rPr>
                <w:rFonts w:asciiTheme="majorHAnsi" w:hAnsiTheme="majorHAnsi" w:cstheme="majorHAnsi"/>
              </w:rPr>
              <w:t> </w:t>
            </w:r>
            <w:r w:rsidRPr="004B4B33">
              <w:rPr>
                <w:rFonts w:asciiTheme="majorHAnsi" w:hAnsiTheme="majorHAnsi" w:cstheme="majorHAnsi"/>
              </w:rPr>
              <w:t>omezením podpory na základě finanční mezery projektu; iv) zajišťuje motivační účinek, protože není poskytována podpora ziskovým projektům, které by se stejně uskutečnily; a</w:t>
            </w:r>
            <w:r w:rsidR="000D7449">
              <w:rPr>
                <w:rFonts w:asciiTheme="majorHAnsi" w:hAnsiTheme="majorHAnsi" w:cstheme="majorHAnsi"/>
              </w:rPr>
              <w:t> </w:t>
            </w:r>
            <w:r w:rsidRPr="004B4B33">
              <w:rPr>
                <w:rFonts w:asciiTheme="majorHAnsi" w:hAnsiTheme="majorHAnsi" w:cstheme="majorHAnsi"/>
              </w:rPr>
              <w:t>v) omezuje narušení hospodářské soutěže a</w:t>
            </w:r>
            <w:r w:rsidR="000D7449">
              <w:rPr>
                <w:rFonts w:asciiTheme="majorHAnsi" w:hAnsiTheme="majorHAnsi" w:cstheme="majorHAnsi"/>
              </w:rPr>
              <w:t> </w:t>
            </w:r>
            <w:r w:rsidRPr="004B4B33">
              <w:rPr>
                <w:rFonts w:asciiTheme="majorHAnsi" w:hAnsiTheme="majorHAnsi" w:cstheme="majorHAnsi"/>
              </w:rPr>
              <w:t>vliv na obchod tím, že je otevřený všem developerům, a</w:t>
            </w:r>
            <w:r w:rsidR="000D7449">
              <w:rPr>
                <w:rFonts w:asciiTheme="majorHAnsi" w:hAnsiTheme="majorHAnsi" w:cstheme="majorHAnsi"/>
              </w:rPr>
              <w:t> </w:t>
            </w:r>
            <w:r w:rsidRPr="004B4B33">
              <w:rPr>
                <w:rFonts w:asciiTheme="majorHAnsi" w:hAnsiTheme="majorHAnsi" w:cstheme="majorHAnsi"/>
              </w:rPr>
              <w:t>dalšími mechanismy začleněnými do programu</w:t>
            </w:r>
            <w:r w:rsidR="008A01D4" w:rsidRPr="004B4B33">
              <w:rPr>
                <w:rFonts w:asciiTheme="majorHAnsi" w:hAnsiTheme="majorHAnsi" w:cstheme="majorHAnsi"/>
              </w:rPr>
              <w:t xml:space="preserve"> </w:t>
            </w:r>
            <w:r w:rsidRPr="004B4B33">
              <w:rPr>
                <w:rFonts w:asciiTheme="majorHAnsi" w:hAnsiTheme="majorHAnsi" w:cstheme="majorHAnsi"/>
              </w:rPr>
              <w:t>podpory.</w:t>
            </w:r>
            <w:r w:rsidR="002B1374" w:rsidRPr="004B4B33">
              <w:rPr>
                <w:rFonts w:asciiTheme="majorHAnsi" w:hAnsiTheme="majorHAnsi" w:cstheme="majorHAnsi"/>
              </w:rPr>
              <w:t xml:space="preserve">     </w:t>
            </w:r>
            <w:r w:rsidRPr="004B4B33">
              <w:rPr>
                <w:rFonts w:asciiTheme="majorHAnsi" w:hAnsiTheme="majorHAnsi" w:cstheme="majorHAnsi"/>
              </w:rPr>
              <w:br/>
            </w:r>
          </w:p>
          <w:p w14:paraId="30108A64" w14:textId="77777777" w:rsidR="0042415F" w:rsidRPr="004B4B33" w:rsidRDefault="001D082B">
            <w:pPr>
              <w:spacing w:before="240" w:after="240"/>
              <w:jc w:val="both"/>
              <w:rPr>
                <w:rFonts w:asciiTheme="majorHAnsi" w:hAnsiTheme="majorHAnsi" w:cstheme="majorHAnsi"/>
                <w:u w:val="single"/>
              </w:rPr>
            </w:pPr>
            <w:r w:rsidRPr="004B4B33">
              <w:rPr>
                <w:rFonts w:asciiTheme="majorHAnsi" w:hAnsiTheme="majorHAnsi" w:cstheme="majorHAnsi"/>
                <w:u w:val="single"/>
              </w:rPr>
              <w:t>FI2: Finanční dluhový nástroj se zvýhodněnou sazbou</w:t>
            </w:r>
          </w:p>
          <w:p w14:paraId="1F23DD6E" w14:textId="730FFA1F"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t>Poskytovatel neplánuje přidávat k</w:t>
            </w:r>
            <w:r w:rsidR="000D7449">
              <w:rPr>
                <w:rFonts w:asciiTheme="majorHAnsi" w:hAnsiTheme="majorHAnsi" w:cstheme="majorHAnsi"/>
              </w:rPr>
              <w:t> </w:t>
            </w:r>
            <w:r w:rsidRPr="004B4B33">
              <w:rPr>
                <w:rFonts w:asciiTheme="majorHAnsi" w:hAnsiTheme="majorHAnsi" w:cstheme="majorHAnsi"/>
              </w:rPr>
              <w:t>zvýhodněnému úvěru / dluhovému nástroji dotační část z</w:t>
            </w:r>
            <w:r w:rsidR="000D7449">
              <w:rPr>
                <w:rFonts w:asciiTheme="majorHAnsi" w:hAnsiTheme="majorHAnsi" w:cstheme="majorHAnsi"/>
              </w:rPr>
              <w:t> </w:t>
            </w:r>
            <w:r w:rsidRPr="004B4B33">
              <w:rPr>
                <w:rFonts w:asciiTheme="majorHAnsi" w:hAnsiTheme="majorHAnsi" w:cstheme="majorHAnsi"/>
              </w:rPr>
              <w:t>vlastních zdrojů, ostatní parametry režimů financování zůstávají totožné jako u</w:t>
            </w:r>
            <w:r w:rsidR="000D7449">
              <w:rPr>
                <w:rFonts w:asciiTheme="majorHAnsi" w:hAnsiTheme="majorHAnsi" w:cstheme="majorHAnsi"/>
              </w:rPr>
              <w:t> </w:t>
            </w:r>
            <w:r w:rsidRPr="004B4B33">
              <w:rPr>
                <w:rFonts w:asciiTheme="majorHAnsi" w:hAnsiTheme="majorHAnsi" w:cstheme="majorHAnsi"/>
              </w:rPr>
              <w:t>Finančního nástroje 1. Mezaninový úvěrový program počítá se čtyřmi možnými režimy financování dle pravidel veřejné podpory, z</w:t>
            </w:r>
            <w:r w:rsidR="000D7449">
              <w:rPr>
                <w:rFonts w:asciiTheme="majorHAnsi" w:hAnsiTheme="majorHAnsi" w:cstheme="majorHAnsi"/>
              </w:rPr>
              <w:t> </w:t>
            </w:r>
            <w:r w:rsidRPr="004B4B33">
              <w:rPr>
                <w:rFonts w:asciiTheme="majorHAnsi" w:hAnsiTheme="majorHAnsi" w:cstheme="majorHAnsi"/>
              </w:rPr>
              <w:t>nichž první tři jsou totožné jako u</w:t>
            </w:r>
            <w:r w:rsidR="000D7449">
              <w:rPr>
                <w:rFonts w:asciiTheme="majorHAnsi" w:hAnsiTheme="majorHAnsi" w:cstheme="majorHAnsi"/>
              </w:rPr>
              <w:t> </w:t>
            </w:r>
            <w:r w:rsidRPr="004B4B33">
              <w:rPr>
                <w:rFonts w:asciiTheme="majorHAnsi" w:hAnsiTheme="majorHAnsi" w:cstheme="majorHAnsi"/>
              </w:rPr>
              <w:t>finančního nástroje 1 (prioritně notifikovaný program, případně také de minimis a</w:t>
            </w:r>
            <w:r w:rsidR="000D7449">
              <w:rPr>
                <w:rFonts w:asciiTheme="majorHAnsi" w:hAnsiTheme="majorHAnsi" w:cstheme="majorHAnsi"/>
              </w:rPr>
              <w:t> </w:t>
            </w:r>
            <w:r w:rsidRPr="004B4B33">
              <w:rPr>
                <w:rFonts w:asciiTheme="majorHAnsi" w:hAnsiTheme="majorHAnsi" w:cstheme="majorHAnsi"/>
              </w:rPr>
              <w:t>de minimis SOHZ, a</w:t>
            </w:r>
            <w:r w:rsidR="000D7449">
              <w:rPr>
                <w:rFonts w:asciiTheme="majorHAnsi" w:hAnsiTheme="majorHAnsi" w:cstheme="majorHAnsi"/>
              </w:rPr>
              <w:t> </w:t>
            </w:r>
            <w:r w:rsidRPr="004B4B33">
              <w:rPr>
                <w:rFonts w:asciiTheme="majorHAnsi" w:hAnsiTheme="majorHAnsi" w:cstheme="majorHAnsi"/>
              </w:rPr>
              <w:t xml:space="preserve">SOHZ) </w:t>
            </w:r>
          </w:p>
          <w:p w14:paraId="70D9E5BB" w14:textId="3FB614C9"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t>Navíc je zde veřejná podpora v</w:t>
            </w:r>
            <w:r w:rsidR="000D7449">
              <w:rPr>
                <w:rFonts w:asciiTheme="majorHAnsi" w:hAnsiTheme="majorHAnsi" w:cstheme="majorHAnsi"/>
              </w:rPr>
              <w:t> </w:t>
            </w:r>
            <w:r w:rsidRPr="004B4B33">
              <w:rPr>
                <w:rFonts w:asciiTheme="majorHAnsi" w:hAnsiTheme="majorHAnsi" w:cstheme="majorHAnsi"/>
              </w:rPr>
              <w:t>režimu blokové výjimky na investiční podporu na místní infrastrukturu dle čl. 56 nařízení Komise (EU) č. 651/2014.  Financování nájemních bytů formou zvýhodněného úvěru / dluhového nástroje se opírá o</w:t>
            </w:r>
            <w:r w:rsidR="000D7449">
              <w:rPr>
                <w:rFonts w:asciiTheme="majorHAnsi" w:hAnsiTheme="majorHAnsi" w:cstheme="majorHAnsi"/>
              </w:rPr>
              <w:t> </w:t>
            </w:r>
            <w:r w:rsidRPr="004B4B33">
              <w:rPr>
                <w:rFonts w:asciiTheme="majorHAnsi" w:hAnsiTheme="majorHAnsi" w:cstheme="majorHAnsi"/>
              </w:rPr>
              <w:t>nařízení Komise (EU) č. 651/2014 ze dne 17. června 2014, kterým se v</w:t>
            </w:r>
            <w:r w:rsidR="000D7449">
              <w:rPr>
                <w:rFonts w:asciiTheme="majorHAnsi" w:hAnsiTheme="majorHAnsi" w:cstheme="majorHAnsi"/>
              </w:rPr>
              <w:t> </w:t>
            </w:r>
            <w:r w:rsidRPr="004B4B33">
              <w:rPr>
                <w:rFonts w:asciiTheme="majorHAnsi" w:hAnsiTheme="majorHAnsi" w:cstheme="majorHAnsi"/>
              </w:rPr>
              <w:t>souladu s</w:t>
            </w:r>
            <w:r w:rsidR="000D7449">
              <w:rPr>
                <w:rFonts w:asciiTheme="majorHAnsi" w:hAnsiTheme="majorHAnsi" w:cstheme="majorHAnsi"/>
              </w:rPr>
              <w:t> </w:t>
            </w:r>
            <w:r w:rsidRPr="004B4B33">
              <w:rPr>
                <w:rFonts w:asciiTheme="majorHAnsi" w:hAnsiTheme="majorHAnsi" w:cstheme="majorHAnsi"/>
              </w:rPr>
              <w:t>články 107 a</w:t>
            </w:r>
            <w:r w:rsidR="000D7449">
              <w:rPr>
                <w:rFonts w:asciiTheme="majorHAnsi" w:hAnsiTheme="majorHAnsi" w:cstheme="majorHAnsi"/>
              </w:rPr>
              <w:t> </w:t>
            </w:r>
            <w:r w:rsidRPr="004B4B33">
              <w:rPr>
                <w:rFonts w:asciiTheme="majorHAnsi" w:hAnsiTheme="majorHAnsi" w:cstheme="majorHAnsi"/>
              </w:rPr>
              <w:t>108 Smlouvy o</w:t>
            </w:r>
            <w:r w:rsidR="000D7449">
              <w:rPr>
                <w:rFonts w:asciiTheme="majorHAnsi" w:hAnsiTheme="majorHAnsi" w:cstheme="majorHAnsi"/>
              </w:rPr>
              <w:t> </w:t>
            </w:r>
            <w:r w:rsidRPr="004B4B33">
              <w:rPr>
                <w:rFonts w:asciiTheme="majorHAnsi" w:hAnsiTheme="majorHAnsi" w:cstheme="majorHAnsi"/>
              </w:rPr>
              <w:t>ES prohlašují určité kategorie podpory za slučitelné se společným trhem (GBER), konkrétně čl. 56 tohoto nařízení (Investiční podpora na místní infrastrukturu). Poskytnutí podpory bude oznámeno na předepsaném formuláři Evropské komisi do 20 pracovních dnů ode dne, kdy opatření nabylo účinnosti (viz čl. 11 nařízení).</w:t>
            </w:r>
          </w:p>
          <w:p w14:paraId="08D90710" w14:textId="0FC32C45"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t>Podmínkou aplikace režimu GBER je, aby v</w:t>
            </w:r>
            <w:r w:rsidR="000D7449">
              <w:rPr>
                <w:rFonts w:asciiTheme="majorHAnsi" w:hAnsiTheme="majorHAnsi" w:cstheme="majorHAnsi"/>
              </w:rPr>
              <w:t> </w:t>
            </w:r>
            <w:r w:rsidRPr="004B4B33">
              <w:rPr>
                <w:rFonts w:asciiTheme="majorHAnsi" w:hAnsiTheme="majorHAnsi" w:cstheme="majorHAnsi"/>
              </w:rPr>
              <w:t>nájemních bytech bylo vybíráno tržní nájemné / místně obvyklé nájemné. Pro zajištění finanční dostupnosti bydlení bude tento režim podpory využíván pouze v</w:t>
            </w:r>
            <w:r w:rsidR="000D7449">
              <w:rPr>
                <w:rFonts w:asciiTheme="majorHAnsi" w:hAnsiTheme="majorHAnsi" w:cstheme="majorHAnsi"/>
              </w:rPr>
              <w:t> </w:t>
            </w:r>
            <w:r w:rsidRPr="004B4B33">
              <w:rPr>
                <w:rFonts w:asciiTheme="majorHAnsi" w:hAnsiTheme="majorHAnsi" w:cstheme="majorHAnsi"/>
              </w:rPr>
              <w:t>území, kde je tržní nájemné finančně dostupné pro širší cílovou skupinu, a</w:t>
            </w:r>
            <w:r w:rsidR="000D7449">
              <w:rPr>
                <w:rFonts w:asciiTheme="majorHAnsi" w:hAnsiTheme="majorHAnsi" w:cstheme="majorHAnsi"/>
              </w:rPr>
              <w:t> </w:t>
            </w:r>
            <w:r w:rsidRPr="004B4B33">
              <w:rPr>
                <w:rFonts w:asciiTheme="majorHAnsi" w:hAnsiTheme="majorHAnsi" w:cstheme="majorHAnsi"/>
              </w:rPr>
              <w:t>to buď z</w:t>
            </w:r>
            <w:r w:rsidR="000D7449">
              <w:rPr>
                <w:rFonts w:asciiTheme="majorHAnsi" w:hAnsiTheme="majorHAnsi" w:cstheme="majorHAnsi"/>
              </w:rPr>
              <w:t> </w:t>
            </w:r>
            <w:r w:rsidRPr="004B4B33">
              <w:rPr>
                <w:rFonts w:asciiTheme="majorHAnsi" w:hAnsiTheme="majorHAnsi" w:cstheme="majorHAnsi"/>
              </w:rPr>
              <w:t>vlastních příjmů domácností, nebo v</w:t>
            </w:r>
            <w:r w:rsidR="000D7449">
              <w:rPr>
                <w:rFonts w:asciiTheme="majorHAnsi" w:hAnsiTheme="majorHAnsi" w:cstheme="majorHAnsi"/>
              </w:rPr>
              <w:t> </w:t>
            </w:r>
            <w:r w:rsidRPr="004B4B33">
              <w:rPr>
                <w:rFonts w:asciiTheme="majorHAnsi" w:hAnsiTheme="majorHAnsi" w:cstheme="majorHAnsi"/>
              </w:rPr>
              <w:t>kombinaci se státními dávkami na bydlení.</w:t>
            </w:r>
          </w:p>
          <w:p w14:paraId="0A6959E7" w14:textId="77777777" w:rsidR="0042415F" w:rsidRPr="004B4B33" w:rsidRDefault="001D082B">
            <w:pPr>
              <w:spacing w:before="240" w:after="240"/>
              <w:jc w:val="both"/>
              <w:rPr>
                <w:rFonts w:asciiTheme="majorHAnsi" w:hAnsiTheme="majorHAnsi" w:cstheme="majorHAnsi"/>
                <w:u w:val="single"/>
              </w:rPr>
            </w:pPr>
            <w:r w:rsidRPr="004B4B33">
              <w:rPr>
                <w:rFonts w:asciiTheme="majorHAnsi" w:hAnsiTheme="majorHAnsi" w:cstheme="majorHAnsi"/>
                <w:u w:val="single"/>
              </w:rPr>
              <w:lastRenderedPageBreak/>
              <w:t xml:space="preserve"> </w:t>
            </w:r>
          </w:p>
          <w:p w14:paraId="49BDA0C2" w14:textId="77777777"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u w:val="single"/>
              </w:rPr>
              <w:t>FI3: Kapitálový koinvestiční model</w:t>
            </w:r>
          </w:p>
          <w:p w14:paraId="360EA072" w14:textId="14E9D370"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t>Vklad veřejných prostředků do společného investičního fondu je dle Sdělení Komise o</w:t>
            </w:r>
            <w:r w:rsidR="000D7449">
              <w:rPr>
                <w:rFonts w:asciiTheme="majorHAnsi" w:hAnsiTheme="majorHAnsi" w:cstheme="majorHAnsi"/>
              </w:rPr>
              <w:t> </w:t>
            </w:r>
            <w:r w:rsidRPr="004B4B33">
              <w:rPr>
                <w:rFonts w:asciiTheme="majorHAnsi" w:hAnsiTheme="majorHAnsi" w:cstheme="majorHAnsi"/>
              </w:rPr>
              <w:t>pojmu státní podpora uvedeném v</w:t>
            </w:r>
            <w:r w:rsidR="000D7449">
              <w:rPr>
                <w:rFonts w:asciiTheme="majorHAnsi" w:hAnsiTheme="majorHAnsi" w:cstheme="majorHAnsi"/>
              </w:rPr>
              <w:t> </w:t>
            </w:r>
            <w:r w:rsidRPr="004B4B33">
              <w:rPr>
                <w:rFonts w:asciiTheme="majorHAnsi" w:hAnsiTheme="majorHAnsi" w:cstheme="majorHAnsi"/>
              </w:rPr>
              <w:t>čl. 107 odst. 1 Smlouvy o</w:t>
            </w:r>
            <w:r w:rsidR="000D7449">
              <w:rPr>
                <w:rFonts w:asciiTheme="majorHAnsi" w:hAnsiTheme="majorHAnsi" w:cstheme="majorHAnsi"/>
              </w:rPr>
              <w:t> </w:t>
            </w:r>
            <w:r w:rsidRPr="004B4B33">
              <w:rPr>
                <w:rFonts w:asciiTheme="majorHAnsi" w:hAnsiTheme="majorHAnsi" w:cstheme="majorHAnsi"/>
              </w:rPr>
              <w:t>fungování Evropské unie (2016/C 262/01) nepředstavuje zvýhodnění, a</w:t>
            </w:r>
            <w:r w:rsidR="000D7449">
              <w:rPr>
                <w:rFonts w:asciiTheme="majorHAnsi" w:hAnsiTheme="majorHAnsi" w:cstheme="majorHAnsi"/>
              </w:rPr>
              <w:t> </w:t>
            </w:r>
            <w:r w:rsidRPr="004B4B33">
              <w:rPr>
                <w:rFonts w:asciiTheme="majorHAnsi" w:hAnsiTheme="majorHAnsi" w:cstheme="majorHAnsi"/>
              </w:rPr>
              <w:t>tedy nepředstavuje veřejnou podporu ve smyslu čl. 107 odst. 1 Smlouvy o</w:t>
            </w:r>
            <w:r w:rsidR="000D7449">
              <w:rPr>
                <w:rFonts w:asciiTheme="majorHAnsi" w:hAnsiTheme="majorHAnsi" w:cstheme="majorHAnsi"/>
              </w:rPr>
              <w:t> </w:t>
            </w:r>
            <w:r w:rsidRPr="004B4B33">
              <w:rPr>
                <w:rFonts w:asciiTheme="majorHAnsi" w:hAnsiTheme="majorHAnsi" w:cstheme="majorHAnsi"/>
              </w:rPr>
              <w:t>fungování EU v</w:t>
            </w:r>
            <w:r w:rsidR="000D7449">
              <w:rPr>
                <w:rFonts w:asciiTheme="majorHAnsi" w:hAnsiTheme="majorHAnsi" w:cstheme="majorHAnsi"/>
              </w:rPr>
              <w:t> </w:t>
            </w:r>
            <w:r w:rsidRPr="004B4B33">
              <w:rPr>
                <w:rFonts w:asciiTheme="majorHAnsi" w:hAnsiTheme="majorHAnsi" w:cstheme="majorHAnsi"/>
              </w:rPr>
              <w:t>případě, že opatření je realizováno za tržních podmínek na základě principu rovnocenné transakce (pari passu), tedy pokud veřejnoprávní i</w:t>
            </w:r>
            <w:r w:rsidR="000D7449">
              <w:rPr>
                <w:rFonts w:asciiTheme="majorHAnsi" w:hAnsiTheme="majorHAnsi" w:cstheme="majorHAnsi"/>
              </w:rPr>
              <w:t> </w:t>
            </w:r>
            <w:r w:rsidRPr="004B4B33">
              <w:rPr>
                <w:rFonts w:asciiTheme="majorHAnsi" w:hAnsiTheme="majorHAnsi" w:cstheme="majorHAnsi"/>
              </w:rPr>
              <w:t>soukromé subjekty transakci provádějí rovnocenně. Finanční nástroj bude splňovat všechna kritéria stanovená v</w:t>
            </w:r>
            <w:r w:rsidR="000D7449">
              <w:rPr>
                <w:rFonts w:asciiTheme="majorHAnsi" w:hAnsiTheme="majorHAnsi" w:cstheme="majorHAnsi"/>
              </w:rPr>
              <w:t> </w:t>
            </w:r>
            <w:r w:rsidRPr="004B4B33">
              <w:rPr>
                <w:rFonts w:asciiTheme="majorHAnsi" w:hAnsiTheme="majorHAnsi" w:cstheme="majorHAnsi"/>
              </w:rPr>
              <w:t>bodě 87 Sdělení o</w:t>
            </w:r>
            <w:r w:rsidR="000D7449">
              <w:rPr>
                <w:rFonts w:asciiTheme="majorHAnsi" w:hAnsiTheme="majorHAnsi" w:cstheme="majorHAnsi"/>
              </w:rPr>
              <w:t> </w:t>
            </w:r>
            <w:r w:rsidRPr="004B4B33">
              <w:rPr>
                <w:rFonts w:asciiTheme="majorHAnsi" w:hAnsiTheme="majorHAnsi" w:cstheme="majorHAnsi"/>
              </w:rPr>
              <w:t>pojmu státní podpora pro to, aby mohla být transakce považována za rovnocennou:</w:t>
            </w:r>
          </w:p>
          <w:p w14:paraId="56A07F93" w14:textId="7F3536A0" w:rsidR="0042415F" w:rsidRPr="004B4B33" w:rsidRDefault="001D082B">
            <w:pPr>
              <w:numPr>
                <w:ilvl w:val="0"/>
                <w:numId w:val="8"/>
              </w:numPr>
              <w:spacing w:before="240" w:after="0"/>
              <w:jc w:val="both"/>
              <w:rPr>
                <w:rFonts w:asciiTheme="majorHAnsi" w:hAnsiTheme="majorHAnsi" w:cstheme="majorHAnsi"/>
              </w:rPr>
            </w:pPr>
            <w:r w:rsidRPr="004B4B33">
              <w:rPr>
                <w:rFonts w:asciiTheme="majorHAnsi" w:hAnsiTheme="majorHAnsi" w:cstheme="majorHAnsi"/>
              </w:rPr>
              <w:t>o zásahu veřejnoprávních a</w:t>
            </w:r>
            <w:r w:rsidR="000D7449">
              <w:rPr>
                <w:rFonts w:asciiTheme="majorHAnsi" w:hAnsiTheme="majorHAnsi" w:cstheme="majorHAnsi"/>
              </w:rPr>
              <w:t> </w:t>
            </w:r>
            <w:r w:rsidRPr="004B4B33">
              <w:rPr>
                <w:rFonts w:asciiTheme="majorHAnsi" w:hAnsiTheme="majorHAnsi" w:cstheme="majorHAnsi"/>
              </w:rPr>
              <w:t>soukromých subjektů bude rozhodnuto současně a</w:t>
            </w:r>
            <w:r w:rsidR="000D7449">
              <w:rPr>
                <w:rFonts w:asciiTheme="majorHAnsi" w:hAnsiTheme="majorHAnsi" w:cstheme="majorHAnsi"/>
              </w:rPr>
              <w:t> </w:t>
            </w:r>
            <w:r w:rsidRPr="004B4B33">
              <w:rPr>
                <w:rFonts w:asciiTheme="majorHAnsi" w:hAnsiTheme="majorHAnsi" w:cstheme="majorHAnsi"/>
              </w:rPr>
              <w:t>tento zásah bude proveden zároveň</w:t>
            </w:r>
          </w:p>
          <w:p w14:paraId="15D95DF6" w14:textId="78DB0595" w:rsidR="0042415F" w:rsidRPr="004B4B33" w:rsidRDefault="001D082B">
            <w:pPr>
              <w:numPr>
                <w:ilvl w:val="0"/>
                <w:numId w:val="8"/>
              </w:numPr>
              <w:spacing w:before="0" w:after="0"/>
              <w:jc w:val="both"/>
              <w:rPr>
                <w:rFonts w:asciiTheme="majorHAnsi" w:hAnsiTheme="majorHAnsi" w:cstheme="majorHAnsi"/>
              </w:rPr>
            </w:pPr>
            <w:r w:rsidRPr="004B4B33">
              <w:rPr>
                <w:rFonts w:asciiTheme="majorHAnsi" w:hAnsiTheme="majorHAnsi" w:cstheme="majorHAnsi"/>
              </w:rPr>
              <w:t>podmínky transakce pro dotyčné veřejnoprávní i</w:t>
            </w:r>
            <w:r w:rsidR="000D7449">
              <w:rPr>
                <w:rFonts w:asciiTheme="majorHAnsi" w:hAnsiTheme="majorHAnsi" w:cstheme="majorHAnsi"/>
              </w:rPr>
              <w:t> </w:t>
            </w:r>
            <w:r w:rsidRPr="004B4B33">
              <w:rPr>
                <w:rFonts w:asciiTheme="majorHAnsi" w:hAnsiTheme="majorHAnsi" w:cstheme="majorHAnsi"/>
              </w:rPr>
              <w:t>všechny zapojené soukromé subjekty budou stejné, a</w:t>
            </w:r>
            <w:r w:rsidR="000D7449">
              <w:rPr>
                <w:rFonts w:asciiTheme="majorHAnsi" w:hAnsiTheme="majorHAnsi" w:cstheme="majorHAnsi"/>
              </w:rPr>
              <w:t> </w:t>
            </w:r>
            <w:r w:rsidRPr="004B4B33">
              <w:rPr>
                <w:rFonts w:asciiTheme="majorHAnsi" w:hAnsiTheme="majorHAnsi" w:cstheme="majorHAnsi"/>
              </w:rPr>
              <w:t>to rovněž s</w:t>
            </w:r>
            <w:r w:rsidR="000D7449">
              <w:rPr>
                <w:rFonts w:asciiTheme="majorHAnsi" w:hAnsiTheme="majorHAnsi" w:cstheme="majorHAnsi"/>
              </w:rPr>
              <w:t> </w:t>
            </w:r>
            <w:r w:rsidRPr="004B4B33">
              <w:rPr>
                <w:rFonts w:asciiTheme="majorHAnsi" w:hAnsiTheme="majorHAnsi" w:cstheme="majorHAnsi"/>
              </w:rPr>
              <w:t>přihlédnutím k</w:t>
            </w:r>
            <w:r w:rsidR="000D7449">
              <w:rPr>
                <w:rFonts w:asciiTheme="majorHAnsi" w:hAnsiTheme="majorHAnsi" w:cstheme="majorHAnsi"/>
              </w:rPr>
              <w:t> </w:t>
            </w:r>
            <w:r w:rsidRPr="004B4B33">
              <w:rPr>
                <w:rFonts w:asciiTheme="majorHAnsi" w:hAnsiTheme="majorHAnsi" w:cstheme="majorHAnsi"/>
              </w:rPr>
              <w:t>možnosti zvýšení či snížení úrovně rizika v</w:t>
            </w:r>
            <w:r w:rsidR="000D7449">
              <w:rPr>
                <w:rFonts w:asciiTheme="majorHAnsi" w:hAnsiTheme="majorHAnsi" w:cstheme="majorHAnsi"/>
              </w:rPr>
              <w:t> </w:t>
            </w:r>
            <w:r w:rsidRPr="004B4B33">
              <w:rPr>
                <w:rFonts w:asciiTheme="majorHAnsi" w:hAnsiTheme="majorHAnsi" w:cstheme="majorHAnsi"/>
              </w:rPr>
              <w:t>čase</w:t>
            </w:r>
          </w:p>
          <w:p w14:paraId="6BB5ABC5" w14:textId="04AABB40" w:rsidR="0042415F" w:rsidRPr="004B4B33" w:rsidRDefault="001D082B">
            <w:pPr>
              <w:numPr>
                <w:ilvl w:val="0"/>
                <w:numId w:val="8"/>
              </w:numPr>
              <w:spacing w:before="0" w:after="0"/>
              <w:jc w:val="both"/>
              <w:rPr>
                <w:rFonts w:asciiTheme="majorHAnsi" w:hAnsiTheme="majorHAnsi" w:cstheme="majorHAnsi"/>
              </w:rPr>
            </w:pPr>
            <w:r w:rsidRPr="004B4B33">
              <w:rPr>
                <w:rFonts w:asciiTheme="majorHAnsi" w:hAnsiTheme="majorHAnsi" w:cstheme="majorHAnsi"/>
              </w:rPr>
              <w:t>zásah soukromých subjektů bude mít skutečný ekonomický význam a</w:t>
            </w:r>
            <w:r w:rsidR="000D7449">
              <w:rPr>
                <w:rFonts w:asciiTheme="majorHAnsi" w:hAnsiTheme="majorHAnsi" w:cstheme="majorHAnsi"/>
              </w:rPr>
              <w:t> </w:t>
            </w:r>
            <w:r w:rsidRPr="004B4B33">
              <w:rPr>
                <w:rFonts w:asciiTheme="majorHAnsi" w:hAnsiTheme="majorHAnsi" w:cstheme="majorHAnsi"/>
              </w:rPr>
              <w:t>nebude pouze symbolický či zanedbatelný</w:t>
            </w:r>
          </w:p>
          <w:p w14:paraId="2013D17E" w14:textId="7DAF76D9" w:rsidR="0042415F" w:rsidRPr="004B4B33" w:rsidRDefault="001D082B">
            <w:pPr>
              <w:numPr>
                <w:ilvl w:val="0"/>
                <w:numId w:val="8"/>
              </w:numPr>
              <w:spacing w:before="0" w:after="240"/>
              <w:jc w:val="both"/>
              <w:rPr>
                <w:rFonts w:asciiTheme="majorHAnsi" w:hAnsiTheme="majorHAnsi" w:cstheme="majorHAnsi"/>
              </w:rPr>
            </w:pPr>
            <w:r w:rsidRPr="004B4B33">
              <w:rPr>
                <w:rFonts w:asciiTheme="majorHAnsi" w:hAnsiTheme="majorHAnsi" w:cstheme="majorHAnsi"/>
              </w:rPr>
              <w:t>výchozí pozice dotyčných veřejnoprávních a</w:t>
            </w:r>
            <w:r w:rsidR="000D7449">
              <w:rPr>
                <w:rFonts w:asciiTheme="majorHAnsi" w:hAnsiTheme="majorHAnsi" w:cstheme="majorHAnsi"/>
              </w:rPr>
              <w:t> </w:t>
            </w:r>
            <w:r w:rsidRPr="004B4B33">
              <w:rPr>
                <w:rFonts w:asciiTheme="majorHAnsi" w:hAnsiTheme="majorHAnsi" w:cstheme="majorHAnsi"/>
              </w:rPr>
              <w:t>soukromých subjektů bude ohledem na transakci srovnatelná</w:t>
            </w:r>
          </w:p>
          <w:p w14:paraId="44EAFD9C" w14:textId="77777777" w:rsidR="0042415F" w:rsidRPr="004B4B33" w:rsidRDefault="0042415F">
            <w:pPr>
              <w:spacing w:before="0"/>
              <w:jc w:val="both"/>
              <w:rPr>
                <w:rFonts w:asciiTheme="majorHAnsi" w:hAnsiTheme="majorHAnsi" w:cstheme="majorHAnsi"/>
              </w:rPr>
            </w:pPr>
          </w:p>
        </w:tc>
      </w:tr>
      <w:tr w:rsidR="0042415F" w:rsidRPr="004B4B33" w14:paraId="27807DE9" w14:textId="77777777" w:rsidTr="5B41DABB">
        <w:trPr>
          <w:trHeight w:val="845"/>
          <w:jc w:val="center"/>
        </w:trPr>
        <w:tc>
          <w:tcPr>
            <w:tcW w:w="1665"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1B65AF73"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lastRenderedPageBreak/>
              <w:t>Uveďte dobu</w:t>
            </w:r>
          </w:p>
          <w:p w14:paraId="2BA62BF0" w14:textId="77777777" w:rsidR="0042415F" w:rsidRPr="004B4B33" w:rsidRDefault="001D082B">
            <w:pPr>
              <w:spacing w:before="0" w:after="0"/>
              <w:jc w:val="right"/>
              <w:rPr>
                <w:rFonts w:asciiTheme="majorHAnsi" w:hAnsiTheme="majorHAnsi" w:cstheme="majorHAnsi"/>
              </w:rPr>
            </w:pPr>
            <w:r w:rsidRPr="004B4B33">
              <w:rPr>
                <w:rFonts w:asciiTheme="majorHAnsi" w:hAnsiTheme="majorHAnsi" w:cstheme="majorHAnsi"/>
              </w:rPr>
              <w:t>implementace</w:t>
            </w:r>
          </w:p>
        </w:tc>
        <w:tc>
          <w:tcPr>
            <w:tcW w:w="7200"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674C6972" w14:textId="016C98B0" w:rsidR="0042415F" w:rsidRPr="004B4B33" w:rsidRDefault="001D082B">
            <w:pPr>
              <w:spacing w:before="0" w:after="240"/>
              <w:jc w:val="both"/>
              <w:rPr>
                <w:rFonts w:asciiTheme="majorHAnsi" w:hAnsiTheme="majorHAnsi" w:cstheme="majorHAnsi"/>
              </w:rPr>
            </w:pPr>
            <w:r w:rsidRPr="004B4B33">
              <w:rPr>
                <w:rFonts w:asciiTheme="majorHAnsi" w:hAnsiTheme="majorHAnsi" w:cstheme="majorHAnsi"/>
              </w:rPr>
              <w:t>Do 30. 6. 2026 ("rozhodné datum") v</w:t>
            </w:r>
            <w:r w:rsidR="000D7449">
              <w:rPr>
                <w:rFonts w:asciiTheme="majorHAnsi" w:hAnsiTheme="majorHAnsi" w:cstheme="majorHAnsi"/>
              </w:rPr>
              <w:t> </w:t>
            </w:r>
            <w:r w:rsidRPr="004B4B33">
              <w:rPr>
                <w:rFonts w:asciiTheme="majorHAnsi" w:hAnsiTheme="majorHAnsi" w:cstheme="majorHAnsi"/>
              </w:rPr>
              <w:t>souladu s</w:t>
            </w:r>
            <w:r w:rsidR="000D7449">
              <w:rPr>
                <w:rFonts w:asciiTheme="majorHAnsi" w:hAnsiTheme="majorHAnsi" w:cstheme="majorHAnsi"/>
              </w:rPr>
              <w:t> </w:t>
            </w:r>
            <w:r w:rsidRPr="004B4B33">
              <w:rPr>
                <w:rFonts w:asciiTheme="majorHAnsi" w:hAnsiTheme="majorHAnsi" w:cstheme="majorHAnsi"/>
              </w:rPr>
              <w:t>kritérii navržených milníků a</w:t>
            </w:r>
            <w:r w:rsidR="000D7449">
              <w:rPr>
                <w:rFonts w:asciiTheme="majorHAnsi" w:hAnsiTheme="majorHAnsi" w:cstheme="majorHAnsi"/>
              </w:rPr>
              <w:t> </w:t>
            </w:r>
            <w:r w:rsidRPr="004B4B33">
              <w:rPr>
                <w:rFonts w:asciiTheme="majorHAnsi" w:hAnsiTheme="majorHAnsi" w:cstheme="majorHAnsi"/>
              </w:rPr>
              <w:t>cílů.</w:t>
            </w:r>
          </w:p>
          <w:p w14:paraId="3B459E0D" w14:textId="46912689" w:rsidR="0042415F" w:rsidRPr="004B4B33" w:rsidRDefault="001D082B" w:rsidP="00446A7E">
            <w:pPr>
              <w:spacing w:before="240" w:after="240"/>
              <w:jc w:val="both"/>
              <w:rPr>
                <w:rFonts w:asciiTheme="majorHAnsi" w:hAnsiTheme="majorHAnsi" w:cstheme="majorHAnsi"/>
              </w:rPr>
            </w:pPr>
            <w:r w:rsidRPr="004B4B33">
              <w:rPr>
                <w:rFonts w:asciiTheme="majorHAnsi" w:hAnsiTheme="majorHAnsi" w:cstheme="majorHAnsi"/>
              </w:rPr>
              <w:t>Návrh zahrnuje vytvoření dlouhodobých politik, včetně regulatorního, poradenského a</w:t>
            </w:r>
            <w:r w:rsidR="000D7449">
              <w:rPr>
                <w:rFonts w:asciiTheme="majorHAnsi" w:hAnsiTheme="majorHAnsi" w:cstheme="majorHAnsi"/>
              </w:rPr>
              <w:t> </w:t>
            </w:r>
            <w:r w:rsidRPr="004B4B33">
              <w:rPr>
                <w:rFonts w:asciiTheme="majorHAnsi" w:hAnsiTheme="majorHAnsi" w:cstheme="majorHAnsi"/>
              </w:rPr>
              <w:t>investičního rámce k</w:t>
            </w:r>
            <w:r w:rsidR="000D7449">
              <w:rPr>
                <w:rFonts w:asciiTheme="majorHAnsi" w:hAnsiTheme="majorHAnsi" w:cstheme="majorHAnsi"/>
              </w:rPr>
              <w:t> </w:t>
            </w:r>
            <w:r w:rsidRPr="004B4B33">
              <w:rPr>
                <w:rFonts w:asciiTheme="majorHAnsi" w:hAnsiTheme="majorHAnsi" w:cstheme="majorHAnsi"/>
              </w:rPr>
              <w:t>rozhodnému datu. Mnoho systémových aktivit, dokončených do rozhodného data, se proto bude vztahovat na design, proveditelnost a</w:t>
            </w:r>
            <w:r w:rsidR="000D7449">
              <w:rPr>
                <w:rFonts w:asciiTheme="majorHAnsi" w:hAnsiTheme="majorHAnsi" w:cstheme="majorHAnsi"/>
              </w:rPr>
              <w:t> </w:t>
            </w:r>
            <w:r w:rsidRPr="004B4B33">
              <w:rPr>
                <w:rFonts w:asciiTheme="majorHAnsi" w:hAnsiTheme="majorHAnsi" w:cstheme="majorHAnsi"/>
              </w:rPr>
              <w:t>založení dlouhodobě udržitelných investičních a</w:t>
            </w:r>
            <w:r w:rsidR="000D7449">
              <w:rPr>
                <w:rFonts w:asciiTheme="majorHAnsi" w:hAnsiTheme="majorHAnsi" w:cstheme="majorHAnsi"/>
              </w:rPr>
              <w:t> </w:t>
            </w:r>
            <w:r w:rsidRPr="004B4B33">
              <w:rPr>
                <w:rFonts w:asciiTheme="majorHAnsi" w:hAnsiTheme="majorHAnsi" w:cstheme="majorHAnsi"/>
              </w:rPr>
              <w:t>poradenských struktur, včetně návrhů na transparentní sdílenou dohledovou strukturu pro část investic.</w:t>
            </w:r>
          </w:p>
        </w:tc>
      </w:tr>
    </w:tbl>
    <w:p w14:paraId="100C5B58" w14:textId="77777777" w:rsidR="0042415F" w:rsidRPr="004B4B33" w:rsidRDefault="001D082B">
      <w:pPr>
        <w:rPr>
          <w:rFonts w:asciiTheme="majorHAnsi" w:hAnsiTheme="majorHAnsi" w:cstheme="majorHAnsi"/>
          <w:sz w:val="24"/>
          <w:szCs w:val="24"/>
        </w:rPr>
      </w:pPr>
      <w:r w:rsidRPr="004B4B33">
        <w:rPr>
          <w:rFonts w:asciiTheme="majorHAnsi" w:hAnsiTheme="majorHAnsi" w:cstheme="majorHAnsi"/>
          <w:sz w:val="24"/>
          <w:szCs w:val="24"/>
        </w:rPr>
        <w:t xml:space="preserve"> </w:t>
      </w:r>
    </w:p>
    <w:p w14:paraId="72DAC87D" w14:textId="56D19848" w:rsidR="0042415F" w:rsidRPr="004B4B33" w:rsidRDefault="001D082B">
      <w:pPr>
        <w:spacing w:before="240" w:after="240"/>
        <w:jc w:val="both"/>
        <w:rPr>
          <w:rFonts w:asciiTheme="majorHAnsi" w:hAnsiTheme="majorHAnsi" w:cstheme="majorHAnsi"/>
          <w:sz w:val="24"/>
          <w:szCs w:val="24"/>
        </w:rPr>
      </w:pPr>
      <w:r w:rsidRPr="004B4B33">
        <w:rPr>
          <w:rFonts w:asciiTheme="majorHAnsi" w:hAnsiTheme="majorHAnsi" w:cstheme="majorHAnsi"/>
          <w:b/>
          <w:sz w:val="24"/>
          <w:szCs w:val="24"/>
        </w:rPr>
        <w:t>4. Rozpočet a</w:t>
      </w:r>
      <w:r w:rsidR="000D7449">
        <w:rPr>
          <w:rFonts w:asciiTheme="majorHAnsi" w:hAnsiTheme="majorHAnsi" w:cstheme="majorHAnsi"/>
          <w:b/>
          <w:sz w:val="24"/>
          <w:szCs w:val="24"/>
        </w:rPr>
        <w:t> </w:t>
      </w:r>
      <w:r w:rsidRPr="004B4B33">
        <w:rPr>
          <w:rFonts w:asciiTheme="majorHAnsi" w:hAnsiTheme="majorHAnsi" w:cstheme="majorHAnsi"/>
          <w:b/>
          <w:sz w:val="24"/>
          <w:szCs w:val="24"/>
        </w:rPr>
        <w:t>výstupy</w:t>
      </w:r>
    </w:p>
    <w:tbl>
      <w:tblPr>
        <w:tblStyle w:val="a2"/>
        <w:tblW w:w="9026"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513"/>
        <w:gridCol w:w="4513"/>
      </w:tblGrid>
      <w:tr w:rsidR="0042415F" w:rsidRPr="004B4B33" w14:paraId="51E7B804" w14:textId="77777777">
        <w:tc>
          <w:tcPr>
            <w:tcW w:w="4513" w:type="dxa"/>
            <w:shd w:val="clear" w:color="auto" w:fill="auto"/>
            <w:tcMar>
              <w:top w:w="100" w:type="dxa"/>
              <w:left w:w="100" w:type="dxa"/>
              <w:bottom w:w="100" w:type="dxa"/>
              <w:right w:w="100" w:type="dxa"/>
            </w:tcMar>
          </w:tcPr>
          <w:p w14:paraId="01FA0C1E" w14:textId="77777777" w:rsidR="0042415F" w:rsidRPr="004B4B33" w:rsidRDefault="001D082B">
            <w:pPr>
              <w:widowControl w:val="0"/>
              <w:spacing w:before="0" w:after="0" w:line="240" w:lineRule="auto"/>
              <w:rPr>
                <w:rFonts w:asciiTheme="majorHAnsi" w:hAnsiTheme="majorHAnsi" w:cstheme="majorHAnsi"/>
                <w:b/>
              </w:rPr>
            </w:pPr>
            <w:r w:rsidRPr="004B4B33">
              <w:rPr>
                <w:rFonts w:asciiTheme="majorHAnsi" w:hAnsiTheme="majorHAnsi" w:cstheme="majorHAnsi"/>
                <w:b/>
              </w:rPr>
              <w:t xml:space="preserve">Oblast </w:t>
            </w:r>
          </w:p>
        </w:tc>
        <w:tc>
          <w:tcPr>
            <w:tcW w:w="4513" w:type="dxa"/>
            <w:shd w:val="clear" w:color="auto" w:fill="auto"/>
            <w:tcMar>
              <w:top w:w="100" w:type="dxa"/>
              <w:left w:w="100" w:type="dxa"/>
              <w:bottom w:w="100" w:type="dxa"/>
              <w:right w:w="100" w:type="dxa"/>
            </w:tcMar>
          </w:tcPr>
          <w:p w14:paraId="35A292FD" w14:textId="77777777" w:rsidR="0042415F" w:rsidRPr="004B4B33" w:rsidRDefault="001D082B">
            <w:pPr>
              <w:widowControl w:val="0"/>
              <w:spacing w:before="0" w:after="0" w:line="240" w:lineRule="auto"/>
              <w:rPr>
                <w:rFonts w:asciiTheme="majorHAnsi" w:hAnsiTheme="majorHAnsi" w:cstheme="majorHAnsi"/>
                <w:b/>
              </w:rPr>
            </w:pPr>
            <w:r w:rsidRPr="004B4B33">
              <w:rPr>
                <w:rFonts w:asciiTheme="majorHAnsi" w:hAnsiTheme="majorHAnsi" w:cstheme="majorHAnsi"/>
                <w:b/>
              </w:rPr>
              <w:t>Předpokládaný costing</w:t>
            </w:r>
          </w:p>
        </w:tc>
      </w:tr>
      <w:tr w:rsidR="0042415F" w:rsidRPr="004B4B33" w14:paraId="08AF66F2" w14:textId="77777777">
        <w:tc>
          <w:tcPr>
            <w:tcW w:w="4513" w:type="dxa"/>
            <w:shd w:val="clear" w:color="auto" w:fill="auto"/>
            <w:tcMar>
              <w:top w:w="100" w:type="dxa"/>
              <w:left w:w="100" w:type="dxa"/>
              <w:bottom w:w="100" w:type="dxa"/>
              <w:right w:w="100" w:type="dxa"/>
            </w:tcMar>
          </w:tcPr>
          <w:p w14:paraId="6AECC481" w14:textId="145EFDFB" w:rsidR="0042415F" w:rsidRPr="004B4B33" w:rsidRDefault="001D082B">
            <w:pPr>
              <w:rPr>
                <w:rFonts w:asciiTheme="majorHAnsi" w:hAnsiTheme="majorHAnsi" w:cstheme="majorHAnsi"/>
              </w:rPr>
            </w:pPr>
            <w:r w:rsidRPr="004B4B33">
              <w:rPr>
                <w:rFonts w:asciiTheme="majorHAnsi" w:hAnsiTheme="majorHAnsi" w:cstheme="majorHAnsi"/>
                <w:highlight w:val="white"/>
              </w:rPr>
              <w:t>Zákon o</w:t>
            </w:r>
            <w:r w:rsidR="000D7449">
              <w:rPr>
                <w:rFonts w:asciiTheme="majorHAnsi" w:hAnsiTheme="majorHAnsi" w:cstheme="majorHAnsi"/>
                <w:highlight w:val="white"/>
              </w:rPr>
              <w:t> </w:t>
            </w:r>
            <w:r w:rsidRPr="004B4B33">
              <w:rPr>
                <w:rFonts w:asciiTheme="majorHAnsi" w:hAnsiTheme="majorHAnsi" w:cstheme="majorHAnsi"/>
                <w:highlight w:val="white"/>
              </w:rPr>
              <w:t>podpoře v</w:t>
            </w:r>
            <w:r w:rsidR="000D7449">
              <w:rPr>
                <w:rFonts w:asciiTheme="majorHAnsi" w:hAnsiTheme="majorHAnsi" w:cstheme="majorHAnsi"/>
                <w:highlight w:val="white"/>
              </w:rPr>
              <w:t> </w:t>
            </w:r>
            <w:r w:rsidRPr="004B4B33">
              <w:rPr>
                <w:rFonts w:asciiTheme="majorHAnsi" w:hAnsiTheme="majorHAnsi" w:cstheme="majorHAnsi"/>
                <w:highlight w:val="white"/>
              </w:rPr>
              <w:t>bydlení</w:t>
            </w:r>
          </w:p>
        </w:tc>
        <w:tc>
          <w:tcPr>
            <w:tcW w:w="4513" w:type="dxa"/>
            <w:shd w:val="clear" w:color="auto" w:fill="auto"/>
            <w:tcMar>
              <w:top w:w="100" w:type="dxa"/>
              <w:left w:w="100" w:type="dxa"/>
              <w:bottom w:w="100" w:type="dxa"/>
              <w:right w:w="100" w:type="dxa"/>
            </w:tcMar>
          </w:tcPr>
          <w:p w14:paraId="09852669" w14:textId="77777777" w:rsidR="0042415F" w:rsidRPr="004B4B33" w:rsidRDefault="001D082B">
            <w:pPr>
              <w:jc w:val="both"/>
              <w:rPr>
                <w:rFonts w:asciiTheme="majorHAnsi" w:hAnsiTheme="majorHAnsi" w:cstheme="majorHAnsi"/>
              </w:rPr>
            </w:pPr>
            <w:r w:rsidRPr="004B4B33">
              <w:rPr>
                <w:rFonts w:asciiTheme="majorHAnsi" w:hAnsiTheme="majorHAnsi" w:cstheme="majorHAnsi"/>
              </w:rPr>
              <w:t xml:space="preserve">80 mil. Kč </w:t>
            </w:r>
          </w:p>
        </w:tc>
      </w:tr>
      <w:tr w:rsidR="0042415F" w:rsidRPr="004B4B33" w14:paraId="288C57C2" w14:textId="77777777">
        <w:tc>
          <w:tcPr>
            <w:tcW w:w="4513" w:type="dxa"/>
            <w:shd w:val="clear" w:color="auto" w:fill="auto"/>
            <w:tcMar>
              <w:top w:w="100" w:type="dxa"/>
              <w:left w:w="100" w:type="dxa"/>
              <w:bottom w:w="100" w:type="dxa"/>
              <w:right w:w="100" w:type="dxa"/>
            </w:tcMar>
          </w:tcPr>
          <w:p w14:paraId="3A15096B" w14:textId="5754726F" w:rsidR="0042415F" w:rsidRPr="004B4B33" w:rsidRDefault="001D082B">
            <w:pPr>
              <w:rPr>
                <w:rFonts w:asciiTheme="majorHAnsi" w:hAnsiTheme="majorHAnsi" w:cstheme="majorHAnsi"/>
              </w:rPr>
            </w:pPr>
            <w:r w:rsidRPr="004B4B33">
              <w:rPr>
                <w:rFonts w:asciiTheme="majorHAnsi" w:hAnsiTheme="majorHAnsi" w:cstheme="majorHAnsi"/>
                <w:highlight w:val="white"/>
              </w:rPr>
              <w:lastRenderedPageBreak/>
              <w:t>Housing Investment Advisory Hub a</w:t>
            </w:r>
            <w:r w:rsidR="000D7449">
              <w:rPr>
                <w:rFonts w:asciiTheme="majorHAnsi" w:hAnsiTheme="majorHAnsi" w:cstheme="majorHAnsi"/>
                <w:highlight w:val="white"/>
              </w:rPr>
              <w:t> </w:t>
            </w:r>
            <w:r w:rsidRPr="004B4B33">
              <w:rPr>
                <w:rFonts w:asciiTheme="majorHAnsi" w:hAnsiTheme="majorHAnsi" w:cstheme="majorHAnsi"/>
                <w:highlight w:val="white"/>
              </w:rPr>
              <w:t>Regionální centra pro podporu investic do bydlení</w:t>
            </w:r>
          </w:p>
        </w:tc>
        <w:tc>
          <w:tcPr>
            <w:tcW w:w="4513" w:type="dxa"/>
            <w:shd w:val="clear" w:color="auto" w:fill="auto"/>
            <w:tcMar>
              <w:top w:w="100" w:type="dxa"/>
              <w:left w:w="100" w:type="dxa"/>
              <w:bottom w:w="100" w:type="dxa"/>
              <w:right w:w="100" w:type="dxa"/>
            </w:tcMar>
          </w:tcPr>
          <w:p w14:paraId="599387AA" w14:textId="77777777" w:rsidR="0042415F" w:rsidRPr="004B4B33" w:rsidRDefault="00DD7370">
            <w:pPr>
              <w:widowControl w:val="0"/>
              <w:spacing w:before="0" w:after="0" w:line="240" w:lineRule="auto"/>
              <w:rPr>
                <w:rFonts w:asciiTheme="majorHAnsi" w:hAnsiTheme="majorHAnsi" w:cstheme="majorHAnsi"/>
              </w:rPr>
            </w:pPr>
            <w:r w:rsidRPr="004B4B33">
              <w:rPr>
                <w:rFonts w:asciiTheme="majorHAnsi" w:hAnsiTheme="majorHAnsi" w:cstheme="majorHAnsi"/>
              </w:rPr>
              <w:t>42</w:t>
            </w:r>
            <w:r w:rsidR="001D082B" w:rsidRPr="004B4B33">
              <w:rPr>
                <w:rFonts w:asciiTheme="majorHAnsi" w:hAnsiTheme="majorHAnsi" w:cstheme="majorHAnsi"/>
              </w:rPr>
              <w:t>0 mil. Kč</w:t>
            </w:r>
          </w:p>
        </w:tc>
      </w:tr>
      <w:tr w:rsidR="0042415F" w:rsidRPr="004B4B33" w14:paraId="1B726715" w14:textId="77777777">
        <w:tc>
          <w:tcPr>
            <w:tcW w:w="4513" w:type="dxa"/>
            <w:shd w:val="clear" w:color="auto" w:fill="auto"/>
            <w:tcMar>
              <w:top w:w="100" w:type="dxa"/>
              <w:left w:w="100" w:type="dxa"/>
              <w:bottom w:w="100" w:type="dxa"/>
              <w:right w:w="100" w:type="dxa"/>
            </w:tcMar>
          </w:tcPr>
          <w:p w14:paraId="64D5CA85" w14:textId="77777777" w:rsidR="0042415F" w:rsidRPr="004B4B33" w:rsidRDefault="001D082B">
            <w:pPr>
              <w:rPr>
                <w:rFonts w:asciiTheme="majorHAnsi" w:hAnsiTheme="majorHAnsi" w:cstheme="majorHAnsi"/>
              </w:rPr>
            </w:pPr>
            <w:r w:rsidRPr="004B4B33">
              <w:rPr>
                <w:rFonts w:asciiTheme="majorHAnsi" w:hAnsiTheme="majorHAnsi" w:cstheme="majorHAnsi"/>
              </w:rPr>
              <w:t>Finanční nástroje pro zvýšení dostupnosti bydlení</w:t>
            </w:r>
          </w:p>
        </w:tc>
        <w:tc>
          <w:tcPr>
            <w:tcW w:w="4513" w:type="dxa"/>
            <w:shd w:val="clear" w:color="auto" w:fill="auto"/>
            <w:tcMar>
              <w:top w:w="100" w:type="dxa"/>
              <w:left w:w="100" w:type="dxa"/>
              <w:bottom w:w="100" w:type="dxa"/>
              <w:right w:w="100" w:type="dxa"/>
            </w:tcMar>
          </w:tcPr>
          <w:p w14:paraId="322AB971" w14:textId="77777777" w:rsidR="0042415F" w:rsidRPr="004B4B33" w:rsidRDefault="001D082B">
            <w:pPr>
              <w:widowControl w:val="0"/>
              <w:spacing w:before="0" w:after="0" w:line="240" w:lineRule="auto"/>
              <w:rPr>
                <w:rFonts w:asciiTheme="majorHAnsi" w:hAnsiTheme="majorHAnsi" w:cstheme="majorHAnsi"/>
              </w:rPr>
            </w:pPr>
            <w:r w:rsidRPr="004B4B33">
              <w:rPr>
                <w:rFonts w:asciiTheme="majorHAnsi" w:hAnsiTheme="majorHAnsi" w:cstheme="majorHAnsi"/>
              </w:rPr>
              <w:t xml:space="preserve">8 mld. </w:t>
            </w:r>
          </w:p>
        </w:tc>
      </w:tr>
    </w:tbl>
    <w:p w14:paraId="1EBDE641" w14:textId="2D53B93D" w:rsidR="0042415F" w:rsidRPr="004B4B33" w:rsidRDefault="001D082B" w:rsidP="4966BBAE">
      <w:pPr>
        <w:spacing w:before="240" w:after="240"/>
        <w:jc w:val="both"/>
        <w:rPr>
          <w:rFonts w:asciiTheme="majorHAnsi" w:hAnsiTheme="majorHAnsi" w:cstheme="majorBidi"/>
        </w:rPr>
      </w:pPr>
      <w:r w:rsidRPr="5B41DABB">
        <w:rPr>
          <w:rFonts w:asciiTheme="majorHAnsi" w:hAnsiTheme="majorHAnsi" w:cstheme="majorBidi"/>
        </w:rPr>
        <w:t>Byla provedena zevrubná analýza nákladů a</w:t>
      </w:r>
      <w:r w:rsidR="000D7449">
        <w:rPr>
          <w:rFonts w:asciiTheme="majorHAnsi" w:hAnsiTheme="majorHAnsi" w:cstheme="majorBidi"/>
        </w:rPr>
        <w:t> </w:t>
      </w:r>
      <w:r w:rsidRPr="5B41DABB">
        <w:rPr>
          <w:rFonts w:asciiTheme="majorHAnsi" w:hAnsiTheme="majorHAnsi" w:cstheme="majorBidi"/>
        </w:rPr>
        <w:t>užití investičních prostředků na výstavbu, renovace a</w:t>
      </w:r>
      <w:r w:rsidR="000D7449">
        <w:rPr>
          <w:rFonts w:asciiTheme="majorHAnsi" w:hAnsiTheme="majorHAnsi" w:cstheme="majorBidi"/>
        </w:rPr>
        <w:t> </w:t>
      </w:r>
      <w:r w:rsidRPr="5B41DABB">
        <w:rPr>
          <w:rFonts w:asciiTheme="majorHAnsi" w:hAnsiTheme="majorHAnsi" w:cstheme="majorBidi"/>
        </w:rPr>
        <w:t xml:space="preserve">odkupy dostupného bydlení. Příslušné výpočty byly provedeny výhradně pro ilustraci modelových projektů pod přímou kontrolou komponenty bez zapojení třetích stran). Účelem financování ze zdrojů NPO je </w:t>
      </w:r>
      <w:r w:rsidR="000D7449" w:rsidRPr="5B41DABB">
        <w:rPr>
          <w:rFonts w:asciiTheme="majorHAnsi" w:hAnsiTheme="majorHAnsi" w:cstheme="majorBidi"/>
        </w:rPr>
        <w:t>mj.</w:t>
      </w:r>
      <w:r w:rsidRPr="5B41DABB">
        <w:rPr>
          <w:rFonts w:asciiTheme="majorHAnsi" w:hAnsiTheme="majorHAnsi" w:cstheme="majorBidi"/>
        </w:rPr>
        <w:t xml:space="preserve"> podpořit finanční instrumenty, které jsou koncipovány jako otevřené pro aktivní spoluúčast a</w:t>
      </w:r>
      <w:r w:rsidR="000D7449">
        <w:rPr>
          <w:rFonts w:asciiTheme="majorHAnsi" w:hAnsiTheme="majorHAnsi" w:cstheme="majorBidi"/>
        </w:rPr>
        <w:t> </w:t>
      </w:r>
      <w:r w:rsidRPr="5B41DABB">
        <w:rPr>
          <w:rFonts w:asciiTheme="majorHAnsi" w:hAnsiTheme="majorHAnsi" w:cstheme="majorBidi"/>
        </w:rPr>
        <w:t xml:space="preserve">spoluinvestice vnějšího kapitálu včetně </w:t>
      </w:r>
      <w:r w:rsidR="49E96884" w:rsidRPr="5B41DABB">
        <w:rPr>
          <w:rFonts w:asciiTheme="majorHAnsi" w:hAnsiTheme="majorHAnsi" w:cstheme="majorBidi"/>
        </w:rPr>
        <w:t xml:space="preserve">participace na </w:t>
      </w:r>
      <w:r w:rsidRPr="5B41DABB">
        <w:rPr>
          <w:rFonts w:asciiTheme="majorHAnsi" w:hAnsiTheme="majorHAnsi" w:cstheme="majorBidi"/>
        </w:rPr>
        <w:t>blendu úvěrových instrumentů. V</w:t>
      </w:r>
      <w:r w:rsidR="000D7449">
        <w:rPr>
          <w:rFonts w:asciiTheme="majorHAnsi" w:hAnsiTheme="majorHAnsi" w:cstheme="majorBidi"/>
        </w:rPr>
        <w:t> </w:t>
      </w:r>
      <w:r w:rsidRPr="5B41DABB">
        <w:rPr>
          <w:rFonts w:asciiTheme="majorHAnsi" w:hAnsiTheme="majorHAnsi" w:cstheme="majorBidi"/>
        </w:rPr>
        <w:t>praxi zaznamenáváme vysokou poptávku po dostupném bydlení a</w:t>
      </w:r>
      <w:r w:rsidR="000D7449">
        <w:rPr>
          <w:rFonts w:asciiTheme="majorHAnsi" w:hAnsiTheme="majorHAnsi" w:cstheme="majorBidi"/>
        </w:rPr>
        <w:t> </w:t>
      </w:r>
      <w:r w:rsidRPr="5B41DABB">
        <w:rPr>
          <w:rFonts w:asciiTheme="majorHAnsi" w:hAnsiTheme="majorHAnsi" w:cstheme="majorBidi"/>
        </w:rPr>
        <w:t>očekáváme zapojení finančních zdrojů bank a</w:t>
      </w:r>
      <w:r w:rsidR="000D7449">
        <w:rPr>
          <w:rFonts w:asciiTheme="majorHAnsi" w:hAnsiTheme="majorHAnsi" w:cstheme="majorBidi"/>
        </w:rPr>
        <w:t> </w:t>
      </w:r>
      <w:r w:rsidRPr="5B41DABB">
        <w:rPr>
          <w:rFonts w:asciiTheme="majorHAnsi" w:hAnsiTheme="majorHAnsi" w:cstheme="majorBidi"/>
        </w:rPr>
        <w:t>mezinárodních finančních institucí a</w:t>
      </w:r>
      <w:r w:rsidR="000D7449">
        <w:rPr>
          <w:rFonts w:asciiTheme="majorHAnsi" w:hAnsiTheme="majorHAnsi" w:cstheme="majorBidi"/>
        </w:rPr>
        <w:t> </w:t>
      </w:r>
      <w:r w:rsidRPr="5B41DABB">
        <w:rPr>
          <w:rFonts w:asciiTheme="majorHAnsi" w:hAnsiTheme="majorHAnsi" w:cstheme="majorBidi"/>
        </w:rPr>
        <w:t>docílení významného pákového multiplikačního efektu v</w:t>
      </w:r>
      <w:r w:rsidR="000D7449">
        <w:rPr>
          <w:rFonts w:asciiTheme="majorHAnsi" w:hAnsiTheme="majorHAnsi" w:cstheme="majorBidi"/>
        </w:rPr>
        <w:t> </w:t>
      </w:r>
      <w:r w:rsidRPr="5B41DABB">
        <w:rPr>
          <w:rFonts w:asciiTheme="majorHAnsi" w:hAnsiTheme="majorHAnsi" w:cstheme="majorBidi"/>
        </w:rPr>
        <w:t xml:space="preserve">řádu miliard CZK. </w:t>
      </w:r>
    </w:p>
    <w:p w14:paraId="5E95B0E4" w14:textId="378F24D2" w:rsidR="0042415F" w:rsidRPr="004B4B33" w:rsidRDefault="001D082B">
      <w:pPr>
        <w:spacing w:before="300" w:after="240"/>
        <w:jc w:val="both"/>
        <w:rPr>
          <w:rFonts w:asciiTheme="majorHAnsi" w:hAnsiTheme="majorHAnsi" w:cstheme="majorHAnsi"/>
        </w:rPr>
      </w:pPr>
      <w:r w:rsidRPr="004B4B33">
        <w:rPr>
          <w:rFonts w:asciiTheme="majorHAnsi" w:hAnsiTheme="majorHAnsi" w:cstheme="majorHAnsi"/>
        </w:rPr>
        <w:t>Analýzy byly provedeny na modelovém případě bytových jednotek s</w:t>
      </w:r>
      <w:r w:rsidR="000D7449">
        <w:rPr>
          <w:rFonts w:asciiTheme="majorHAnsi" w:hAnsiTheme="majorHAnsi" w:cstheme="majorHAnsi"/>
        </w:rPr>
        <w:t> </w:t>
      </w:r>
      <w:r w:rsidRPr="004B4B33">
        <w:rPr>
          <w:rFonts w:asciiTheme="majorHAnsi" w:hAnsiTheme="majorHAnsi" w:cstheme="majorHAnsi"/>
        </w:rPr>
        <w:t>průměrn</w:t>
      </w:r>
      <w:r w:rsidR="008A01D4" w:rsidRPr="004B4B33">
        <w:rPr>
          <w:rFonts w:asciiTheme="majorHAnsi" w:hAnsiTheme="majorHAnsi" w:cstheme="majorHAnsi"/>
        </w:rPr>
        <w:t>ou</w:t>
      </w:r>
      <w:r w:rsidRPr="004B4B33">
        <w:rPr>
          <w:rFonts w:asciiTheme="majorHAnsi" w:hAnsiTheme="majorHAnsi" w:cstheme="majorHAnsi"/>
        </w:rPr>
        <w:t xml:space="preserve"> obytnou plochou 60m2. Vzhledem k</w:t>
      </w:r>
      <w:r w:rsidR="000D7449">
        <w:rPr>
          <w:rFonts w:asciiTheme="majorHAnsi" w:hAnsiTheme="majorHAnsi" w:cstheme="majorHAnsi"/>
        </w:rPr>
        <w:t> </w:t>
      </w:r>
      <w:r w:rsidRPr="004B4B33">
        <w:rPr>
          <w:rFonts w:asciiTheme="majorHAnsi" w:hAnsiTheme="majorHAnsi" w:cstheme="majorHAnsi"/>
        </w:rPr>
        <w:t>vysoké specifikaci energetického standardu modelujeme investiční náklad nové výstavby ve výši 85 000 Kč za metr čtvereční podlahové plochy v</w:t>
      </w:r>
      <w:r w:rsidR="000D7449">
        <w:rPr>
          <w:rFonts w:asciiTheme="majorHAnsi" w:hAnsiTheme="majorHAnsi" w:cstheme="majorHAnsi"/>
        </w:rPr>
        <w:t> </w:t>
      </w:r>
      <w:r w:rsidRPr="004B4B33">
        <w:rPr>
          <w:rFonts w:asciiTheme="majorHAnsi" w:hAnsiTheme="majorHAnsi" w:cstheme="majorHAnsi"/>
        </w:rPr>
        <w:t>roce 2025, rekonstrukcí 50 000 Kč za metr čtvereční renovované plochy a</w:t>
      </w:r>
      <w:r w:rsidR="000D7449">
        <w:rPr>
          <w:rFonts w:asciiTheme="majorHAnsi" w:hAnsiTheme="majorHAnsi" w:cstheme="majorHAnsi"/>
        </w:rPr>
        <w:t> </w:t>
      </w:r>
      <w:r w:rsidRPr="004B4B33">
        <w:rPr>
          <w:rFonts w:asciiTheme="majorHAnsi" w:hAnsiTheme="majorHAnsi" w:cstheme="majorHAnsi"/>
        </w:rPr>
        <w:t>70 000 Kč akviziční ceny za metr čtvereční pro případy odkupu.</w:t>
      </w:r>
    </w:p>
    <w:p w14:paraId="2FE05830" w14:textId="5BA59C27" w:rsidR="0042415F" w:rsidRPr="004B4B33" w:rsidRDefault="78F8E056" w:rsidP="5B41DABB">
      <w:pPr>
        <w:spacing w:before="300" w:after="240"/>
        <w:jc w:val="both"/>
        <w:rPr>
          <w:rFonts w:asciiTheme="majorHAnsi" w:hAnsiTheme="majorHAnsi" w:cstheme="majorBidi"/>
        </w:rPr>
      </w:pPr>
      <w:r w:rsidRPr="5B41DABB">
        <w:rPr>
          <w:rFonts w:asciiTheme="majorHAnsi" w:hAnsiTheme="majorHAnsi" w:cstheme="majorBidi"/>
        </w:rPr>
        <w:t>V oblasti rekonstrukcí nákladové výměry výrazně oscilují v</w:t>
      </w:r>
      <w:r w:rsidR="000D7449">
        <w:rPr>
          <w:rFonts w:asciiTheme="majorHAnsi" w:hAnsiTheme="majorHAnsi" w:cstheme="majorBidi"/>
        </w:rPr>
        <w:t> </w:t>
      </w:r>
      <w:r w:rsidRPr="5B41DABB">
        <w:rPr>
          <w:rFonts w:asciiTheme="majorHAnsi" w:hAnsiTheme="majorHAnsi" w:cstheme="majorBidi"/>
        </w:rPr>
        <w:t>závislosti na specifikaci. Pro modelové propočty uvažujeme v</w:t>
      </w:r>
      <w:r w:rsidR="000D7449">
        <w:rPr>
          <w:rFonts w:asciiTheme="majorHAnsi" w:hAnsiTheme="majorHAnsi" w:cstheme="majorBidi"/>
        </w:rPr>
        <w:t> </w:t>
      </w:r>
      <w:r w:rsidRPr="5B41DABB">
        <w:rPr>
          <w:rFonts w:asciiTheme="majorHAnsi" w:hAnsiTheme="majorHAnsi" w:cstheme="majorBidi"/>
        </w:rPr>
        <w:t>průměru alespoň středně rozsáhlou míru renovace dle Doporučení (EU) 2019/786 čl. 2.3.1.1. (mezi 30 – 60% energetických úspor</w:t>
      </w:r>
      <w:r w:rsidR="7C2B4D90" w:rsidRPr="5B41DABB">
        <w:rPr>
          <w:rFonts w:asciiTheme="majorHAnsi" w:hAnsiTheme="majorHAnsi" w:cstheme="majorBidi"/>
        </w:rPr>
        <w:t xml:space="preserve"> </w:t>
      </w:r>
      <w:r w:rsidR="001D082B" w:rsidRPr="5B41DABB">
        <w:rPr>
          <w:rFonts w:asciiTheme="majorHAnsi" w:hAnsiTheme="majorHAnsi" w:cstheme="majorBidi"/>
        </w:rPr>
        <w:t>Výchozí nákladový předpoklad 50 000 Kč za metr čtvereční zahrnuje kompletní interiérové přestavby a</w:t>
      </w:r>
      <w:r w:rsidR="000D7449">
        <w:rPr>
          <w:rFonts w:asciiTheme="majorHAnsi" w:hAnsiTheme="majorHAnsi" w:cstheme="majorBidi"/>
        </w:rPr>
        <w:t> </w:t>
      </w:r>
      <w:r w:rsidR="001D082B" w:rsidRPr="5B41DABB">
        <w:rPr>
          <w:rFonts w:asciiTheme="majorHAnsi" w:hAnsiTheme="majorHAnsi" w:cstheme="majorBidi"/>
        </w:rPr>
        <w:t>výměny technologií, střešní krytiny, bez garáží. V</w:t>
      </w:r>
      <w:r w:rsidR="000D7449">
        <w:rPr>
          <w:rFonts w:asciiTheme="majorHAnsi" w:hAnsiTheme="majorHAnsi" w:cstheme="majorBidi"/>
        </w:rPr>
        <w:t> </w:t>
      </w:r>
      <w:r w:rsidR="001D082B" w:rsidRPr="5B41DABB">
        <w:rPr>
          <w:rFonts w:asciiTheme="majorHAnsi" w:hAnsiTheme="majorHAnsi" w:cstheme="majorBidi"/>
        </w:rPr>
        <w:t>rámci objemu rekonstrukcí dále uvažujeme s</w:t>
      </w:r>
      <w:r w:rsidR="000D7449">
        <w:rPr>
          <w:rFonts w:asciiTheme="majorHAnsi" w:hAnsiTheme="majorHAnsi" w:cstheme="majorBidi"/>
        </w:rPr>
        <w:t> </w:t>
      </w:r>
      <w:r w:rsidR="001D082B" w:rsidRPr="5B41DABB">
        <w:rPr>
          <w:rFonts w:asciiTheme="majorHAnsi" w:hAnsiTheme="majorHAnsi" w:cstheme="majorBidi"/>
        </w:rPr>
        <w:t>tím, že 40% celkového objemu bude realizováno v</w:t>
      </w:r>
      <w:r w:rsidR="000D7449">
        <w:rPr>
          <w:rFonts w:asciiTheme="majorHAnsi" w:hAnsiTheme="majorHAnsi" w:cstheme="majorBidi"/>
        </w:rPr>
        <w:t> </w:t>
      </w:r>
      <w:r w:rsidR="001D082B" w:rsidRPr="5B41DABB">
        <w:rPr>
          <w:rFonts w:asciiTheme="majorHAnsi" w:hAnsiTheme="majorHAnsi" w:cstheme="majorBidi"/>
        </w:rPr>
        <w:t>městských památkových zónách nebo v</w:t>
      </w:r>
      <w:r w:rsidR="000D7449">
        <w:rPr>
          <w:rFonts w:asciiTheme="majorHAnsi" w:hAnsiTheme="majorHAnsi" w:cstheme="majorBidi"/>
        </w:rPr>
        <w:t> </w:t>
      </w:r>
      <w:r w:rsidR="001D082B" w:rsidRPr="5B41DABB">
        <w:rPr>
          <w:rFonts w:asciiTheme="majorHAnsi" w:hAnsiTheme="majorHAnsi" w:cstheme="majorBidi"/>
        </w:rPr>
        <w:t>brownfieldech se ztíženou dostupností, které povedou k</w:t>
      </w:r>
      <w:r w:rsidR="000D7449">
        <w:rPr>
          <w:rFonts w:asciiTheme="majorHAnsi" w:hAnsiTheme="majorHAnsi" w:cstheme="majorBidi"/>
        </w:rPr>
        <w:t> </w:t>
      </w:r>
      <w:r w:rsidR="001D082B" w:rsidRPr="5B41DABB">
        <w:rPr>
          <w:rFonts w:asciiTheme="majorHAnsi" w:hAnsiTheme="majorHAnsi" w:cstheme="majorBidi"/>
        </w:rPr>
        <w:t>25% dodatečnému nárůstu nákladů. Obě kalkulace předpokládají nulovou pořizovací hodnotu pozemku již vlastněného municipalitou nebo převedeného bezúplatně státem.</w:t>
      </w:r>
    </w:p>
    <w:p w14:paraId="392FB7D8" w14:textId="77777777" w:rsidR="0042415F" w:rsidRPr="004B4B33" w:rsidRDefault="001D082B">
      <w:pPr>
        <w:spacing w:before="300" w:after="240"/>
        <w:jc w:val="both"/>
        <w:rPr>
          <w:rFonts w:asciiTheme="majorHAnsi" w:hAnsiTheme="majorHAnsi" w:cstheme="majorHAnsi"/>
        </w:rPr>
      </w:pPr>
      <w:r w:rsidRPr="004B4B33">
        <w:rPr>
          <w:rFonts w:asciiTheme="majorHAnsi" w:hAnsiTheme="majorHAnsi" w:cstheme="majorHAnsi"/>
        </w:rPr>
        <w:t>V kalkulacích dále předpokládáme, že cca 20% nových vybudovaných podlahových ploch budou plochy komunitního charakteru (haly, vstupní vestibuly, společné funkční prostory).</w:t>
      </w:r>
    </w:p>
    <w:p w14:paraId="369751AD" w14:textId="5CAA2B37" w:rsidR="0042415F" w:rsidRPr="004B4B33" w:rsidRDefault="000D7449" w:rsidP="4966BBAE">
      <w:pPr>
        <w:spacing w:before="240" w:after="240"/>
        <w:jc w:val="both"/>
        <w:rPr>
          <w:rFonts w:asciiTheme="majorHAnsi" w:hAnsiTheme="majorHAnsi" w:cstheme="majorBidi"/>
        </w:rPr>
      </w:pPr>
      <w:r w:rsidRPr="5B41DABB">
        <w:rPr>
          <w:rFonts w:asciiTheme="majorHAnsi" w:hAnsiTheme="majorHAnsi" w:cstheme="majorBidi"/>
          <w:b/>
          <w:bCs/>
        </w:rPr>
        <w:t xml:space="preserve">Indikativní </w:t>
      </w:r>
      <w:r w:rsidRPr="5B41DABB">
        <w:rPr>
          <w:rFonts w:asciiTheme="majorHAnsi" w:hAnsiTheme="majorHAnsi" w:cstheme="majorBidi"/>
        </w:rPr>
        <w:t>modelová</w:t>
      </w:r>
      <w:r w:rsidR="001D082B" w:rsidRPr="5B41DABB">
        <w:rPr>
          <w:rFonts w:asciiTheme="majorHAnsi" w:hAnsiTheme="majorHAnsi" w:cstheme="majorBidi"/>
        </w:rPr>
        <w:t xml:space="preserve"> kapacita bytových jednotek pořízených z</w:t>
      </w:r>
      <w:r>
        <w:rPr>
          <w:rFonts w:asciiTheme="majorHAnsi" w:hAnsiTheme="majorHAnsi" w:cstheme="majorBidi"/>
        </w:rPr>
        <w:t> </w:t>
      </w:r>
      <w:r w:rsidR="001D082B" w:rsidRPr="5B41DABB">
        <w:rPr>
          <w:rFonts w:asciiTheme="majorHAnsi" w:hAnsiTheme="majorHAnsi" w:cstheme="majorBidi"/>
        </w:rPr>
        <w:t xml:space="preserve">celkové částky komponenty 8 miliard Kč vychází na </w:t>
      </w:r>
      <w:r w:rsidRPr="5B41DABB">
        <w:rPr>
          <w:rFonts w:asciiTheme="majorHAnsi" w:hAnsiTheme="majorHAnsi" w:cstheme="majorBidi"/>
        </w:rPr>
        <w:t>1122 nově</w:t>
      </w:r>
      <w:r w:rsidR="001D082B" w:rsidRPr="5B41DABB">
        <w:rPr>
          <w:rFonts w:asciiTheme="majorHAnsi" w:hAnsiTheme="majorHAnsi" w:cstheme="majorBidi"/>
        </w:rPr>
        <w:t xml:space="preserve"> postavených bytů, </w:t>
      </w:r>
      <w:r w:rsidR="2601735E" w:rsidRPr="5B41DABB">
        <w:rPr>
          <w:rFonts w:asciiTheme="majorHAnsi" w:hAnsiTheme="majorHAnsi" w:cstheme="majorBidi"/>
        </w:rPr>
        <w:t>464</w:t>
      </w:r>
      <w:r w:rsidR="001D082B" w:rsidRPr="5B41DABB">
        <w:rPr>
          <w:rFonts w:asciiTheme="majorHAnsi" w:hAnsiTheme="majorHAnsi" w:cstheme="majorBidi"/>
        </w:rPr>
        <w:t xml:space="preserve"> renovovaných bytových jednotek a</w:t>
      </w:r>
      <w:r>
        <w:rPr>
          <w:rFonts w:asciiTheme="majorHAnsi" w:hAnsiTheme="majorHAnsi" w:cstheme="majorBidi"/>
        </w:rPr>
        <w:t> </w:t>
      </w:r>
      <w:r w:rsidR="2685A580" w:rsidRPr="5B41DABB">
        <w:rPr>
          <w:rFonts w:asciiTheme="majorHAnsi" w:hAnsiTheme="majorHAnsi" w:cstheme="majorBidi"/>
        </w:rPr>
        <w:t>587</w:t>
      </w:r>
      <w:r w:rsidR="001D082B" w:rsidRPr="5B41DABB">
        <w:rPr>
          <w:rFonts w:asciiTheme="majorHAnsi" w:hAnsiTheme="majorHAnsi" w:cstheme="majorBidi"/>
        </w:rPr>
        <w:t xml:space="preserve"> odkoupených bytových jednotek, celkem </w:t>
      </w:r>
      <w:r w:rsidR="001D082B" w:rsidRPr="5B41DABB">
        <w:rPr>
          <w:rFonts w:asciiTheme="majorHAnsi" w:hAnsiTheme="majorHAnsi" w:cstheme="majorBidi"/>
          <w:b/>
          <w:bCs/>
        </w:rPr>
        <w:t>2</w:t>
      </w:r>
      <w:r w:rsidR="0227B752" w:rsidRPr="5B41DABB">
        <w:rPr>
          <w:rFonts w:asciiTheme="majorHAnsi" w:hAnsiTheme="majorHAnsi" w:cstheme="majorBidi"/>
          <w:b/>
          <w:bCs/>
        </w:rPr>
        <w:t>173</w:t>
      </w:r>
      <w:r w:rsidR="001D082B" w:rsidRPr="5B41DABB">
        <w:rPr>
          <w:rFonts w:asciiTheme="majorHAnsi" w:hAnsiTheme="majorHAnsi" w:cstheme="majorBidi"/>
          <w:b/>
          <w:bCs/>
        </w:rPr>
        <w:t xml:space="preserve"> modelových bytových jednotek</w:t>
      </w:r>
      <w:r w:rsidR="001D082B" w:rsidRPr="5B41DABB">
        <w:rPr>
          <w:rFonts w:asciiTheme="majorHAnsi" w:hAnsiTheme="majorHAnsi" w:cstheme="majorBidi"/>
        </w:rPr>
        <w:t>. Tento předběžný scénář bude dále modifikován v</w:t>
      </w:r>
      <w:r>
        <w:rPr>
          <w:rFonts w:asciiTheme="majorHAnsi" w:hAnsiTheme="majorHAnsi" w:cstheme="majorBidi"/>
        </w:rPr>
        <w:t> </w:t>
      </w:r>
      <w:r w:rsidR="001D082B" w:rsidRPr="5B41DABB">
        <w:rPr>
          <w:rFonts w:asciiTheme="majorHAnsi" w:hAnsiTheme="majorHAnsi" w:cstheme="majorBidi"/>
        </w:rPr>
        <w:t xml:space="preserve">závislosti na </w:t>
      </w:r>
      <w:r w:rsidR="6ED98651" w:rsidRPr="5B41DABB">
        <w:rPr>
          <w:rFonts w:asciiTheme="majorHAnsi" w:hAnsiTheme="majorHAnsi" w:cstheme="majorBidi"/>
        </w:rPr>
        <w:t>vývoji reálné poptávky.</w:t>
      </w:r>
      <w:r>
        <w:rPr>
          <w:rFonts w:asciiTheme="majorHAnsi" w:hAnsiTheme="majorHAnsi" w:cstheme="majorBidi"/>
        </w:rPr>
        <w:t xml:space="preserve"> </w:t>
      </w:r>
      <w:r w:rsidR="001D082B" w:rsidRPr="5B41DABB">
        <w:rPr>
          <w:rFonts w:asciiTheme="majorHAnsi" w:hAnsiTheme="majorHAnsi" w:cstheme="majorBidi"/>
        </w:rPr>
        <w:t>Důležitým faktorem, který bude dodatečně vyjasňován, je i</w:t>
      </w:r>
      <w:r>
        <w:rPr>
          <w:rFonts w:asciiTheme="majorHAnsi" w:hAnsiTheme="majorHAnsi" w:cstheme="majorBidi"/>
        </w:rPr>
        <w:t> </w:t>
      </w:r>
      <w:r w:rsidR="001D082B" w:rsidRPr="5B41DABB">
        <w:rPr>
          <w:rFonts w:asciiTheme="majorHAnsi" w:hAnsiTheme="majorHAnsi" w:cstheme="majorBidi"/>
        </w:rPr>
        <w:t>rozsah přidružených způsobilých nákladů na sociální a</w:t>
      </w:r>
      <w:r>
        <w:rPr>
          <w:rFonts w:asciiTheme="majorHAnsi" w:hAnsiTheme="majorHAnsi" w:cstheme="majorBidi"/>
        </w:rPr>
        <w:t> </w:t>
      </w:r>
      <w:r w:rsidR="001D082B" w:rsidRPr="5B41DABB">
        <w:rPr>
          <w:rFonts w:asciiTheme="majorHAnsi" w:hAnsiTheme="majorHAnsi" w:cstheme="majorBidi"/>
        </w:rPr>
        <w:t>občanskou infrastrukturu a</w:t>
      </w:r>
      <w:r>
        <w:rPr>
          <w:rFonts w:asciiTheme="majorHAnsi" w:hAnsiTheme="majorHAnsi" w:cstheme="majorBidi"/>
        </w:rPr>
        <w:t> </w:t>
      </w:r>
      <w:r w:rsidR="001D082B" w:rsidRPr="5B41DABB">
        <w:rPr>
          <w:rFonts w:asciiTheme="majorHAnsi" w:hAnsiTheme="majorHAnsi" w:cstheme="majorBidi"/>
        </w:rPr>
        <w:t>vybavenost ve smyslu oblastí intervence 85 - 92 Přílohy VI Nařízení EP a</w:t>
      </w:r>
      <w:r>
        <w:rPr>
          <w:rFonts w:asciiTheme="majorHAnsi" w:hAnsiTheme="majorHAnsi" w:cstheme="majorBidi"/>
        </w:rPr>
        <w:t> </w:t>
      </w:r>
      <w:r w:rsidR="001D082B" w:rsidRPr="5B41DABB">
        <w:rPr>
          <w:rFonts w:asciiTheme="majorHAnsi" w:hAnsiTheme="majorHAnsi" w:cstheme="majorBidi"/>
        </w:rPr>
        <w:t>Rady 2021/241, které mohou být požadovány v</w:t>
      </w:r>
      <w:r>
        <w:rPr>
          <w:rFonts w:asciiTheme="majorHAnsi" w:hAnsiTheme="majorHAnsi" w:cstheme="majorBidi"/>
        </w:rPr>
        <w:t> </w:t>
      </w:r>
      <w:r w:rsidR="001D082B" w:rsidRPr="5B41DABB">
        <w:rPr>
          <w:rFonts w:asciiTheme="majorHAnsi" w:hAnsiTheme="majorHAnsi" w:cstheme="majorBidi"/>
        </w:rPr>
        <w:t>závislosti na místních potřebách a</w:t>
      </w:r>
      <w:r>
        <w:rPr>
          <w:rFonts w:asciiTheme="majorHAnsi" w:hAnsiTheme="majorHAnsi" w:cstheme="majorBidi"/>
        </w:rPr>
        <w:t> </w:t>
      </w:r>
      <w:r w:rsidR="001D082B" w:rsidRPr="5B41DABB">
        <w:rPr>
          <w:rFonts w:asciiTheme="majorHAnsi" w:hAnsiTheme="majorHAnsi" w:cstheme="majorBidi"/>
        </w:rPr>
        <w:t>územních požadavcích.</w:t>
      </w:r>
    </w:p>
    <w:p w14:paraId="47C37FEB" w14:textId="1C1CC43B" w:rsidR="00E82E67" w:rsidRPr="004B4B33" w:rsidRDefault="00E82E67" w:rsidP="00A10AD9">
      <w:pPr>
        <w:jc w:val="both"/>
        <w:rPr>
          <w:rFonts w:asciiTheme="majorHAnsi" w:eastAsia="Times New Roman" w:hAnsiTheme="majorHAnsi" w:cstheme="majorHAnsi"/>
          <w:color w:val="000000"/>
          <w:sz w:val="24"/>
          <w:szCs w:val="24"/>
        </w:rPr>
      </w:pPr>
      <w:r w:rsidRPr="004B4B33">
        <w:rPr>
          <w:rStyle w:val="normaltextrun"/>
          <w:rFonts w:asciiTheme="majorHAnsi" w:eastAsia="Times New Roman" w:hAnsiTheme="majorHAnsi" w:cstheme="majorHAnsi"/>
          <w:color w:val="000000"/>
          <w:shd w:val="clear" w:color="auto" w:fill="FFFFFF"/>
        </w:rPr>
        <w:t xml:space="preserve">Rozpočtové náklady </w:t>
      </w:r>
      <w:r w:rsidR="00DD7370" w:rsidRPr="004B4B33">
        <w:rPr>
          <w:rStyle w:val="normaltextrun"/>
          <w:rFonts w:asciiTheme="majorHAnsi" w:eastAsia="Times New Roman" w:hAnsiTheme="majorHAnsi" w:cstheme="majorHAnsi"/>
          <w:color w:val="000000"/>
          <w:shd w:val="clear" w:color="auto" w:fill="FFFFFF"/>
        </w:rPr>
        <w:t xml:space="preserve">metodického vedení, </w:t>
      </w:r>
      <w:r w:rsidRPr="004B4B33">
        <w:rPr>
          <w:rStyle w:val="normaltextrun"/>
          <w:rFonts w:asciiTheme="majorHAnsi" w:eastAsia="Times New Roman" w:hAnsiTheme="majorHAnsi" w:cstheme="majorHAnsi"/>
          <w:color w:val="000000"/>
          <w:shd w:val="clear" w:color="auto" w:fill="FFFFFF"/>
        </w:rPr>
        <w:t>koordinační a</w:t>
      </w:r>
      <w:r w:rsidR="000D7449">
        <w:rPr>
          <w:rStyle w:val="normaltextrun"/>
          <w:rFonts w:asciiTheme="majorHAnsi" w:eastAsia="Times New Roman" w:hAnsiTheme="majorHAnsi" w:cstheme="majorHAnsi"/>
          <w:color w:val="000000"/>
          <w:shd w:val="clear" w:color="auto" w:fill="FFFFFF"/>
        </w:rPr>
        <w:t> </w:t>
      </w:r>
      <w:r w:rsidRPr="004B4B33">
        <w:rPr>
          <w:rStyle w:val="normaltextrun"/>
          <w:rFonts w:asciiTheme="majorHAnsi" w:eastAsia="Times New Roman" w:hAnsiTheme="majorHAnsi" w:cstheme="majorHAnsi"/>
          <w:color w:val="000000"/>
          <w:shd w:val="clear" w:color="auto" w:fill="FFFFFF"/>
        </w:rPr>
        <w:t>řídící jednotky Housing Advisory Hubu a</w:t>
      </w:r>
      <w:r w:rsidR="000D7449">
        <w:rPr>
          <w:rStyle w:val="normaltextrun"/>
          <w:rFonts w:asciiTheme="majorHAnsi" w:eastAsia="Times New Roman" w:hAnsiTheme="majorHAnsi" w:cstheme="majorHAnsi"/>
          <w:color w:val="000000"/>
          <w:shd w:val="clear" w:color="auto" w:fill="FFFFFF"/>
        </w:rPr>
        <w:t> </w:t>
      </w:r>
      <w:r w:rsidRPr="004B4B33">
        <w:rPr>
          <w:rStyle w:val="normaltextrun"/>
          <w:rFonts w:asciiTheme="majorHAnsi" w:eastAsia="Times New Roman" w:hAnsiTheme="majorHAnsi" w:cstheme="majorHAnsi"/>
          <w:color w:val="000000"/>
          <w:shd w:val="clear" w:color="auto" w:fill="FFFFFF"/>
        </w:rPr>
        <w:t>Regionálních center v</w:t>
      </w:r>
      <w:r w:rsidR="000D7449">
        <w:rPr>
          <w:rStyle w:val="normaltextrun"/>
          <w:rFonts w:asciiTheme="majorHAnsi" w:eastAsia="Times New Roman" w:hAnsiTheme="majorHAnsi" w:cstheme="majorHAnsi"/>
          <w:color w:val="000000"/>
          <w:shd w:val="clear" w:color="auto" w:fill="FFFFFF"/>
        </w:rPr>
        <w:t> </w:t>
      </w:r>
      <w:r w:rsidRPr="004B4B33">
        <w:rPr>
          <w:rStyle w:val="normaltextrun"/>
          <w:rFonts w:asciiTheme="majorHAnsi" w:eastAsia="Times New Roman" w:hAnsiTheme="majorHAnsi" w:cstheme="majorHAnsi"/>
          <w:color w:val="000000"/>
          <w:shd w:val="clear" w:color="auto" w:fill="FFFFFF"/>
        </w:rPr>
        <w:t xml:space="preserve">celkové výši </w:t>
      </w:r>
      <w:r w:rsidR="00DD7370" w:rsidRPr="004B4B33">
        <w:rPr>
          <w:rStyle w:val="normaltextrun"/>
          <w:rFonts w:asciiTheme="majorHAnsi" w:eastAsia="Times New Roman" w:hAnsiTheme="majorHAnsi" w:cstheme="majorHAnsi"/>
          <w:color w:val="000000"/>
          <w:shd w:val="clear" w:color="auto" w:fill="FFFFFF"/>
        </w:rPr>
        <w:t>420</w:t>
      </w:r>
      <w:r w:rsidRPr="004B4B33">
        <w:rPr>
          <w:rStyle w:val="normaltextrun"/>
          <w:rFonts w:asciiTheme="majorHAnsi" w:eastAsia="Times New Roman" w:hAnsiTheme="majorHAnsi" w:cstheme="majorHAnsi"/>
          <w:color w:val="000000"/>
          <w:shd w:val="clear" w:color="auto" w:fill="FFFFFF"/>
        </w:rPr>
        <w:t xml:space="preserve"> milionů Kč zahrnují náklady vysoce kvalifikovaných pracovníků investičních poradců, konzultantů a</w:t>
      </w:r>
      <w:r w:rsidR="000D7449">
        <w:rPr>
          <w:rStyle w:val="normaltextrun"/>
          <w:rFonts w:asciiTheme="majorHAnsi" w:eastAsia="Times New Roman" w:hAnsiTheme="majorHAnsi" w:cstheme="majorHAnsi"/>
          <w:color w:val="000000"/>
          <w:shd w:val="clear" w:color="auto" w:fill="FFFFFF"/>
        </w:rPr>
        <w:t> </w:t>
      </w:r>
      <w:r w:rsidRPr="004B4B33">
        <w:rPr>
          <w:rStyle w:val="normaltextrun"/>
          <w:rFonts w:asciiTheme="majorHAnsi" w:eastAsia="Times New Roman" w:hAnsiTheme="majorHAnsi" w:cstheme="majorHAnsi"/>
          <w:color w:val="000000"/>
          <w:shd w:val="clear" w:color="auto" w:fill="FFFFFF"/>
        </w:rPr>
        <w:t>expertů a</w:t>
      </w:r>
      <w:r w:rsidR="000D7449">
        <w:rPr>
          <w:rStyle w:val="normaltextrun"/>
          <w:rFonts w:asciiTheme="majorHAnsi" w:eastAsia="Times New Roman" w:hAnsiTheme="majorHAnsi" w:cstheme="majorHAnsi"/>
          <w:color w:val="000000"/>
          <w:shd w:val="clear" w:color="auto" w:fill="FFFFFF"/>
        </w:rPr>
        <w:t> </w:t>
      </w:r>
      <w:r w:rsidRPr="004B4B33">
        <w:rPr>
          <w:rStyle w:val="normaltextrun"/>
          <w:rFonts w:asciiTheme="majorHAnsi" w:eastAsia="Times New Roman" w:hAnsiTheme="majorHAnsi" w:cstheme="majorHAnsi"/>
          <w:color w:val="000000"/>
          <w:shd w:val="clear" w:color="auto" w:fill="FFFFFF"/>
        </w:rPr>
        <w:t xml:space="preserve">vznik regionálního pokrytí pro poskytované </w:t>
      </w:r>
      <w:r w:rsidRPr="004B4B33">
        <w:rPr>
          <w:rStyle w:val="normaltextrun"/>
          <w:rFonts w:asciiTheme="majorHAnsi" w:eastAsia="Times New Roman" w:hAnsiTheme="majorHAnsi" w:cstheme="majorHAnsi"/>
          <w:color w:val="000000"/>
          <w:shd w:val="clear" w:color="auto" w:fill="FFFFFF"/>
        </w:rPr>
        <w:lastRenderedPageBreak/>
        <w:t>služby poradenství. Rozpočtové náklady na regionální centra zahrnují 32 pozic v</w:t>
      </w:r>
      <w:r w:rsidR="000D7449">
        <w:rPr>
          <w:rStyle w:val="normaltextrun"/>
          <w:rFonts w:asciiTheme="majorHAnsi" w:eastAsia="Times New Roman" w:hAnsiTheme="majorHAnsi" w:cstheme="majorHAnsi"/>
          <w:color w:val="000000"/>
          <w:shd w:val="clear" w:color="auto" w:fill="FFFFFF"/>
        </w:rPr>
        <w:t> </w:t>
      </w:r>
      <w:r w:rsidRPr="004B4B33">
        <w:rPr>
          <w:rStyle w:val="normaltextrun"/>
          <w:rFonts w:asciiTheme="majorHAnsi" w:eastAsia="Times New Roman" w:hAnsiTheme="majorHAnsi" w:cstheme="majorHAnsi"/>
          <w:color w:val="000000"/>
          <w:shd w:val="clear" w:color="auto" w:fill="FFFFFF"/>
        </w:rPr>
        <w:t>regionálních centrech, které budou obsazeny vysoce kvalifikovanými pracovníky v</w:t>
      </w:r>
      <w:r w:rsidR="000D7449">
        <w:rPr>
          <w:rStyle w:val="normaltextrun"/>
          <w:rFonts w:asciiTheme="majorHAnsi" w:eastAsia="Times New Roman" w:hAnsiTheme="majorHAnsi" w:cstheme="majorHAnsi"/>
          <w:color w:val="000000"/>
          <w:shd w:val="clear" w:color="auto" w:fill="FFFFFF"/>
        </w:rPr>
        <w:t> </w:t>
      </w:r>
      <w:r w:rsidRPr="004B4B33">
        <w:rPr>
          <w:rStyle w:val="normaltextrun"/>
          <w:rFonts w:asciiTheme="majorHAnsi" w:eastAsia="Times New Roman" w:hAnsiTheme="majorHAnsi" w:cstheme="majorHAnsi"/>
          <w:color w:val="000000"/>
          <w:shd w:val="clear" w:color="auto" w:fill="FFFFFF"/>
        </w:rPr>
        <w:t>profesích územních developerů, investičních poradců, konzultantů a</w:t>
      </w:r>
      <w:r w:rsidR="000D7449">
        <w:rPr>
          <w:rStyle w:val="normaltextrun"/>
          <w:rFonts w:asciiTheme="majorHAnsi" w:eastAsia="Times New Roman" w:hAnsiTheme="majorHAnsi" w:cstheme="majorHAnsi"/>
          <w:color w:val="000000"/>
          <w:shd w:val="clear" w:color="auto" w:fill="FFFFFF"/>
        </w:rPr>
        <w:t> </w:t>
      </w:r>
      <w:r w:rsidRPr="004B4B33">
        <w:rPr>
          <w:rStyle w:val="normaltextrun"/>
          <w:rFonts w:asciiTheme="majorHAnsi" w:eastAsia="Times New Roman" w:hAnsiTheme="majorHAnsi" w:cstheme="majorHAnsi"/>
          <w:color w:val="000000"/>
          <w:shd w:val="clear" w:color="auto" w:fill="FFFFFF"/>
        </w:rPr>
        <w:t>expertů. </w:t>
      </w:r>
    </w:p>
    <w:p w14:paraId="0620730C" w14:textId="1CC010B0" w:rsidR="00E82E67" w:rsidRPr="004B4B33" w:rsidRDefault="00E82E67" w:rsidP="4966BBAE">
      <w:pPr>
        <w:jc w:val="both"/>
        <w:rPr>
          <w:rFonts w:asciiTheme="majorHAnsi" w:eastAsia="Times New Roman" w:hAnsiTheme="majorHAnsi" w:cstheme="majorBidi"/>
          <w:color w:val="000000"/>
          <w:shd w:val="clear" w:color="auto" w:fill="FFFFFF"/>
        </w:rPr>
      </w:pPr>
      <w:r w:rsidRPr="4966BBAE">
        <w:rPr>
          <w:rFonts w:asciiTheme="majorHAnsi" w:eastAsia="Times New Roman" w:hAnsiTheme="majorHAnsi" w:cstheme="majorBidi"/>
          <w:color w:val="000000"/>
          <w:shd w:val="clear" w:color="auto" w:fill="FFFFFF"/>
        </w:rPr>
        <w:t>Celkové přímé osobní náklady jsou plánovány ve výši 1</w:t>
      </w:r>
      <w:r w:rsidR="1ACEDA79" w:rsidRPr="4966BBAE">
        <w:rPr>
          <w:rFonts w:asciiTheme="majorHAnsi" w:eastAsia="Times New Roman" w:hAnsiTheme="majorHAnsi" w:cstheme="majorBidi"/>
          <w:color w:val="000000"/>
          <w:shd w:val="clear" w:color="auto" w:fill="FFFFFF"/>
        </w:rPr>
        <w:t>90</w:t>
      </w:r>
      <w:r w:rsidRPr="4966BBAE">
        <w:rPr>
          <w:rFonts w:asciiTheme="majorHAnsi" w:eastAsia="Times New Roman" w:hAnsiTheme="majorHAnsi" w:cstheme="majorBidi"/>
          <w:color w:val="000000"/>
          <w:shd w:val="clear" w:color="auto" w:fill="FFFFFF"/>
        </w:rPr>
        <w:t xml:space="preserve"> milionů Kč, 10 milionů Kč </w:t>
      </w:r>
      <w:r w:rsidRPr="4966BBAE">
        <w:rPr>
          <w:rStyle w:val="contentpasted1"/>
          <w:rFonts w:asciiTheme="majorHAnsi" w:eastAsia="Times New Roman" w:hAnsiTheme="majorHAnsi" w:cstheme="majorBidi"/>
          <w:color w:val="000000"/>
          <w:shd w:val="clear" w:color="auto" w:fill="FFFFFF"/>
        </w:rPr>
        <w:t>na nájmy a</w:t>
      </w:r>
      <w:r w:rsidR="000D7449">
        <w:rPr>
          <w:rStyle w:val="contentpasted1"/>
          <w:rFonts w:asciiTheme="majorHAnsi" w:eastAsia="Times New Roman" w:hAnsiTheme="majorHAnsi" w:cstheme="majorBidi"/>
          <w:color w:val="000000"/>
          <w:shd w:val="clear" w:color="auto" w:fill="FFFFFF"/>
        </w:rPr>
        <w:t> </w:t>
      </w:r>
      <w:r w:rsidRPr="4966BBAE">
        <w:rPr>
          <w:rStyle w:val="contentpasted1"/>
          <w:rFonts w:asciiTheme="majorHAnsi" w:eastAsia="Times New Roman" w:hAnsiTheme="majorHAnsi" w:cstheme="majorBidi"/>
          <w:color w:val="000000"/>
          <w:shd w:val="clear" w:color="auto" w:fill="FFFFFF"/>
        </w:rPr>
        <w:t>zařízení kancelář. N</w:t>
      </w:r>
      <w:r w:rsidRPr="4966BBAE">
        <w:rPr>
          <w:rFonts w:asciiTheme="majorHAnsi" w:eastAsia="Times New Roman" w:hAnsiTheme="majorHAnsi" w:cstheme="majorBidi"/>
          <w:color w:val="000000"/>
          <w:shd w:val="clear" w:color="auto" w:fill="FFFFFF"/>
        </w:rPr>
        <w:t>a provoz, datové analýzy, externí expertní služby a</w:t>
      </w:r>
      <w:r w:rsidR="000D7449">
        <w:rPr>
          <w:rFonts w:asciiTheme="majorHAnsi" w:eastAsia="Times New Roman" w:hAnsiTheme="majorHAnsi" w:cstheme="majorBidi"/>
          <w:color w:val="000000"/>
          <w:shd w:val="clear" w:color="auto" w:fill="FFFFFF"/>
        </w:rPr>
        <w:t> </w:t>
      </w:r>
      <w:r w:rsidRPr="4966BBAE">
        <w:rPr>
          <w:rFonts w:asciiTheme="majorHAnsi" w:eastAsia="Times New Roman" w:hAnsiTheme="majorHAnsi" w:cstheme="majorBidi"/>
          <w:color w:val="000000"/>
          <w:shd w:val="clear" w:color="auto" w:fill="FFFFFF"/>
        </w:rPr>
        <w:t>školící a</w:t>
      </w:r>
      <w:r w:rsidR="000D7449">
        <w:rPr>
          <w:rFonts w:asciiTheme="majorHAnsi" w:eastAsia="Times New Roman" w:hAnsiTheme="majorHAnsi" w:cstheme="majorBidi"/>
          <w:color w:val="000000"/>
          <w:shd w:val="clear" w:color="auto" w:fill="FFFFFF"/>
        </w:rPr>
        <w:t> </w:t>
      </w:r>
      <w:r w:rsidRPr="4966BBAE">
        <w:rPr>
          <w:rFonts w:asciiTheme="majorHAnsi" w:eastAsia="Times New Roman" w:hAnsiTheme="majorHAnsi" w:cstheme="majorBidi"/>
          <w:color w:val="000000"/>
          <w:shd w:val="clear" w:color="auto" w:fill="FFFFFF"/>
        </w:rPr>
        <w:t xml:space="preserve">mediální aktivity je plánováno </w:t>
      </w:r>
      <w:r w:rsidR="0085567A" w:rsidRPr="4966BBAE">
        <w:rPr>
          <w:rFonts w:asciiTheme="majorHAnsi" w:eastAsia="Times New Roman" w:hAnsiTheme="majorHAnsi" w:cstheme="majorBidi"/>
          <w:color w:val="000000"/>
          <w:shd w:val="clear" w:color="auto" w:fill="FFFFFF"/>
        </w:rPr>
        <w:t>2</w:t>
      </w:r>
      <w:r w:rsidR="2331F52E" w:rsidRPr="4966BBAE">
        <w:rPr>
          <w:rFonts w:asciiTheme="majorHAnsi" w:eastAsia="Times New Roman" w:hAnsiTheme="majorHAnsi" w:cstheme="majorBidi"/>
          <w:color w:val="000000"/>
          <w:shd w:val="clear" w:color="auto" w:fill="FFFFFF"/>
        </w:rPr>
        <w:t>20</w:t>
      </w:r>
      <w:r w:rsidRPr="4966BBAE">
        <w:rPr>
          <w:rFonts w:asciiTheme="majorHAnsi" w:eastAsia="Times New Roman" w:hAnsiTheme="majorHAnsi" w:cstheme="majorBidi"/>
          <w:color w:val="000000"/>
          <w:shd w:val="clear" w:color="auto" w:fill="FFFFFF"/>
        </w:rPr>
        <w:t xml:space="preserve"> milionů Kč. </w:t>
      </w:r>
    </w:p>
    <w:p w14:paraId="2D90D5AA" w14:textId="3659FDC4"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t>Rozpočtové náklady spojené s</w:t>
      </w:r>
      <w:r w:rsidR="000D7449">
        <w:rPr>
          <w:rFonts w:asciiTheme="majorHAnsi" w:hAnsiTheme="majorHAnsi" w:cstheme="majorHAnsi"/>
        </w:rPr>
        <w:t> </w:t>
      </w:r>
      <w:r w:rsidRPr="004B4B33">
        <w:rPr>
          <w:rFonts w:asciiTheme="majorHAnsi" w:hAnsiTheme="majorHAnsi" w:cstheme="majorHAnsi"/>
        </w:rPr>
        <w:t>přípravou zákona o</w:t>
      </w:r>
      <w:r w:rsidR="000D7449">
        <w:rPr>
          <w:rFonts w:asciiTheme="majorHAnsi" w:hAnsiTheme="majorHAnsi" w:cstheme="majorHAnsi"/>
        </w:rPr>
        <w:t> </w:t>
      </w:r>
      <w:r w:rsidRPr="004B4B33">
        <w:rPr>
          <w:rFonts w:asciiTheme="majorHAnsi" w:hAnsiTheme="majorHAnsi" w:cstheme="majorHAnsi"/>
        </w:rPr>
        <w:t>podpoře v</w:t>
      </w:r>
      <w:r w:rsidR="000D7449">
        <w:rPr>
          <w:rFonts w:asciiTheme="majorHAnsi" w:hAnsiTheme="majorHAnsi" w:cstheme="majorHAnsi"/>
        </w:rPr>
        <w:t> </w:t>
      </w:r>
      <w:r w:rsidRPr="004B4B33">
        <w:rPr>
          <w:rFonts w:asciiTheme="majorHAnsi" w:hAnsiTheme="majorHAnsi" w:cstheme="majorHAnsi"/>
        </w:rPr>
        <w:t>bydlení zahrnují zejména design a</w:t>
      </w:r>
      <w:r w:rsidR="000D7449">
        <w:rPr>
          <w:rFonts w:asciiTheme="majorHAnsi" w:hAnsiTheme="majorHAnsi" w:cstheme="majorHAnsi"/>
        </w:rPr>
        <w:t> </w:t>
      </w:r>
      <w:r w:rsidRPr="004B4B33">
        <w:rPr>
          <w:rFonts w:asciiTheme="majorHAnsi" w:hAnsiTheme="majorHAnsi" w:cstheme="majorHAnsi"/>
        </w:rPr>
        <w:t>tvorbu agendového informačního systému (cca 60 mil. Kč) a</w:t>
      </w:r>
      <w:r w:rsidR="000D7449">
        <w:rPr>
          <w:rFonts w:asciiTheme="majorHAnsi" w:hAnsiTheme="majorHAnsi" w:cstheme="majorHAnsi"/>
        </w:rPr>
        <w:t> </w:t>
      </w:r>
      <w:r w:rsidRPr="004B4B33">
        <w:rPr>
          <w:rFonts w:asciiTheme="majorHAnsi" w:hAnsiTheme="majorHAnsi" w:cstheme="majorHAnsi"/>
        </w:rPr>
        <w:t>dále odbornou edukaci a</w:t>
      </w:r>
      <w:r w:rsidR="000D7449">
        <w:rPr>
          <w:rFonts w:asciiTheme="majorHAnsi" w:hAnsiTheme="majorHAnsi" w:cstheme="majorHAnsi"/>
        </w:rPr>
        <w:t> </w:t>
      </w:r>
      <w:r w:rsidRPr="004B4B33">
        <w:rPr>
          <w:rFonts w:asciiTheme="majorHAnsi" w:hAnsiTheme="majorHAnsi" w:cstheme="majorHAnsi"/>
        </w:rPr>
        <w:t>osvětu budoucích realizátorů jednotlivých nástrojů zákona, zejména obcí, krajů a</w:t>
      </w:r>
      <w:r w:rsidR="000D7449">
        <w:rPr>
          <w:rFonts w:asciiTheme="majorHAnsi" w:hAnsiTheme="majorHAnsi" w:cstheme="majorHAnsi"/>
        </w:rPr>
        <w:t> </w:t>
      </w:r>
      <w:r w:rsidRPr="004B4B33">
        <w:rPr>
          <w:rFonts w:asciiTheme="majorHAnsi" w:hAnsiTheme="majorHAnsi" w:cstheme="majorHAnsi"/>
        </w:rPr>
        <w:t>NNO (cca 20 mil. Kč). Náklady budou zahrnovat expertní služby na tvorbu metodik a</w:t>
      </w:r>
      <w:r w:rsidR="000D7449">
        <w:rPr>
          <w:rFonts w:asciiTheme="majorHAnsi" w:hAnsiTheme="majorHAnsi" w:cstheme="majorHAnsi"/>
        </w:rPr>
        <w:t> </w:t>
      </w:r>
      <w:r w:rsidRPr="004B4B33">
        <w:rPr>
          <w:rFonts w:asciiTheme="majorHAnsi" w:hAnsiTheme="majorHAnsi" w:cstheme="majorHAnsi"/>
        </w:rPr>
        <w:t>standardů, konzultace a</w:t>
      </w:r>
      <w:r w:rsidR="000D7449">
        <w:rPr>
          <w:rFonts w:asciiTheme="majorHAnsi" w:hAnsiTheme="majorHAnsi" w:cstheme="majorHAnsi"/>
        </w:rPr>
        <w:t> </w:t>
      </w:r>
      <w:r w:rsidRPr="004B4B33">
        <w:rPr>
          <w:rFonts w:asciiTheme="majorHAnsi" w:hAnsiTheme="majorHAnsi" w:cstheme="majorHAnsi"/>
        </w:rPr>
        <w:t>osvětu v</w:t>
      </w:r>
      <w:r w:rsidR="000D7449">
        <w:rPr>
          <w:rFonts w:asciiTheme="majorHAnsi" w:hAnsiTheme="majorHAnsi" w:cstheme="majorHAnsi"/>
        </w:rPr>
        <w:t> </w:t>
      </w:r>
      <w:r w:rsidRPr="004B4B33">
        <w:rPr>
          <w:rFonts w:asciiTheme="majorHAnsi" w:hAnsiTheme="majorHAnsi" w:cstheme="majorHAnsi"/>
        </w:rPr>
        <w:t>rámci ověřování nástrojů v</w:t>
      </w:r>
      <w:r w:rsidR="000D7449">
        <w:rPr>
          <w:rFonts w:asciiTheme="majorHAnsi" w:hAnsiTheme="majorHAnsi" w:cstheme="majorHAnsi"/>
        </w:rPr>
        <w:t> </w:t>
      </w:r>
      <w:r w:rsidRPr="004B4B33">
        <w:rPr>
          <w:rFonts w:asciiTheme="majorHAnsi" w:hAnsiTheme="majorHAnsi" w:cstheme="majorHAnsi"/>
        </w:rPr>
        <w:t>pilotních městech a</w:t>
      </w:r>
      <w:r w:rsidR="000D7449">
        <w:rPr>
          <w:rFonts w:asciiTheme="majorHAnsi" w:hAnsiTheme="majorHAnsi" w:cstheme="majorHAnsi"/>
        </w:rPr>
        <w:t> </w:t>
      </w:r>
      <w:r w:rsidRPr="004B4B33">
        <w:rPr>
          <w:rFonts w:asciiTheme="majorHAnsi" w:hAnsiTheme="majorHAnsi" w:cstheme="majorHAnsi"/>
        </w:rPr>
        <w:t>organizaci kulatých stolů a</w:t>
      </w:r>
      <w:r w:rsidR="000D7449">
        <w:rPr>
          <w:rFonts w:asciiTheme="majorHAnsi" w:hAnsiTheme="majorHAnsi" w:cstheme="majorHAnsi"/>
        </w:rPr>
        <w:t> </w:t>
      </w:r>
      <w:r w:rsidRPr="004B4B33">
        <w:rPr>
          <w:rFonts w:asciiTheme="majorHAnsi" w:hAnsiTheme="majorHAnsi" w:cstheme="majorHAnsi"/>
        </w:rPr>
        <w:t>konferencí.</w:t>
      </w:r>
    </w:p>
    <w:p w14:paraId="420F6F3B" w14:textId="1E5445C6" w:rsidR="0042415F" w:rsidRPr="004B4B33" w:rsidRDefault="001D082B">
      <w:pPr>
        <w:spacing w:before="240" w:after="240"/>
        <w:jc w:val="both"/>
        <w:rPr>
          <w:rFonts w:asciiTheme="majorHAnsi" w:hAnsiTheme="majorHAnsi" w:cstheme="majorHAnsi"/>
          <w:b/>
          <w:sz w:val="24"/>
          <w:szCs w:val="24"/>
        </w:rPr>
      </w:pPr>
      <w:r w:rsidRPr="004B4B33">
        <w:rPr>
          <w:rFonts w:asciiTheme="majorHAnsi" w:hAnsiTheme="majorHAnsi" w:cstheme="majorHAnsi"/>
          <w:b/>
          <w:sz w:val="24"/>
          <w:szCs w:val="24"/>
        </w:rPr>
        <w:t>5. Strategická autonomie a</w:t>
      </w:r>
      <w:r w:rsidR="000D7449">
        <w:rPr>
          <w:rFonts w:asciiTheme="majorHAnsi" w:hAnsiTheme="majorHAnsi" w:cstheme="majorHAnsi"/>
          <w:b/>
          <w:sz w:val="24"/>
          <w:szCs w:val="24"/>
        </w:rPr>
        <w:t> </w:t>
      </w:r>
      <w:r w:rsidRPr="004B4B33">
        <w:rPr>
          <w:rFonts w:asciiTheme="majorHAnsi" w:hAnsiTheme="majorHAnsi" w:cstheme="majorHAnsi"/>
          <w:b/>
          <w:sz w:val="24"/>
          <w:szCs w:val="24"/>
        </w:rPr>
        <w:t>bezpečnostní problematika</w:t>
      </w:r>
    </w:p>
    <w:p w14:paraId="7DE15163" w14:textId="77777777" w:rsidR="0042415F" w:rsidRPr="004B4B33" w:rsidRDefault="001D082B">
      <w:pPr>
        <w:spacing w:before="240" w:after="240"/>
        <w:jc w:val="both"/>
        <w:rPr>
          <w:rFonts w:asciiTheme="majorHAnsi" w:hAnsiTheme="majorHAnsi" w:cstheme="majorHAnsi"/>
          <w:b/>
        </w:rPr>
      </w:pPr>
      <w:r w:rsidRPr="004B4B33">
        <w:rPr>
          <w:rFonts w:asciiTheme="majorHAnsi" w:hAnsiTheme="majorHAnsi" w:cstheme="majorHAnsi"/>
        </w:rPr>
        <w:t>Tato kapitola není pro danou komponentu relevantní.</w:t>
      </w:r>
    </w:p>
    <w:p w14:paraId="42228BFF" w14:textId="77777777" w:rsidR="0042415F" w:rsidRPr="004B4B33" w:rsidRDefault="001D082B">
      <w:pPr>
        <w:spacing w:before="240" w:after="240"/>
        <w:jc w:val="both"/>
        <w:rPr>
          <w:rFonts w:asciiTheme="majorHAnsi" w:hAnsiTheme="majorHAnsi" w:cstheme="majorHAnsi"/>
          <w:b/>
          <w:sz w:val="24"/>
          <w:szCs w:val="24"/>
        </w:rPr>
      </w:pPr>
      <w:r w:rsidRPr="004B4B33">
        <w:rPr>
          <w:rFonts w:asciiTheme="majorHAnsi" w:hAnsiTheme="majorHAnsi" w:cstheme="majorHAnsi"/>
          <w:b/>
          <w:sz w:val="24"/>
          <w:szCs w:val="24"/>
        </w:rPr>
        <w:t>6. Přeshraniční projekty realizované více státy</w:t>
      </w:r>
    </w:p>
    <w:p w14:paraId="1D6BCE24" w14:textId="77777777"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t>Tato kapitola není pro danou komponentu relevantní.</w:t>
      </w:r>
    </w:p>
    <w:p w14:paraId="590B4F22" w14:textId="77777777" w:rsidR="0042415F" w:rsidRPr="004B4B33" w:rsidRDefault="001D082B" w:rsidP="3D78BE59">
      <w:pPr>
        <w:spacing w:before="240" w:after="240"/>
        <w:jc w:val="both"/>
        <w:rPr>
          <w:rFonts w:asciiTheme="majorHAnsi" w:hAnsiTheme="majorHAnsi" w:cstheme="majorBidi"/>
          <w:b/>
          <w:bCs/>
          <w:sz w:val="24"/>
          <w:szCs w:val="24"/>
        </w:rPr>
      </w:pPr>
      <w:r w:rsidRPr="5750678E">
        <w:rPr>
          <w:rFonts w:asciiTheme="majorHAnsi" w:hAnsiTheme="majorHAnsi" w:cstheme="majorBidi"/>
          <w:b/>
          <w:bCs/>
          <w:sz w:val="24"/>
          <w:szCs w:val="24"/>
        </w:rPr>
        <w:t>7. Zelený rozměr komponenty</w:t>
      </w:r>
    </w:p>
    <w:p w14:paraId="2DFF4665" w14:textId="588CAA97"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t>Udržitelné bydlení, tak jak je definuje Ženevská Charta OSN o</w:t>
      </w:r>
      <w:r w:rsidR="000D7449">
        <w:rPr>
          <w:rFonts w:asciiTheme="majorHAnsi" w:hAnsiTheme="majorHAnsi" w:cstheme="majorHAnsi"/>
        </w:rPr>
        <w:t> </w:t>
      </w:r>
      <w:r w:rsidRPr="004B4B33">
        <w:rPr>
          <w:rFonts w:asciiTheme="majorHAnsi" w:hAnsiTheme="majorHAnsi" w:cstheme="majorHAnsi"/>
        </w:rPr>
        <w:t>udržitelném bydlení je založeno na paradigmatu vyvážené kombinace sociálního začleňování a</w:t>
      </w:r>
      <w:r w:rsidR="000D7449">
        <w:rPr>
          <w:rFonts w:asciiTheme="majorHAnsi" w:hAnsiTheme="majorHAnsi" w:cstheme="majorHAnsi"/>
        </w:rPr>
        <w:t> </w:t>
      </w:r>
      <w:r w:rsidRPr="004B4B33">
        <w:rPr>
          <w:rFonts w:asciiTheme="majorHAnsi" w:hAnsiTheme="majorHAnsi" w:cstheme="majorHAnsi"/>
        </w:rPr>
        <w:t>participace občanů na jeho správě, šetrného přístupu k</w:t>
      </w:r>
      <w:r w:rsidR="000D7449">
        <w:rPr>
          <w:rFonts w:asciiTheme="majorHAnsi" w:hAnsiTheme="majorHAnsi" w:cstheme="majorHAnsi"/>
        </w:rPr>
        <w:t> </w:t>
      </w:r>
      <w:r w:rsidRPr="004B4B33">
        <w:rPr>
          <w:rFonts w:asciiTheme="majorHAnsi" w:hAnsiTheme="majorHAnsi" w:cstheme="majorHAnsi"/>
        </w:rPr>
        <w:t>životnímu prostředí a</w:t>
      </w:r>
      <w:r w:rsidR="000D7449">
        <w:rPr>
          <w:rFonts w:asciiTheme="majorHAnsi" w:hAnsiTheme="majorHAnsi" w:cstheme="majorHAnsi"/>
        </w:rPr>
        <w:t> </w:t>
      </w:r>
      <w:r w:rsidRPr="004B4B33">
        <w:rPr>
          <w:rFonts w:asciiTheme="majorHAnsi" w:hAnsiTheme="majorHAnsi" w:cstheme="majorHAnsi"/>
        </w:rPr>
        <w:t>environmentálním otázkám obecně, ekonomické efektivitě a</w:t>
      </w:r>
      <w:r w:rsidR="000D7449">
        <w:rPr>
          <w:rFonts w:asciiTheme="majorHAnsi" w:hAnsiTheme="majorHAnsi" w:cstheme="majorHAnsi"/>
        </w:rPr>
        <w:t> </w:t>
      </w:r>
      <w:r w:rsidRPr="004B4B33">
        <w:rPr>
          <w:rFonts w:asciiTheme="majorHAnsi" w:hAnsiTheme="majorHAnsi" w:cstheme="majorHAnsi"/>
        </w:rPr>
        <w:t>kulturní přiměřenosti.</w:t>
      </w:r>
    </w:p>
    <w:p w14:paraId="27FFA9EA" w14:textId="0586C126" w:rsidR="0042415F" w:rsidRPr="004B4B33" w:rsidRDefault="001D082B" w:rsidP="4966BBAE">
      <w:pPr>
        <w:spacing w:before="240" w:after="240"/>
        <w:jc w:val="both"/>
        <w:rPr>
          <w:rFonts w:asciiTheme="majorHAnsi" w:hAnsiTheme="majorHAnsi" w:cstheme="majorBidi"/>
        </w:rPr>
      </w:pPr>
      <w:r w:rsidRPr="5B41DABB">
        <w:rPr>
          <w:rFonts w:asciiTheme="majorHAnsi" w:hAnsiTheme="majorHAnsi" w:cstheme="majorBidi"/>
        </w:rPr>
        <w:t>Výstavba environmentálně udržitelných, především energeticky efektivních budov je-li spojena s</w:t>
      </w:r>
      <w:r w:rsidR="000D7449">
        <w:rPr>
          <w:rFonts w:asciiTheme="majorHAnsi" w:hAnsiTheme="majorHAnsi" w:cstheme="majorBidi"/>
        </w:rPr>
        <w:t> </w:t>
      </w:r>
      <w:r w:rsidRPr="5B41DABB">
        <w:rPr>
          <w:rFonts w:asciiTheme="majorHAnsi" w:hAnsiTheme="majorHAnsi" w:cstheme="majorBidi"/>
        </w:rPr>
        <w:t>implementací obnovitelných zdrojů energií a</w:t>
      </w:r>
      <w:r w:rsidR="000D7449">
        <w:rPr>
          <w:rFonts w:asciiTheme="majorHAnsi" w:hAnsiTheme="majorHAnsi" w:cstheme="majorBidi"/>
        </w:rPr>
        <w:t> </w:t>
      </w:r>
      <w:r w:rsidRPr="5B41DABB">
        <w:rPr>
          <w:rFonts w:asciiTheme="majorHAnsi" w:hAnsiTheme="majorHAnsi" w:cstheme="majorBidi"/>
        </w:rPr>
        <w:t>technickým zařízením budov podporujících retenci a</w:t>
      </w:r>
      <w:r w:rsidR="000D7449">
        <w:rPr>
          <w:rFonts w:asciiTheme="majorHAnsi" w:hAnsiTheme="majorHAnsi" w:cstheme="majorBidi"/>
        </w:rPr>
        <w:t> </w:t>
      </w:r>
      <w:r w:rsidRPr="5B41DABB">
        <w:rPr>
          <w:rFonts w:asciiTheme="majorHAnsi" w:hAnsiTheme="majorHAnsi" w:cstheme="majorBidi"/>
        </w:rPr>
        <w:t>využití dešťové vody a</w:t>
      </w:r>
      <w:r w:rsidR="000D7449">
        <w:rPr>
          <w:rFonts w:asciiTheme="majorHAnsi" w:hAnsiTheme="majorHAnsi" w:cstheme="majorBidi"/>
        </w:rPr>
        <w:t> </w:t>
      </w:r>
      <w:r w:rsidRPr="5B41DABB">
        <w:rPr>
          <w:rFonts w:asciiTheme="majorHAnsi" w:hAnsiTheme="majorHAnsi" w:cstheme="majorBidi"/>
        </w:rPr>
        <w:t>reflektující další environmentální výzvy spojené s</w:t>
      </w:r>
      <w:r w:rsidR="000D7449">
        <w:rPr>
          <w:rFonts w:asciiTheme="majorHAnsi" w:hAnsiTheme="majorHAnsi" w:cstheme="majorBidi"/>
        </w:rPr>
        <w:t> </w:t>
      </w:r>
      <w:r w:rsidRPr="5B41DABB">
        <w:rPr>
          <w:rFonts w:asciiTheme="majorHAnsi" w:hAnsiTheme="majorHAnsi" w:cstheme="majorBidi"/>
        </w:rPr>
        <w:t>udržitelnou výstavbou jako např. eliminace efektu urbánního tepla ("UHI") a</w:t>
      </w:r>
      <w:r w:rsidR="000D7449">
        <w:rPr>
          <w:rFonts w:asciiTheme="majorHAnsi" w:hAnsiTheme="majorHAnsi" w:cstheme="majorBidi"/>
        </w:rPr>
        <w:t> </w:t>
      </w:r>
      <w:r w:rsidRPr="5B41DABB">
        <w:rPr>
          <w:rFonts w:asciiTheme="majorHAnsi" w:hAnsiTheme="majorHAnsi" w:cstheme="majorBidi"/>
        </w:rPr>
        <w:t>rozšiřování zelené infrastruktury v</w:t>
      </w:r>
      <w:r w:rsidR="000D7449">
        <w:rPr>
          <w:rFonts w:asciiTheme="majorHAnsi" w:hAnsiTheme="majorHAnsi" w:cstheme="majorBidi"/>
        </w:rPr>
        <w:t> </w:t>
      </w:r>
      <w:r w:rsidRPr="5B41DABB">
        <w:rPr>
          <w:rFonts w:asciiTheme="majorHAnsi" w:hAnsiTheme="majorHAnsi" w:cstheme="majorBidi"/>
        </w:rPr>
        <w:t>intravilánu měst (vše zahrnuto v</w:t>
      </w:r>
      <w:r w:rsidR="000D7449">
        <w:rPr>
          <w:rFonts w:asciiTheme="majorHAnsi" w:hAnsiTheme="majorHAnsi" w:cstheme="majorBidi"/>
        </w:rPr>
        <w:t> </w:t>
      </w:r>
      <w:r w:rsidRPr="5B41DABB">
        <w:rPr>
          <w:rFonts w:asciiTheme="majorHAnsi" w:hAnsiTheme="majorHAnsi" w:cstheme="majorBidi"/>
        </w:rPr>
        <w:t>indikátorech veřejného zájmu) naplňuje Zelenou agendu.</w:t>
      </w:r>
    </w:p>
    <w:p w14:paraId="6B41718A" w14:textId="0B5E0AAE"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t>Pro definici zeleného rozměru komponenty a</w:t>
      </w:r>
      <w:r w:rsidR="000D7449">
        <w:rPr>
          <w:rFonts w:asciiTheme="majorHAnsi" w:hAnsiTheme="majorHAnsi" w:cstheme="majorHAnsi"/>
        </w:rPr>
        <w:t> </w:t>
      </w:r>
      <w:r w:rsidRPr="004B4B33">
        <w:rPr>
          <w:rFonts w:asciiTheme="majorHAnsi" w:hAnsiTheme="majorHAnsi" w:cstheme="majorHAnsi"/>
        </w:rPr>
        <w:t xml:space="preserve">přípravu implementačních metodik bude </w:t>
      </w:r>
      <w:r w:rsidR="000D7449" w:rsidRPr="004B4B33">
        <w:rPr>
          <w:rFonts w:asciiTheme="majorHAnsi" w:hAnsiTheme="majorHAnsi" w:cstheme="majorHAnsi"/>
        </w:rPr>
        <w:t>využita.</w:t>
      </w:r>
      <w:r w:rsidRPr="004B4B33">
        <w:rPr>
          <w:rFonts w:asciiTheme="majorHAnsi" w:hAnsiTheme="majorHAnsi" w:cstheme="majorHAnsi"/>
        </w:rPr>
        <w:t xml:space="preserve"> sada Společných evropských indikátorů ECI (European Common Indicators), a</w:t>
      </w:r>
      <w:r w:rsidR="000D7449">
        <w:rPr>
          <w:rFonts w:asciiTheme="majorHAnsi" w:hAnsiTheme="majorHAnsi" w:cstheme="majorHAnsi"/>
        </w:rPr>
        <w:t> </w:t>
      </w:r>
      <w:r w:rsidRPr="004B4B33">
        <w:rPr>
          <w:rFonts w:asciiTheme="majorHAnsi" w:hAnsiTheme="majorHAnsi" w:cstheme="majorHAnsi"/>
        </w:rPr>
        <w:t>podobné struktury v</w:t>
      </w:r>
      <w:r w:rsidR="000D7449">
        <w:rPr>
          <w:rFonts w:asciiTheme="majorHAnsi" w:hAnsiTheme="majorHAnsi" w:cstheme="majorHAnsi"/>
        </w:rPr>
        <w:t> </w:t>
      </w:r>
      <w:r w:rsidRPr="004B4B33">
        <w:rPr>
          <w:rFonts w:asciiTheme="majorHAnsi" w:hAnsiTheme="majorHAnsi" w:cstheme="majorHAnsi"/>
        </w:rPr>
        <w:t>dokumentech Agenda 21, strategie OECD a</w:t>
      </w:r>
      <w:r w:rsidR="000D7449">
        <w:rPr>
          <w:rFonts w:asciiTheme="majorHAnsi" w:hAnsiTheme="majorHAnsi" w:cstheme="majorHAnsi"/>
        </w:rPr>
        <w:t> </w:t>
      </w:r>
      <w:r w:rsidRPr="004B4B33">
        <w:rPr>
          <w:rFonts w:asciiTheme="majorHAnsi" w:hAnsiTheme="majorHAnsi" w:cstheme="majorHAnsi"/>
        </w:rPr>
        <w:t>dalších, případně Metodika pro přípravu a</w:t>
      </w:r>
      <w:r w:rsidR="000D7449">
        <w:rPr>
          <w:rFonts w:asciiTheme="majorHAnsi" w:hAnsiTheme="majorHAnsi" w:cstheme="majorHAnsi"/>
        </w:rPr>
        <w:t> </w:t>
      </w:r>
      <w:r w:rsidRPr="004B4B33">
        <w:rPr>
          <w:rFonts w:asciiTheme="majorHAnsi" w:hAnsiTheme="majorHAnsi" w:cstheme="majorHAnsi"/>
        </w:rPr>
        <w:t>realizaci konceptu Smart Cities na úrovni měst, obcí a</w:t>
      </w:r>
      <w:r w:rsidR="000D7449">
        <w:rPr>
          <w:rFonts w:asciiTheme="majorHAnsi" w:hAnsiTheme="majorHAnsi" w:cstheme="majorHAnsi"/>
        </w:rPr>
        <w:t> </w:t>
      </w:r>
      <w:r w:rsidRPr="004B4B33">
        <w:rPr>
          <w:rFonts w:asciiTheme="majorHAnsi" w:hAnsiTheme="majorHAnsi" w:cstheme="majorHAnsi"/>
        </w:rPr>
        <w:t>regionů (MMM, ČVUT 2019), která zahrnuje i</w:t>
      </w:r>
      <w:r w:rsidR="000D7449">
        <w:rPr>
          <w:rFonts w:asciiTheme="majorHAnsi" w:hAnsiTheme="majorHAnsi" w:cstheme="majorHAnsi"/>
        </w:rPr>
        <w:t> </w:t>
      </w:r>
      <w:r w:rsidRPr="004B4B33">
        <w:rPr>
          <w:rFonts w:asciiTheme="majorHAnsi" w:hAnsiTheme="majorHAnsi" w:cstheme="majorHAnsi"/>
        </w:rPr>
        <w:t>oblast bydlení.</w:t>
      </w:r>
    </w:p>
    <w:p w14:paraId="59E6FF81" w14:textId="1478AA01"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t>Udržitelnost bydlení nelze vztahovat jen k</w:t>
      </w:r>
      <w:r w:rsidR="000D7449">
        <w:rPr>
          <w:rFonts w:asciiTheme="majorHAnsi" w:hAnsiTheme="majorHAnsi" w:cstheme="majorHAnsi"/>
        </w:rPr>
        <w:t> </w:t>
      </w:r>
      <w:r w:rsidRPr="004B4B33">
        <w:rPr>
          <w:rFonts w:asciiTheme="majorHAnsi" w:hAnsiTheme="majorHAnsi" w:cstheme="majorHAnsi"/>
        </w:rPr>
        <w:t>jeho energetickému a</w:t>
      </w:r>
      <w:r w:rsidR="000D7449">
        <w:rPr>
          <w:rFonts w:asciiTheme="majorHAnsi" w:hAnsiTheme="majorHAnsi" w:cstheme="majorHAnsi"/>
        </w:rPr>
        <w:t> </w:t>
      </w:r>
      <w:r w:rsidRPr="004B4B33">
        <w:rPr>
          <w:rFonts w:asciiTheme="majorHAnsi" w:hAnsiTheme="majorHAnsi" w:cstheme="majorHAnsi"/>
        </w:rPr>
        <w:t>technologickému rámci (vytápění a</w:t>
      </w:r>
      <w:r w:rsidR="000D7449">
        <w:rPr>
          <w:rFonts w:asciiTheme="majorHAnsi" w:hAnsiTheme="majorHAnsi" w:cstheme="majorHAnsi"/>
        </w:rPr>
        <w:t> </w:t>
      </w:r>
      <w:r w:rsidRPr="004B4B33">
        <w:rPr>
          <w:rFonts w:asciiTheme="majorHAnsi" w:hAnsiTheme="majorHAnsi" w:cstheme="majorHAnsi"/>
        </w:rPr>
        <w:t>chlazení, recyklace stavebního odpadu, spotřeba energie, využívání obnovitelných zdrojů energie atd.). Opomíjeno bývá vyšší měřítko výstavby, lokalita, urbanistický kontext a</w:t>
      </w:r>
      <w:r w:rsidR="000D7449">
        <w:rPr>
          <w:rFonts w:asciiTheme="majorHAnsi" w:hAnsiTheme="majorHAnsi" w:cstheme="majorHAnsi"/>
        </w:rPr>
        <w:t> </w:t>
      </w:r>
      <w:r w:rsidRPr="004B4B33">
        <w:rPr>
          <w:rFonts w:asciiTheme="majorHAnsi" w:hAnsiTheme="majorHAnsi" w:cstheme="majorHAnsi"/>
        </w:rPr>
        <w:t>především emocionální hodnota podmiňující tvorbu hmotného kulturního dědictví.</w:t>
      </w:r>
    </w:p>
    <w:p w14:paraId="7542B1F3" w14:textId="7B3832DA" w:rsidR="0042415F" w:rsidRPr="004B4B33" w:rsidRDefault="001D082B">
      <w:pPr>
        <w:spacing w:before="240" w:after="240"/>
        <w:jc w:val="both"/>
        <w:rPr>
          <w:rFonts w:asciiTheme="majorHAnsi" w:hAnsiTheme="majorHAnsi" w:cstheme="majorHAnsi"/>
        </w:rPr>
      </w:pPr>
      <w:r w:rsidRPr="4966BBAE">
        <w:rPr>
          <w:rFonts w:asciiTheme="majorHAnsi" w:hAnsiTheme="majorHAnsi" w:cstheme="majorBidi"/>
        </w:rPr>
        <w:t>V kontextu trvale udržitelného rozvoje a</w:t>
      </w:r>
      <w:r w:rsidR="000D7449">
        <w:rPr>
          <w:rFonts w:asciiTheme="majorHAnsi" w:hAnsiTheme="majorHAnsi" w:cstheme="majorBidi"/>
        </w:rPr>
        <w:t> </w:t>
      </w:r>
      <w:r w:rsidRPr="4966BBAE">
        <w:rPr>
          <w:rFonts w:asciiTheme="majorHAnsi" w:hAnsiTheme="majorHAnsi" w:cstheme="majorBidi"/>
        </w:rPr>
        <w:t>problematiky bydlení sociálního jsou pak definovány indikátory udržitelného rozvoje v</w:t>
      </w:r>
      <w:r w:rsidR="000D7449">
        <w:rPr>
          <w:rFonts w:asciiTheme="majorHAnsi" w:hAnsiTheme="majorHAnsi" w:cstheme="majorBidi"/>
        </w:rPr>
        <w:t> </w:t>
      </w:r>
      <w:r w:rsidRPr="4966BBAE">
        <w:rPr>
          <w:rFonts w:asciiTheme="majorHAnsi" w:hAnsiTheme="majorHAnsi" w:cstheme="majorBidi"/>
        </w:rPr>
        <w:t>oblasti bydlení v</w:t>
      </w:r>
      <w:r w:rsidR="000D7449">
        <w:rPr>
          <w:rFonts w:asciiTheme="majorHAnsi" w:hAnsiTheme="majorHAnsi" w:cstheme="majorBidi"/>
        </w:rPr>
        <w:t> </w:t>
      </w:r>
      <w:r w:rsidRPr="4966BBAE">
        <w:rPr>
          <w:rFonts w:asciiTheme="majorHAnsi" w:hAnsiTheme="majorHAnsi" w:cstheme="majorBidi"/>
        </w:rPr>
        <w:t xml:space="preserve">ekonomickém (vlastnická struktura bytového </w:t>
      </w:r>
      <w:r w:rsidRPr="4966BBAE">
        <w:rPr>
          <w:rFonts w:asciiTheme="majorHAnsi" w:hAnsiTheme="majorHAnsi" w:cstheme="majorBidi"/>
        </w:rPr>
        <w:lastRenderedPageBreak/>
        <w:t>fondu, podíl ohrožených domácností), environmentálním (kompaktnost zástavby, zdravé bydlení, energetická udržitelnost a</w:t>
      </w:r>
      <w:r w:rsidR="000D7449">
        <w:rPr>
          <w:rFonts w:asciiTheme="majorHAnsi" w:hAnsiTheme="majorHAnsi" w:cstheme="majorBidi"/>
        </w:rPr>
        <w:t> </w:t>
      </w:r>
      <w:r w:rsidRPr="4966BBAE">
        <w:rPr>
          <w:rFonts w:asciiTheme="majorHAnsi" w:hAnsiTheme="majorHAnsi" w:cstheme="majorBidi"/>
        </w:rPr>
        <w:t>management), sociálním (rezidenční segregace, přelidnění, ohrožené osoby) a</w:t>
      </w:r>
      <w:r w:rsidR="000D7449">
        <w:rPr>
          <w:rFonts w:asciiTheme="majorHAnsi" w:hAnsiTheme="majorHAnsi" w:cstheme="majorBidi"/>
        </w:rPr>
        <w:t> </w:t>
      </w:r>
      <w:r w:rsidRPr="4966BBAE">
        <w:rPr>
          <w:rFonts w:asciiTheme="majorHAnsi" w:hAnsiTheme="majorHAnsi" w:cstheme="majorBidi"/>
        </w:rPr>
        <w:t>kulturním (spokojenost obyvatel, čitelnost zástavby, provázanost s</w:t>
      </w:r>
      <w:r w:rsidR="000D7449">
        <w:rPr>
          <w:rFonts w:asciiTheme="majorHAnsi" w:hAnsiTheme="majorHAnsi" w:cstheme="majorBidi"/>
        </w:rPr>
        <w:t> </w:t>
      </w:r>
      <w:r w:rsidRPr="4966BBAE">
        <w:rPr>
          <w:rFonts w:asciiTheme="majorHAnsi" w:hAnsiTheme="majorHAnsi" w:cstheme="majorBidi"/>
        </w:rPr>
        <w:t>kulturními a</w:t>
      </w:r>
      <w:r w:rsidR="000D7449">
        <w:rPr>
          <w:rFonts w:asciiTheme="majorHAnsi" w:hAnsiTheme="majorHAnsi" w:cstheme="majorBidi"/>
        </w:rPr>
        <w:t> </w:t>
      </w:r>
      <w:r w:rsidRPr="4966BBAE">
        <w:rPr>
          <w:rFonts w:asciiTheme="majorHAnsi" w:hAnsiTheme="majorHAnsi" w:cstheme="majorBidi"/>
        </w:rPr>
        <w:t>společenskými aktivitami) pilíři (Indikátory hodnocení udržitelného rozvoje v</w:t>
      </w:r>
      <w:r w:rsidR="000D7449">
        <w:rPr>
          <w:rFonts w:asciiTheme="majorHAnsi" w:hAnsiTheme="majorHAnsi" w:cstheme="majorBidi"/>
        </w:rPr>
        <w:t> </w:t>
      </w:r>
      <w:r w:rsidRPr="4966BBAE">
        <w:rPr>
          <w:rFonts w:asciiTheme="majorHAnsi" w:hAnsiTheme="majorHAnsi" w:cstheme="majorBidi"/>
        </w:rPr>
        <w:t>oblasti bydlení (viz ČVUT, Tichý et al., 2019)).</w:t>
      </w:r>
    </w:p>
    <w:p w14:paraId="1DAFBD1D" w14:textId="4E002804" w:rsidR="0042415F" w:rsidRPr="004B4B33" w:rsidRDefault="67FCC870" w:rsidP="4966BBAE">
      <w:pPr>
        <w:spacing w:before="0" w:after="240"/>
        <w:jc w:val="both"/>
        <w:rPr>
          <w:rFonts w:asciiTheme="majorHAnsi" w:hAnsiTheme="majorHAnsi" w:cstheme="majorBidi"/>
        </w:rPr>
      </w:pPr>
      <w:r w:rsidRPr="5B41DABB">
        <w:rPr>
          <w:rFonts w:asciiTheme="majorHAnsi" w:hAnsiTheme="majorHAnsi" w:cstheme="majorBidi"/>
        </w:rPr>
        <w:t>V ČR se v</w:t>
      </w:r>
      <w:r w:rsidR="000D7449">
        <w:rPr>
          <w:rFonts w:asciiTheme="majorHAnsi" w:hAnsiTheme="majorHAnsi" w:cstheme="majorBidi"/>
        </w:rPr>
        <w:t> </w:t>
      </w:r>
      <w:r w:rsidRPr="5B41DABB">
        <w:rPr>
          <w:rFonts w:asciiTheme="majorHAnsi" w:hAnsiTheme="majorHAnsi" w:cstheme="majorBidi"/>
        </w:rPr>
        <w:t>posledních letech konečná spotřeba energie v</w:t>
      </w:r>
      <w:r w:rsidR="000D7449">
        <w:rPr>
          <w:rFonts w:asciiTheme="majorHAnsi" w:hAnsiTheme="majorHAnsi" w:cstheme="majorBidi"/>
        </w:rPr>
        <w:t> </w:t>
      </w:r>
      <w:r w:rsidRPr="5B41DABB">
        <w:rPr>
          <w:rFonts w:asciiTheme="majorHAnsi" w:hAnsiTheme="majorHAnsi" w:cstheme="majorBidi"/>
        </w:rPr>
        <w:t>budovách pro bydlení pohybuje kolem 260 PJ, což odpovídá asi 25 % celkové spotřeby energie v</w:t>
      </w:r>
      <w:r w:rsidR="000D7449">
        <w:rPr>
          <w:rFonts w:asciiTheme="majorHAnsi" w:hAnsiTheme="majorHAnsi" w:cstheme="majorBidi"/>
        </w:rPr>
        <w:t> </w:t>
      </w:r>
      <w:r w:rsidRPr="5B41DABB">
        <w:rPr>
          <w:rFonts w:asciiTheme="majorHAnsi" w:hAnsiTheme="majorHAnsi" w:cstheme="majorBidi"/>
        </w:rPr>
        <w:t>ČR. Sektor bydlení je v</w:t>
      </w:r>
      <w:r w:rsidR="000D7449">
        <w:rPr>
          <w:rFonts w:asciiTheme="majorHAnsi" w:hAnsiTheme="majorHAnsi" w:cstheme="majorBidi"/>
        </w:rPr>
        <w:t> </w:t>
      </w:r>
      <w:r w:rsidRPr="5B41DABB">
        <w:rPr>
          <w:rFonts w:asciiTheme="majorHAnsi" w:hAnsiTheme="majorHAnsi" w:cstheme="majorBidi"/>
        </w:rPr>
        <w:t>ČR největším segmentem spotřeby energie. Snižování spotřeby energie v</w:t>
      </w:r>
      <w:r w:rsidR="000D7449">
        <w:rPr>
          <w:rFonts w:asciiTheme="majorHAnsi" w:hAnsiTheme="majorHAnsi" w:cstheme="majorBidi"/>
        </w:rPr>
        <w:t> </w:t>
      </w:r>
      <w:r w:rsidRPr="5B41DABB">
        <w:rPr>
          <w:rFonts w:asciiTheme="majorHAnsi" w:hAnsiTheme="majorHAnsi" w:cstheme="majorBidi"/>
        </w:rPr>
        <w:t>budovách a</w:t>
      </w:r>
      <w:r w:rsidR="000D7449">
        <w:rPr>
          <w:rFonts w:asciiTheme="majorHAnsi" w:hAnsiTheme="majorHAnsi" w:cstheme="majorBidi"/>
        </w:rPr>
        <w:t> </w:t>
      </w:r>
      <w:r w:rsidRPr="5B41DABB">
        <w:rPr>
          <w:rFonts w:asciiTheme="majorHAnsi" w:hAnsiTheme="majorHAnsi" w:cstheme="majorBidi"/>
        </w:rPr>
        <w:t>využívání obnovitelných zdrojů v</w:t>
      </w:r>
      <w:r w:rsidR="000D7449">
        <w:rPr>
          <w:rFonts w:asciiTheme="majorHAnsi" w:hAnsiTheme="majorHAnsi" w:cstheme="majorBidi"/>
        </w:rPr>
        <w:t> </w:t>
      </w:r>
      <w:r w:rsidRPr="5B41DABB">
        <w:rPr>
          <w:rFonts w:asciiTheme="majorHAnsi" w:hAnsiTheme="majorHAnsi" w:cstheme="majorBidi"/>
        </w:rPr>
        <w:t>tomto sektoru jsou proto v</w:t>
      </w:r>
      <w:r w:rsidR="000D7449">
        <w:rPr>
          <w:rFonts w:asciiTheme="majorHAnsi" w:hAnsiTheme="majorHAnsi" w:cstheme="majorBidi"/>
        </w:rPr>
        <w:t> </w:t>
      </w:r>
      <w:r w:rsidRPr="5B41DABB">
        <w:rPr>
          <w:rFonts w:asciiTheme="majorHAnsi" w:hAnsiTheme="majorHAnsi" w:cstheme="majorBidi"/>
        </w:rPr>
        <w:t>podmínkách ČR zásadní podmínkou plnění cílů Unie v</w:t>
      </w:r>
      <w:r w:rsidR="000D7449">
        <w:rPr>
          <w:rFonts w:asciiTheme="majorHAnsi" w:hAnsiTheme="majorHAnsi" w:cstheme="majorBidi"/>
        </w:rPr>
        <w:t> </w:t>
      </w:r>
      <w:r w:rsidRPr="5B41DABB">
        <w:rPr>
          <w:rFonts w:asciiTheme="majorHAnsi" w:hAnsiTheme="majorHAnsi" w:cstheme="majorBidi"/>
        </w:rPr>
        <w:t>oblasti klimatu do roku 2030. Cíl dosáhnout klimatické neutrality do roku 2050 není bez zapojení sektoru bydlení v</w:t>
      </w:r>
      <w:r w:rsidR="000D7449">
        <w:rPr>
          <w:rFonts w:asciiTheme="majorHAnsi" w:hAnsiTheme="majorHAnsi" w:cstheme="majorBidi"/>
        </w:rPr>
        <w:t> </w:t>
      </w:r>
      <w:r w:rsidRPr="5B41DABB">
        <w:rPr>
          <w:rFonts w:asciiTheme="majorHAnsi" w:hAnsiTheme="majorHAnsi" w:cstheme="majorBidi"/>
        </w:rPr>
        <w:t xml:space="preserve">podmínkách ČR dosažitelný. </w:t>
      </w:r>
    </w:p>
    <w:p w14:paraId="33FF49F9" w14:textId="0B404972" w:rsidR="0042415F" w:rsidRPr="004B4B33" w:rsidRDefault="001D082B" w:rsidP="4966BBAE">
      <w:pPr>
        <w:spacing w:before="0"/>
        <w:jc w:val="both"/>
        <w:rPr>
          <w:rFonts w:asciiTheme="majorHAnsi" w:hAnsiTheme="majorHAnsi" w:cstheme="majorBidi"/>
        </w:rPr>
      </w:pPr>
      <w:r w:rsidRPr="5B41DABB">
        <w:rPr>
          <w:rFonts w:asciiTheme="majorHAnsi" w:hAnsiTheme="majorHAnsi" w:cstheme="majorBidi"/>
        </w:rPr>
        <w:t>Zvýšení energetické účinnosti budov určených k</w:t>
      </w:r>
      <w:r w:rsidR="000D7449">
        <w:rPr>
          <w:rFonts w:asciiTheme="majorHAnsi" w:hAnsiTheme="majorHAnsi" w:cstheme="majorBidi"/>
        </w:rPr>
        <w:t> </w:t>
      </w:r>
      <w:r w:rsidRPr="5B41DABB">
        <w:rPr>
          <w:rFonts w:asciiTheme="majorHAnsi" w:hAnsiTheme="majorHAnsi" w:cstheme="majorBidi"/>
        </w:rPr>
        <w:t>bydlení bude dosa</w:t>
      </w:r>
      <w:r w:rsidR="5D961762" w:rsidRPr="5B41DABB">
        <w:rPr>
          <w:rFonts w:asciiTheme="majorHAnsi" w:hAnsiTheme="majorHAnsi" w:cstheme="majorBidi"/>
        </w:rPr>
        <w:t>hováno</w:t>
      </w:r>
      <w:r w:rsidRPr="5B41DABB">
        <w:rPr>
          <w:rFonts w:asciiTheme="majorHAnsi" w:hAnsiTheme="majorHAnsi" w:cstheme="majorBidi"/>
        </w:rPr>
        <w:t xml:space="preserve"> energeticky účinnou </w:t>
      </w:r>
      <w:r w:rsidR="000D7449" w:rsidRPr="5B41DABB">
        <w:rPr>
          <w:rFonts w:asciiTheme="majorHAnsi" w:hAnsiTheme="majorHAnsi" w:cstheme="majorBidi"/>
        </w:rPr>
        <w:t>renovací.</w:t>
      </w:r>
      <w:r w:rsidRPr="5B41DABB">
        <w:rPr>
          <w:rFonts w:asciiTheme="majorHAnsi" w:hAnsiTheme="majorHAnsi" w:cstheme="majorBidi"/>
        </w:rPr>
        <w:t xml:space="preserve"> Pro investice z</w:t>
      </w:r>
      <w:r w:rsidR="000D7449">
        <w:rPr>
          <w:rFonts w:asciiTheme="majorHAnsi" w:hAnsiTheme="majorHAnsi" w:cstheme="majorBidi"/>
        </w:rPr>
        <w:t> </w:t>
      </w:r>
      <w:r w:rsidRPr="5B41DABB">
        <w:rPr>
          <w:rFonts w:asciiTheme="majorHAnsi" w:hAnsiTheme="majorHAnsi" w:cstheme="majorBidi"/>
        </w:rPr>
        <w:t>komponenty budou využity oblasti intervence dle Přílohy VI Nařízení EP a</w:t>
      </w:r>
      <w:r w:rsidR="000D7449">
        <w:rPr>
          <w:rFonts w:asciiTheme="majorHAnsi" w:hAnsiTheme="majorHAnsi" w:cstheme="majorBidi"/>
        </w:rPr>
        <w:t> </w:t>
      </w:r>
      <w:r w:rsidRPr="5B41DABB">
        <w:rPr>
          <w:rFonts w:asciiTheme="majorHAnsi" w:hAnsiTheme="majorHAnsi" w:cstheme="majorBidi"/>
        </w:rPr>
        <w:t>Rady 2021/241:</w:t>
      </w:r>
    </w:p>
    <w:p w14:paraId="633B03F8" w14:textId="6D6BC0CA" w:rsidR="0042415F" w:rsidRPr="004B4B33" w:rsidRDefault="001D082B" w:rsidP="4966BBAE">
      <w:pPr>
        <w:spacing w:before="0" w:after="240"/>
        <w:jc w:val="both"/>
        <w:rPr>
          <w:rFonts w:asciiTheme="majorHAnsi" w:hAnsiTheme="majorHAnsi" w:cstheme="majorBidi"/>
        </w:rPr>
      </w:pPr>
      <w:r w:rsidRPr="5B41DABB">
        <w:rPr>
          <w:rFonts w:asciiTheme="majorHAnsi" w:hAnsiTheme="majorHAnsi" w:cstheme="majorBidi"/>
        </w:rPr>
        <w:t>025 Energeticky účinná renovace stávajícího bytového a</w:t>
      </w:r>
      <w:r w:rsidR="000D7449">
        <w:rPr>
          <w:rFonts w:asciiTheme="majorHAnsi" w:hAnsiTheme="majorHAnsi" w:cstheme="majorBidi"/>
        </w:rPr>
        <w:t> </w:t>
      </w:r>
      <w:r w:rsidRPr="5B41DABB">
        <w:rPr>
          <w:rFonts w:asciiTheme="majorHAnsi" w:hAnsiTheme="majorHAnsi" w:cstheme="majorBidi"/>
        </w:rPr>
        <w:t>domovního fondu</w:t>
      </w:r>
      <w:r w:rsidR="000D7449">
        <w:rPr>
          <w:rFonts w:asciiTheme="majorHAnsi" w:hAnsiTheme="majorHAnsi" w:cstheme="majorBidi"/>
        </w:rPr>
        <w:t xml:space="preserve">. </w:t>
      </w:r>
      <w:r w:rsidRPr="5B41DABB">
        <w:rPr>
          <w:rFonts w:asciiTheme="majorHAnsi" w:hAnsiTheme="majorHAnsi" w:cstheme="majorBidi"/>
          <w:color w:val="221E1F"/>
        </w:rPr>
        <w:t>U</w:t>
      </w:r>
      <w:r w:rsidR="000D7449">
        <w:rPr>
          <w:rFonts w:asciiTheme="majorHAnsi" w:hAnsiTheme="majorHAnsi" w:cstheme="majorBidi"/>
          <w:color w:val="221E1F"/>
        </w:rPr>
        <w:t xml:space="preserve"> </w:t>
      </w:r>
      <w:r w:rsidR="000D7449" w:rsidRPr="5B41DABB">
        <w:rPr>
          <w:rFonts w:asciiTheme="majorHAnsi" w:hAnsiTheme="majorHAnsi" w:cstheme="majorBidi"/>
          <w:color w:val="221E1F"/>
        </w:rPr>
        <w:t>odkupů budov</w:t>
      </w:r>
      <w:r w:rsidRPr="5B41DABB">
        <w:rPr>
          <w:rFonts w:asciiTheme="majorHAnsi" w:hAnsiTheme="majorHAnsi" w:cstheme="majorBidi"/>
          <w:color w:val="221E1F"/>
        </w:rPr>
        <w:t xml:space="preserve"> a</w:t>
      </w:r>
      <w:r w:rsidR="000D7449">
        <w:rPr>
          <w:rFonts w:asciiTheme="majorHAnsi" w:hAnsiTheme="majorHAnsi" w:cstheme="majorBidi"/>
          <w:color w:val="221E1F"/>
        </w:rPr>
        <w:t> </w:t>
      </w:r>
      <w:r w:rsidRPr="5B41DABB">
        <w:rPr>
          <w:rFonts w:asciiTheme="majorHAnsi" w:hAnsiTheme="majorHAnsi" w:cstheme="majorBidi"/>
          <w:color w:val="221E1F"/>
        </w:rPr>
        <w:t xml:space="preserve">následné renovace pro účel bydlení odkup slouží jako aktivační moment dle čl. 2a </w:t>
      </w:r>
      <w:r w:rsidR="000D7449" w:rsidRPr="5B41DABB">
        <w:rPr>
          <w:rFonts w:asciiTheme="majorHAnsi" w:hAnsiTheme="majorHAnsi" w:cstheme="majorBidi"/>
          <w:color w:val="221E1F"/>
        </w:rPr>
        <w:t>odst.</w:t>
      </w:r>
      <w:r w:rsidRPr="5B41DABB">
        <w:rPr>
          <w:rFonts w:asciiTheme="majorHAnsi" w:hAnsiTheme="majorHAnsi" w:cstheme="majorBidi"/>
          <w:color w:val="221E1F"/>
        </w:rPr>
        <w:t xml:space="preserve"> 1 písm. b) Směrnice EP a</w:t>
      </w:r>
      <w:r w:rsidR="000D7449">
        <w:rPr>
          <w:rFonts w:asciiTheme="majorHAnsi" w:hAnsiTheme="majorHAnsi" w:cstheme="majorBidi"/>
          <w:color w:val="221E1F"/>
        </w:rPr>
        <w:t> </w:t>
      </w:r>
      <w:r w:rsidRPr="5B41DABB">
        <w:rPr>
          <w:rFonts w:asciiTheme="majorHAnsi" w:hAnsiTheme="majorHAnsi" w:cstheme="majorBidi"/>
          <w:color w:val="221E1F"/>
        </w:rPr>
        <w:t>Rady 2012/27 o</w:t>
      </w:r>
      <w:r w:rsidR="000D7449">
        <w:rPr>
          <w:rFonts w:asciiTheme="majorHAnsi" w:hAnsiTheme="majorHAnsi" w:cstheme="majorBidi"/>
          <w:color w:val="221E1F"/>
        </w:rPr>
        <w:t> </w:t>
      </w:r>
      <w:r w:rsidRPr="5B41DABB">
        <w:rPr>
          <w:rFonts w:asciiTheme="majorHAnsi" w:hAnsiTheme="majorHAnsi" w:cstheme="majorBidi"/>
          <w:color w:val="221E1F"/>
        </w:rPr>
        <w:t>energetické účinnosti ve smyslu Směrnice EP a</w:t>
      </w:r>
      <w:r w:rsidR="000D7449">
        <w:rPr>
          <w:rFonts w:asciiTheme="majorHAnsi" w:hAnsiTheme="majorHAnsi" w:cstheme="majorBidi"/>
          <w:color w:val="221E1F"/>
        </w:rPr>
        <w:t> </w:t>
      </w:r>
      <w:r w:rsidRPr="5B41DABB">
        <w:rPr>
          <w:rFonts w:asciiTheme="majorHAnsi" w:hAnsiTheme="majorHAnsi" w:cstheme="majorBidi"/>
          <w:color w:val="221E1F"/>
        </w:rPr>
        <w:t xml:space="preserve">Rady 2018/844. </w:t>
      </w:r>
      <w:r w:rsidR="08AA55D8" w:rsidRPr="5B41DABB">
        <w:rPr>
          <w:rFonts w:asciiTheme="majorHAnsi" w:hAnsiTheme="majorHAnsi" w:cstheme="majorBidi"/>
          <w:color w:val="221E1F"/>
        </w:rPr>
        <w:t>Případná r</w:t>
      </w:r>
      <w:r w:rsidRPr="5B41DABB">
        <w:rPr>
          <w:rFonts w:asciiTheme="majorHAnsi" w:hAnsiTheme="majorHAnsi" w:cstheme="majorBidi"/>
          <w:color w:val="221E1F"/>
        </w:rPr>
        <w:t>enovace plní roli adaptačního řešení v</w:t>
      </w:r>
      <w:r w:rsidR="000D7449">
        <w:rPr>
          <w:rFonts w:asciiTheme="majorHAnsi" w:hAnsiTheme="majorHAnsi" w:cstheme="majorBidi"/>
          <w:color w:val="221E1F"/>
        </w:rPr>
        <w:t> </w:t>
      </w:r>
      <w:r w:rsidRPr="5B41DABB">
        <w:rPr>
          <w:rFonts w:asciiTheme="majorHAnsi" w:hAnsiTheme="majorHAnsi" w:cstheme="majorBidi"/>
          <w:color w:val="221E1F"/>
        </w:rPr>
        <w:t>souladu s</w:t>
      </w:r>
      <w:r w:rsidR="000D7449">
        <w:rPr>
          <w:rFonts w:asciiTheme="majorHAnsi" w:hAnsiTheme="majorHAnsi" w:cstheme="majorBidi"/>
          <w:color w:val="221E1F"/>
        </w:rPr>
        <w:t> </w:t>
      </w:r>
      <w:r w:rsidRPr="5B41DABB">
        <w:rPr>
          <w:rFonts w:asciiTheme="majorHAnsi" w:hAnsiTheme="majorHAnsi" w:cstheme="majorBidi"/>
        </w:rPr>
        <w:t xml:space="preserve">Nařízením Komise 2021/2139 </w:t>
      </w:r>
      <w:r w:rsidRPr="5B41DABB">
        <w:rPr>
          <w:rFonts w:asciiTheme="majorHAnsi" w:hAnsiTheme="majorHAnsi" w:cstheme="majorBidi"/>
          <w:color w:val="221E1F"/>
        </w:rPr>
        <w:t xml:space="preserve">oddíl 7.7. </w:t>
      </w:r>
      <w:r w:rsidRPr="5B41DABB">
        <w:rPr>
          <w:rFonts w:asciiTheme="majorHAnsi" w:hAnsiTheme="majorHAnsi" w:cstheme="majorBidi"/>
          <w:highlight w:val="white"/>
        </w:rPr>
        <w:t xml:space="preserve"> </w:t>
      </w:r>
    </w:p>
    <w:p w14:paraId="15BC3A53" w14:textId="3FEDD9DF" w:rsidR="0042415F" w:rsidRPr="004B4B33" w:rsidRDefault="001D082B" w:rsidP="5B41DABB">
      <w:pPr>
        <w:spacing w:before="0" w:after="240"/>
        <w:jc w:val="both"/>
        <w:rPr>
          <w:rFonts w:asciiTheme="majorHAnsi" w:hAnsiTheme="majorHAnsi" w:cstheme="majorBidi"/>
        </w:rPr>
      </w:pPr>
      <w:r w:rsidRPr="5B41DABB">
        <w:rPr>
          <w:rFonts w:asciiTheme="majorHAnsi" w:hAnsiTheme="majorHAnsi" w:cstheme="majorBidi"/>
        </w:rPr>
        <w:t>V rámci komponenty Reforma dostupného bydlení nebudou podporována pevná fosilní paliva a</w:t>
      </w:r>
      <w:r w:rsidR="000D7449">
        <w:rPr>
          <w:rFonts w:asciiTheme="majorHAnsi" w:hAnsiTheme="majorHAnsi" w:cstheme="majorBidi"/>
        </w:rPr>
        <w:t> </w:t>
      </w:r>
      <w:r w:rsidRPr="5B41DABB">
        <w:rPr>
          <w:rFonts w:asciiTheme="majorHAnsi" w:hAnsiTheme="majorHAnsi" w:cstheme="majorBidi"/>
        </w:rPr>
        <w:t>budou prosazována tepelná čerpadla, která ke svému provozu využívají elektrickou energii. Budou podporovány pouze nové zdroje, které splňují požadavky na ekodesign (tj. požadavky směrnice Evropského parlamentu a</w:t>
      </w:r>
      <w:r w:rsidR="000D7449">
        <w:rPr>
          <w:rFonts w:asciiTheme="majorHAnsi" w:hAnsiTheme="majorHAnsi" w:cstheme="majorBidi"/>
        </w:rPr>
        <w:t> </w:t>
      </w:r>
      <w:r w:rsidRPr="5B41DABB">
        <w:rPr>
          <w:rFonts w:asciiTheme="majorHAnsi" w:hAnsiTheme="majorHAnsi" w:cstheme="majorBidi"/>
        </w:rPr>
        <w:t>Rady 2009/125/ES) a</w:t>
      </w:r>
      <w:r w:rsidR="000D7449">
        <w:rPr>
          <w:rFonts w:asciiTheme="majorHAnsi" w:hAnsiTheme="majorHAnsi" w:cstheme="majorBidi"/>
        </w:rPr>
        <w:t> </w:t>
      </w:r>
      <w:r w:rsidRPr="5B41DABB">
        <w:rPr>
          <w:rFonts w:asciiTheme="majorHAnsi" w:hAnsiTheme="majorHAnsi" w:cstheme="majorBidi"/>
        </w:rPr>
        <w:t>současně jsou zařazeny do jedné ze dvou nejvyšších významně zastoupených tříd energetické účinnosti ve smyslu čl. 7 odst. 2 nařízení Evropského parlamentu a</w:t>
      </w:r>
      <w:r w:rsidR="000D7449">
        <w:rPr>
          <w:rFonts w:asciiTheme="majorHAnsi" w:hAnsiTheme="majorHAnsi" w:cstheme="majorBidi"/>
        </w:rPr>
        <w:t> </w:t>
      </w:r>
      <w:r w:rsidRPr="5B41DABB">
        <w:rPr>
          <w:rFonts w:asciiTheme="majorHAnsi" w:hAnsiTheme="majorHAnsi" w:cstheme="majorBidi"/>
        </w:rPr>
        <w:t>Rady (EU) 2017/1369.</w:t>
      </w:r>
    </w:p>
    <w:p w14:paraId="71892C93" w14:textId="59CFF972" w:rsidR="0042415F" w:rsidRPr="004B4B33" w:rsidRDefault="78F8E056" w:rsidP="5B41DABB">
      <w:pPr>
        <w:spacing w:before="240" w:after="240"/>
        <w:jc w:val="both"/>
        <w:rPr>
          <w:rFonts w:asciiTheme="majorHAnsi" w:hAnsiTheme="majorHAnsi" w:cstheme="majorBidi"/>
        </w:rPr>
      </w:pPr>
      <w:r w:rsidRPr="5B41DABB">
        <w:rPr>
          <w:rFonts w:asciiTheme="majorHAnsi" w:hAnsiTheme="majorHAnsi" w:cstheme="majorBidi"/>
        </w:rPr>
        <w:t>Energetické renovace budov v</w:t>
      </w:r>
      <w:r w:rsidR="000D7449">
        <w:rPr>
          <w:rFonts w:asciiTheme="majorHAnsi" w:hAnsiTheme="majorHAnsi" w:cstheme="majorBidi"/>
        </w:rPr>
        <w:t> </w:t>
      </w:r>
      <w:r w:rsidRPr="5B41DABB">
        <w:rPr>
          <w:rFonts w:asciiTheme="majorHAnsi" w:hAnsiTheme="majorHAnsi" w:cstheme="majorBidi"/>
        </w:rPr>
        <w:t>rezidenčním sektoru jsou klíčovým opatřením pro splnění národních redukčních cílů dle Směrnice EU 2016/2284 a</w:t>
      </w:r>
      <w:r w:rsidR="000D7449">
        <w:rPr>
          <w:rFonts w:asciiTheme="majorHAnsi" w:hAnsiTheme="majorHAnsi" w:cstheme="majorBidi"/>
        </w:rPr>
        <w:t> </w:t>
      </w:r>
      <w:r w:rsidRPr="5B41DABB">
        <w:rPr>
          <w:rFonts w:asciiTheme="majorHAnsi" w:hAnsiTheme="majorHAnsi" w:cstheme="majorBidi"/>
        </w:rPr>
        <w:t>dále k</w:t>
      </w:r>
      <w:r w:rsidR="000D7449">
        <w:rPr>
          <w:rFonts w:asciiTheme="majorHAnsi" w:hAnsiTheme="majorHAnsi" w:cstheme="majorBidi"/>
        </w:rPr>
        <w:t> </w:t>
      </w:r>
      <w:r w:rsidRPr="5B41DABB">
        <w:rPr>
          <w:rFonts w:asciiTheme="majorHAnsi" w:hAnsiTheme="majorHAnsi" w:cstheme="majorBidi"/>
        </w:rPr>
        <w:t xml:space="preserve">dosažení standardů kvality ovzduší dle programů pro zlepšování kvality ovzduší. Snížení emisí má také pozitivní dopad na kvalitu vod. Renovace je převážně zařazena do intervenční oblasti 025 se </w:t>
      </w:r>
      <w:r w:rsidR="004292E1" w:rsidRPr="5B41DABB">
        <w:rPr>
          <w:rFonts w:asciiTheme="majorHAnsi" w:hAnsiTheme="majorHAnsi" w:cstheme="majorBidi"/>
        </w:rPr>
        <w:t>40</w:t>
      </w:r>
      <w:r w:rsidRPr="5B41DABB">
        <w:rPr>
          <w:rFonts w:asciiTheme="majorHAnsi" w:hAnsiTheme="majorHAnsi" w:cstheme="majorBidi"/>
        </w:rPr>
        <w:t>% klimatickým koeficientem, neboť průměrné úspory primárních spotřeby energie u</w:t>
      </w:r>
      <w:r w:rsidR="000D7449">
        <w:rPr>
          <w:rFonts w:asciiTheme="majorHAnsi" w:hAnsiTheme="majorHAnsi" w:cstheme="majorBidi"/>
        </w:rPr>
        <w:t> </w:t>
      </w:r>
      <w:r w:rsidRPr="5B41DABB">
        <w:rPr>
          <w:rFonts w:asciiTheme="majorHAnsi" w:hAnsiTheme="majorHAnsi" w:cstheme="majorBidi"/>
        </w:rPr>
        <w:t>renovací dosáhnou minimálně 30% úspory oproti původnímu referenčnímu stavu.</w:t>
      </w:r>
      <w:r w:rsidR="7BD2BB5B" w:rsidRPr="5B41DABB">
        <w:rPr>
          <w:rFonts w:asciiTheme="majorHAnsi" w:hAnsiTheme="majorHAnsi" w:cstheme="majorBidi"/>
        </w:rPr>
        <w:t xml:space="preserve"> </w:t>
      </w:r>
      <w:r w:rsidR="001D082B" w:rsidRPr="5B41DABB">
        <w:rPr>
          <w:rFonts w:asciiTheme="majorHAnsi" w:hAnsiTheme="majorHAnsi" w:cstheme="majorBidi"/>
        </w:rPr>
        <w:t>Všechny uvedené aktivity, kromě doprovodných mitigačně-adaptačních opatření (zelené střechy, využití šedé vody), mají přímý vliv na dosahování energetických úspor. Je tak ověřena správnost zvolené intervenční oblasti.</w:t>
      </w:r>
    </w:p>
    <w:p w14:paraId="2E0D03FE" w14:textId="03F7D293" w:rsidR="0042415F" w:rsidRPr="004B4B33" w:rsidRDefault="001D082B">
      <w:pPr>
        <w:spacing w:before="0"/>
        <w:jc w:val="both"/>
        <w:rPr>
          <w:rFonts w:asciiTheme="majorHAnsi" w:hAnsiTheme="majorHAnsi" w:cstheme="majorHAnsi"/>
        </w:rPr>
      </w:pPr>
      <w:r w:rsidRPr="004B4B33">
        <w:rPr>
          <w:rFonts w:asciiTheme="majorHAnsi" w:hAnsiTheme="majorHAnsi" w:cstheme="majorHAnsi"/>
        </w:rPr>
        <w:t>Podporované podpůrné a</w:t>
      </w:r>
      <w:r w:rsidR="000D7449">
        <w:rPr>
          <w:rFonts w:asciiTheme="majorHAnsi" w:hAnsiTheme="majorHAnsi" w:cstheme="majorHAnsi"/>
        </w:rPr>
        <w:t> </w:t>
      </w:r>
      <w:r w:rsidRPr="004B4B33">
        <w:rPr>
          <w:rFonts w:asciiTheme="majorHAnsi" w:hAnsiTheme="majorHAnsi" w:cstheme="majorHAnsi"/>
        </w:rPr>
        <w:t>poradenské aktivity jako projektová příprava, přípravné studie, poradenství v</w:t>
      </w:r>
      <w:r w:rsidR="000D7449">
        <w:rPr>
          <w:rFonts w:asciiTheme="majorHAnsi" w:hAnsiTheme="majorHAnsi" w:cstheme="majorHAnsi"/>
        </w:rPr>
        <w:t> </w:t>
      </w:r>
      <w:r w:rsidRPr="004B4B33">
        <w:rPr>
          <w:rFonts w:asciiTheme="majorHAnsi" w:hAnsiTheme="majorHAnsi" w:cstheme="majorHAnsi"/>
        </w:rPr>
        <w:t>regionálních centrech, informovanost, výchova, vzdělávání, osvěta a</w:t>
      </w:r>
      <w:r w:rsidR="000D7449">
        <w:rPr>
          <w:rFonts w:asciiTheme="majorHAnsi" w:hAnsiTheme="majorHAnsi" w:cstheme="majorHAnsi"/>
        </w:rPr>
        <w:t> </w:t>
      </w:r>
      <w:r w:rsidRPr="004B4B33">
        <w:rPr>
          <w:rFonts w:asciiTheme="majorHAnsi" w:hAnsiTheme="majorHAnsi" w:cstheme="majorHAnsi"/>
        </w:rPr>
        <w:t>podpora zakládání energetických společenství, jsou zařazena do intervenční oblasti 143 Posilování kapacity orgánů členských států, příjemců a</w:t>
      </w:r>
      <w:r w:rsidR="000D7449">
        <w:rPr>
          <w:rFonts w:asciiTheme="majorHAnsi" w:hAnsiTheme="majorHAnsi" w:cstheme="majorHAnsi"/>
        </w:rPr>
        <w:t> </w:t>
      </w:r>
      <w:r w:rsidRPr="004B4B33">
        <w:rPr>
          <w:rFonts w:asciiTheme="majorHAnsi" w:hAnsiTheme="majorHAnsi" w:cstheme="majorHAnsi"/>
        </w:rPr>
        <w:t>příslušných partnerů s</w:t>
      </w:r>
      <w:r w:rsidR="000D7449">
        <w:rPr>
          <w:rFonts w:asciiTheme="majorHAnsi" w:hAnsiTheme="majorHAnsi" w:cstheme="majorHAnsi"/>
        </w:rPr>
        <w:t> </w:t>
      </w:r>
      <w:r w:rsidRPr="004B4B33">
        <w:rPr>
          <w:rFonts w:asciiTheme="majorHAnsi" w:hAnsiTheme="majorHAnsi" w:cstheme="majorHAnsi"/>
        </w:rPr>
        <w:t>0% klimatickým koeficientem.</w:t>
      </w:r>
    </w:p>
    <w:p w14:paraId="2E004D84" w14:textId="23B2D78B" w:rsidR="0042415F" w:rsidRPr="004B4B33" w:rsidRDefault="0042415F" w:rsidP="5B41DABB">
      <w:pPr>
        <w:spacing w:before="240" w:after="240"/>
        <w:jc w:val="both"/>
        <w:rPr>
          <w:rFonts w:asciiTheme="majorHAnsi" w:hAnsiTheme="majorHAnsi" w:cstheme="majorBidi"/>
          <w:highlight w:val="white"/>
        </w:rPr>
      </w:pPr>
    </w:p>
    <w:p w14:paraId="016150C2" w14:textId="77777777" w:rsidR="003804AC" w:rsidRDefault="003804AC">
      <w:pPr>
        <w:rPr>
          <w:rFonts w:asciiTheme="majorHAnsi" w:hAnsiTheme="majorHAnsi" w:cstheme="majorHAnsi"/>
          <w:b/>
        </w:rPr>
      </w:pPr>
      <w:r>
        <w:rPr>
          <w:rFonts w:asciiTheme="majorHAnsi" w:hAnsiTheme="majorHAnsi" w:cstheme="majorHAnsi"/>
          <w:b/>
        </w:rPr>
        <w:br w:type="page"/>
      </w:r>
    </w:p>
    <w:p w14:paraId="6D8BEA4A" w14:textId="6B283AB6" w:rsidR="0042415F" w:rsidRPr="004B4B33" w:rsidRDefault="001D082B">
      <w:pPr>
        <w:spacing w:before="240" w:after="240"/>
        <w:jc w:val="both"/>
        <w:rPr>
          <w:rFonts w:asciiTheme="majorHAnsi" w:hAnsiTheme="majorHAnsi" w:cstheme="majorHAnsi"/>
          <w:b/>
        </w:rPr>
      </w:pPr>
      <w:r w:rsidRPr="004B4B33">
        <w:rPr>
          <w:rFonts w:asciiTheme="majorHAnsi" w:hAnsiTheme="majorHAnsi" w:cstheme="majorHAnsi"/>
          <w:b/>
        </w:rPr>
        <w:lastRenderedPageBreak/>
        <w:t>Doporučení EU pro ČR (vztah k</w:t>
      </w:r>
      <w:r w:rsidR="000D7449">
        <w:rPr>
          <w:rFonts w:asciiTheme="majorHAnsi" w:hAnsiTheme="majorHAnsi" w:cstheme="majorHAnsi"/>
          <w:b/>
        </w:rPr>
        <w:t> </w:t>
      </w:r>
      <w:r w:rsidRPr="004B4B33">
        <w:rPr>
          <w:rFonts w:asciiTheme="majorHAnsi" w:hAnsiTheme="majorHAnsi" w:cstheme="majorHAnsi"/>
          <w:b/>
        </w:rPr>
        <w:t>evropské agendě)</w:t>
      </w:r>
    </w:p>
    <w:p w14:paraId="281CB104" w14:textId="6A05668E"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t>Dokumenty v</w:t>
      </w:r>
      <w:r w:rsidR="000D7449">
        <w:rPr>
          <w:rFonts w:asciiTheme="majorHAnsi" w:hAnsiTheme="majorHAnsi" w:cstheme="majorHAnsi"/>
        </w:rPr>
        <w:t> </w:t>
      </w:r>
      <w:r w:rsidRPr="004B4B33">
        <w:rPr>
          <w:rFonts w:asciiTheme="majorHAnsi" w:hAnsiTheme="majorHAnsi" w:cstheme="majorHAnsi"/>
        </w:rPr>
        <w:t>rámci Evropského semestru pro ČR opakovaně upozorňují na klesající dostupnost bydlení a</w:t>
      </w:r>
      <w:r w:rsidR="000D7449">
        <w:rPr>
          <w:rFonts w:asciiTheme="majorHAnsi" w:hAnsiTheme="majorHAnsi" w:cstheme="majorHAnsi"/>
        </w:rPr>
        <w:t> </w:t>
      </w:r>
      <w:r w:rsidRPr="004B4B33">
        <w:rPr>
          <w:rFonts w:asciiTheme="majorHAnsi" w:hAnsiTheme="majorHAnsi" w:cstheme="majorHAnsi"/>
        </w:rPr>
        <w:t>chybějící legislativu v</w:t>
      </w:r>
      <w:r w:rsidR="000D7449">
        <w:rPr>
          <w:rFonts w:asciiTheme="majorHAnsi" w:hAnsiTheme="majorHAnsi" w:cstheme="majorHAnsi"/>
        </w:rPr>
        <w:t> </w:t>
      </w:r>
      <w:r w:rsidRPr="004B4B33">
        <w:rPr>
          <w:rFonts w:asciiTheme="majorHAnsi" w:hAnsiTheme="majorHAnsi" w:cstheme="majorHAnsi"/>
        </w:rPr>
        <w:t>oblasti sociálního bydlení (bydlení zajišťovaného mimo trh pro ohrožené skupiny obyvatel):</w:t>
      </w:r>
    </w:p>
    <w:p w14:paraId="0EAFC218" w14:textId="2062B6E3" w:rsidR="0042415F" w:rsidRPr="000D7449" w:rsidRDefault="001D082B">
      <w:pPr>
        <w:spacing w:before="240" w:after="240"/>
        <w:ind w:left="1133" w:right="1098"/>
        <w:jc w:val="both"/>
        <w:rPr>
          <w:rFonts w:asciiTheme="majorHAnsi" w:hAnsiTheme="majorHAnsi" w:cstheme="majorHAnsi"/>
          <w:lang w:val="en-US"/>
        </w:rPr>
      </w:pPr>
      <w:r w:rsidRPr="000D7449">
        <w:rPr>
          <w:rFonts w:asciiTheme="majorHAnsi" w:hAnsiTheme="majorHAnsi" w:cstheme="majorHAnsi"/>
          <w:i/>
          <w:sz w:val="20"/>
          <w:szCs w:val="20"/>
          <w:lang w:val="en-US"/>
        </w:rPr>
        <w:t>‘Housing affordability in Czechia has been among the lowest in the EU for the past 5 years (12). Acquiring property has become increasingly difficult for middle-income groups and young families, feeding the demand for rental property. (...) Affordability of housing is limited, in particular for low-income groups, due to the absence of a</w:t>
      </w:r>
      <w:r w:rsidR="000D7449" w:rsidRPr="000D7449">
        <w:rPr>
          <w:rFonts w:asciiTheme="majorHAnsi" w:hAnsiTheme="majorHAnsi" w:cstheme="majorHAnsi"/>
          <w:i/>
          <w:sz w:val="20"/>
          <w:szCs w:val="20"/>
          <w:lang w:val="en-US"/>
        </w:rPr>
        <w:t> </w:t>
      </w:r>
      <w:r w:rsidRPr="000D7449">
        <w:rPr>
          <w:rFonts w:asciiTheme="majorHAnsi" w:hAnsiTheme="majorHAnsi" w:cstheme="majorHAnsi"/>
          <w:i/>
          <w:sz w:val="20"/>
          <w:szCs w:val="20"/>
          <w:lang w:val="en-US"/>
        </w:rPr>
        <w:t>legal framework providing systemic support for social housing. (...) A</w:t>
      </w:r>
      <w:r w:rsidR="000D7449" w:rsidRPr="000D7449">
        <w:rPr>
          <w:rFonts w:asciiTheme="majorHAnsi" w:hAnsiTheme="majorHAnsi" w:cstheme="majorHAnsi"/>
          <w:i/>
          <w:sz w:val="20"/>
          <w:szCs w:val="20"/>
          <w:lang w:val="en-US"/>
        </w:rPr>
        <w:t> </w:t>
      </w:r>
      <w:r w:rsidRPr="000D7449">
        <w:rPr>
          <w:rFonts w:asciiTheme="majorHAnsi" w:hAnsiTheme="majorHAnsi" w:cstheme="majorHAnsi"/>
          <w:i/>
          <w:sz w:val="20"/>
          <w:szCs w:val="20"/>
          <w:lang w:val="en-US"/>
        </w:rPr>
        <w:t>broad reform ensuring adequate and affordable housing in Czechia is needed. As part of the reform efforts, incentivising the availability of land suitable for housing construction at municipal level, and the reconstruction and refurbishment of existing housing units can have positive effects on housing supply and prices.’</w:t>
      </w:r>
    </w:p>
    <w:p w14:paraId="30F3F5BC" w14:textId="38FF3284" w:rsidR="0042415F" w:rsidRPr="004B4B33" w:rsidRDefault="001D082B" w:rsidP="3D78BE59">
      <w:pPr>
        <w:spacing w:before="240" w:after="240"/>
        <w:jc w:val="both"/>
        <w:rPr>
          <w:rFonts w:asciiTheme="majorHAnsi" w:hAnsiTheme="majorHAnsi" w:cstheme="majorBidi"/>
          <w:b/>
          <w:bCs/>
        </w:rPr>
      </w:pPr>
      <w:r w:rsidRPr="5B41DABB">
        <w:rPr>
          <w:rFonts w:asciiTheme="majorHAnsi" w:hAnsiTheme="majorHAnsi" w:cstheme="majorBidi"/>
        </w:rPr>
        <w:t>Nutnost zajištění dostupného bydlení se projevuje také v</w:t>
      </w:r>
      <w:r w:rsidR="000D7449">
        <w:rPr>
          <w:rFonts w:asciiTheme="majorHAnsi" w:hAnsiTheme="majorHAnsi" w:cstheme="majorBidi"/>
        </w:rPr>
        <w:t> </w:t>
      </w:r>
      <w:r w:rsidRPr="5B41DABB">
        <w:rPr>
          <w:rFonts w:asciiTheme="majorHAnsi" w:hAnsiTheme="majorHAnsi" w:cstheme="majorBidi"/>
        </w:rPr>
        <w:t>nastavení programového období ESIF 2021 – 2028. Jde o</w:t>
      </w:r>
      <w:r w:rsidR="000D7449">
        <w:rPr>
          <w:rFonts w:asciiTheme="majorHAnsi" w:hAnsiTheme="majorHAnsi" w:cstheme="majorBidi"/>
        </w:rPr>
        <w:t> </w:t>
      </w:r>
      <w:r w:rsidRPr="5B41DABB">
        <w:rPr>
          <w:rFonts w:asciiTheme="majorHAnsi" w:hAnsiTheme="majorHAnsi" w:cstheme="majorBidi"/>
        </w:rPr>
        <w:t>reflexi dynamických změn na trhu s</w:t>
      </w:r>
      <w:r w:rsidR="000D7449">
        <w:rPr>
          <w:rFonts w:asciiTheme="majorHAnsi" w:hAnsiTheme="majorHAnsi" w:cstheme="majorBidi"/>
        </w:rPr>
        <w:t> </w:t>
      </w:r>
      <w:r w:rsidRPr="5B41DABB">
        <w:rPr>
          <w:rFonts w:asciiTheme="majorHAnsi" w:hAnsiTheme="majorHAnsi" w:cstheme="majorBidi"/>
        </w:rPr>
        <w:t>bydlením v</w:t>
      </w:r>
      <w:r w:rsidR="000D7449">
        <w:rPr>
          <w:rFonts w:asciiTheme="majorHAnsi" w:hAnsiTheme="majorHAnsi" w:cstheme="majorBidi"/>
        </w:rPr>
        <w:t> </w:t>
      </w:r>
      <w:r w:rsidRPr="5B41DABB">
        <w:rPr>
          <w:rFonts w:asciiTheme="majorHAnsi" w:hAnsiTheme="majorHAnsi" w:cstheme="majorBidi"/>
        </w:rPr>
        <w:t>posledních cca pěti letech. Dosud byla problematika bydlení (s výjimkou projektů sociálního bydlení) mimo záběr kohezní politiky EU (mj. s</w:t>
      </w:r>
      <w:r w:rsidR="000D7449">
        <w:rPr>
          <w:rFonts w:asciiTheme="majorHAnsi" w:hAnsiTheme="majorHAnsi" w:cstheme="majorBidi"/>
        </w:rPr>
        <w:t> </w:t>
      </w:r>
      <w:r w:rsidRPr="5B41DABB">
        <w:rPr>
          <w:rFonts w:asciiTheme="majorHAnsi" w:hAnsiTheme="majorHAnsi" w:cstheme="majorBidi"/>
        </w:rPr>
        <w:t>ohledem na rozdíly bytových politik v</w:t>
      </w:r>
      <w:r w:rsidR="000D7449">
        <w:rPr>
          <w:rFonts w:asciiTheme="majorHAnsi" w:hAnsiTheme="majorHAnsi" w:cstheme="majorBidi"/>
        </w:rPr>
        <w:t> </w:t>
      </w:r>
      <w:r w:rsidRPr="5B41DABB">
        <w:rPr>
          <w:rFonts w:asciiTheme="majorHAnsi" w:hAnsiTheme="majorHAnsi" w:cstheme="majorBidi"/>
        </w:rPr>
        <w:t>zemích EU), tento přístup se již mění, stále je však poměrně zásadním problémem paradigma veřejné podpory a</w:t>
      </w:r>
      <w:r w:rsidR="000D7449">
        <w:rPr>
          <w:rFonts w:asciiTheme="majorHAnsi" w:hAnsiTheme="majorHAnsi" w:cstheme="majorBidi"/>
        </w:rPr>
        <w:t> </w:t>
      </w:r>
      <w:r w:rsidRPr="5B41DABB">
        <w:rPr>
          <w:rFonts w:asciiTheme="majorHAnsi" w:hAnsiTheme="majorHAnsi" w:cstheme="majorBidi"/>
        </w:rPr>
        <w:t>zcela rozdílné přístupy k</w:t>
      </w:r>
      <w:r w:rsidR="000D7449">
        <w:rPr>
          <w:rFonts w:asciiTheme="majorHAnsi" w:hAnsiTheme="majorHAnsi" w:cstheme="majorBidi"/>
        </w:rPr>
        <w:t> </w:t>
      </w:r>
      <w:r w:rsidRPr="5B41DABB">
        <w:rPr>
          <w:rFonts w:asciiTheme="majorHAnsi" w:hAnsiTheme="majorHAnsi" w:cstheme="majorBidi"/>
        </w:rPr>
        <w:t>bytové politice v</w:t>
      </w:r>
      <w:r w:rsidR="000D7449">
        <w:rPr>
          <w:rFonts w:asciiTheme="majorHAnsi" w:hAnsiTheme="majorHAnsi" w:cstheme="majorBidi"/>
        </w:rPr>
        <w:t> </w:t>
      </w:r>
      <w:r w:rsidRPr="5B41DABB">
        <w:rPr>
          <w:rFonts w:asciiTheme="majorHAnsi" w:hAnsiTheme="majorHAnsi" w:cstheme="majorBidi"/>
        </w:rPr>
        <w:t>jednotlivých zemích EU.</w:t>
      </w:r>
    </w:p>
    <w:p w14:paraId="72AA5969" w14:textId="77777777" w:rsidR="0042415F" w:rsidRPr="004B4B33" w:rsidRDefault="001D082B">
      <w:pPr>
        <w:spacing w:before="240" w:after="240"/>
        <w:jc w:val="both"/>
        <w:rPr>
          <w:rFonts w:asciiTheme="majorHAnsi" w:hAnsiTheme="majorHAnsi" w:cstheme="majorHAnsi"/>
          <w:b/>
          <w:sz w:val="24"/>
          <w:szCs w:val="24"/>
        </w:rPr>
      </w:pPr>
      <w:r w:rsidRPr="004B4B33">
        <w:rPr>
          <w:rFonts w:asciiTheme="majorHAnsi" w:hAnsiTheme="majorHAnsi" w:cstheme="majorHAnsi"/>
          <w:b/>
          <w:sz w:val="24"/>
          <w:szCs w:val="24"/>
        </w:rPr>
        <w:t>8. Digitální rozměr komponenty</w:t>
      </w:r>
    </w:p>
    <w:p w14:paraId="56D57898" w14:textId="4D92B0D4"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t>Veřejný zájem, jehož naplňování podmiňuje čerpání subvečních prostředků, kromě jiných (sociálních, environmentálních, ekonomických) parametrů zahrnuje i</w:t>
      </w:r>
      <w:r w:rsidR="000D7449">
        <w:rPr>
          <w:rFonts w:asciiTheme="majorHAnsi" w:hAnsiTheme="majorHAnsi" w:cstheme="majorHAnsi"/>
        </w:rPr>
        <w:t> </w:t>
      </w:r>
      <w:r w:rsidRPr="004B4B33">
        <w:rPr>
          <w:rFonts w:asciiTheme="majorHAnsi" w:hAnsiTheme="majorHAnsi" w:cstheme="majorHAnsi"/>
        </w:rPr>
        <w:t>podporu a</w:t>
      </w:r>
      <w:r w:rsidR="000D7449">
        <w:rPr>
          <w:rFonts w:asciiTheme="majorHAnsi" w:hAnsiTheme="majorHAnsi" w:cstheme="majorHAnsi"/>
        </w:rPr>
        <w:t> </w:t>
      </w:r>
      <w:r w:rsidRPr="004B4B33">
        <w:rPr>
          <w:rFonts w:asciiTheme="majorHAnsi" w:hAnsiTheme="majorHAnsi" w:cstheme="majorHAnsi"/>
        </w:rPr>
        <w:t>bonifikaci BIM (Building Information Modeling). Lze očekávat sekundární podporu budování digitální infrastruktury (datové kabely). Koordinace podpory domácností v</w:t>
      </w:r>
      <w:r w:rsidR="000D7449">
        <w:rPr>
          <w:rFonts w:asciiTheme="majorHAnsi" w:hAnsiTheme="majorHAnsi" w:cstheme="majorHAnsi"/>
        </w:rPr>
        <w:t> </w:t>
      </w:r>
      <w:r w:rsidRPr="004B4B33">
        <w:rPr>
          <w:rFonts w:asciiTheme="majorHAnsi" w:hAnsiTheme="majorHAnsi" w:cstheme="majorHAnsi"/>
        </w:rPr>
        <w:t>bytové nouzi podle připravovaného zákona o</w:t>
      </w:r>
      <w:r w:rsidR="000D7449">
        <w:rPr>
          <w:rFonts w:asciiTheme="majorHAnsi" w:hAnsiTheme="majorHAnsi" w:cstheme="majorHAnsi"/>
        </w:rPr>
        <w:t> </w:t>
      </w:r>
      <w:r w:rsidRPr="004B4B33">
        <w:rPr>
          <w:rFonts w:asciiTheme="majorHAnsi" w:hAnsiTheme="majorHAnsi" w:cstheme="majorHAnsi"/>
        </w:rPr>
        <w:t>podpoře v</w:t>
      </w:r>
      <w:r w:rsidR="000D7449">
        <w:rPr>
          <w:rFonts w:asciiTheme="majorHAnsi" w:hAnsiTheme="majorHAnsi" w:cstheme="majorHAnsi"/>
        </w:rPr>
        <w:t> </w:t>
      </w:r>
      <w:r w:rsidRPr="004B4B33">
        <w:rPr>
          <w:rFonts w:asciiTheme="majorHAnsi" w:hAnsiTheme="majorHAnsi" w:cstheme="majorHAnsi"/>
        </w:rPr>
        <w:t>bydlení bude využívat agendový informační systém, který umožní využívání dat pro evaluaci účinnosti jednotlivých opatření a</w:t>
      </w:r>
      <w:r w:rsidR="000D7449">
        <w:rPr>
          <w:rFonts w:asciiTheme="majorHAnsi" w:hAnsiTheme="majorHAnsi" w:cstheme="majorHAnsi"/>
        </w:rPr>
        <w:t> </w:t>
      </w:r>
      <w:r w:rsidRPr="004B4B33">
        <w:rPr>
          <w:rFonts w:asciiTheme="majorHAnsi" w:hAnsiTheme="majorHAnsi" w:cstheme="majorHAnsi"/>
        </w:rPr>
        <w:t>případné úpravy systému a</w:t>
      </w:r>
      <w:r w:rsidR="000D7449">
        <w:rPr>
          <w:rFonts w:asciiTheme="majorHAnsi" w:hAnsiTheme="majorHAnsi" w:cstheme="majorHAnsi"/>
        </w:rPr>
        <w:t> </w:t>
      </w:r>
      <w:r w:rsidRPr="004B4B33">
        <w:rPr>
          <w:rFonts w:asciiTheme="majorHAnsi" w:hAnsiTheme="majorHAnsi" w:cstheme="majorHAnsi"/>
        </w:rPr>
        <w:t>využívaných nástrojů.</w:t>
      </w:r>
    </w:p>
    <w:p w14:paraId="3DEEC669" w14:textId="77777777" w:rsidR="008A01D4" w:rsidRPr="004B4B33" w:rsidRDefault="008A01D4">
      <w:pPr>
        <w:spacing w:before="240" w:after="240"/>
        <w:jc w:val="both"/>
        <w:rPr>
          <w:rFonts w:asciiTheme="majorHAnsi" w:hAnsiTheme="majorHAnsi" w:cstheme="majorHAnsi"/>
        </w:rPr>
      </w:pPr>
    </w:p>
    <w:p w14:paraId="25CE9D12" w14:textId="77777777" w:rsidR="0042415F" w:rsidRPr="004B4B33" w:rsidRDefault="001D082B" w:rsidP="3D78BE59">
      <w:pPr>
        <w:spacing w:before="240" w:after="240"/>
        <w:jc w:val="both"/>
        <w:rPr>
          <w:rFonts w:asciiTheme="majorHAnsi" w:hAnsiTheme="majorHAnsi" w:cstheme="majorBidi"/>
          <w:b/>
          <w:bCs/>
          <w:sz w:val="24"/>
          <w:szCs w:val="24"/>
        </w:rPr>
      </w:pPr>
      <w:r w:rsidRPr="5750678E">
        <w:rPr>
          <w:rFonts w:asciiTheme="majorHAnsi" w:hAnsiTheme="majorHAnsi" w:cstheme="majorBidi"/>
          <w:b/>
          <w:bCs/>
          <w:sz w:val="24"/>
          <w:szCs w:val="24"/>
        </w:rPr>
        <w:t>9. Uplatnění zásady “významně nepoškozovat”</w:t>
      </w:r>
    </w:p>
    <w:p w14:paraId="62BFB928" w14:textId="69FFE490" w:rsidR="0042415F" w:rsidRPr="004B4B33" w:rsidRDefault="001D082B" w:rsidP="4966BBAE">
      <w:pPr>
        <w:spacing w:before="0" w:after="240"/>
        <w:jc w:val="both"/>
        <w:rPr>
          <w:rFonts w:asciiTheme="majorHAnsi" w:hAnsiTheme="majorHAnsi" w:cstheme="majorBidi"/>
        </w:rPr>
      </w:pPr>
      <w:r w:rsidRPr="5B41DABB">
        <w:rPr>
          <w:rFonts w:asciiTheme="majorHAnsi" w:hAnsiTheme="majorHAnsi" w:cstheme="majorBidi"/>
        </w:rPr>
        <w:t xml:space="preserve">Předkládaná komponenta </w:t>
      </w:r>
      <w:r w:rsidRPr="5B41DABB">
        <w:rPr>
          <w:rFonts w:asciiTheme="majorHAnsi" w:hAnsiTheme="majorHAnsi" w:cstheme="majorBidi"/>
          <w:highlight w:val="white"/>
        </w:rPr>
        <w:t>je v</w:t>
      </w:r>
      <w:r w:rsidR="000D7449">
        <w:rPr>
          <w:rFonts w:asciiTheme="majorHAnsi" w:hAnsiTheme="majorHAnsi" w:cstheme="majorBidi"/>
          <w:highlight w:val="white"/>
        </w:rPr>
        <w:t> </w:t>
      </w:r>
      <w:r w:rsidRPr="5B41DABB">
        <w:rPr>
          <w:rFonts w:asciiTheme="majorHAnsi" w:hAnsiTheme="majorHAnsi" w:cstheme="majorBidi"/>
          <w:highlight w:val="white"/>
        </w:rPr>
        <w:t xml:space="preserve">souladu se zásadou "významně nepoškozovat" </w:t>
      </w:r>
      <w:r w:rsidRPr="5B41DABB">
        <w:rPr>
          <w:rFonts w:asciiTheme="majorHAnsi" w:hAnsiTheme="majorHAnsi" w:cstheme="majorBidi"/>
        </w:rPr>
        <w:t>ve smyslu článku 17 nařízení (EU) 2020/852. Očekává se, že žádné opatření v</w:t>
      </w:r>
      <w:r w:rsidR="000D7449">
        <w:rPr>
          <w:rFonts w:asciiTheme="majorHAnsi" w:hAnsiTheme="majorHAnsi" w:cstheme="majorBidi"/>
        </w:rPr>
        <w:t> </w:t>
      </w:r>
      <w:r w:rsidRPr="5B41DABB">
        <w:rPr>
          <w:rFonts w:asciiTheme="majorHAnsi" w:hAnsiTheme="majorHAnsi" w:cstheme="majorBidi"/>
        </w:rPr>
        <w:t>této komponentě významně nepoškodí environmentální cíle ve smyslu článku 17 nařízení (EU) 2020/852, s</w:t>
      </w:r>
      <w:r w:rsidR="000D7449">
        <w:rPr>
          <w:rFonts w:asciiTheme="majorHAnsi" w:hAnsiTheme="majorHAnsi" w:cstheme="majorBidi"/>
        </w:rPr>
        <w:t> </w:t>
      </w:r>
      <w:r w:rsidRPr="5B41DABB">
        <w:rPr>
          <w:rFonts w:asciiTheme="majorHAnsi" w:hAnsiTheme="majorHAnsi" w:cstheme="majorBidi"/>
        </w:rPr>
        <w:t>přihlédnutím k</w:t>
      </w:r>
      <w:r w:rsidR="000D7449">
        <w:rPr>
          <w:rFonts w:asciiTheme="majorHAnsi" w:hAnsiTheme="majorHAnsi" w:cstheme="majorBidi"/>
        </w:rPr>
        <w:t> </w:t>
      </w:r>
      <w:r w:rsidRPr="5B41DABB">
        <w:rPr>
          <w:rFonts w:asciiTheme="majorHAnsi" w:hAnsiTheme="majorHAnsi" w:cstheme="majorBidi"/>
        </w:rPr>
        <w:t>popisu opatření a</w:t>
      </w:r>
      <w:r w:rsidR="000D7449">
        <w:rPr>
          <w:rFonts w:asciiTheme="majorHAnsi" w:hAnsiTheme="majorHAnsi" w:cstheme="majorBidi"/>
        </w:rPr>
        <w:t> </w:t>
      </w:r>
      <w:r w:rsidRPr="5B41DABB">
        <w:rPr>
          <w:rFonts w:asciiTheme="majorHAnsi" w:hAnsiTheme="majorHAnsi" w:cstheme="majorBidi"/>
        </w:rPr>
        <w:t>zmírňujícím krokům stanoveným v</w:t>
      </w:r>
      <w:r w:rsidR="000D7449">
        <w:rPr>
          <w:rFonts w:asciiTheme="majorHAnsi" w:hAnsiTheme="majorHAnsi" w:cstheme="majorBidi"/>
        </w:rPr>
        <w:t> </w:t>
      </w:r>
      <w:r w:rsidRPr="5B41DABB">
        <w:rPr>
          <w:rFonts w:asciiTheme="majorHAnsi" w:hAnsiTheme="majorHAnsi" w:cstheme="majorBidi"/>
        </w:rPr>
        <w:t>plánu na podporu oživení a</w:t>
      </w:r>
      <w:r w:rsidR="000D7449">
        <w:rPr>
          <w:rFonts w:asciiTheme="majorHAnsi" w:hAnsiTheme="majorHAnsi" w:cstheme="majorBidi"/>
        </w:rPr>
        <w:t> </w:t>
      </w:r>
      <w:r w:rsidRPr="5B41DABB">
        <w:rPr>
          <w:rFonts w:asciiTheme="majorHAnsi" w:hAnsiTheme="majorHAnsi" w:cstheme="majorBidi"/>
        </w:rPr>
        <w:t>odolnosti v</w:t>
      </w:r>
      <w:r w:rsidR="000D7449">
        <w:rPr>
          <w:rFonts w:asciiTheme="majorHAnsi" w:hAnsiTheme="majorHAnsi" w:cstheme="majorBidi"/>
        </w:rPr>
        <w:t> </w:t>
      </w:r>
      <w:r w:rsidRPr="5B41DABB">
        <w:rPr>
          <w:rFonts w:asciiTheme="majorHAnsi" w:hAnsiTheme="majorHAnsi" w:cstheme="majorBidi"/>
        </w:rPr>
        <w:t>souladu s</w:t>
      </w:r>
      <w:r w:rsidR="000D7449">
        <w:rPr>
          <w:rFonts w:asciiTheme="majorHAnsi" w:hAnsiTheme="majorHAnsi" w:cstheme="majorBidi"/>
        </w:rPr>
        <w:t> </w:t>
      </w:r>
      <w:r w:rsidRPr="5B41DABB">
        <w:rPr>
          <w:rFonts w:asciiTheme="majorHAnsi" w:hAnsiTheme="majorHAnsi" w:cstheme="majorBidi"/>
        </w:rPr>
        <w:t>technickými pokyny k</w:t>
      </w:r>
      <w:r w:rsidR="000D7449">
        <w:rPr>
          <w:rFonts w:asciiTheme="majorHAnsi" w:hAnsiTheme="majorHAnsi" w:cstheme="majorBidi"/>
        </w:rPr>
        <w:t> </w:t>
      </w:r>
      <w:r w:rsidRPr="5B41DABB">
        <w:rPr>
          <w:rFonts w:asciiTheme="majorHAnsi" w:hAnsiTheme="majorHAnsi" w:cstheme="majorBidi"/>
        </w:rPr>
        <w:t>uplatňování zásady „významně nepoškozovat“ (2021/C58/01).</w:t>
      </w:r>
    </w:p>
    <w:p w14:paraId="0DD494FD" w14:textId="7971983B" w:rsidR="0042415F" w:rsidRPr="004B4B33" w:rsidRDefault="001D082B">
      <w:pPr>
        <w:spacing w:before="0" w:after="240"/>
        <w:jc w:val="both"/>
        <w:rPr>
          <w:rFonts w:asciiTheme="majorHAnsi" w:hAnsiTheme="majorHAnsi" w:cstheme="majorHAnsi"/>
        </w:rPr>
      </w:pPr>
      <w:r w:rsidRPr="004B4B33">
        <w:rPr>
          <w:rFonts w:asciiTheme="majorHAnsi" w:hAnsiTheme="majorHAnsi" w:cstheme="majorHAnsi"/>
        </w:rPr>
        <w:t>Zásada významně neškodit bude důsledně promítnuta do prováděcích implementačních dokumentů a</w:t>
      </w:r>
      <w:r w:rsidR="000D7449">
        <w:rPr>
          <w:rFonts w:asciiTheme="majorHAnsi" w:hAnsiTheme="majorHAnsi" w:cstheme="majorHAnsi"/>
        </w:rPr>
        <w:t> </w:t>
      </w:r>
      <w:r w:rsidRPr="004B4B33">
        <w:rPr>
          <w:rFonts w:asciiTheme="majorHAnsi" w:hAnsiTheme="majorHAnsi" w:cstheme="majorHAnsi"/>
        </w:rPr>
        <w:t>kritérií způsobilosti a</w:t>
      </w:r>
      <w:r w:rsidR="000D7449">
        <w:rPr>
          <w:rFonts w:asciiTheme="majorHAnsi" w:hAnsiTheme="majorHAnsi" w:cstheme="majorHAnsi"/>
        </w:rPr>
        <w:t> </w:t>
      </w:r>
      <w:r w:rsidRPr="004B4B33">
        <w:rPr>
          <w:rFonts w:asciiTheme="majorHAnsi" w:hAnsiTheme="majorHAnsi" w:cstheme="majorHAnsi"/>
        </w:rPr>
        <w:t>dalších případných předpisů všech investičních programů a</w:t>
      </w:r>
      <w:r w:rsidR="000D7449">
        <w:rPr>
          <w:rFonts w:asciiTheme="majorHAnsi" w:hAnsiTheme="majorHAnsi" w:cstheme="majorHAnsi"/>
        </w:rPr>
        <w:t> </w:t>
      </w:r>
      <w:r w:rsidRPr="004B4B33">
        <w:rPr>
          <w:rFonts w:asciiTheme="majorHAnsi" w:hAnsiTheme="majorHAnsi" w:cstheme="majorHAnsi"/>
        </w:rPr>
        <w:t>reforem v</w:t>
      </w:r>
      <w:r w:rsidR="000D7449">
        <w:rPr>
          <w:rFonts w:asciiTheme="majorHAnsi" w:hAnsiTheme="majorHAnsi" w:cstheme="majorHAnsi"/>
        </w:rPr>
        <w:t> </w:t>
      </w:r>
      <w:r w:rsidRPr="004B4B33">
        <w:rPr>
          <w:rFonts w:asciiTheme="majorHAnsi" w:hAnsiTheme="majorHAnsi" w:cstheme="majorHAnsi"/>
        </w:rPr>
        <w:t>rámci komponenty Reforma dostupného bydlení v</w:t>
      </w:r>
      <w:r w:rsidR="000D7449">
        <w:rPr>
          <w:rFonts w:asciiTheme="majorHAnsi" w:hAnsiTheme="majorHAnsi" w:cstheme="majorHAnsi"/>
        </w:rPr>
        <w:t> </w:t>
      </w:r>
      <w:r w:rsidRPr="004B4B33">
        <w:rPr>
          <w:rFonts w:asciiTheme="majorHAnsi" w:hAnsiTheme="majorHAnsi" w:cstheme="majorHAnsi"/>
        </w:rPr>
        <w:t>souladu s</w:t>
      </w:r>
      <w:r w:rsidR="000D7449">
        <w:rPr>
          <w:rFonts w:asciiTheme="majorHAnsi" w:hAnsiTheme="majorHAnsi" w:cstheme="majorHAnsi"/>
        </w:rPr>
        <w:t> </w:t>
      </w:r>
      <w:r w:rsidRPr="004B4B33">
        <w:rPr>
          <w:rFonts w:asciiTheme="majorHAnsi" w:hAnsiTheme="majorHAnsi" w:cstheme="majorHAnsi"/>
        </w:rPr>
        <w:t>požadavky Doporučení (EU) 2019/786, Nařízení EP a</w:t>
      </w:r>
      <w:r w:rsidR="000D7449">
        <w:rPr>
          <w:rFonts w:asciiTheme="majorHAnsi" w:hAnsiTheme="majorHAnsi" w:cstheme="majorHAnsi"/>
        </w:rPr>
        <w:t> </w:t>
      </w:r>
      <w:r w:rsidRPr="004B4B33">
        <w:rPr>
          <w:rFonts w:asciiTheme="majorHAnsi" w:hAnsiTheme="majorHAnsi" w:cstheme="majorHAnsi"/>
        </w:rPr>
        <w:t xml:space="preserve">Rady 2021/241, Nařízení Komise 2021/2139, </w:t>
      </w:r>
      <w:r w:rsidRPr="004B4B33">
        <w:rPr>
          <w:rFonts w:asciiTheme="majorHAnsi" w:hAnsiTheme="majorHAnsi" w:cstheme="majorHAnsi"/>
          <w:color w:val="221E1F"/>
        </w:rPr>
        <w:t>Směrnice EP a</w:t>
      </w:r>
      <w:r w:rsidR="000D7449">
        <w:rPr>
          <w:rFonts w:asciiTheme="majorHAnsi" w:hAnsiTheme="majorHAnsi" w:cstheme="majorHAnsi"/>
          <w:color w:val="221E1F"/>
        </w:rPr>
        <w:t> </w:t>
      </w:r>
      <w:r w:rsidRPr="004B4B33">
        <w:rPr>
          <w:rFonts w:asciiTheme="majorHAnsi" w:hAnsiTheme="majorHAnsi" w:cstheme="majorHAnsi"/>
          <w:color w:val="221E1F"/>
        </w:rPr>
        <w:t>Rady 2012/27, Směrnice EP a</w:t>
      </w:r>
      <w:r w:rsidR="000D7449">
        <w:rPr>
          <w:rFonts w:asciiTheme="majorHAnsi" w:hAnsiTheme="majorHAnsi" w:cstheme="majorHAnsi"/>
          <w:color w:val="221E1F"/>
        </w:rPr>
        <w:t> </w:t>
      </w:r>
      <w:r w:rsidRPr="004B4B33">
        <w:rPr>
          <w:rFonts w:asciiTheme="majorHAnsi" w:hAnsiTheme="majorHAnsi" w:cstheme="majorHAnsi"/>
          <w:color w:val="221E1F"/>
        </w:rPr>
        <w:t xml:space="preserve">Rady 2018/844, </w:t>
      </w:r>
      <w:r w:rsidRPr="004B4B33">
        <w:rPr>
          <w:rFonts w:asciiTheme="majorHAnsi" w:hAnsiTheme="majorHAnsi" w:cstheme="majorHAnsi"/>
        </w:rPr>
        <w:t>vyhlášky č. 264/2020 Sb. o</w:t>
      </w:r>
      <w:r w:rsidR="000D7449">
        <w:rPr>
          <w:rFonts w:asciiTheme="majorHAnsi" w:hAnsiTheme="majorHAnsi" w:cstheme="majorHAnsi"/>
        </w:rPr>
        <w:t> </w:t>
      </w:r>
      <w:r w:rsidRPr="004B4B33">
        <w:rPr>
          <w:rFonts w:asciiTheme="majorHAnsi" w:hAnsiTheme="majorHAnsi" w:cstheme="majorHAnsi"/>
        </w:rPr>
        <w:t>energetické účinnosti budov</w:t>
      </w:r>
      <w:r w:rsidRPr="004B4B33">
        <w:rPr>
          <w:rFonts w:asciiTheme="majorHAnsi" w:hAnsiTheme="majorHAnsi" w:cstheme="majorHAnsi"/>
          <w:color w:val="221E1F"/>
        </w:rPr>
        <w:t xml:space="preserve"> a</w:t>
      </w:r>
      <w:r w:rsidR="000D7449">
        <w:rPr>
          <w:rFonts w:asciiTheme="majorHAnsi" w:hAnsiTheme="majorHAnsi" w:cstheme="majorHAnsi"/>
          <w:color w:val="221E1F"/>
        </w:rPr>
        <w:t> </w:t>
      </w:r>
      <w:r w:rsidRPr="004B4B33">
        <w:rPr>
          <w:rFonts w:asciiTheme="majorHAnsi" w:hAnsiTheme="majorHAnsi" w:cstheme="majorHAnsi"/>
          <w:color w:val="221E1F"/>
        </w:rPr>
        <w:t>dalších předpisů</w:t>
      </w:r>
      <w:r w:rsidRPr="004B4B33">
        <w:rPr>
          <w:rFonts w:asciiTheme="majorHAnsi" w:hAnsiTheme="majorHAnsi" w:cstheme="majorHAnsi"/>
        </w:rPr>
        <w:t>.</w:t>
      </w:r>
    </w:p>
    <w:p w14:paraId="2658B5B7" w14:textId="1B41AF56" w:rsidR="0042415F" w:rsidRPr="004B4B33" w:rsidRDefault="001D082B">
      <w:pPr>
        <w:spacing w:before="0" w:after="240"/>
        <w:jc w:val="both"/>
        <w:rPr>
          <w:rFonts w:asciiTheme="majorHAnsi" w:hAnsiTheme="majorHAnsi" w:cstheme="majorHAnsi"/>
        </w:rPr>
      </w:pPr>
      <w:r w:rsidRPr="004B4B33">
        <w:rPr>
          <w:rFonts w:asciiTheme="majorHAnsi" w:hAnsiTheme="majorHAnsi" w:cstheme="majorHAnsi"/>
        </w:rPr>
        <w:lastRenderedPageBreak/>
        <w:t>Pro všechny typy stavebních činností a</w:t>
      </w:r>
      <w:r w:rsidR="000D7449">
        <w:rPr>
          <w:rFonts w:asciiTheme="majorHAnsi" w:hAnsiTheme="majorHAnsi" w:cstheme="majorHAnsi"/>
        </w:rPr>
        <w:t> </w:t>
      </w:r>
      <w:r w:rsidRPr="004B4B33">
        <w:rPr>
          <w:rFonts w:asciiTheme="majorHAnsi" w:hAnsiTheme="majorHAnsi" w:cstheme="majorHAnsi"/>
        </w:rPr>
        <w:t>zejména renovací budou zejména uplatněna kritéria pro adaptaci a</w:t>
      </w:r>
      <w:r w:rsidR="000D7449">
        <w:rPr>
          <w:rFonts w:asciiTheme="majorHAnsi" w:hAnsiTheme="majorHAnsi" w:cstheme="majorHAnsi"/>
        </w:rPr>
        <w:t> </w:t>
      </w:r>
      <w:r w:rsidRPr="004B4B33">
        <w:rPr>
          <w:rFonts w:asciiTheme="majorHAnsi" w:hAnsiTheme="majorHAnsi" w:cstheme="majorHAnsi"/>
        </w:rPr>
        <w:t>cirkulární užití stavebních a</w:t>
      </w:r>
      <w:r w:rsidR="000D7449">
        <w:rPr>
          <w:rFonts w:asciiTheme="majorHAnsi" w:hAnsiTheme="majorHAnsi" w:cstheme="majorHAnsi"/>
        </w:rPr>
        <w:t> </w:t>
      </w:r>
      <w:r w:rsidRPr="004B4B33">
        <w:rPr>
          <w:rFonts w:asciiTheme="majorHAnsi" w:hAnsiTheme="majorHAnsi" w:cstheme="majorHAnsi"/>
        </w:rPr>
        <w:t>demoličních odpadů. Odpady spojené zejména s</w:t>
      </w:r>
      <w:r w:rsidR="000D7449">
        <w:rPr>
          <w:rFonts w:asciiTheme="majorHAnsi" w:hAnsiTheme="majorHAnsi" w:cstheme="majorHAnsi"/>
        </w:rPr>
        <w:t> </w:t>
      </w:r>
      <w:r w:rsidRPr="004B4B33">
        <w:rPr>
          <w:rFonts w:asciiTheme="majorHAnsi" w:hAnsiTheme="majorHAnsi" w:cstheme="majorHAnsi"/>
        </w:rPr>
        <w:t>renovačními projekty tedy nevytvoří environmentální zátěž. V</w:t>
      </w:r>
      <w:r w:rsidR="000D7449">
        <w:rPr>
          <w:rFonts w:asciiTheme="majorHAnsi" w:hAnsiTheme="majorHAnsi" w:cstheme="majorHAnsi"/>
        </w:rPr>
        <w:t> </w:t>
      </w:r>
      <w:r w:rsidRPr="004B4B33">
        <w:rPr>
          <w:rFonts w:asciiTheme="majorHAnsi" w:hAnsiTheme="majorHAnsi" w:cstheme="majorHAnsi"/>
        </w:rPr>
        <w:t>souladu s</w:t>
      </w:r>
      <w:r w:rsidR="000D7449">
        <w:rPr>
          <w:rFonts w:asciiTheme="majorHAnsi" w:hAnsiTheme="majorHAnsi" w:cstheme="majorHAnsi"/>
        </w:rPr>
        <w:t> </w:t>
      </w:r>
      <w:r w:rsidRPr="004B4B33">
        <w:rPr>
          <w:rFonts w:asciiTheme="majorHAnsi" w:hAnsiTheme="majorHAnsi" w:cstheme="majorHAnsi"/>
        </w:rPr>
        <w:t>technickými pokyny k</w:t>
      </w:r>
      <w:r w:rsidR="000D7449">
        <w:rPr>
          <w:rFonts w:asciiTheme="majorHAnsi" w:hAnsiTheme="majorHAnsi" w:cstheme="majorHAnsi"/>
        </w:rPr>
        <w:t> </w:t>
      </w:r>
      <w:r w:rsidRPr="004B4B33">
        <w:rPr>
          <w:rFonts w:asciiTheme="majorHAnsi" w:hAnsiTheme="majorHAnsi" w:cstheme="majorHAnsi"/>
        </w:rPr>
        <w:t>uplatňování zásady „významně nepoškozovat“ (2021/C58/01) bude alespoň 70 % stavebního a</w:t>
      </w:r>
      <w:r w:rsidR="000D7449">
        <w:rPr>
          <w:rFonts w:asciiTheme="majorHAnsi" w:hAnsiTheme="majorHAnsi" w:cstheme="majorHAnsi"/>
        </w:rPr>
        <w:t> </w:t>
      </w:r>
      <w:r w:rsidRPr="004B4B33">
        <w:rPr>
          <w:rFonts w:asciiTheme="majorHAnsi" w:hAnsiTheme="majorHAnsi" w:cstheme="majorHAnsi"/>
        </w:rPr>
        <w:t>demoličního odpadu připraveno k</w:t>
      </w:r>
      <w:r w:rsidR="000D7449">
        <w:rPr>
          <w:rFonts w:asciiTheme="majorHAnsi" w:hAnsiTheme="majorHAnsi" w:cstheme="majorHAnsi"/>
        </w:rPr>
        <w:t> </w:t>
      </w:r>
      <w:r w:rsidRPr="004B4B33">
        <w:rPr>
          <w:rFonts w:asciiTheme="majorHAnsi" w:hAnsiTheme="majorHAnsi" w:cstheme="majorHAnsi"/>
        </w:rPr>
        <w:t>opětovnému použití nebo recyklaci. Opatření zejména vyžaduje, aby hospodářské subjekty provádějící stavební práce zajistily, že nejméně 70 % (hmotnostních) odpadů neklasifikovaných jako nebezpečné (s výjimkou přirozeně se vyskytujících materiálů uvedených v</w:t>
      </w:r>
      <w:r w:rsidR="000D7449">
        <w:rPr>
          <w:rFonts w:asciiTheme="majorHAnsi" w:hAnsiTheme="majorHAnsi" w:cstheme="majorHAnsi"/>
        </w:rPr>
        <w:t> </w:t>
      </w:r>
      <w:r w:rsidRPr="004B4B33">
        <w:rPr>
          <w:rFonts w:asciiTheme="majorHAnsi" w:hAnsiTheme="majorHAnsi" w:cstheme="majorHAnsi"/>
        </w:rPr>
        <w:t>kategorii 17 05 04 na Evropském seznamu odpadů vytvořeném rozhodnutím 2000/532/ES ze dne 3. května 2000, kterým se nahrazuje rozhodnutí 94/3/ES, kterým se stanoví seznam odpadů podle čl. 1 písm. a) směrnice Rady 75/442/EHS o</w:t>
      </w:r>
      <w:r w:rsidR="000D7449">
        <w:rPr>
          <w:rFonts w:asciiTheme="majorHAnsi" w:hAnsiTheme="majorHAnsi" w:cstheme="majorHAnsi"/>
        </w:rPr>
        <w:t> </w:t>
      </w:r>
      <w:r w:rsidRPr="004B4B33">
        <w:rPr>
          <w:rFonts w:asciiTheme="majorHAnsi" w:hAnsiTheme="majorHAnsi" w:cstheme="majorHAnsi"/>
        </w:rPr>
        <w:t>odpadech a</w:t>
      </w:r>
      <w:r w:rsidR="000D7449">
        <w:rPr>
          <w:rFonts w:asciiTheme="majorHAnsi" w:hAnsiTheme="majorHAnsi" w:cstheme="majorHAnsi"/>
        </w:rPr>
        <w:t> </w:t>
      </w:r>
      <w:r w:rsidRPr="004B4B33">
        <w:rPr>
          <w:rFonts w:asciiTheme="majorHAnsi" w:hAnsiTheme="majorHAnsi" w:cstheme="majorHAnsi"/>
        </w:rPr>
        <w:t>rozhodnutí Rady 94/904/ES, kterým se stanoví seznam nebezpečných odpadů ve smyslu čl. 1 odst. 4 směrnice Rady 91/689/EHS o</w:t>
      </w:r>
      <w:r w:rsidR="000D7449">
        <w:rPr>
          <w:rFonts w:asciiTheme="majorHAnsi" w:hAnsiTheme="majorHAnsi" w:cstheme="majorHAnsi"/>
        </w:rPr>
        <w:t> </w:t>
      </w:r>
      <w:r w:rsidRPr="004B4B33">
        <w:rPr>
          <w:rFonts w:asciiTheme="majorHAnsi" w:hAnsiTheme="majorHAnsi" w:cstheme="majorHAnsi"/>
        </w:rPr>
        <w:t>nebezpečných odpadech (oznámeno pod číslem dokumentu K(2000) 1147)) vzniklého na staveništi bude připraveno k</w:t>
      </w:r>
      <w:r w:rsidR="000D7449">
        <w:rPr>
          <w:rFonts w:asciiTheme="majorHAnsi" w:hAnsiTheme="majorHAnsi" w:cstheme="majorHAnsi"/>
        </w:rPr>
        <w:t> </w:t>
      </w:r>
      <w:r w:rsidRPr="004B4B33">
        <w:rPr>
          <w:rFonts w:asciiTheme="majorHAnsi" w:hAnsiTheme="majorHAnsi" w:cstheme="majorHAnsi"/>
        </w:rPr>
        <w:t>opětovnému použití, recyklaci a</w:t>
      </w:r>
      <w:r w:rsidR="000D7449">
        <w:rPr>
          <w:rFonts w:asciiTheme="majorHAnsi" w:hAnsiTheme="majorHAnsi" w:cstheme="majorHAnsi"/>
        </w:rPr>
        <w:t> </w:t>
      </w:r>
      <w:r w:rsidRPr="004B4B33">
        <w:rPr>
          <w:rFonts w:asciiTheme="majorHAnsi" w:hAnsiTheme="majorHAnsi" w:cstheme="majorHAnsi"/>
        </w:rPr>
        <w:t>k jiným druhům materiálového využití, včetně zásypů, při nichž jsou jiné materiály nahrazeny odpadem, v</w:t>
      </w:r>
      <w:r w:rsidR="000D7449">
        <w:rPr>
          <w:rFonts w:asciiTheme="majorHAnsi" w:hAnsiTheme="majorHAnsi" w:cstheme="majorHAnsi"/>
        </w:rPr>
        <w:t> </w:t>
      </w:r>
      <w:r w:rsidRPr="004B4B33">
        <w:rPr>
          <w:rFonts w:asciiTheme="majorHAnsi" w:hAnsiTheme="majorHAnsi" w:cstheme="majorHAnsi"/>
        </w:rPr>
        <w:t>souladu s</w:t>
      </w:r>
      <w:r w:rsidR="000D7449">
        <w:rPr>
          <w:rFonts w:asciiTheme="majorHAnsi" w:hAnsiTheme="majorHAnsi" w:cstheme="majorHAnsi"/>
        </w:rPr>
        <w:t> </w:t>
      </w:r>
      <w:r w:rsidRPr="004B4B33">
        <w:rPr>
          <w:rFonts w:asciiTheme="majorHAnsi" w:hAnsiTheme="majorHAnsi" w:cstheme="majorHAnsi"/>
        </w:rPr>
        <w:t>hierarchií způsobů nakládání s</w:t>
      </w:r>
      <w:r w:rsidR="000D7449">
        <w:rPr>
          <w:rFonts w:asciiTheme="majorHAnsi" w:hAnsiTheme="majorHAnsi" w:cstheme="majorHAnsi"/>
        </w:rPr>
        <w:t> </w:t>
      </w:r>
      <w:r w:rsidRPr="004B4B33">
        <w:rPr>
          <w:rFonts w:asciiTheme="majorHAnsi" w:hAnsiTheme="majorHAnsi" w:cstheme="majorHAnsi"/>
        </w:rPr>
        <w:t>odpady a</w:t>
      </w:r>
      <w:r w:rsidR="000D7449">
        <w:rPr>
          <w:rFonts w:asciiTheme="majorHAnsi" w:hAnsiTheme="majorHAnsi" w:cstheme="majorHAnsi"/>
        </w:rPr>
        <w:t> </w:t>
      </w:r>
      <w:r w:rsidRPr="004B4B33">
        <w:rPr>
          <w:rFonts w:asciiTheme="majorHAnsi" w:hAnsiTheme="majorHAnsi" w:cstheme="majorHAnsi"/>
        </w:rPr>
        <w:t>protokolem EU pro nakládání se stavebním a</w:t>
      </w:r>
      <w:r w:rsidR="000D7449">
        <w:rPr>
          <w:rFonts w:asciiTheme="majorHAnsi" w:hAnsiTheme="majorHAnsi" w:cstheme="majorHAnsi"/>
        </w:rPr>
        <w:t> </w:t>
      </w:r>
      <w:r w:rsidRPr="004B4B33">
        <w:rPr>
          <w:rFonts w:asciiTheme="majorHAnsi" w:hAnsiTheme="majorHAnsi" w:cstheme="majorHAnsi"/>
        </w:rPr>
        <w:t>demoličním odpadem.</w:t>
      </w:r>
    </w:p>
    <w:p w14:paraId="0C7D7904" w14:textId="0CF609B6" w:rsidR="0042415F" w:rsidRPr="004B4B33" w:rsidRDefault="001D082B" w:rsidP="4966BBAE">
      <w:pPr>
        <w:spacing w:before="0" w:after="240"/>
        <w:jc w:val="both"/>
        <w:rPr>
          <w:rFonts w:asciiTheme="majorHAnsi" w:hAnsiTheme="majorHAnsi" w:cstheme="majorBidi"/>
        </w:rPr>
      </w:pPr>
      <w:r w:rsidRPr="5B41DABB">
        <w:rPr>
          <w:rFonts w:asciiTheme="majorHAnsi" w:hAnsiTheme="majorHAnsi" w:cstheme="majorBidi"/>
        </w:rPr>
        <w:t xml:space="preserve">V případě nové výstavby budou uplatněna kritéria pro všech šest environmentálních </w:t>
      </w:r>
      <w:r w:rsidR="001B24E1" w:rsidRPr="5B41DABB">
        <w:rPr>
          <w:rFonts w:asciiTheme="majorHAnsi" w:hAnsiTheme="majorHAnsi" w:cstheme="majorBidi"/>
        </w:rPr>
        <w:t>cílů</w:t>
      </w:r>
      <w:r w:rsidRPr="5B41DABB">
        <w:rPr>
          <w:rFonts w:asciiTheme="majorHAnsi" w:hAnsiTheme="majorHAnsi" w:cstheme="majorBidi"/>
        </w:rPr>
        <w:t>. Renovační opatření vnější obálky budov, vč. zelených střech, nesníží možnost adaptability budov a</w:t>
      </w:r>
      <w:r w:rsidR="000D7449">
        <w:rPr>
          <w:rFonts w:asciiTheme="majorHAnsi" w:hAnsiTheme="majorHAnsi" w:cstheme="majorBidi"/>
        </w:rPr>
        <w:t> </w:t>
      </w:r>
      <w:r w:rsidRPr="5B41DABB">
        <w:rPr>
          <w:rFonts w:asciiTheme="majorHAnsi" w:hAnsiTheme="majorHAnsi" w:cstheme="majorBidi"/>
        </w:rPr>
        <w:t>nenaruší další případná adaptační opatření. Předpokládané instalace fotovoltaických panelů na budovy v</w:t>
      </w:r>
      <w:r w:rsidR="000D7449">
        <w:rPr>
          <w:rFonts w:asciiTheme="majorHAnsi" w:hAnsiTheme="majorHAnsi" w:cstheme="majorBidi"/>
        </w:rPr>
        <w:t> </w:t>
      </w:r>
      <w:r w:rsidRPr="5B41DABB">
        <w:rPr>
          <w:rFonts w:asciiTheme="majorHAnsi" w:hAnsiTheme="majorHAnsi" w:cstheme="majorBidi"/>
        </w:rPr>
        <w:t>sektoru bydlení je v</w:t>
      </w:r>
      <w:r w:rsidR="000D7449">
        <w:rPr>
          <w:rFonts w:asciiTheme="majorHAnsi" w:hAnsiTheme="majorHAnsi" w:cstheme="majorBidi"/>
        </w:rPr>
        <w:t> </w:t>
      </w:r>
      <w:r w:rsidRPr="5B41DABB">
        <w:rPr>
          <w:rFonts w:asciiTheme="majorHAnsi" w:hAnsiTheme="majorHAnsi" w:cstheme="majorBidi"/>
        </w:rPr>
        <w:t>souladu s</w:t>
      </w:r>
      <w:r w:rsidR="000D7449">
        <w:rPr>
          <w:rFonts w:asciiTheme="majorHAnsi" w:hAnsiTheme="majorHAnsi" w:cstheme="majorBidi"/>
        </w:rPr>
        <w:t> </w:t>
      </w:r>
      <w:r w:rsidRPr="5B41DABB">
        <w:rPr>
          <w:rFonts w:asciiTheme="majorHAnsi" w:hAnsiTheme="majorHAnsi" w:cstheme="majorBidi"/>
        </w:rPr>
        <w:t>kritérii DNSH dle návrhu delegovaného aktu k</w:t>
      </w:r>
      <w:r w:rsidR="000D7449">
        <w:rPr>
          <w:rFonts w:asciiTheme="majorHAnsi" w:hAnsiTheme="majorHAnsi" w:cstheme="majorBidi"/>
        </w:rPr>
        <w:t> </w:t>
      </w:r>
      <w:r w:rsidRPr="5B41DABB">
        <w:rPr>
          <w:rFonts w:asciiTheme="majorHAnsi" w:hAnsiTheme="majorHAnsi" w:cstheme="majorBidi"/>
        </w:rPr>
        <w:t>mitigaci a</w:t>
      </w:r>
      <w:r w:rsidR="000D7449">
        <w:rPr>
          <w:rFonts w:asciiTheme="majorHAnsi" w:hAnsiTheme="majorHAnsi" w:cstheme="majorBidi"/>
        </w:rPr>
        <w:t> </w:t>
      </w:r>
      <w:r w:rsidRPr="5B41DABB">
        <w:rPr>
          <w:rFonts w:asciiTheme="majorHAnsi" w:hAnsiTheme="majorHAnsi" w:cstheme="majorBidi"/>
        </w:rPr>
        <w:t>adaptaci na klima dle taxonomie kat. 7.6. Případné využití kotlů využívajících biomasu bude v</w:t>
      </w:r>
      <w:r w:rsidR="000D7449">
        <w:rPr>
          <w:rFonts w:asciiTheme="majorHAnsi" w:hAnsiTheme="majorHAnsi" w:cstheme="majorBidi"/>
        </w:rPr>
        <w:t> </w:t>
      </w:r>
      <w:r w:rsidRPr="5B41DABB">
        <w:rPr>
          <w:rFonts w:asciiTheme="majorHAnsi" w:hAnsiTheme="majorHAnsi" w:cstheme="majorBidi"/>
        </w:rPr>
        <w:t>souladu s</w:t>
      </w:r>
      <w:r w:rsidR="000D7449">
        <w:rPr>
          <w:rFonts w:asciiTheme="majorHAnsi" w:hAnsiTheme="majorHAnsi" w:cstheme="majorBidi"/>
        </w:rPr>
        <w:t> </w:t>
      </w:r>
      <w:r w:rsidRPr="5B41DABB">
        <w:rPr>
          <w:rFonts w:asciiTheme="majorHAnsi" w:hAnsiTheme="majorHAnsi" w:cstheme="majorBidi"/>
        </w:rPr>
        <w:t>povinnostmi vyplývajícími z</w:t>
      </w:r>
      <w:r w:rsidR="000D7449">
        <w:rPr>
          <w:rFonts w:asciiTheme="majorHAnsi" w:hAnsiTheme="majorHAnsi" w:cstheme="majorBidi"/>
        </w:rPr>
        <w:t> </w:t>
      </w:r>
      <w:r w:rsidRPr="5B41DABB">
        <w:rPr>
          <w:rFonts w:asciiTheme="majorHAnsi" w:hAnsiTheme="majorHAnsi" w:cstheme="majorBidi"/>
        </w:rPr>
        <w:t>čl. 29 Směrnice Evropského parlamentu a</w:t>
      </w:r>
      <w:r w:rsidR="000D7449">
        <w:rPr>
          <w:rFonts w:asciiTheme="majorHAnsi" w:hAnsiTheme="majorHAnsi" w:cstheme="majorBidi"/>
        </w:rPr>
        <w:t> </w:t>
      </w:r>
      <w:r w:rsidRPr="5B41DABB">
        <w:rPr>
          <w:rFonts w:asciiTheme="majorHAnsi" w:hAnsiTheme="majorHAnsi" w:cstheme="majorBidi"/>
        </w:rPr>
        <w:t>Rady (EU) 2018/2001 ze dne 11. prosince 2018 o</w:t>
      </w:r>
      <w:r w:rsidR="000D7449">
        <w:rPr>
          <w:rFonts w:asciiTheme="majorHAnsi" w:hAnsiTheme="majorHAnsi" w:cstheme="majorBidi"/>
        </w:rPr>
        <w:t> </w:t>
      </w:r>
      <w:r w:rsidRPr="5B41DABB">
        <w:rPr>
          <w:rFonts w:asciiTheme="majorHAnsi" w:hAnsiTheme="majorHAnsi" w:cstheme="majorBidi"/>
        </w:rPr>
        <w:t>podpoře využívání energie z</w:t>
      </w:r>
      <w:r w:rsidR="000D7449">
        <w:rPr>
          <w:rFonts w:asciiTheme="majorHAnsi" w:hAnsiTheme="majorHAnsi" w:cstheme="majorBidi"/>
        </w:rPr>
        <w:t> </w:t>
      </w:r>
      <w:r w:rsidRPr="5B41DABB">
        <w:rPr>
          <w:rFonts w:asciiTheme="majorHAnsi" w:hAnsiTheme="majorHAnsi" w:cstheme="majorBidi"/>
        </w:rPr>
        <w:t>obnovitelných zdrojů. V</w:t>
      </w:r>
      <w:r w:rsidR="000D7449">
        <w:rPr>
          <w:rFonts w:asciiTheme="majorHAnsi" w:hAnsiTheme="majorHAnsi" w:cstheme="majorBidi"/>
        </w:rPr>
        <w:t> </w:t>
      </w:r>
      <w:r w:rsidRPr="5B41DABB">
        <w:rPr>
          <w:rFonts w:asciiTheme="majorHAnsi" w:hAnsiTheme="majorHAnsi" w:cstheme="majorBidi"/>
        </w:rPr>
        <w:t>případě výměny zdrojů budou zejména uplatněna kritéria oblastí mitigace emisí skleníkových plynů a</w:t>
      </w:r>
      <w:r w:rsidR="000D7449">
        <w:rPr>
          <w:rFonts w:asciiTheme="majorHAnsi" w:hAnsiTheme="majorHAnsi" w:cstheme="majorBidi"/>
        </w:rPr>
        <w:t> </w:t>
      </w:r>
      <w:r w:rsidRPr="5B41DABB">
        <w:rPr>
          <w:rFonts w:asciiTheme="majorHAnsi" w:hAnsiTheme="majorHAnsi" w:cstheme="majorBidi"/>
        </w:rPr>
        <w:t xml:space="preserve">znečištění ovzduší, resp. ochrany biodiverzity. </w:t>
      </w:r>
      <w:r w:rsidR="00611545" w:rsidRPr="5B41DABB">
        <w:rPr>
          <w:rFonts w:asciiTheme="majorHAnsi" w:hAnsiTheme="majorHAnsi" w:cstheme="majorBidi"/>
        </w:rPr>
        <w:t xml:space="preserve"> </w:t>
      </w:r>
      <w:r w:rsidRPr="5B41DABB">
        <w:rPr>
          <w:rFonts w:asciiTheme="majorHAnsi" w:hAnsiTheme="majorHAnsi" w:cstheme="majorBidi"/>
        </w:rPr>
        <w:t>Bude podporována instalace pouze takových nových zdrojů vytápění, které splňují požadavky na ekodesign (tj. požadavky směrnice Evropského parlamentu a</w:t>
      </w:r>
      <w:r w:rsidR="000D7449">
        <w:rPr>
          <w:rFonts w:asciiTheme="majorHAnsi" w:hAnsiTheme="majorHAnsi" w:cstheme="majorBidi"/>
        </w:rPr>
        <w:t> </w:t>
      </w:r>
      <w:r w:rsidRPr="5B41DABB">
        <w:rPr>
          <w:rFonts w:asciiTheme="majorHAnsi" w:hAnsiTheme="majorHAnsi" w:cstheme="majorBidi"/>
        </w:rPr>
        <w:t>Rady 2009/125/ES) a</w:t>
      </w:r>
      <w:r w:rsidR="000D7449">
        <w:rPr>
          <w:rFonts w:asciiTheme="majorHAnsi" w:hAnsiTheme="majorHAnsi" w:cstheme="majorBidi"/>
        </w:rPr>
        <w:t> </w:t>
      </w:r>
      <w:r w:rsidRPr="5B41DABB">
        <w:rPr>
          <w:rFonts w:asciiTheme="majorHAnsi" w:hAnsiTheme="majorHAnsi" w:cstheme="majorBidi"/>
        </w:rPr>
        <w:t>současně jsou zařazeny do jedné ze dvou nejvyšších významně zastoupených tříd energetické účinnosti ve smyslu čl. 7 odst. 2 nařízení Evropského parlamentu a</w:t>
      </w:r>
      <w:r w:rsidR="000D7449">
        <w:rPr>
          <w:rFonts w:asciiTheme="majorHAnsi" w:hAnsiTheme="majorHAnsi" w:cstheme="majorBidi"/>
        </w:rPr>
        <w:t> </w:t>
      </w:r>
      <w:r w:rsidRPr="5B41DABB">
        <w:rPr>
          <w:rFonts w:asciiTheme="majorHAnsi" w:hAnsiTheme="majorHAnsi" w:cstheme="majorBidi"/>
        </w:rPr>
        <w:t>Rady (EU) 2017/1369.</w:t>
      </w:r>
      <w:r w:rsidR="00611545" w:rsidRPr="5B41DABB">
        <w:rPr>
          <w:rFonts w:asciiTheme="majorHAnsi" w:hAnsiTheme="majorHAnsi" w:cstheme="majorBidi"/>
        </w:rPr>
        <w:t xml:space="preserve"> </w:t>
      </w:r>
    </w:p>
    <w:p w14:paraId="7C22F4BD" w14:textId="49E01DC7" w:rsidR="0042415F" w:rsidRPr="004B4B33" w:rsidRDefault="001D082B" w:rsidP="4966BBAE">
      <w:pPr>
        <w:spacing w:before="0" w:after="240"/>
        <w:jc w:val="both"/>
        <w:rPr>
          <w:rFonts w:asciiTheme="majorHAnsi" w:hAnsiTheme="majorHAnsi" w:cstheme="majorBidi"/>
        </w:rPr>
      </w:pPr>
      <w:r w:rsidRPr="5B41DABB">
        <w:rPr>
          <w:rFonts w:asciiTheme="majorHAnsi" w:hAnsiTheme="majorHAnsi" w:cstheme="majorBidi"/>
        </w:rPr>
        <w:t xml:space="preserve">Komponenta nebude podporovat investice, které </w:t>
      </w:r>
      <w:r w:rsidR="003804AC" w:rsidRPr="5B41DABB">
        <w:rPr>
          <w:rFonts w:asciiTheme="majorHAnsi" w:hAnsiTheme="majorHAnsi" w:cstheme="majorBidi"/>
        </w:rPr>
        <w:t>by nebyly</w:t>
      </w:r>
      <w:r w:rsidRPr="5B41DABB">
        <w:rPr>
          <w:rFonts w:asciiTheme="majorHAnsi" w:hAnsiTheme="majorHAnsi" w:cstheme="majorBidi"/>
        </w:rPr>
        <w:t xml:space="preserve"> v</w:t>
      </w:r>
      <w:r w:rsidR="000D7449">
        <w:rPr>
          <w:rFonts w:asciiTheme="majorHAnsi" w:hAnsiTheme="majorHAnsi" w:cstheme="majorBidi"/>
        </w:rPr>
        <w:t> </w:t>
      </w:r>
      <w:r w:rsidRPr="5B41DABB">
        <w:rPr>
          <w:rFonts w:asciiTheme="majorHAnsi" w:hAnsiTheme="majorHAnsi" w:cstheme="majorBidi"/>
        </w:rPr>
        <w:t>souladu s</w:t>
      </w:r>
      <w:r w:rsidR="000D7449">
        <w:rPr>
          <w:rFonts w:asciiTheme="majorHAnsi" w:hAnsiTheme="majorHAnsi" w:cstheme="majorBidi"/>
        </w:rPr>
        <w:t> </w:t>
      </w:r>
      <w:r w:rsidRPr="5B41DABB">
        <w:rPr>
          <w:rFonts w:asciiTheme="majorHAnsi" w:hAnsiTheme="majorHAnsi" w:cstheme="majorBidi"/>
        </w:rPr>
        <w:t>pokyn</w:t>
      </w:r>
      <w:r w:rsidR="6029354E" w:rsidRPr="5B41DABB">
        <w:rPr>
          <w:rFonts w:asciiTheme="majorHAnsi" w:hAnsiTheme="majorHAnsi" w:cstheme="majorBidi"/>
        </w:rPr>
        <w:t>y</w:t>
      </w:r>
      <w:r w:rsidRPr="5B41DABB">
        <w:rPr>
          <w:rFonts w:asciiTheme="majorHAnsi" w:hAnsiTheme="majorHAnsi" w:cstheme="majorBidi"/>
        </w:rPr>
        <w:t xml:space="preserve"> k</w:t>
      </w:r>
      <w:r w:rsidR="000D7449">
        <w:rPr>
          <w:rFonts w:asciiTheme="majorHAnsi" w:hAnsiTheme="majorHAnsi" w:cstheme="majorBidi"/>
        </w:rPr>
        <w:t> </w:t>
      </w:r>
      <w:r w:rsidRPr="5B41DABB">
        <w:rPr>
          <w:rFonts w:asciiTheme="majorHAnsi" w:hAnsiTheme="majorHAnsi" w:cstheme="majorBidi"/>
        </w:rPr>
        <w:t>uplatnění principů DNSH v</w:t>
      </w:r>
      <w:r w:rsidR="000D7449">
        <w:rPr>
          <w:rFonts w:asciiTheme="majorHAnsi" w:hAnsiTheme="majorHAnsi" w:cstheme="majorBidi"/>
        </w:rPr>
        <w:t> </w:t>
      </w:r>
      <w:r w:rsidRPr="5B41DABB">
        <w:rPr>
          <w:rFonts w:asciiTheme="majorHAnsi" w:hAnsiTheme="majorHAnsi" w:cstheme="majorBidi"/>
        </w:rPr>
        <w:t>Oznámení Komise 2021/C58/01.</w:t>
      </w:r>
    </w:p>
    <w:p w14:paraId="7BEFEBB4" w14:textId="7125A428" w:rsidR="0042415F" w:rsidRPr="004B4B33" w:rsidRDefault="001D082B">
      <w:pPr>
        <w:spacing w:before="0" w:after="240"/>
        <w:jc w:val="both"/>
        <w:rPr>
          <w:rFonts w:asciiTheme="majorHAnsi" w:hAnsiTheme="majorHAnsi" w:cstheme="majorHAnsi"/>
        </w:rPr>
      </w:pPr>
      <w:r w:rsidRPr="004B4B33">
        <w:rPr>
          <w:rFonts w:asciiTheme="majorHAnsi" w:hAnsiTheme="majorHAnsi" w:cstheme="majorHAnsi"/>
        </w:rPr>
        <w:t>Navrhovaná neinvestiční opatření (expertní, projektové poradenství, projektová příprava, osvěta, výchova, vzdělávání atd.) neporuší princip „zásadně neškodit“ ze své podstaty. Zadání veřejných zakázek na projekty a</w:t>
      </w:r>
      <w:r w:rsidR="000D7449">
        <w:rPr>
          <w:rFonts w:asciiTheme="majorHAnsi" w:hAnsiTheme="majorHAnsi" w:cstheme="majorHAnsi"/>
        </w:rPr>
        <w:t> </w:t>
      </w:r>
      <w:r w:rsidRPr="004B4B33">
        <w:rPr>
          <w:rFonts w:asciiTheme="majorHAnsi" w:hAnsiTheme="majorHAnsi" w:cstheme="majorHAnsi"/>
        </w:rPr>
        <w:t>na stavební práce bude v</w:t>
      </w:r>
      <w:r w:rsidR="000D7449">
        <w:rPr>
          <w:rFonts w:asciiTheme="majorHAnsi" w:hAnsiTheme="majorHAnsi" w:cstheme="majorHAnsi"/>
        </w:rPr>
        <w:t> </w:t>
      </w:r>
      <w:r w:rsidRPr="004B4B33">
        <w:rPr>
          <w:rFonts w:asciiTheme="majorHAnsi" w:hAnsiTheme="majorHAnsi" w:cstheme="majorHAnsi"/>
        </w:rPr>
        <w:t>souladu s</w:t>
      </w:r>
      <w:r w:rsidR="000D7449">
        <w:rPr>
          <w:rFonts w:asciiTheme="majorHAnsi" w:hAnsiTheme="majorHAnsi" w:cstheme="majorHAnsi"/>
        </w:rPr>
        <w:t> </w:t>
      </w:r>
      <w:r w:rsidRPr="004B4B33">
        <w:rPr>
          <w:rFonts w:asciiTheme="majorHAnsi" w:hAnsiTheme="majorHAnsi" w:cstheme="majorHAnsi"/>
        </w:rPr>
        <w:t>technickými pokyny k</w:t>
      </w:r>
      <w:r w:rsidR="000D7449">
        <w:rPr>
          <w:rFonts w:asciiTheme="majorHAnsi" w:hAnsiTheme="majorHAnsi" w:cstheme="majorHAnsi"/>
        </w:rPr>
        <w:t> </w:t>
      </w:r>
      <w:r w:rsidRPr="004B4B33">
        <w:rPr>
          <w:rFonts w:asciiTheme="majorHAnsi" w:hAnsiTheme="majorHAnsi" w:cstheme="majorHAnsi"/>
        </w:rPr>
        <w:t xml:space="preserve">uplatňování zásady „významně nepoškozovat“ (2021/C58/01). </w:t>
      </w:r>
    </w:p>
    <w:p w14:paraId="3656B9AB" w14:textId="77777777" w:rsidR="0031089B" w:rsidRPr="004B4B33" w:rsidRDefault="0031089B">
      <w:pPr>
        <w:spacing w:before="0" w:after="240"/>
        <w:jc w:val="both"/>
        <w:rPr>
          <w:rFonts w:asciiTheme="majorHAnsi" w:hAnsiTheme="majorHAnsi" w:cstheme="majorHAnsi"/>
        </w:rPr>
      </w:pPr>
    </w:p>
    <w:p w14:paraId="78793C77" w14:textId="77777777" w:rsidR="0042415F" w:rsidRPr="004B4B33" w:rsidRDefault="001D082B">
      <w:pPr>
        <w:pBdr>
          <w:top w:val="nil"/>
          <w:left w:val="nil"/>
          <w:bottom w:val="nil"/>
          <w:right w:val="nil"/>
          <w:between w:val="nil"/>
        </w:pBdr>
        <w:spacing w:before="240" w:after="240"/>
        <w:jc w:val="both"/>
        <w:rPr>
          <w:rFonts w:asciiTheme="majorHAnsi" w:hAnsiTheme="majorHAnsi" w:cstheme="majorHAnsi"/>
          <w:b/>
          <w:sz w:val="24"/>
          <w:szCs w:val="24"/>
        </w:rPr>
      </w:pPr>
      <w:r w:rsidRPr="004B4B33">
        <w:rPr>
          <w:rFonts w:asciiTheme="majorHAnsi" w:hAnsiTheme="majorHAnsi" w:cstheme="majorHAnsi"/>
          <w:b/>
          <w:sz w:val="24"/>
          <w:szCs w:val="24"/>
        </w:rPr>
        <w:t>10. Správní rámec ("Governance")</w:t>
      </w:r>
    </w:p>
    <w:p w14:paraId="1948FE2D" w14:textId="5278BD96"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t>Řádná implementace finančních instrumentů komponenty Reforma dostupného bydlení včetně důsledného uplatnění, kontroly a</w:t>
      </w:r>
      <w:r w:rsidR="000D7449">
        <w:rPr>
          <w:rFonts w:asciiTheme="majorHAnsi" w:hAnsiTheme="majorHAnsi" w:cstheme="majorHAnsi"/>
        </w:rPr>
        <w:t> </w:t>
      </w:r>
      <w:r w:rsidRPr="004B4B33">
        <w:rPr>
          <w:rFonts w:asciiTheme="majorHAnsi" w:hAnsiTheme="majorHAnsi" w:cstheme="majorHAnsi"/>
        </w:rPr>
        <w:t>vymáhání všech podmínek ze strany příjemců jsou prioritním cílem a</w:t>
      </w:r>
      <w:r w:rsidR="000D7449">
        <w:rPr>
          <w:rFonts w:asciiTheme="majorHAnsi" w:hAnsiTheme="majorHAnsi" w:cstheme="majorHAnsi"/>
        </w:rPr>
        <w:t> </w:t>
      </w:r>
      <w:r w:rsidRPr="004B4B33">
        <w:rPr>
          <w:rFonts w:asciiTheme="majorHAnsi" w:hAnsiTheme="majorHAnsi" w:cstheme="majorHAnsi"/>
        </w:rPr>
        <w:t>zájmem MMR.</w:t>
      </w:r>
    </w:p>
    <w:p w14:paraId="33F128AB" w14:textId="3EF885C2"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lastRenderedPageBreak/>
        <w:t>K naplnění tohoto cíle budou přijata organizační a</w:t>
      </w:r>
      <w:r w:rsidR="000D7449">
        <w:rPr>
          <w:rFonts w:asciiTheme="majorHAnsi" w:hAnsiTheme="majorHAnsi" w:cstheme="majorHAnsi"/>
        </w:rPr>
        <w:t> </w:t>
      </w:r>
      <w:r w:rsidRPr="004B4B33">
        <w:rPr>
          <w:rFonts w:asciiTheme="majorHAnsi" w:hAnsiTheme="majorHAnsi" w:cstheme="majorHAnsi"/>
        </w:rPr>
        <w:t>smluvní opatření na všech úrovních řízení finančních instrumentů, které zajistí nezávislost při přijímání investičních rozhodnutí v</w:t>
      </w:r>
      <w:r w:rsidR="000D7449">
        <w:rPr>
          <w:rFonts w:asciiTheme="majorHAnsi" w:hAnsiTheme="majorHAnsi" w:cstheme="majorHAnsi"/>
        </w:rPr>
        <w:t> </w:t>
      </w:r>
      <w:r w:rsidRPr="004B4B33">
        <w:rPr>
          <w:rFonts w:asciiTheme="majorHAnsi" w:hAnsiTheme="majorHAnsi" w:cstheme="majorHAnsi"/>
        </w:rPr>
        <w:t>souladu s</w:t>
      </w:r>
      <w:r w:rsidR="000D7449">
        <w:rPr>
          <w:rFonts w:asciiTheme="majorHAnsi" w:hAnsiTheme="majorHAnsi" w:cstheme="majorHAnsi"/>
        </w:rPr>
        <w:t> </w:t>
      </w:r>
      <w:r w:rsidRPr="004B4B33">
        <w:rPr>
          <w:rFonts w:asciiTheme="majorHAnsi" w:hAnsiTheme="majorHAnsi" w:cstheme="majorHAnsi"/>
        </w:rPr>
        <w:t>nejlepší investiční praxí (rizikově-vážená maximalizace přínosu) a</w:t>
      </w:r>
      <w:r w:rsidR="000D7449">
        <w:rPr>
          <w:rFonts w:asciiTheme="majorHAnsi" w:hAnsiTheme="majorHAnsi" w:cstheme="majorHAnsi"/>
        </w:rPr>
        <w:t> </w:t>
      </w:r>
      <w:r w:rsidRPr="004B4B33">
        <w:rPr>
          <w:rFonts w:asciiTheme="majorHAnsi" w:hAnsiTheme="majorHAnsi" w:cstheme="majorHAnsi"/>
        </w:rPr>
        <w:t>poskytnou smluvní záruky transparentnosti nad rámec opatření, běžně uplatňovaných v</w:t>
      </w:r>
      <w:r w:rsidR="000D7449">
        <w:rPr>
          <w:rFonts w:asciiTheme="majorHAnsi" w:hAnsiTheme="majorHAnsi" w:cstheme="majorHAnsi"/>
        </w:rPr>
        <w:t> </w:t>
      </w:r>
      <w:r w:rsidRPr="004B4B33">
        <w:rPr>
          <w:rFonts w:asciiTheme="majorHAnsi" w:hAnsiTheme="majorHAnsi" w:cstheme="majorHAnsi"/>
        </w:rPr>
        <w:t xml:space="preserve">rámci péče řádného hospodáře. </w:t>
      </w:r>
    </w:p>
    <w:p w14:paraId="43AA8FB9" w14:textId="2271BA40"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t>Na úrovni prováděcích metodik budou recitovány a</w:t>
      </w:r>
      <w:r w:rsidR="000D7449">
        <w:rPr>
          <w:rFonts w:asciiTheme="majorHAnsi" w:hAnsiTheme="majorHAnsi" w:cstheme="majorHAnsi"/>
        </w:rPr>
        <w:t> </w:t>
      </w:r>
      <w:r w:rsidRPr="004B4B33">
        <w:rPr>
          <w:rFonts w:asciiTheme="majorHAnsi" w:hAnsiTheme="majorHAnsi" w:cstheme="majorHAnsi"/>
        </w:rPr>
        <w:t>vymáhány postupy v</w:t>
      </w:r>
      <w:r w:rsidR="000D7449">
        <w:rPr>
          <w:rFonts w:asciiTheme="majorHAnsi" w:hAnsiTheme="majorHAnsi" w:cstheme="majorHAnsi"/>
        </w:rPr>
        <w:t> </w:t>
      </w:r>
      <w:r w:rsidRPr="004B4B33">
        <w:rPr>
          <w:rFonts w:asciiTheme="majorHAnsi" w:hAnsiTheme="majorHAnsi" w:cstheme="majorHAnsi"/>
        </w:rPr>
        <w:t>souladu s</w:t>
      </w:r>
      <w:r w:rsidR="000D7449">
        <w:rPr>
          <w:rFonts w:asciiTheme="majorHAnsi" w:hAnsiTheme="majorHAnsi" w:cstheme="majorHAnsi"/>
        </w:rPr>
        <w:t> </w:t>
      </w:r>
      <w:r w:rsidRPr="004B4B33">
        <w:rPr>
          <w:rFonts w:asciiTheme="majorHAnsi" w:hAnsiTheme="majorHAnsi" w:cstheme="majorHAnsi"/>
        </w:rPr>
        <w:t>ustanoveními Zákona o</w:t>
      </w:r>
      <w:r w:rsidR="000D7449">
        <w:rPr>
          <w:rFonts w:asciiTheme="majorHAnsi" w:hAnsiTheme="majorHAnsi" w:cstheme="majorHAnsi"/>
        </w:rPr>
        <w:t> </w:t>
      </w:r>
      <w:r w:rsidRPr="004B4B33">
        <w:rPr>
          <w:rFonts w:asciiTheme="majorHAnsi" w:hAnsiTheme="majorHAnsi" w:cstheme="majorHAnsi"/>
        </w:rPr>
        <w:t>střetu zájmů č. 180/2022 Sb. a</w:t>
      </w:r>
      <w:r w:rsidR="000D7449">
        <w:rPr>
          <w:rFonts w:asciiTheme="majorHAnsi" w:hAnsiTheme="majorHAnsi" w:cstheme="majorHAnsi"/>
        </w:rPr>
        <w:t> </w:t>
      </w:r>
      <w:r w:rsidRPr="004B4B33">
        <w:rPr>
          <w:rFonts w:asciiTheme="majorHAnsi" w:hAnsiTheme="majorHAnsi" w:cstheme="majorHAnsi"/>
        </w:rPr>
        <w:t>Sdělení Komise k</w:t>
      </w:r>
      <w:r w:rsidR="000D7449">
        <w:rPr>
          <w:rFonts w:asciiTheme="majorHAnsi" w:hAnsiTheme="majorHAnsi" w:cstheme="majorHAnsi"/>
        </w:rPr>
        <w:t> </w:t>
      </w:r>
      <w:r w:rsidRPr="004B4B33">
        <w:rPr>
          <w:rFonts w:asciiTheme="majorHAnsi" w:hAnsiTheme="majorHAnsi" w:cstheme="majorHAnsi"/>
        </w:rPr>
        <w:t>pokynům, k</w:t>
      </w:r>
      <w:r w:rsidR="000D7449">
        <w:rPr>
          <w:rFonts w:asciiTheme="majorHAnsi" w:hAnsiTheme="majorHAnsi" w:cstheme="majorHAnsi"/>
        </w:rPr>
        <w:t> </w:t>
      </w:r>
      <w:r w:rsidRPr="004B4B33">
        <w:rPr>
          <w:rFonts w:asciiTheme="majorHAnsi" w:hAnsiTheme="majorHAnsi" w:cstheme="majorHAnsi"/>
        </w:rPr>
        <w:t>zabránění střetu zájmů a</w:t>
      </w:r>
      <w:r w:rsidR="000D7449">
        <w:rPr>
          <w:rFonts w:asciiTheme="majorHAnsi" w:hAnsiTheme="majorHAnsi" w:cstheme="majorHAnsi"/>
        </w:rPr>
        <w:t> </w:t>
      </w:r>
      <w:r w:rsidRPr="004B4B33">
        <w:rPr>
          <w:rFonts w:asciiTheme="majorHAnsi" w:hAnsiTheme="majorHAnsi" w:cstheme="majorHAnsi"/>
        </w:rPr>
        <w:t xml:space="preserve">jeho řešení podle finančního nařízení (2021/C 121/01). </w:t>
      </w:r>
    </w:p>
    <w:p w14:paraId="7DEF1A49" w14:textId="7577DDA0" w:rsidR="00446A7E" w:rsidRPr="004B4B33" w:rsidRDefault="001D082B">
      <w:pPr>
        <w:spacing w:before="240" w:after="240"/>
        <w:jc w:val="both"/>
        <w:rPr>
          <w:rFonts w:asciiTheme="majorHAnsi" w:hAnsiTheme="majorHAnsi" w:cstheme="majorHAnsi"/>
        </w:rPr>
      </w:pPr>
      <w:r w:rsidRPr="004B4B33">
        <w:rPr>
          <w:rFonts w:asciiTheme="majorHAnsi" w:hAnsiTheme="majorHAnsi" w:cstheme="majorHAnsi"/>
        </w:rPr>
        <w:t>Rozhodujícím aktérem pro úspěch implementace budou zprostředkující implementační partneři. Na základě více než 20 letých zkušeností Státního fondu pro podporu investic (SFPI) s</w:t>
      </w:r>
      <w:r w:rsidR="0072358F" w:rsidRPr="004B4B33">
        <w:rPr>
          <w:rFonts w:asciiTheme="majorHAnsi" w:hAnsiTheme="majorHAnsi" w:cstheme="majorHAnsi"/>
        </w:rPr>
        <w:t>e</w:t>
      </w:r>
      <w:r w:rsidRPr="004B4B33">
        <w:rPr>
          <w:rFonts w:asciiTheme="majorHAnsi" w:hAnsiTheme="majorHAnsi" w:cstheme="majorHAnsi"/>
        </w:rPr>
        <w:t xml:space="preserve"> správou a</w:t>
      </w:r>
      <w:r w:rsidR="000D7449">
        <w:rPr>
          <w:rFonts w:asciiTheme="majorHAnsi" w:hAnsiTheme="majorHAnsi" w:cstheme="majorHAnsi"/>
        </w:rPr>
        <w:t> </w:t>
      </w:r>
      <w:r w:rsidRPr="004B4B33">
        <w:rPr>
          <w:rFonts w:asciiTheme="majorHAnsi" w:hAnsiTheme="majorHAnsi" w:cstheme="majorHAnsi"/>
        </w:rPr>
        <w:t>řízením finančních programů zaměřených na podporu bydlení včetně EU programů JESSICA a</w:t>
      </w:r>
      <w:r w:rsidR="000D7449">
        <w:rPr>
          <w:rFonts w:asciiTheme="majorHAnsi" w:hAnsiTheme="majorHAnsi" w:cstheme="majorHAnsi"/>
        </w:rPr>
        <w:t> </w:t>
      </w:r>
      <w:r w:rsidRPr="004B4B33">
        <w:rPr>
          <w:rFonts w:asciiTheme="majorHAnsi" w:hAnsiTheme="majorHAnsi" w:cstheme="majorHAnsi"/>
        </w:rPr>
        <w:t>kohezních programů (IROP) předpokládáme, že SFPI bude pověřen výkonem funkcí implementačního partnera pro finanční instrument 1. Obdobně předpokládáme, že Národní rozvojová banka resp. její 100% vlastněné dceřiné společnosti budou pověřeny výkonem funkcí implementačního partnera pro finanční instrument 2 a</w:t>
      </w:r>
      <w:r w:rsidR="000D7449">
        <w:rPr>
          <w:rFonts w:asciiTheme="majorHAnsi" w:hAnsiTheme="majorHAnsi" w:cstheme="majorHAnsi"/>
        </w:rPr>
        <w:t> </w:t>
      </w:r>
      <w:r w:rsidRPr="004B4B33">
        <w:rPr>
          <w:rFonts w:asciiTheme="majorHAnsi" w:hAnsiTheme="majorHAnsi" w:cstheme="majorHAnsi"/>
        </w:rPr>
        <w:t xml:space="preserve">finanční instrument 3. </w:t>
      </w:r>
    </w:p>
    <w:p w14:paraId="41C4972A" w14:textId="742E27F9"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t>Vzhledem k</w:t>
      </w:r>
      <w:r w:rsidR="000D7449">
        <w:rPr>
          <w:rFonts w:asciiTheme="majorHAnsi" w:hAnsiTheme="majorHAnsi" w:cstheme="majorHAnsi"/>
        </w:rPr>
        <w:t> </w:t>
      </w:r>
      <w:r w:rsidRPr="004B4B33">
        <w:rPr>
          <w:rFonts w:asciiTheme="majorHAnsi" w:hAnsiTheme="majorHAnsi" w:cstheme="majorHAnsi"/>
        </w:rPr>
        <w:t>dosavadní úzké koordinaci a</w:t>
      </w:r>
      <w:r w:rsidR="000D7449">
        <w:rPr>
          <w:rFonts w:asciiTheme="majorHAnsi" w:hAnsiTheme="majorHAnsi" w:cstheme="majorHAnsi"/>
        </w:rPr>
        <w:t> </w:t>
      </w:r>
      <w:r w:rsidRPr="004B4B33">
        <w:rPr>
          <w:rFonts w:asciiTheme="majorHAnsi" w:hAnsiTheme="majorHAnsi" w:cstheme="majorHAnsi"/>
        </w:rPr>
        <w:t>součinnosti mezi Evropskou komisí a</w:t>
      </w:r>
      <w:r w:rsidR="000D7449">
        <w:rPr>
          <w:rFonts w:asciiTheme="majorHAnsi" w:hAnsiTheme="majorHAnsi" w:cstheme="majorHAnsi"/>
        </w:rPr>
        <w:t> </w:t>
      </w:r>
      <w:r w:rsidRPr="004B4B33">
        <w:rPr>
          <w:rFonts w:asciiTheme="majorHAnsi" w:hAnsiTheme="majorHAnsi" w:cstheme="majorHAnsi"/>
        </w:rPr>
        <w:t>MMR při přípravě komponenty rozhodne MMR o</w:t>
      </w:r>
      <w:r w:rsidR="000D7449">
        <w:rPr>
          <w:rFonts w:asciiTheme="majorHAnsi" w:hAnsiTheme="majorHAnsi" w:cstheme="majorHAnsi"/>
        </w:rPr>
        <w:t> </w:t>
      </w:r>
      <w:r w:rsidRPr="004B4B33">
        <w:rPr>
          <w:rFonts w:asciiTheme="majorHAnsi" w:hAnsiTheme="majorHAnsi" w:cstheme="majorHAnsi"/>
        </w:rPr>
        <w:t>konečném výběru implementačních partnerů v</w:t>
      </w:r>
      <w:r w:rsidR="000D7449">
        <w:rPr>
          <w:rFonts w:asciiTheme="majorHAnsi" w:hAnsiTheme="majorHAnsi" w:cstheme="majorHAnsi"/>
        </w:rPr>
        <w:t> </w:t>
      </w:r>
      <w:r w:rsidRPr="004B4B33">
        <w:rPr>
          <w:rFonts w:asciiTheme="majorHAnsi" w:hAnsiTheme="majorHAnsi" w:cstheme="majorHAnsi"/>
        </w:rPr>
        <w:t>závislosti na finální dohodě s</w:t>
      </w:r>
      <w:r w:rsidR="000D7449">
        <w:rPr>
          <w:rFonts w:asciiTheme="majorHAnsi" w:hAnsiTheme="majorHAnsi" w:cstheme="majorHAnsi"/>
        </w:rPr>
        <w:t> </w:t>
      </w:r>
      <w:r w:rsidRPr="004B4B33">
        <w:rPr>
          <w:rFonts w:asciiTheme="majorHAnsi" w:hAnsiTheme="majorHAnsi" w:cstheme="majorHAnsi"/>
        </w:rPr>
        <w:t xml:space="preserve">Evropskou komisí. </w:t>
      </w:r>
    </w:p>
    <w:p w14:paraId="379FC089" w14:textId="4A10E52C" w:rsidR="0042415F" w:rsidRPr="004B4B33" w:rsidRDefault="001D082B">
      <w:pPr>
        <w:spacing w:before="240" w:after="240"/>
        <w:jc w:val="both"/>
        <w:rPr>
          <w:rFonts w:asciiTheme="majorHAnsi" w:hAnsiTheme="majorHAnsi" w:cstheme="majorHAnsi"/>
          <w:bCs/>
        </w:rPr>
      </w:pPr>
      <w:r w:rsidRPr="004B4B33">
        <w:rPr>
          <w:rFonts w:asciiTheme="majorHAnsi" w:hAnsiTheme="majorHAnsi" w:cstheme="majorHAnsi"/>
        </w:rPr>
        <w:t>Exekutivní a</w:t>
      </w:r>
      <w:r w:rsidR="000D7449">
        <w:rPr>
          <w:rFonts w:asciiTheme="majorHAnsi" w:hAnsiTheme="majorHAnsi" w:cstheme="majorHAnsi"/>
        </w:rPr>
        <w:t> </w:t>
      </w:r>
      <w:r w:rsidRPr="004B4B33">
        <w:rPr>
          <w:rFonts w:asciiTheme="majorHAnsi" w:hAnsiTheme="majorHAnsi" w:cstheme="majorHAnsi"/>
        </w:rPr>
        <w:t>nezávislý výkon investičních rozhodnutí bude svěřen investičním výborům pro každý finanční instrument odděleně. Věcná podloženost a</w:t>
      </w:r>
      <w:r w:rsidR="000D7449">
        <w:rPr>
          <w:rFonts w:asciiTheme="majorHAnsi" w:hAnsiTheme="majorHAnsi" w:cstheme="majorHAnsi"/>
        </w:rPr>
        <w:t> </w:t>
      </w:r>
      <w:r w:rsidRPr="004B4B33">
        <w:rPr>
          <w:rFonts w:asciiTheme="majorHAnsi" w:hAnsiTheme="majorHAnsi" w:cstheme="majorHAnsi"/>
        </w:rPr>
        <w:t>nezávislost rozhodnutí bude zdůrazněna rolí expertních panelů za účasti renomovaných odborníků, které budou vydávat doporučení k</w:t>
      </w:r>
      <w:r w:rsidR="000D7449">
        <w:rPr>
          <w:rFonts w:asciiTheme="majorHAnsi" w:hAnsiTheme="majorHAnsi" w:cstheme="majorHAnsi"/>
        </w:rPr>
        <w:t> </w:t>
      </w:r>
      <w:r w:rsidRPr="004B4B33">
        <w:rPr>
          <w:rFonts w:asciiTheme="majorHAnsi" w:hAnsiTheme="majorHAnsi" w:cstheme="majorHAnsi"/>
        </w:rPr>
        <w:t xml:space="preserve">jednotlivým investičním případům. Na úrovni komponenty jako celku bude zřízen Monitorovací výbor. Základní principy </w:t>
      </w:r>
      <w:r w:rsidR="001E47B7" w:rsidRPr="004B4B33">
        <w:rPr>
          <w:rFonts w:asciiTheme="majorHAnsi" w:hAnsiTheme="majorHAnsi" w:cstheme="majorHAnsi"/>
        </w:rPr>
        <w:t>a</w:t>
      </w:r>
      <w:r w:rsidR="000D7449">
        <w:rPr>
          <w:rFonts w:asciiTheme="majorHAnsi" w:hAnsiTheme="majorHAnsi" w:cstheme="majorHAnsi"/>
        </w:rPr>
        <w:t> </w:t>
      </w:r>
      <w:r w:rsidR="001E47B7" w:rsidRPr="004B4B33">
        <w:rPr>
          <w:rFonts w:asciiTheme="majorHAnsi" w:hAnsiTheme="majorHAnsi" w:cstheme="majorHAnsi"/>
        </w:rPr>
        <w:t xml:space="preserve">implementace </w:t>
      </w:r>
      <w:r w:rsidRPr="004B4B33">
        <w:rPr>
          <w:rFonts w:asciiTheme="majorHAnsi" w:hAnsiTheme="majorHAnsi" w:cstheme="majorHAnsi"/>
        </w:rPr>
        <w:t xml:space="preserve">tohoto správního rámce, jeho působnosti, procesních pravidel, </w:t>
      </w:r>
      <w:r w:rsidR="001E47B7" w:rsidRPr="004B4B33">
        <w:rPr>
          <w:rFonts w:asciiTheme="majorHAnsi" w:hAnsiTheme="majorHAnsi" w:cstheme="majorHAnsi"/>
        </w:rPr>
        <w:t xml:space="preserve">apod. </w:t>
      </w:r>
      <w:r w:rsidRPr="004B4B33">
        <w:rPr>
          <w:rFonts w:asciiTheme="majorHAnsi" w:hAnsiTheme="majorHAnsi" w:cstheme="majorHAnsi"/>
        </w:rPr>
        <w:t xml:space="preserve">budou </w:t>
      </w:r>
      <w:r w:rsidR="001E47B7" w:rsidRPr="004B4B33">
        <w:rPr>
          <w:rFonts w:asciiTheme="majorHAnsi" w:hAnsiTheme="majorHAnsi" w:cstheme="majorHAnsi"/>
        </w:rPr>
        <w:t>navrženy v</w:t>
      </w:r>
      <w:r w:rsidR="000D7449">
        <w:rPr>
          <w:rFonts w:asciiTheme="majorHAnsi" w:hAnsiTheme="majorHAnsi" w:cstheme="majorHAnsi"/>
        </w:rPr>
        <w:t> </w:t>
      </w:r>
      <w:r w:rsidR="001E47B7" w:rsidRPr="004B4B33">
        <w:rPr>
          <w:rFonts w:asciiTheme="majorHAnsi" w:hAnsiTheme="majorHAnsi" w:cstheme="majorHAnsi"/>
        </w:rPr>
        <w:t>souladu s</w:t>
      </w:r>
      <w:r w:rsidR="000D7449">
        <w:rPr>
          <w:rFonts w:asciiTheme="majorHAnsi" w:hAnsiTheme="majorHAnsi" w:cstheme="majorHAnsi"/>
        </w:rPr>
        <w:t> </w:t>
      </w:r>
      <w:r w:rsidR="001E47B7" w:rsidRPr="004B4B33">
        <w:rPr>
          <w:rFonts w:asciiTheme="majorHAnsi" w:hAnsiTheme="majorHAnsi" w:cstheme="majorHAnsi"/>
        </w:rPr>
        <w:t xml:space="preserve">požadavky </w:t>
      </w:r>
      <w:r w:rsidRPr="004B4B33">
        <w:rPr>
          <w:rFonts w:asciiTheme="majorHAnsi" w:hAnsiTheme="majorHAnsi" w:cstheme="majorHAnsi"/>
        </w:rPr>
        <w:t>Evropsk</w:t>
      </w:r>
      <w:r w:rsidR="001E47B7" w:rsidRPr="004B4B33">
        <w:rPr>
          <w:rFonts w:asciiTheme="majorHAnsi" w:hAnsiTheme="majorHAnsi" w:cstheme="majorHAnsi"/>
        </w:rPr>
        <w:t xml:space="preserve">é </w:t>
      </w:r>
      <w:r w:rsidRPr="004B4B33">
        <w:rPr>
          <w:rFonts w:asciiTheme="majorHAnsi" w:hAnsiTheme="majorHAnsi" w:cstheme="majorHAnsi"/>
        </w:rPr>
        <w:t>komis</w:t>
      </w:r>
      <w:r w:rsidR="001E47B7" w:rsidRPr="004B4B33">
        <w:rPr>
          <w:rFonts w:asciiTheme="majorHAnsi" w:hAnsiTheme="majorHAnsi" w:cstheme="majorHAnsi"/>
        </w:rPr>
        <w:t>e na nezávislost řízení a</w:t>
      </w:r>
      <w:r w:rsidR="000D7449">
        <w:rPr>
          <w:rFonts w:asciiTheme="majorHAnsi" w:hAnsiTheme="majorHAnsi" w:cstheme="majorHAnsi"/>
        </w:rPr>
        <w:t> </w:t>
      </w:r>
      <w:r w:rsidR="001E47B7" w:rsidRPr="004B4B33">
        <w:rPr>
          <w:rFonts w:asciiTheme="majorHAnsi" w:hAnsiTheme="majorHAnsi" w:cstheme="majorHAnsi"/>
        </w:rPr>
        <w:t>správy</w:t>
      </w:r>
      <w:r w:rsidRPr="004B4B33">
        <w:rPr>
          <w:rFonts w:asciiTheme="majorHAnsi" w:hAnsiTheme="majorHAnsi" w:cstheme="majorHAnsi"/>
        </w:rPr>
        <w:t>. Komplexní návrhy MMR vůči Evropské komisi týkající se fungování takového správního rámce v</w:t>
      </w:r>
      <w:r w:rsidR="000D7449">
        <w:rPr>
          <w:rFonts w:asciiTheme="majorHAnsi" w:hAnsiTheme="majorHAnsi" w:cstheme="majorHAnsi"/>
        </w:rPr>
        <w:t> </w:t>
      </w:r>
      <w:r w:rsidRPr="004B4B33">
        <w:rPr>
          <w:rFonts w:asciiTheme="majorHAnsi" w:hAnsiTheme="majorHAnsi" w:cstheme="majorHAnsi"/>
        </w:rPr>
        <w:t>součinnosti s</w:t>
      </w:r>
      <w:r w:rsidR="000D7449">
        <w:rPr>
          <w:rFonts w:asciiTheme="majorHAnsi" w:hAnsiTheme="majorHAnsi" w:cstheme="majorHAnsi"/>
        </w:rPr>
        <w:t> </w:t>
      </w:r>
      <w:r w:rsidRPr="004B4B33">
        <w:rPr>
          <w:rFonts w:asciiTheme="majorHAnsi" w:hAnsiTheme="majorHAnsi" w:cstheme="majorHAnsi"/>
        </w:rPr>
        <w:t>Evropskou komisí obsažen</w:t>
      </w:r>
      <w:r w:rsidR="001E47B7" w:rsidRPr="004B4B33">
        <w:rPr>
          <w:rFonts w:asciiTheme="majorHAnsi" w:hAnsiTheme="majorHAnsi" w:cstheme="majorHAnsi"/>
        </w:rPr>
        <w:t>é</w:t>
      </w:r>
      <w:r w:rsidRPr="004B4B33">
        <w:rPr>
          <w:rFonts w:asciiTheme="majorHAnsi" w:hAnsiTheme="majorHAnsi" w:cstheme="majorHAnsi"/>
        </w:rPr>
        <w:t xml:space="preserve"> v</w:t>
      </w:r>
      <w:r w:rsidR="000D7449">
        <w:rPr>
          <w:rFonts w:asciiTheme="majorHAnsi" w:hAnsiTheme="majorHAnsi" w:cstheme="majorHAnsi"/>
        </w:rPr>
        <w:t> </w:t>
      </w:r>
      <w:r w:rsidRPr="004B4B33">
        <w:rPr>
          <w:rFonts w:asciiTheme="majorHAnsi" w:hAnsiTheme="majorHAnsi" w:cstheme="majorHAnsi"/>
          <w:b/>
        </w:rPr>
        <w:t xml:space="preserve">příloze č. 1 </w:t>
      </w:r>
      <w:r w:rsidRPr="004B4B33">
        <w:rPr>
          <w:rFonts w:asciiTheme="majorHAnsi" w:hAnsiTheme="majorHAnsi" w:cstheme="majorHAnsi"/>
          <w:bCs/>
        </w:rPr>
        <w:t>tohoto dokumentu.</w:t>
      </w:r>
    </w:p>
    <w:p w14:paraId="5BC2C6C6" w14:textId="3D7943DC" w:rsidR="0042415F" w:rsidRPr="004B4B33" w:rsidRDefault="001D082B">
      <w:pPr>
        <w:spacing w:before="240" w:after="240"/>
        <w:jc w:val="both"/>
        <w:rPr>
          <w:rFonts w:asciiTheme="majorHAnsi" w:hAnsiTheme="majorHAnsi" w:cstheme="majorHAnsi"/>
        </w:rPr>
      </w:pPr>
      <w:r w:rsidRPr="004B4B33">
        <w:rPr>
          <w:rFonts w:asciiTheme="majorHAnsi" w:hAnsiTheme="majorHAnsi" w:cstheme="majorHAnsi"/>
        </w:rPr>
        <w:t>Operační pravidla včetně závazných metodik pro příjemce a</w:t>
      </w:r>
      <w:r w:rsidR="000D7449">
        <w:rPr>
          <w:rFonts w:asciiTheme="majorHAnsi" w:hAnsiTheme="majorHAnsi" w:cstheme="majorHAnsi"/>
        </w:rPr>
        <w:t> </w:t>
      </w:r>
      <w:r w:rsidRPr="004B4B33">
        <w:rPr>
          <w:rFonts w:asciiTheme="majorHAnsi" w:hAnsiTheme="majorHAnsi" w:cstheme="majorHAnsi"/>
        </w:rPr>
        <w:t>právně vymahatelných závazků příjemců vůči implementačním partnerům budou popsána ve smlouvách o</w:t>
      </w:r>
      <w:r w:rsidR="000D7449">
        <w:rPr>
          <w:rFonts w:asciiTheme="majorHAnsi" w:hAnsiTheme="majorHAnsi" w:cstheme="majorHAnsi"/>
        </w:rPr>
        <w:t> </w:t>
      </w:r>
      <w:r w:rsidRPr="004B4B33">
        <w:rPr>
          <w:rFonts w:asciiTheme="majorHAnsi" w:hAnsiTheme="majorHAnsi" w:cstheme="majorHAnsi"/>
        </w:rPr>
        <w:t>financování mezi MMR a</w:t>
      </w:r>
      <w:r w:rsidR="000D7449">
        <w:rPr>
          <w:rFonts w:asciiTheme="majorHAnsi" w:hAnsiTheme="majorHAnsi" w:cstheme="majorHAnsi"/>
        </w:rPr>
        <w:t> </w:t>
      </w:r>
      <w:r w:rsidRPr="004B4B33">
        <w:rPr>
          <w:rFonts w:asciiTheme="majorHAnsi" w:hAnsiTheme="majorHAnsi" w:cstheme="majorHAnsi"/>
        </w:rPr>
        <w:t>jednotlivými implementačními partnery. Tyto závazky zajistí právní vymahatelnost podmínek DNSH a</w:t>
      </w:r>
      <w:r w:rsidR="000D7449">
        <w:rPr>
          <w:rFonts w:asciiTheme="majorHAnsi" w:hAnsiTheme="majorHAnsi" w:cstheme="majorHAnsi"/>
        </w:rPr>
        <w:t> </w:t>
      </w:r>
      <w:r w:rsidRPr="004B4B33">
        <w:rPr>
          <w:rFonts w:asciiTheme="majorHAnsi" w:hAnsiTheme="majorHAnsi" w:cstheme="majorHAnsi"/>
        </w:rPr>
        <w:t>dalších závazných pravidel NPO a</w:t>
      </w:r>
      <w:r w:rsidR="000D7449">
        <w:rPr>
          <w:rFonts w:asciiTheme="majorHAnsi" w:hAnsiTheme="majorHAnsi" w:cstheme="majorHAnsi"/>
        </w:rPr>
        <w:t> </w:t>
      </w:r>
      <w:r w:rsidRPr="004B4B33">
        <w:rPr>
          <w:rFonts w:asciiTheme="majorHAnsi" w:hAnsiTheme="majorHAnsi" w:cstheme="majorHAnsi"/>
        </w:rPr>
        <w:t xml:space="preserve">prováděcího nařízení Komise (“CID”). </w:t>
      </w:r>
    </w:p>
    <w:p w14:paraId="45FB0818" w14:textId="77777777" w:rsidR="00460B1D" w:rsidRPr="004B4B33" w:rsidRDefault="00460B1D">
      <w:pPr>
        <w:spacing w:before="240" w:after="240"/>
        <w:jc w:val="both"/>
        <w:rPr>
          <w:rFonts w:asciiTheme="majorHAnsi" w:hAnsiTheme="majorHAnsi" w:cstheme="majorHAnsi"/>
        </w:rPr>
      </w:pPr>
    </w:p>
    <w:p w14:paraId="049F31CB" w14:textId="77777777" w:rsidR="0031089B" w:rsidRPr="004B4B33" w:rsidRDefault="0031089B">
      <w:pPr>
        <w:spacing w:before="240" w:after="240"/>
        <w:jc w:val="both"/>
        <w:rPr>
          <w:rFonts w:asciiTheme="majorHAnsi" w:hAnsiTheme="majorHAnsi" w:cstheme="majorHAnsi"/>
        </w:rPr>
      </w:pPr>
    </w:p>
    <w:p w14:paraId="46E3680B" w14:textId="77777777" w:rsidR="003804AC" w:rsidRDefault="003804AC">
      <w:pPr>
        <w:rPr>
          <w:rFonts w:asciiTheme="majorHAnsi" w:hAnsiTheme="majorHAnsi" w:cstheme="majorHAnsi"/>
          <w:b/>
        </w:rPr>
      </w:pPr>
      <w:r>
        <w:rPr>
          <w:rFonts w:asciiTheme="majorHAnsi" w:hAnsiTheme="majorHAnsi" w:cstheme="majorHAnsi"/>
          <w:b/>
        </w:rPr>
        <w:br w:type="page"/>
      </w:r>
    </w:p>
    <w:p w14:paraId="07E7BC64" w14:textId="0D63C0AD" w:rsidR="0042415F" w:rsidRPr="004B4B33" w:rsidRDefault="001D082B">
      <w:pPr>
        <w:spacing w:before="240" w:after="240"/>
        <w:jc w:val="both"/>
        <w:rPr>
          <w:rFonts w:asciiTheme="majorHAnsi" w:hAnsiTheme="majorHAnsi" w:cstheme="majorHAnsi"/>
          <w:b/>
          <w:sz w:val="24"/>
          <w:szCs w:val="24"/>
        </w:rPr>
      </w:pPr>
      <w:r w:rsidRPr="004B4B33">
        <w:rPr>
          <w:rFonts w:asciiTheme="majorHAnsi" w:hAnsiTheme="majorHAnsi" w:cstheme="majorHAnsi"/>
          <w:b/>
        </w:rPr>
        <w:lastRenderedPageBreak/>
        <w:t>11.</w:t>
      </w:r>
      <w:r w:rsidRPr="004B4B33">
        <w:rPr>
          <w:rFonts w:asciiTheme="majorHAnsi" w:hAnsiTheme="majorHAnsi" w:cstheme="majorHAnsi"/>
        </w:rPr>
        <w:t xml:space="preserve"> </w:t>
      </w:r>
      <w:r w:rsidRPr="004B4B33">
        <w:rPr>
          <w:rFonts w:asciiTheme="majorHAnsi" w:hAnsiTheme="majorHAnsi" w:cstheme="majorHAnsi"/>
          <w:b/>
          <w:sz w:val="24"/>
          <w:szCs w:val="24"/>
        </w:rPr>
        <w:t>Milníky, cíle a</w:t>
      </w:r>
      <w:r w:rsidR="000D7449">
        <w:rPr>
          <w:rFonts w:asciiTheme="majorHAnsi" w:hAnsiTheme="majorHAnsi" w:cstheme="majorHAnsi"/>
          <w:b/>
          <w:sz w:val="24"/>
          <w:szCs w:val="24"/>
        </w:rPr>
        <w:t> </w:t>
      </w:r>
      <w:r w:rsidRPr="004B4B33">
        <w:rPr>
          <w:rFonts w:asciiTheme="majorHAnsi" w:hAnsiTheme="majorHAnsi" w:cstheme="majorHAnsi"/>
          <w:b/>
          <w:sz w:val="24"/>
          <w:szCs w:val="24"/>
        </w:rPr>
        <w:t xml:space="preserve">harmonogram </w:t>
      </w:r>
    </w:p>
    <w:tbl>
      <w:tblPr>
        <w:tblStyle w:val="a3"/>
        <w:tblW w:w="10305" w:type="dxa"/>
        <w:tblInd w:w="-750" w:type="dxa"/>
        <w:tblBorders>
          <w:top w:val="nil"/>
          <w:left w:val="nil"/>
          <w:bottom w:val="nil"/>
          <w:right w:val="nil"/>
          <w:insideH w:val="nil"/>
          <w:insideV w:val="nil"/>
        </w:tblBorders>
        <w:tblLayout w:type="fixed"/>
        <w:tblLook w:val="0600" w:firstRow="0" w:lastRow="0" w:firstColumn="0" w:lastColumn="0" w:noHBand="1" w:noVBand="1"/>
      </w:tblPr>
      <w:tblGrid>
        <w:gridCol w:w="675"/>
        <w:gridCol w:w="885"/>
        <w:gridCol w:w="2100"/>
        <w:gridCol w:w="3060"/>
        <w:gridCol w:w="3585"/>
      </w:tblGrid>
      <w:tr w:rsidR="0042415F" w:rsidRPr="004B4B33" w14:paraId="07FBAF24" w14:textId="77777777" w:rsidTr="5B41DABB">
        <w:trPr>
          <w:trHeight w:val="615"/>
        </w:trPr>
        <w:tc>
          <w:tcPr>
            <w:tcW w:w="675" w:type="dxa"/>
            <w:tcBorders>
              <w:top w:val="single" w:sz="18" w:space="0" w:color="000000" w:themeColor="text1"/>
              <w:left w:val="single" w:sz="18" w:space="0" w:color="000000" w:themeColor="text1"/>
              <w:bottom w:val="single" w:sz="18" w:space="0" w:color="000000" w:themeColor="text1"/>
              <w:right w:val="single" w:sz="6" w:space="0" w:color="CCCCCC"/>
            </w:tcBorders>
            <w:tcMar>
              <w:top w:w="40" w:type="dxa"/>
              <w:left w:w="40" w:type="dxa"/>
              <w:bottom w:w="40" w:type="dxa"/>
              <w:right w:w="40" w:type="dxa"/>
            </w:tcMar>
          </w:tcPr>
          <w:p w14:paraId="62486C05" w14:textId="77777777" w:rsidR="0042415F" w:rsidRPr="004B4B33" w:rsidRDefault="0042415F">
            <w:pPr>
              <w:widowControl w:val="0"/>
              <w:spacing w:before="0" w:after="0"/>
              <w:rPr>
                <w:rFonts w:asciiTheme="majorHAnsi" w:hAnsiTheme="majorHAnsi" w:cstheme="majorHAnsi"/>
                <w:sz w:val="20"/>
                <w:szCs w:val="20"/>
              </w:rPr>
            </w:pPr>
          </w:p>
        </w:tc>
        <w:tc>
          <w:tcPr>
            <w:tcW w:w="885" w:type="dxa"/>
            <w:tcBorders>
              <w:top w:val="single" w:sz="18" w:space="0" w:color="000000" w:themeColor="text1"/>
              <w:left w:val="single" w:sz="6" w:space="0" w:color="CCCCCC"/>
              <w:bottom w:val="single" w:sz="18" w:space="0" w:color="000000" w:themeColor="text1"/>
              <w:right w:val="single" w:sz="18" w:space="0" w:color="000000" w:themeColor="text1"/>
            </w:tcBorders>
            <w:tcMar>
              <w:top w:w="40" w:type="dxa"/>
              <w:left w:w="40" w:type="dxa"/>
              <w:bottom w:w="40" w:type="dxa"/>
              <w:right w:w="40" w:type="dxa"/>
            </w:tcMar>
          </w:tcPr>
          <w:p w14:paraId="4101652C" w14:textId="77777777" w:rsidR="0042415F" w:rsidRPr="004B4B33" w:rsidRDefault="0042415F">
            <w:pPr>
              <w:widowControl w:val="0"/>
              <w:spacing w:before="0" w:after="0"/>
              <w:rPr>
                <w:rFonts w:asciiTheme="majorHAnsi" w:hAnsiTheme="majorHAnsi" w:cstheme="majorHAnsi"/>
                <w:sz w:val="20"/>
                <w:szCs w:val="20"/>
              </w:rPr>
            </w:pPr>
          </w:p>
        </w:tc>
        <w:tc>
          <w:tcPr>
            <w:tcW w:w="2100" w:type="dxa"/>
            <w:tcBorders>
              <w:top w:val="single" w:sz="18" w:space="0" w:color="000000" w:themeColor="text1"/>
              <w:left w:val="single" w:sz="6" w:space="0" w:color="CCCCCC"/>
              <w:bottom w:val="single" w:sz="18" w:space="0" w:color="000000" w:themeColor="text1"/>
              <w:right w:val="single" w:sz="6" w:space="0" w:color="000000" w:themeColor="text1"/>
            </w:tcBorders>
            <w:shd w:val="clear" w:color="auto" w:fill="FCE5CD"/>
            <w:tcMar>
              <w:top w:w="40" w:type="dxa"/>
              <w:left w:w="40" w:type="dxa"/>
              <w:bottom w:w="40" w:type="dxa"/>
              <w:right w:w="40" w:type="dxa"/>
            </w:tcMar>
          </w:tcPr>
          <w:p w14:paraId="60B7100D" w14:textId="326E9E2D" w:rsidR="0042415F" w:rsidRPr="004B4B33" w:rsidRDefault="001D082B">
            <w:pPr>
              <w:widowControl w:val="0"/>
              <w:spacing w:before="0" w:after="0"/>
              <w:jc w:val="center"/>
              <w:rPr>
                <w:rFonts w:asciiTheme="majorHAnsi" w:hAnsiTheme="majorHAnsi" w:cstheme="majorHAnsi"/>
                <w:sz w:val="20"/>
                <w:szCs w:val="20"/>
              </w:rPr>
            </w:pPr>
            <w:r w:rsidRPr="004B4B33">
              <w:rPr>
                <w:rFonts w:asciiTheme="majorHAnsi" w:hAnsiTheme="majorHAnsi" w:cstheme="majorHAnsi"/>
                <w:b/>
              </w:rPr>
              <w:t>Zákon o</w:t>
            </w:r>
            <w:r w:rsidR="000D7449">
              <w:rPr>
                <w:rFonts w:asciiTheme="majorHAnsi" w:hAnsiTheme="majorHAnsi" w:cstheme="majorHAnsi"/>
                <w:b/>
              </w:rPr>
              <w:t> </w:t>
            </w:r>
            <w:r w:rsidRPr="004B4B33">
              <w:rPr>
                <w:rFonts w:asciiTheme="majorHAnsi" w:hAnsiTheme="majorHAnsi" w:cstheme="majorHAnsi"/>
                <w:b/>
              </w:rPr>
              <w:t>podpoře v</w:t>
            </w:r>
            <w:r w:rsidR="000D7449">
              <w:rPr>
                <w:rFonts w:asciiTheme="majorHAnsi" w:hAnsiTheme="majorHAnsi" w:cstheme="majorHAnsi"/>
                <w:b/>
              </w:rPr>
              <w:t> </w:t>
            </w:r>
            <w:r w:rsidRPr="004B4B33">
              <w:rPr>
                <w:rFonts w:asciiTheme="majorHAnsi" w:hAnsiTheme="majorHAnsi" w:cstheme="majorHAnsi"/>
                <w:b/>
              </w:rPr>
              <w:t>bydlení</w:t>
            </w:r>
          </w:p>
        </w:tc>
        <w:tc>
          <w:tcPr>
            <w:tcW w:w="3060" w:type="dxa"/>
            <w:tcBorders>
              <w:top w:val="single" w:sz="18" w:space="0" w:color="000000" w:themeColor="text1"/>
              <w:left w:val="single" w:sz="6" w:space="0" w:color="CCCCCC"/>
              <w:bottom w:val="single" w:sz="18" w:space="0" w:color="000000" w:themeColor="text1"/>
              <w:right w:val="single" w:sz="6" w:space="0" w:color="000000" w:themeColor="text1"/>
            </w:tcBorders>
            <w:shd w:val="clear" w:color="auto" w:fill="FCE5CD"/>
            <w:tcMar>
              <w:top w:w="40" w:type="dxa"/>
              <w:left w:w="40" w:type="dxa"/>
              <w:bottom w:w="40" w:type="dxa"/>
              <w:right w:w="40" w:type="dxa"/>
            </w:tcMar>
          </w:tcPr>
          <w:p w14:paraId="6361B234" w14:textId="77777777" w:rsidR="0042415F" w:rsidRPr="004B4B33" w:rsidRDefault="001D082B">
            <w:pPr>
              <w:widowControl w:val="0"/>
              <w:spacing w:before="0" w:after="0"/>
              <w:jc w:val="center"/>
              <w:rPr>
                <w:rFonts w:asciiTheme="majorHAnsi" w:hAnsiTheme="majorHAnsi" w:cstheme="majorHAnsi"/>
                <w:b/>
              </w:rPr>
            </w:pPr>
            <w:r w:rsidRPr="004B4B33">
              <w:rPr>
                <w:rFonts w:asciiTheme="majorHAnsi" w:hAnsiTheme="majorHAnsi" w:cstheme="majorHAnsi"/>
                <w:b/>
              </w:rPr>
              <w:t>Koordinační jednotka / HIAH</w:t>
            </w:r>
          </w:p>
          <w:p w14:paraId="4B99056E" w14:textId="77777777" w:rsidR="0042415F" w:rsidRPr="004B4B33" w:rsidRDefault="0042415F">
            <w:pPr>
              <w:widowControl w:val="0"/>
              <w:spacing w:before="0" w:after="0"/>
              <w:jc w:val="center"/>
              <w:rPr>
                <w:rFonts w:asciiTheme="majorHAnsi" w:hAnsiTheme="majorHAnsi" w:cstheme="majorHAnsi"/>
                <w:sz w:val="20"/>
                <w:szCs w:val="20"/>
              </w:rPr>
            </w:pPr>
          </w:p>
        </w:tc>
        <w:tc>
          <w:tcPr>
            <w:tcW w:w="3585" w:type="dxa"/>
            <w:tcBorders>
              <w:top w:val="single" w:sz="18" w:space="0" w:color="000000" w:themeColor="text1"/>
              <w:left w:val="single" w:sz="6" w:space="0" w:color="CCCCCC"/>
              <w:bottom w:val="single" w:sz="18" w:space="0" w:color="000000" w:themeColor="text1"/>
              <w:right w:val="single" w:sz="18" w:space="0" w:color="000000" w:themeColor="text1"/>
            </w:tcBorders>
            <w:shd w:val="clear" w:color="auto" w:fill="FCE5CD"/>
            <w:tcMar>
              <w:top w:w="40" w:type="dxa"/>
              <w:left w:w="40" w:type="dxa"/>
              <w:bottom w:w="40" w:type="dxa"/>
              <w:right w:w="40" w:type="dxa"/>
            </w:tcMar>
          </w:tcPr>
          <w:p w14:paraId="47F029EA" w14:textId="77777777" w:rsidR="0042415F" w:rsidRPr="004B4B33" w:rsidRDefault="001D082B">
            <w:pPr>
              <w:widowControl w:val="0"/>
              <w:spacing w:before="0" w:after="0"/>
              <w:jc w:val="center"/>
              <w:rPr>
                <w:rFonts w:asciiTheme="majorHAnsi" w:hAnsiTheme="majorHAnsi" w:cstheme="majorHAnsi"/>
                <w:sz w:val="20"/>
                <w:szCs w:val="20"/>
              </w:rPr>
            </w:pPr>
            <w:r w:rsidRPr="004B4B33">
              <w:rPr>
                <w:rFonts w:asciiTheme="majorHAnsi" w:hAnsiTheme="majorHAnsi" w:cstheme="majorHAnsi"/>
                <w:b/>
                <w:sz w:val="20"/>
                <w:szCs w:val="20"/>
              </w:rPr>
              <w:t>Soubor finančních nástrojů</w:t>
            </w:r>
          </w:p>
        </w:tc>
      </w:tr>
      <w:tr w:rsidR="0042415F" w:rsidRPr="004B4B33" w14:paraId="7EE44E08" w14:textId="77777777" w:rsidTr="5B41DABB">
        <w:trPr>
          <w:trHeight w:val="330"/>
        </w:trPr>
        <w:tc>
          <w:tcPr>
            <w:tcW w:w="675" w:type="dxa"/>
            <w:vMerge w:val="restart"/>
            <w:tcBorders>
              <w:top w:val="single" w:sz="6" w:space="0" w:color="CCCCCC"/>
              <w:left w:val="single" w:sz="18" w:space="0" w:color="000000" w:themeColor="text1"/>
              <w:bottom w:val="single" w:sz="18" w:space="0" w:color="000000" w:themeColor="text1"/>
              <w:right w:val="single" w:sz="6" w:space="0" w:color="000000" w:themeColor="text1"/>
            </w:tcBorders>
            <w:tcMar>
              <w:top w:w="40" w:type="dxa"/>
              <w:left w:w="40" w:type="dxa"/>
              <w:bottom w:w="40" w:type="dxa"/>
              <w:right w:w="40" w:type="dxa"/>
            </w:tcMar>
          </w:tcPr>
          <w:p w14:paraId="73F56A6F" w14:textId="77777777" w:rsidR="0042415F" w:rsidRPr="004B4B33" w:rsidRDefault="001D082B">
            <w:pPr>
              <w:widowControl w:val="0"/>
              <w:spacing w:before="0" w:after="0"/>
              <w:jc w:val="center"/>
              <w:rPr>
                <w:rFonts w:asciiTheme="majorHAnsi" w:hAnsiTheme="majorHAnsi" w:cstheme="majorHAnsi"/>
                <w:b/>
                <w:sz w:val="20"/>
                <w:szCs w:val="20"/>
              </w:rPr>
            </w:pPr>
            <w:r w:rsidRPr="004B4B33">
              <w:rPr>
                <w:rFonts w:asciiTheme="majorHAnsi" w:hAnsiTheme="majorHAnsi" w:cstheme="majorHAnsi"/>
                <w:b/>
                <w:sz w:val="20"/>
                <w:szCs w:val="20"/>
              </w:rPr>
              <w:t>2023</w:t>
            </w:r>
          </w:p>
        </w:tc>
        <w:tc>
          <w:tcPr>
            <w:tcW w:w="885" w:type="dxa"/>
            <w:tcBorders>
              <w:top w:val="single" w:sz="6" w:space="0" w:color="CCCCCC"/>
              <w:left w:val="single" w:sz="6" w:space="0" w:color="CCCCCC"/>
              <w:bottom w:val="single" w:sz="6" w:space="0" w:color="CCCCCC"/>
              <w:right w:val="single" w:sz="18" w:space="0" w:color="000000" w:themeColor="text1"/>
            </w:tcBorders>
            <w:tcMar>
              <w:top w:w="40" w:type="dxa"/>
              <w:left w:w="40" w:type="dxa"/>
              <w:bottom w:w="40" w:type="dxa"/>
              <w:right w:w="40" w:type="dxa"/>
            </w:tcMar>
          </w:tcPr>
          <w:p w14:paraId="39AF8DB5" w14:textId="77777777" w:rsidR="0042415F" w:rsidRPr="004B4B33" w:rsidRDefault="001D082B">
            <w:pPr>
              <w:widowControl w:val="0"/>
              <w:spacing w:before="0" w:after="0"/>
              <w:jc w:val="center"/>
              <w:rPr>
                <w:rFonts w:asciiTheme="majorHAnsi" w:hAnsiTheme="majorHAnsi" w:cstheme="majorHAnsi"/>
                <w:sz w:val="20"/>
                <w:szCs w:val="20"/>
              </w:rPr>
            </w:pPr>
            <w:r w:rsidRPr="004B4B33">
              <w:rPr>
                <w:rFonts w:asciiTheme="majorHAnsi" w:hAnsiTheme="majorHAnsi" w:cstheme="majorHAnsi"/>
                <w:b/>
                <w:sz w:val="20"/>
                <w:szCs w:val="20"/>
              </w:rPr>
              <w:t>1Q</w:t>
            </w:r>
          </w:p>
        </w:tc>
        <w:tc>
          <w:tcPr>
            <w:tcW w:w="2100" w:type="dxa"/>
            <w:tcBorders>
              <w:top w:val="single" w:sz="6" w:space="0" w:color="CCCCCC"/>
              <w:left w:val="single" w:sz="6" w:space="0" w:color="CCCCCC"/>
              <w:bottom w:val="single" w:sz="6" w:space="0" w:color="CCCCCC"/>
              <w:right w:val="single" w:sz="6" w:space="0" w:color="000000" w:themeColor="text1"/>
            </w:tcBorders>
            <w:tcMar>
              <w:top w:w="40" w:type="dxa"/>
              <w:left w:w="40" w:type="dxa"/>
              <w:bottom w:w="40" w:type="dxa"/>
              <w:right w:w="40" w:type="dxa"/>
            </w:tcMar>
          </w:tcPr>
          <w:p w14:paraId="1299C43A" w14:textId="77777777" w:rsidR="0042415F" w:rsidRPr="004B4B33" w:rsidRDefault="0042415F">
            <w:pPr>
              <w:widowControl w:val="0"/>
              <w:spacing w:before="0" w:after="0"/>
              <w:rPr>
                <w:rFonts w:asciiTheme="majorHAnsi" w:hAnsiTheme="majorHAnsi" w:cstheme="majorHAnsi"/>
                <w:sz w:val="20"/>
                <w:szCs w:val="20"/>
              </w:rPr>
            </w:pPr>
          </w:p>
        </w:tc>
        <w:tc>
          <w:tcPr>
            <w:tcW w:w="3060" w:type="dxa"/>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tcPr>
          <w:p w14:paraId="4DDBEF00" w14:textId="77777777" w:rsidR="0042415F" w:rsidRPr="004B4B33" w:rsidRDefault="0042415F">
            <w:pPr>
              <w:widowControl w:val="0"/>
              <w:spacing w:before="0" w:after="0"/>
              <w:rPr>
                <w:rFonts w:asciiTheme="majorHAnsi" w:hAnsiTheme="majorHAnsi" w:cstheme="majorHAnsi"/>
                <w:sz w:val="20"/>
                <w:szCs w:val="20"/>
              </w:rPr>
            </w:pPr>
          </w:p>
        </w:tc>
        <w:tc>
          <w:tcPr>
            <w:tcW w:w="3585" w:type="dxa"/>
            <w:tcBorders>
              <w:top w:val="single" w:sz="6" w:space="0" w:color="CCCCCC"/>
              <w:left w:val="single" w:sz="6" w:space="0" w:color="CCCCCC"/>
              <w:bottom w:val="single" w:sz="6" w:space="0" w:color="CCCCCC"/>
              <w:right w:val="single" w:sz="18" w:space="0" w:color="000000" w:themeColor="text1"/>
            </w:tcBorders>
            <w:tcMar>
              <w:top w:w="40" w:type="dxa"/>
              <w:left w:w="40" w:type="dxa"/>
              <w:bottom w:w="40" w:type="dxa"/>
              <w:right w:w="40" w:type="dxa"/>
            </w:tcMar>
          </w:tcPr>
          <w:p w14:paraId="3461D779" w14:textId="77777777" w:rsidR="0042415F" w:rsidRPr="004B4B33" w:rsidRDefault="0042415F">
            <w:pPr>
              <w:widowControl w:val="0"/>
              <w:spacing w:before="0" w:after="0"/>
              <w:rPr>
                <w:rFonts w:asciiTheme="majorHAnsi" w:hAnsiTheme="majorHAnsi" w:cstheme="majorHAnsi"/>
                <w:sz w:val="20"/>
                <w:szCs w:val="20"/>
              </w:rPr>
            </w:pPr>
          </w:p>
        </w:tc>
      </w:tr>
      <w:tr w:rsidR="0042415F" w:rsidRPr="004B4B33" w14:paraId="24583EDE" w14:textId="77777777" w:rsidTr="5B41DABB">
        <w:trPr>
          <w:trHeight w:val="315"/>
        </w:trPr>
        <w:tc>
          <w:tcPr>
            <w:tcW w:w="675" w:type="dxa"/>
            <w:vMerge/>
            <w:tcMar>
              <w:top w:w="100" w:type="dxa"/>
              <w:left w:w="100" w:type="dxa"/>
              <w:bottom w:w="100" w:type="dxa"/>
              <w:right w:w="100" w:type="dxa"/>
            </w:tcMar>
          </w:tcPr>
          <w:p w14:paraId="3CF2D8B6" w14:textId="77777777" w:rsidR="0042415F" w:rsidRPr="004B4B33" w:rsidRDefault="0042415F">
            <w:pPr>
              <w:widowControl w:val="0"/>
              <w:spacing w:before="0" w:after="0"/>
              <w:rPr>
                <w:rFonts w:asciiTheme="majorHAnsi" w:hAnsiTheme="majorHAnsi" w:cstheme="majorHAnsi"/>
                <w:sz w:val="20"/>
                <w:szCs w:val="20"/>
              </w:rPr>
            </w:pPr>
          </w:p>
        </w:tc>
        <w:tc>
          <w:tcPr>
            <w:tcW w:w="885" w:type="dxa"/>
            <w:tcBorders>
              <w:top w:val="single" w:sz="6" w:space="0" w:color="CCCCCC"/>
              <w:left w:val="single" w:sz="6" w:space="0" w:color="CCCCCC"/>
              <w:bottom w:val="single" w:sz="6" w:space="0" w:color="CCCCCC"/>
              <w:right w:val="single" w:sz="18" w:space="0" w:color="000000" w:themeColor="text1"/>
            </w:tcBorders>
            <w:shd w:val="clear" w:color="auto" w:fill="auto"/>
            <w:tcMar>
              <w:top w:w="40" w:type="dxa"/>
              <w:left w:w="40" w:type="dxa"/>
              <w:bottom w:w="40" w:type="dxa"/>
              <w:right w:w="40" w:type="dxa"/>
            </w:tcMar>
          </w:tcPr>
          <w:p w14:paraId="148A00CF" w14:textId="77777777" w:rsidR="0042415F" w:rsidRPr="004B4B33" w:rsidRDefault="001D082B">
            <w:pPr>
              <w:widowControl w:val="0"/>
              <w:spacing w:before="0" w:after="0"/>
              <w:jc w:val="center"/>
              <w:rPr>
                <w:rFonts w:asciiTheme="majorHAnsi" w:hAnsiTheme="majorHAnsi" w:cstheme="majorHAnsi"/>
                <w:sz w:val="20"/>
                <w:szCs w:val="20"/>
              </w:rPr>
            </w:pPr>
            <w:r w:rsidRPr="004B4B33">
              <w:rPr>
                <w:rFonts w:asciiTheme="majorHAnsi" w:hAnsiTheme="majorHAnsi" w:cstheme="majorHAnsi"/>
                <w:b/>
                <w:sz w:val="20"/>
                <w:szCs w:val="20"/>
              </w:rPr>
              <w:t>2Q</w:t>
            </w:r>
          </w:p>
        </w:tc>
        <w:tc>
          <w:tcPr>
            <w:tcW w:w="2100" w:type="dxa"/>
            <w:tcBorders>
              <w:top w:val="single" w:sz="6" w:space="0" w:color="CCCCCC"/>
              <w:left w:val="single" w:sz="6" w:space="0" w:color="CCCCCC"/>
              <w:bottom w:val="single" w:sz="6" w:space="0" w:color="CCCCCC"/>
              <w:right w:val="single" w:sz="6" w:space="0" w:color="000000" w:themeColor="text1"/>
            </w:tcBorders>
            <w:shd w:val="clear" w:color="auto" w:fill="auto"/>
            <w:tcMar>
              <w:top w:w="40" w:type="dxa"/>
              <w:left w:w="40" w:type="dxa"/>
              <w:bottom w:w="40" w:type="dxa"/>
              <w:right w:w="40" w:type="dxa"/>
            </w:tcMar>
          </w:tcPr>
          <w:p w14:paraId="0FB78278" w14:textId="77777777" w:rsidR="0042415F" w:rsidRPr="004B4B33" w:rsidRDefault="0042415F">
            <w:pPr>
              <w:widowControl w:val="0"/>
              <w:spacing w:before="0" w:after="0"/>
              <w:rPr>
                <w:rFonts w:asciiTheme="majorHAnsi" w:hAnsiTheme="majorHAnsi" w:cstheme="majorHAnsi"/>
                <w:sz w:val="20"/>
                <w:szCs w:val="20"/>
              </w:rPr>
            </w:pPr>
          </w:p>
        </w:tc>
        <w:tc>
          <w:tcPr>
            <w:tcW w:w="3060" w:type="dxa"/>
            <w:tcBorders>
              <w:top w:val="single" w:sz="6" w:space="0" w:color="CCCCCC"/>
              <w:left w:val="single" w:sz="6" w:space="0" w:color="CCCCCC"/>
              <w:bottom w:val="single" w:sz="6" w:space="0" w:color="CCCCCC"/>
              <w:right w:val="single" w:sz="6" w:space="0" w:color="CCCCCC"/>
            </w:tcBorders>
            <w:shd w:val="clear" w:color="auto" w:fill="auto"/>
            <w:tcMar>
              <w:top w:w="40" w:type="dxa"/>
              <w:left w:w="40" w:type="dxa"/>
              <w:bottom w:w="40" w:type="dxa"/>
              <w:right w:w="40" w:type="dxa"/>
            </w:tcMar>
          </w:tcPr>
          <w:p w14:paraId="1FC39945" w14:textId="77777777" w:rsidR="0042415F" w:rsidRPr="004B4B33" w:rsidRDefault="0042415F">
            <w:pPr>
              <w:widowControl w:val="0"/>
              <w:spacing w:before="0" w:after="0"/>
              <w:rPr>
                <w:rFonts w:asciiTheme="majorHAnsi" w:hAnsiTheme="majorHAnsi" w:cstheme="majorHAnsi"/>
                <w:sz w:val="20"/>
                <w:szCs w:val="20"/>
              </w:rPr>
            </w:pPr>
          </w:p>
        </w:tc>
        <w:tc>
          <w:tcPr>
            <w:tcW w:w="3585" w:type="dxa"/>
            <w:tcBorders>
              <w:top w:val="single" w:sz="6" w:space="0" w:color="CCCCCC"/>
              <w:left w:val="single" w:sz="6" w:space="0" w:color="CCCCCC"/>
              <w:bottom w:val="single" w:sz="6" w:space="0" w:color="CCCCCC"/>
              <w:right w:val="single" w:sz="18" w:space="0" w:color="000000" w:themeColor="text1"/>
            </w:tcBorders>
            <w:shd w:val="clear" w:color="auto" w:fill="auto"/>
            <w:tcMar>
              <w:top w:w="40" w:type="dxa"/>
              <w:left w:w="40" w:type="dxa"/>
              <w:bottom w:w="40" w:type="dxa"/>
              <w:right w:w="40" w:type="dxa"/>
            </w:tcMar>
          </w:tcPr>
          <w:p w14:paraId="0562CB0E" w14:textId="77777777" w:rsidR="0042415F" w:rsidRPr="004B4B33" w:rsidRDefault="0042415F">
            <w:pPr>
              <w:widowControl w:val="0"/>
              <w:spacing w:before="0" w:after="0"/>
              <w:rPr>
                <w:rFonts w:asciiTheme="majorHAnsi" w:hAnsiTheme="majorHAnsi" w:cstheme="majorHAnsi"/>
                <w:sz w:val="20"/>
                <w:szCs w:val="20"/>
              </w:rPr>
            </w:pPr>
          </w:p>
        </w:tc>
      </w:tr>
      <w:tr w:rsidR="0042415F" w:rsidRPr="004B4B33" w14:paraId="397F5B5C" w14:textId="77777777" w:rsidTr="5B41DABB">
        <w:trPr>
          <w:trHeight w:val="315"/>
        </w:trPr>
        <w:tc>
          <w:tcPr>
            <w:tcW w:w="675" w:type="dxa"/>
            <w:vMerge/>
            <w:tcMar>
              <w:top w:w="100" w:type="dxa"/>
              <w:left w:w="100" w:type="dxa"/>
              <w:bottom w:w="100" w:type="dxa"/>
              <w:right w:w="100" w:type="dxa"/>
            </w:tcMar>
          </w:tcPr>
          <w:p w14:paraId="34CE0A41" w14:textId="77777777" w:rsidR="0042415F" w:rsidRPr="004B4B33" w:rsidRDefault="0042415F">
            <w:pPr>
              <w:widowControl w:val="0"/>
              <w:spacing w:before="0" w:after="0"/>
              <w:rPr>
                <w:rFonts w:asciiTheme="majorHAnsi" w:hAnsiTheme="majorHAnsi" w:cstheme="majorHAnsi"/>
                <w:sz w:val="20"/>
                <w:szCs w:val="20"/>
              </w:rPr>
            </w:pPr>
          </w:p>
        </w:tc>
        <w:tc>
          <w:tcPr>
            <w:tcW w:w="885" w:type="dxa"/>
            <w:tcBorders>
              <w:top w:val="single" w:sz="6" w:space="0" w:color="CCCCCC"/>
              <w:left w:val="single" w:sz="6" w:space="0" w:color="CCCCCC"/>
              <w:bottom w:val="single" w:sz="6" w:space="0" w:color="CCCCCC"/>
              <w:right w:val="single" w:sz="18" w:space="0" w:color="000000" w:themeColor="text1"/>
            </w:tcBorders>
            <w:shd w:val="clear" w:color="auto" w:fill="auto"/>
            <w:tcMar>
              <w:top w:w="40" w:type="dxa"/>
              <w:left w:w="40" w:type="dxa"/>
              <w:bottom w:w="40" w:type="dxa"/>
              <w:right w:w="40" w:type="dxa"/>
            </w:tcMar>
          </w:tcPr>
          <w:p w14:paraId="594C3DDC" w14:textId="77777777" w:rsidR="0042415F" w:rsidRPr="004B4B33" w:rsidRDefault="001D082B">
            <w:pPr>
              <w:widowControl w:val="0"/>
              <w:spacing w:before="0" w:after="0"/>
              <w:jc w:val="center"/>
              <w:rPr>
                <w:rFonts w:asciiTheme="majorHAnsi" w:hAnsiTheme="majorHAnsi" w:cstheme="majorHAnsi"/>
                <w:sz w:val="20"/>
                <w:szCs w:val="20"/>
              </w:rPr>
            </w:pPr>
            <w:r w:rsidRPr="004B4B33">
              <w:rPr>
                <w:rFonts w:asciiTheme="majorHAnsi" w:hAnsiTheme="majorHAnsi" w:cstheme="majorHAnsi"/>
                <w:b/>
                <w:sz w:val="20"/>
                <w:szCs w:val="20"/>
              </w:rPr>
              <w:t>3Q</w:t>
            </w:r>
          </w:p>
        </w:tc>
        <w:tc>
          <w:tcPr>
            <w:tcW w:w="2100" w:type="dxa"/>
            <w:tcBorders>
              <w:top w:val="single" w:sz="6" w:space="0" w:color="CCCCCC"/>
              <w:left w:val="single" w:sz="6" w:space="0" w:color="CCCCCC"/>
              <w:bottom w:val="single" w:sz="6" w:space="0" w:color="CCCCCC"/>
              <w:right w:val="single" w:sz="6" w:space="0" w:color="000000" w:themeColor="text1"/>
            </w:tcBorders>
            <w:shd w:val="clear" w:color="auto" w:fill="auto"/>
            <w:tcMar>
              <w:top w:w="40" w:type="dxa"/>
              <w:left w:w="40" w:type="dxa"/>
              <w:bottom w:w="40" w:type="dxa"/>
              <w:right w:w="40" w:type="dxa"/>
            </w:tcMar>
          </w:tcPr>
          <w:p w14:paraId="62EBF3C5" w14:textId="77777777" w:rsidR="0042415F" w:rsidRPr="004B4B33" w:rsidRDefault="0042415F">
            <w:pPr>
              <w:widowControl w:val="0"/>
              <w:spacing w:before="0" w:after="0"/>
              <w:rPr>
                <w:rFonts w:asciiTheme="majorHAnsi" w:hAnsiTheme="majorHAnsi" w:cstheme="majorHAnsi"/>
                <w:sz w:val="20"/>
                <w:szCs w:val="20"/>
              </w:rPr>
            </w:pPr>
          </w:p>
        </w:tc>
        <w:tc>
          <w:tcPr>
            <w:tcW w:w="3060" w:type="dxa"/>
            <w:tcBorders>
              <w:top w:val="single" w:sz="6" w:space="0" w:color="CCCCCC"/>
              <w:left w:val="single" w:sz="6" w:space="0" w:color="CCCCCC"/>
              <w:bottom w:val="single" w:sz="6" w:space="0" w:color="CCCCCC"/>
              <w:right w:val="single" w:sz="6" w:space="0" w:color="CCCCCC"/>
            </w:tcBorders>
            <w:shd w:val="clear" w:color="auto" w:fill="auto"/>
            <w:tcMar>
              <w:top w:w="40" w:type="dxa"/>
              <w:left w:w="40" w:type="dxa"/>
              <w:bottom w:w="40" w:type="dxa"/>
              <w:right w:w="40" w:type="dxa"/>
            </w:tcMar>
          </w:tcPr>
          <w:p w14:paraId="6D98A12B" w14:textId="77777777" w:rsidR="0042415F" w:rsidRPr="004B4B33" w:rsidRDefault="0042415F">
            <w:pPr>
              <w:widowControl w:val="0"/>
              <w:spacing w:before="0" w:after="0"/>
              <w:rPr>
                <w:rFonts w:asciiTheme="majorHAnsi" w:hAnsiTheme="majorHAnsi" w:cstheme="majorHAnsi"/>
                <w:sz w:val="20"/>
                <w:szCs w:val="20"/>
              </w:rPr>
            </w:pPr>
          </w:p>
        </w:tc>
        <w:tc>
          <w:tcPr>
            <w:tcW w:w="3585" w:type="dxa"/>
            <w:tcBorders>
              <w:top w:val="single" w:sz="6" w:space="0" w:color="CCCCCC"/>
              <w:left w:val="single" w:sz="6" w:space="0" w:color="CCCCCC"/>
              <w:bottom w:val="single" w:sz="6" w:space="0" w:color="CCCCCC"/>
              <w:right w:val="single" w:sz="18" w:space="0" w:color="000000" w:themeColor="text1"/>
            </w:tcBorders>
            <w:shd w:val="clear" w:color="auto" w:fill="auto"/>
            <w:tcMar>
              <w:top w:w="40" w:type="dxa"/>
              <w:left w:w="40" w:type="dxa"/>
              <w:bottom w:w="40" w:type="dxa"/>
              <w:right w:w="40" w:type="dxa"/>
            </w:tcMar>
          </w:tcPr>
          <w:p w14:paraId="2946DB82" w14:textId="77777777" w:rsidR="0042415F" w:rsidRPr="004B4B33" w:rsidRDefault="0042415F">
            <w:pPr>
              <w:widowControl w:val="0"/>
              <w:spacing w:before="0" w:after="0"/>
              <w:rPr>
                <w:rFonts w:asciiTheme="majorHAnsi" w:hAnsiTheme="majorHAnsi" w:cstheme="majorHAnsi"/>
                <w:sz w:val="20"/>
                <w:szCs w:val="20"/>
              </w:rPr>
            </w:pPr>
          </w:p>
        </w:tc>
      </w:tr>
      <w:tr w:rsidR="0042415F" w:rsidRPr="004B4B33" w14:paraId="71D01F27" w14:textId="77777777" w:rsidTr="5B41DABB">
        <w:trPr>
          <w:trHeight w:val="1035"/>
        </w:trPr>
        <w:tc>
          <w:tcPr>
            <w:tcW w:w="675" w:type="dxa"/>
            <w:vMerge/>
            <w:tcMar>
              <w:top w:w="100" w:type="dxa"/>
              <w:left w:w="100" w:type="dxa"/>
              <w:bottom w:w="100" w:type="dxa"/>
              <w:right w:w="100" w:type="dxa"/>
            </w:tcMar>
          </w:tcPr>
          <w:p w14:paraId="5997CC1D" w14:textId="77777777" w:rsidR="0042415F" w:rsidRPr="004B4B33" w:rsidRDefault="0042415F">
            <w:pPr>
              <w:widowControl w:val="0"/>
              <w:spacing w:before="0" w:after="0"/>
              <w:rPr>
                <w:rFonts w:asciiTheme="majorHAnsi" w:hAnsiTheme="majorHAnsi" w:cstheme="majorHAnsi"/>
                <w:sz w:val="20"/>
                <w:szCs w:val="20"/>
              </w:rPr>
            </w:pPr>
          </w:p>
        </w:tc>
        <w:tc>
          <w:tcPr>
            <w:tcW w:w="885" w:type="dxa"/>
            <w:tcBorders>
              <w:top w:val="single" w:sz="6" w:space="0" w:color="CCCCCC"/>
              <w:left w:val="single" w:sz="6" w:space="0" w:color="CCCCCC"/>
              <w:bottom w:val="single" w:sz="6" w:space="0" w:color="000000" w:themeColor="text1"/>
              <w:right w:val="single" w:sz="18" w:space="0" w:color="000000" w:themeColor="text1"/>
            </w:tcBorders>
            <w:shd w:val="clear" w:color="auto" w:fill="auto"/>
            <w:tcMar>
              <w:top w:w="40" w:type="dxa"/>
              <w:left w:w="40" w:type="dxa"/>
              <w:bottom w:w="40" w:type="dxa"/>
              <w:right w:w="40" w:type="dxa"/>
            </w:tcMar>
          </w:tcPr>
          <w:p w14:paraId="20D38397" w14:textId="77777777" w:rsidR="0042415F" w:rsidRPr="004B4B33" w:rsidRDefault="001D082B">
            <w:pPr>
              <w:widowControl w:val="0"/>
              <w:spacing w:before="0" w:after="0"/>
              <w:jc w:val="center"/>
              <w:rPr>
                <w:rFonts w:asciiTheme="majorHAnsi" w:hAnsiTheme="majorHAnsi" w:cstheme="majorHAnsi"/>
                <w:sz w:val="20"/>
                <w:szCs w:val="20"/>
              </w:rPr>
            </w:pPr>
            <w:r w:rsidRPr="004B4B33">
              <w:rPr>
                <w:rFonts w:asciiTheme="majorHAnsi" w:hAnsiTheme="majorHAnsi" w:cstheme="majorHAnsi"/>
                <w:b/>
                <w:sz w:val="20"/>
                <w:szCs w:val="20"/>
              </w:rPr>
              <w:t>4Q</w:t>
            </w:r>
          </w:p>
        </w:tc>
        <w:tc>
          <w:tcPr>
            <w:tcW w:w="2100"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tcPr>
          <w:p w14:paraId="110FFD37" w14:textId="77777777" w:rsidR="0042415F" w:rsidRPr="004B4B33" w:rsidRDefault="0042415F">
            <w:pPr>
              <w:widowControl w:val="0"/>
              <w:spacing w:before="0" w:after="0"/>
              <w:rPr>
                <w:rFonts w:asciiTheme="majorHAnsi" w:hAnsiTheme="majorHAnsi" w:cstheme="majorHAnsi"/>
                <w:sz w:val="20"/>
                <w:szCs w:val="20"/>
              </w:rPr>
            </w:pPr>
          </w:p>
        </w:tc>
        <w:tc>
          <w:tcPr>
            <w:tcW w:w="3060" w:type="dxa"/>
            <w:tcBorders>
              <w:top w:val="single" w:sz="6" w:space="0" w:color="CCCCCC"/>
              <w:left w:val="single" w:sz="6" w:space="0" w:color="CCCCCC"/>
              <w:bottom w:val="single" w:sz="6" w:space="0" w:color="000000" w:themeColor="text1"/>
              <w:right w:val="single" w:sz="6" w:space="0" w:color="CCCCCC"/>
            </w:tcBorders>
            <w:shd w:val="clear" w:color="auto" w:fill="auto"/>
            <w:tcMar>
              <w:top w:w="40" w:type="dxa"/>
              <w:left w:w="40" w:type="dxa"/>
              <w:bottom w:w="40" w:type="dxa"/>
              <w:right w:w="40" w:type="dxa"/>
            </w:tcMar>
          </w:tcPr>
          <w:p w14:paraId="6B699379" w14:textId="77777777" w:rsidR="0042415F" w:rsidRPr="004B4B33" w:rsidRDefault="0042415F">
            <w:pPr>
              <w:widowControl w:val="0"/>
              <w:spacing w:before="0" w:after="0"/>
              <w:rPr>
                <w:rFonts w:asciiTheme="majorHAnsi" w:hAnsiTheme="majorHAnsi" w:cstheme="majorHAnsi"/>
                <w:sz w:val="20"/>
                <w:szCs w:val="20"/>
              </w:rPr>
            </w:pPr>
          </w:p>
        </w:tc>
        <w:tc>
          <w:tcPr>
            <w:tcW w:w="3585" w:type="dxa"/>
            <w:tcBorders>
              <w:top w:val="single" w:sz="6" w:space="0" w:color="CCCCCC"/>
              <w:left w:val="single" w:sz="6" w:space="0" w:color="CCCCCC"/>
              <w:bottom w:val="single" w:sz="6" w:space="0" w:color="000000" w:themeColor="text1"/>
              <w:right w:val="single" w:sz="18" w:space="0" w:color="000000" w:themeColor="text1"/>
            </w:tcBorders>
            <w:shd w:val="clear" w:color="auto" w:fill="auto"/>
            <w:tcMar>
              <w:top w:w="40" w:type="dxa"/>
              <w:left w:w="40" w:type="dxa"/>
              <w:bottom w:w="40" w:type="dxa"/>
              <w:right w:w="40" w:type="dxa"/>
            </w:tcMar>
          </w:tcPr>
          <w:p w14:paraId="3FE9F23F" w14:textId="77777777" w:rsidR="0042415F" w:rsidRPr="004B4B33" w:rsidRDefault="0042415F">
            <w:pPr>
              <w:spacing w:before="0" w:after="0" w:line="288" w:lineRule="auto"/>
              <w:jc w:val="both"/>
              <w:rPr>
                <w:rFonts w:asciiTheme="majorHAnsi" w:hAnsiTheme="majorHAnsi" w:cstheme="majorHAnsi"/>
                <w:sz w:val="20"/>
                <w:szCs w:val="20"/>
              </w:rPr>
            </w:pPr>
          </w:p>
        </w:tc>
      </w:tr>
      <w:tr w:rsidR="0042415F" w:rsidRPr="004B4B33" w14:paraId="3B5EB623" w14:textId="77777777" w:rsidTr="5B41DABB">
        <w:trPr>
          <w:trHeight w:val="1035"/>
        </w:trPr>
        <w:tc>
          <w:tcPr>
            <w:tcW w:w="675" w:type="dxa"/>
            <w:vMerge w:val="restart"/>
            <w:tcBorders>
              <w:top w:val="single" w:sz="4" w:space="0" w:color="000000" w:themeColor="text1"/>
              <w:left w:val="single" w:sz="18" w:space="0" w:color="000000" w:themeColor="text1"/>
              <w:bottom w:val="single" w:sz="6" w:space="0" w:color="CCCCCC"/>
              <w:right w:val="single" w:sz="6" w:space="0" w:color="000000" w:themeColor="text1"/>
            </w:tcBorders>
            <w:shd w:val="clear" w:color="auto" w:fill="auto"/>
            <w:tcMar>
              <w:top w:w="40" w:type="dxa"/>
              <w:left w:w="40" w:type="dxa"/>
              <w:bottom w:w="40" w:type="dxa"/>
              <w:right w:w="40" w:type="dxa"/>
            </w:tcMar>
          </w:tcPr>
          <w:p w14:paraId="3C04FD3E" w14:textId="77777777" w:rsidR="0042415F" w:rsidRPr="004B4B33" w:rsidRDefault="001D082B">
            <w:pPr>
              <w:widowControl w:val="0"/>
              <w:spacing w:before="0" w:after="0"/>
              <w:jc w:val="center"/>
              <w:rPr>
                <w:rFonts w:asciiTheme="majorHAnsi" w:hAnsiTheme="majorHAnsi" w:cstheme="majorHAnsi"/>
                <w:b/>
                <w:sz w:val="20"/>
                <w:szCs w:val="20"/>
              </w:rPr>
            </w:pPr>
            <w:r w:rsidRPr="004B4B33">
              <w:rPr>
                <w:rFonts w:asciiTheme="majorHAnsi" w:hAnsiTheme="majorHAnsi" w:cstheme="majorHAnsi"/>
                <w:b/>
                <w:sz w:val="20"/>
                <w:szCs w:val="20"/>
              </w:rPr>
              <w:t>2024</w:t>
            </w:r>
          </w:p>
        </w:tc>
        <w:tc>
          <w:tcPr>
            <w:tcW w:w="885" w:type="dxa"/>
            <w:tcBorders>
              <w:top w:val="single" w:sz="6" w:space="0" w:color="CCCCCC"/>
              <w:left w:val="single" w:sz="6" w:space="0" w:color="CCCCCC"/>
              <w:bottom w:val="single" w:sz="6" w:space="0" w:color="CCCCCC"/>
              <w:right w:val="single" w:sz="18" w:space="0" w:color="000000" w:themeColor="text1"/>
            </w:tcBorders>
            <w:shd w:val="clear" w:color="auto" w:fill="auto"/>
            <w:tcMar>
              <w:top w:w="40" w:type="dxa"/>
              <w:left w:w="40" w:type="dxa"/>
              <w:bottom w:w="40" w:type="dxa"/>
              <w:right w:w="40" w:type="dxa"/>
            </w:tcMar>
          </w:tcPr>
          <w:p w14:paraId="4CCB957D" w14:textId="77777777" w:rsidR="0042415F" w:rsidRPr="004B4B33" w:rsidRDefault="001D082B">
            <w:pPr>
              <w:widowControl w:val="0"/>
              <w:spacing w:before="0" w:after="0"/>
              <w:jc w:val="center"/>
              <w:rPr>
                <w:rFonts w:asciiTheme="majorHAnsi" w:hAnsiTheme="majorHAnsi" w:cstheme="majorHAnsi"/>
                <w:sz w:val="20"/>
                <w:szCs w:val="20"/>
              </w:rPr>
            </w:pPr>
            <w:r w:rsidRPr="004B4B33">
              <w:rPr>
                <w:rFonts w:asciiTheme="majorHAnsi" w:hAnsiTheme="majorHAnsi" w:cstheme="majorHAnsi"/>
                <w:b/>
                <w:sz w:val="20"/>
                <w:szCs w:val="20"/>
              </w:rPr>
              <w:t>1Q</w:t>
            </w:r>
          </w:p>
        </w:tc>
        <w:tc>
          <w:tcPr>
            <w:tcW w:w="2100" w:type="dxa"/>
            <w:tcBorders>
              <w:top w:val="single" w:sz="6" w:space="0" w:color="CCCCCC"/>
              <w:left w:val="single" w:sz="6" w:space="0" w:color="CCCCCC"/>
              <w:bottom w:val="single" w:sz="6" w:space="0" w:color="CCCCCC"/>
              <w:right w:val="single" w:sz="6" w:space="0" w:color="000000" w:themeColor="text1"/>
            </w:tcBorders>
            <w:shd w:val="clear" w:color="auto" w:fill="FFFFFF" w:themeFill="background1"/>
            <w:tcMar>
              <w:top w:w="40" w:type="dxa"/>
              <w:left w:w="40" w:type="dxa"/>
              <w:bottom w:w="40" w:type="dxa"/>
              <w:right w:w="40" w:type="dxa"/>
            </w:tcMar>
          </w:tcPr>
          <w:p w14:paraId="1F72F646" w14:textId="77777777" w:rsidR="0042415F" w:rsidRPr="004B4B33" w:rsidRDefault="0042415F">
            <w:pPr>
              <w:widowControl w:val="0"/>
              <w:spacing w:before="0" w:after="0"/>
              <w:rPr>
                <w:rFonts w:asciiTheme="majorHAnsi" w:hAnsiTheme="majorHAnsi" w:cstheme="majorHAnsi"/>
                <w:sz w:val="20"/>
                <w:szCs w:val="20"/>
              </w:rPr>
            </w:pPr>
          </w:p>
        </w:tc>
        <w:tc>
          <w:tcPr>
            <w:tcW w:w="3060" w:type="dxa"/>
            <w:tcBorders>
              <w:top w:val="single" w:sz="6" w:space="0" w:color="CCCCCC"/>
              <w:left w:val="single" w:sz="6" w:space="0" w:color="CCCCCC"/>
              <w:bottom w:val="single" w:sz="6" w:space="0" w:color="CCCCCC"/>
              <w:right w:val="single" w:sz="6" w:space="0" w:color="000000" w:themeColor="text1"/>
            </w:tcBorders>
            <w:shd w:val="clear" w:color="auto" w:fill="FFFFFF" w:themeFill="background1"/>
            <w:tcMar>
              <w:top w:w="40" w:type="dxa"/>
              <w:left w:w="40" w:type="dxa"/>
              <w:bottom w:w="40" w:type="dxa"/>
              <w:right w:w="40" w:type="dxa"/>
            </w:tcMar>
          </w:tcPr>
          <w:p w14:paraId="424DF515" w14:textId="1E656812" w:rsidR="0042415F" w:rsidRPr="004B4B33" w:rsidRDefault="001D082B">
            <w:pPr>
              <w:widowControl w:val="0"/>
              <w:spacing w:before="0" w:after="0"/>
              <w:rPr>
                <w:rFonts w:asciiTheme="majorHAnsi" w:hAnsiTheme="majorHAnsi" w:cstheme="majorHAnsi"/>
                <w:sz w:val="20"/>
                <w:szCs w:val="20"/>
              </w:rPr>
            </w:pPr>
            <w:r w:rsidRPr="004B4B33">
              <w:rPr>
                <w:rFonts w:asciiTheme="majorHAnsi" w:hAnsiTheme="majorHAnsi" w:cstheme="majorHAnsi"/>
                <w:sz w:val="20"/>
                <w:szCs w:val="20"/>
              </w:rPr>
              <w:t>Založení a</w:t>
            </w:r>
            <w:r w:rsidR="000D7449">
              <w:rPr>
                <w:rFonts w:asciiTheme="majorHAnsi" w:hAnsiTheme="majorHAnsi" w:cstheme="majorHAnsi"/>
                <w:sz w:val="20"/>
                <w:szCs w:val="20"/>
              </w:rPr>
              <w:t> </w:t>
            </w:r>
            <w:r w:rsidRPr="004B4B33">
              <w:rPr>
                <w:rFonts w:asciiTheme="majorHAnsi" w:hAnsiTheme="majorHAnsi" w:cstheme="majorHAnsi"/>
                <w:sz w:val="20"/>
                <w:szCs w:val="20"/>
              </w:rPr>
              <w:t>plnohodnotné fungování koordinační jednotky a</w:t>
            </w:r>
            <w:r w:rsidR="000D7449">
              <w:rPr>
                <w:rFonts w:asciiTheme="majorHAnsi" w:hAnsiTheme="majorHAnsi" w:cstheme="majorHAnsi"/>
                <w:sz w:val="20"/>
                <w:szCs w:val="20"/>
              </w:rPr>
              <w:t> </w:t>
            </w:r>
            <w:r w:rsidRPr="004B4B33">
              <w:rPr>
                <w:rFonts w:asciiTheme="majorHAnsi" w:hAnsiTheme="majorHAnsi" w:cstheme="majorHAnsi"/>
                <w:sz w:val="20"/>
                <w:szCs w:val="20"/>
              </w:rPr>
              <w:t>zázemí regionálních center</w:t>
            </w:r>
          </w:p>
        </w:tc>
        <w:tc>
          <w:tcPr>
            <w:tcW w:w="3585" w:type="dxa"/>
            <w:tcBorders>
              <w:top w:val="single" w:sz="6" w:space="0" w:color="CCCCCC"/>
              <w:left w:val="single" w:sz="6" w:space="0" w:color="CCCCCC"/>
              <w:bottom w:val="single" w:sz="6" w:space="0" w:color="CCCCCC"/>
              <w:right w:val="single" w:sz="18" w:space="0" w:color="000000" w:themeColor="text1"/>
            </w:tcBorders>
            <w:shd w:val="clear" w:color="auto" w:fill="FFFFFF" w:themeFill="background1"/>
            <w:tcMar>
              <w:top w:w="40" w:type="dxa"/>
              <w:left w:w="40" w:type="dxa"/>
              <w:bottom w:w="40" w:type="dxa"/>
              <w:right w:w="40" w:type="dxa"/>
            </w:tcMar>
          </w:tcPr>
          <w:p w14:paraId="08CE6F91" w14:textId="77777777" w:rsidR="004D59AC" w:rsidRPr="004B4B33" w:rsidRDefault="004D59AC" w:rsidP="005B059D">
            <w:pPr>
              <w:spacing w:before="0" w:after="0" w:line="288" w:lineRule="auto"/>
              <w:jc w:val="both"/>
              <w:rPr>
                <w:rFonts w:asciiTheme="majorHAnsi" w:hAnsiTheme="majorHAnsi" w:cstheme="majorHAnsi"/>
                <w:sz w:val="20"/>
                <w:szCs w:val="20"/>
              </w:rPr>
            </w:pPr>
          </w:p>
        </w:tc>
      </w:tr>
      <w:tr w:rsidR="0042415F" w:rsidRPr="004B4B33" w14:paraId="7CC4E16C" w14:textId="77777777" w:rsidTr="5B41DABB">
        <w:trPr>
          <w:trHeight w:val="315"/>
        </w:trPr>
        <w:tc>
          <w:tcPr>
            <w:tcW w:w="675" w:type="dxa"/>
            <w:vMerge/>
            <w:tcMar>
              <w:top w:w="100" w:type="dxa"/>
              <w:left w:w="100" w:type="dxa"/>
              <w:bottom w:w="100" w:type="dxa"/>
              <w:right w:w="100" w:type="dxa"/>
            </w:tcMar>
          </w:tcPr>
          <w:p w14:paraId="61CDCEAD" w14:textId="77777777" w:rsidR="0042415F" w:rsidRPr="004B4B33" w:rsidRDefault="0042415F">
            <w:pPr>
              <w:widowControl w:val="0"/>
              <w:spacing w:before="0" w:after="0"/>
              <w:rPr>
                <w:rFonts w:asciiTheme="majorHAnsi" w:hAnsiTheme="majorHAnsi" w:cstheme="majorHAnsi"/>
                <w:sz w:val="20"/>
                <w:szCs w:val="20"/>
              </w:rPr>
            </w:pPr>
          </w:p>
        </w:tc>
        <w:tc>
          <w:tcPr>
            <w:tcW w:w="885" w:type="dxa"/>
            <w:tcBorders>
              <w:top w:val="single" w:sz="6" w:space="0" w:color="CCCCCC"/>
              <w:left w:val="single" w:sz="6" w:space="0" w:color="CCCCCC"/>
              <w:bottom w:val="single" w:sz="6" w:space="0" w:color="CCCCCC"/>
              <w:right w:val="single" w:sz="18" w:space="0" w:color="000000" w:themeColor="text1"/>
            </w:tcBorders>
            <w:shd w:val="clear" w:color="auto" w:fill="auto"/>
            <w:tcMar>
              <w:top w:w="40" w:type="dxa"/>
              <w:left w:w="40" w:type="dxa"/>
              <w:bottom w:w="40" w:type="dxa"/>
              <w:right w:w="40" w:type="dxa"/>
            </w:tcMar>
          </w:tcPr>
          <w:p w14:paraId="5E998350" w14:textId="77777777" w:rsidR="0042415F" w:rsidRPr="004B4B33" w:rsidRDefault="001D082B">
            <w:pPr>
              <w:widowControl w:val="0"/>
              <w:spacing w:before="0" w:after="0"/>
              <w:jc w:val="center"/>
              <w:rPr>
                <w:rFonts w:asciiTheme="majorHAnsi" w:hAnsiTheme="majorHAnsi" w:cstheme="majorHAnsi"/>
                <w:sz w:val="20"/>
                <w:szCs w:val="20"/>
              </w:rPr>
            </w:pPr>
            <w:r w:rsidRPr="004B4B33">
              <w:rPr>
                <w:rFonts w:asciiTheme="majorHAnsi" w:hAnsiTheme="majorHAnsi" w:cstheme="majorHAnsi"/>
                <w:b/>
                <w:sz w:val="20"/>
                <w:szCs w:val="20"/>
              </w:rPr>
              <w:t>2Q</w:t>
            </w:r>
          </w:p>
        </w:tc>
        <w:tc>
          <w:tcPr>
            <w:tcW w:w="2100" w:type="dxa"/>
            <w:tcBorders>
              <w:top w:val="single" w:sz="6" w:space="0" w:color="CCCCCC"/>
              <w:left w:val="single" w:sz="6" w:space="0" w:color="CCCCCC"/>
              <w:bottom w:val="single" w:sz="6" w:space="0" w:color="CCCCCC"/>
              <w:right w:val="single" w:sz="6" w:space="0" w:color="000000" w:themeColor="text1"/>
            </w:tcBorders>
            <w:shd w:val="clear" w:color="auto" w:fill="FFFFFF" w:themeFill="background1"/>
            <w:tcMar>
              <w:top w:w="40" w:type="dxa"/>
              <w:left w:w="40" w:type="dxa"/>
              <w:bottom w:w="40" w:type="dxa"/>
              <w:right w:w="40" w:type="dxa"/>
            </w:tcMar>
          </w:tcPr>
          <w:p w14:paraId="6BB9E253" w14:textId="77777777" w:rsidR="0042415F" w:rsidRPr="004B4B33" w:rsidRDefault="0042415F">
            <w:pPr>
              <w:widowControl w:val="0"/>
              <w:spacing w:before="0" w:after="0"/>
              <w:rPr>
                <w:rFonts w:asciiTheme="majorHAnsi" w:hAnsiTheme="majorHAnsi" w:cstheme="majorHAnsi"/>
                <w:sz w:val="20"/>
                <w:szCs w:val="20"/>
              </w:rPr>
            </w:pPr>
          </w:p>
        </w:tc>
        <w:tc>
          <w:tcPr>
            <w:tcW w:w="3060" w:type="dxa"/>
            <w:tcBorders>
              <w:top w:val="single" w:sz="6" w:space="0" w:color="CCCCCC"/>
              <w:left w:val="single" w:sz="6" w:space="0" w:color="CCCCCC"/>
              <w:bottom w:val="single" w:sz="6" w:space="0" w:color="CCCCCC"/>
              <w:right w:val="single" w:sz="6" w:space="0" w:color="000000" w:themeColor="text1"/>
            </w:tcBorders>
            <w:shd w:val="clear" w:color="auto" w:fill="FFFFFF" w:themeFill="background1"/>
            <w:tcMar>
              <w:top w:w="40" w:type="dxa"/>
              <w:left w:w="40" w:type="dxa"/>
              <w:bottom w:w="40" w:type="dxa"/>
              <w:right w:w="40" w:type="dxa"/>
            </w:tcMar>
          </w:tcPr>
          <w:p w14:paraId="23DE523C" w14:textId="77777777" w:rsidR="0042415F" w:rsidRPr="004B4B33" w:rsidRDefault="0042415F">
            <w:pPr>
              <w:widowControl w:val="0"/>
              <w:spacing w:before="0" w:after="0"/>
              <w:rPr>
                <w:rFonts w:asciiTheme="majorHAnsi" w:hAnsiTheme="majorHAnsi" w:cstheme="majorHAnsi"/>
                <w:sz w:val="20"/>
                <w:szCs w:val="20"/>
              </w:rPr>
            </w:pPr>
          </w:p>
        </w:tc>
        <w:tc>
          <w:tcPr>
            <w:tcW w:w="3585" w:type="dxa"/>
            <w:tcBorders>
              <w:top w:val="single" w:sz="6" w:space="0" w:color="CCCCCC"/>
              <w:left w:val="single" w:sz="6" w:space="0" w:color="CCCCCC"/>
              <w:bottom w:val="single" w:sz="6" w:space="0" w:color="CCCCCC"/>
              <w:right w:val="single" w:sz="18" w:space="0" w:color="000000" w:themeColor="text1"/>
            </w:tcBorders>
            <w:shd w:val="clear" w:color="auto" w:fill="FFFFFF" w:themeFill="background1"/>
            <w:tcMar>
              <w:top w:w="40" w:type="dxa"/>
              <w:left w:w="40" w:type="dxa"/>
              <w:bottom w:w="40" w:type="dxa"/>
              <w:right w:w="40" w:type="dxa"/>
            </w:tcMar>
          </w:tcPr>
          <w:p w14:paraId="52E56223" w14:textId="7376E7B1" w:rsidR="005B059D" w:rsidRPr="004B4B33" w:rsidRDefault="005B059D" w:rsidP="5B41DABB">
            <w:pPr>
              <w:spacing w:before="0" w:after="0" w:line="288" w:lineRule="auto"/>
              <w:jc w:val="both"/>
              <w:rPr>
                <w:rFonts w:asciiTheme="majorHAnsi" w:eastAsia="Times New Roman" w:hAnsiTheme="majorHAnsi" w:cstheme="majorBidi"/>
                <w:sz w:val="20"/>
                <w:szCs w:val="20"/>
              </w:rPr>
            </w:pPr>
          </w:p>
          <w:p w14:paraId="65EC5958" w14:textId="6B7CC717" w:rsidR="005B059D" w:rsidRPr="004B4B33" w:rsidRDefault="0C2D23A2" w:rsidP="4966BBAE">
            <w:pPr>
              <w:spacing w:before="0" w:after="0" w:line="288" w:lineRule="auto"/>
              <w:jc w:val="both"/>
              <w:rPr>
                <w:rFonts w:asciiTheme="majorHAnsi" w:hAnsiTheme="majorHAnsi" w:cstheme="majorBidi"/>
                <w:sz w:val="20"/>
                <w:szCs w:val="20"/>
              </w:rPr>
            </w:pPr>
            <w:r w:rsidRPr="5B41DABB">
              <w:rPr>
                <w:rFonts w:asciiTheme="majorHAnsi" w:hAnsiTheme="majorHAnsi" w:cstheme="majorBidi"/>
                <w:sz w:val="20"/>
                <w:szCs w:val="20"/>
              </w:rPr>
              <w:t>Vznik investiční</w:t>
            </w:r>
            <w:r w:rsidR="4A67EE63" w:rsidRPr="5B41DABB">
              <w:rPr>
                <w:rFonts w:asciiTheme="majorHAnsi" w:hAnsiTheme="majorHAnsi" w:cstheme="majorBidi"/>
                <w:sz w:val="20"/>
                <w:szCs w:val="20"/>
              </w:rPr>
              <w:t>ch programů FI 1 a</w:t>
            </w:r>
            <w:r w:rsidR="000D7449">
              <w:rPr>
                <w:rFonts w:asciiTheme="majorHAnsi" w:hAnsiTheme="majorHAnsi" w:cstheme="majorBidi"/>
                <w:sz w:val="20"/>
                <w:szCs w:val="20"/>
              </w:rPr>
              <w:t> </w:t>
            </w:r>
            <w:r w:rsidR="4A67EE63" w:rsidRPr="5B41DABB">
              <w:rPr>
                <w:rFonts w:asciiTheme="majorHAnsi" w:hAnsiTheme="majorHAnsi" w:cstheme="majorBidi"/>
                <w:sz w:val="20"/>
                <w:szCs w:val="20"/>
              </w:rPr>
              <w:t xml:space="preserve">FI </w:t>
            </w:r>
            <w:r w:rsidR="003804AC" w:rsidRPr="5B41DABB">
              <w:rPr>
                <w:rFonts w:asciiTheme="majorHAnsi" w:hAnsiTheme="majorHAnsi" w:cstheme="majorBidi"/>
                <w:sz w:val="20"/>
                <w:szCs w:val="20"/>
              </w:rPr>
              <w:t>2 a</w:t>
            </w:r>
            <w:r w:rsidR="000D7449">
              <w:rPr>
                <w:rFonts w:asciiTheme="majorHAnsi" w:hAnsiTheme="majorHAnsi" w:cstheme="majorBidi"/>
                <w:sz w:val="20"/>
                <w:szCs w:val="20"/>
              </w:rPr>
              <w:t> </w:t>
            </w:r>
            <w:r w:rsidR="003804AC" w:rsidRPr="5B41DABB">
              <w:rPr>
                <w:rFonts w:asciiTheme="majorHAnsi" w:hAnsiTheme="majorHAnsi" w:cstheme="majorBidi"/>
                <w:sz w:val="20"/>
                <w:szCs w:val="20"/>
              </w:rPr>
              <w:t>jejich odsouhlasení</w:t>
            </w:r>
            <w:r w:rsidRPr="5B41DABB">
              <w:rPr>
                <w:rFonts w:asciiTheme="majorHAnsi" w:hAnsiTheme="majorHAnsi" w:cstheme="majorBidi"/>
                <w:sz w:val="20"/>
                <w:szCs w:val="20"/>
              </w:rPr>
              <w:t xml:space="preserve"> všemi relevantními aktéry. </w:t>
            </w:r>
          </w:p>
          <w:p w14:paraId="07547A01" w14:textId="77777777" w:rsidR="0042415F" w:rsidRPr="004B4B33" w:rsidRDefault="0042415F">
            <w:pPr>
              <w:spacing w:before="0" w:after="0" w:line="288" w:lineRule="auto"/>
              <w:jc w:val="both"/>
              <w:rPr>
                <w:rFonts w:asciiTheme="majorHAnsi" w:hAnsiTheme="majorHAnsi" w:cstheme="majorHAnsi"/>
                <w:sz w:val="20"/>
                <w:szCs w:val="20"/>
              </w:rPr>
            </w:pPr>
          </w:p>
        </w:tc>
      </w:tr>
      <w:tr w:rsidR="0042415F" w:rsidRPr="004B4B33" w14:paraId="082CE551" w14:textId="77777777" w:rsidTr="5B41DABB">
        <w:trPr>
          <w:trHeight w:val="315"/>
        </w:trPr>
        <w:tc>
          <w:tcPr>
            <w:tcW w:w="675" w:type="dxa"/>
            <w:vMerge/>
            <w:tcMar>
              <w:top w:w="100" w:type="dxa"/>
              <w:left w:w="100" w:type="dxa"/>
              <w:bottom w:w="100" w:type="dxa"/>
              <w:right w:w="100" w:type="dxa"/>
            </w:tcMar>
          </w:tcPr>
          <w:p w14:paraId="5043CB0F" w14:textId="77777777" w:rsidR="0042415F" w:rsidRPr="004B4B33" w:rsidRDefault="0042415F">
            <w:pPr>
              <w:widowControl w:val="0"/>
              <w:spacing w:before="0" w:after="0"/>
              <w:rPr>
                <w:rFonts w:asciiTheme="majorHAnsi" w:hAnsiTheme="majorHAnsi" w:cstheme="majorHAnsi"/>
                <w:sz w:val="20"/>
                <w:szCs w:val="20"/>
              </w:rPr>
            </w:pPr>
          </w:p>
        </w:tc>
        <w:tc>
          <w:tcPr>
            <w:tcW w:w="885" w:type="dxa"/>
            <w:tcBorders>
              <w:top w:val="single" w:sz="6" w:space="0" w:color="CCCCCC"/>
              <w:left w:val="single" w:sz="6" w:space="0" w:color="CCCCCC"/>
              <w:bottom w:val="single" w:sz="6" w:space="0" w:color="CCCCCC"/>
              <w:right w:val="single" w:sz="18" w:space="0" w:color="000000" w:themeColor="text1"/>
            </w:tcBorders>
            <w:shd w:val="clear" w:color="auto" w:fill="auto"/>
            <w:tcMar>
              <w:top w:w="40" w:type="dxa"/>
              <w:left w:w="40" w:type="dxa"/>
              <w:bottom w:w="40" w:type="dxa"/>
              <w:right w:w="40" w:type="dxa"/>
            </w:tcMar>
          </w:tcPr>
          <w:p w14:paraId="32270112" w14:textId="77777777" w:rsidR="0042415F" w:rsidRPr="004B4B33" w:rsidRDefault="001D082B">
            <w:pPr>
              <w:widowControl w:val="0"/>
              <w:spacing w:before="0" w:after="0"/>
              <w:jc w:val="center"/>
              <w:rPr>
                <w:rFonts w:asciiTheme="majorHAnsi" w:hAnsiTheme="majorHAnsi" w:cstheme="majorHAnsi"/>
                <w:sz w:val="20"/>
                <w:szCs w:val="20"/>
              </w:rPr>
            </w:pPr>
            <w:r w:rsidRPr="004B4B33">
              <w:rPr>
                <w:rFonts w:asciiTheme="majorHAnsi" w:hAnsiTheme="majorHAnsi" w:cstheme="majorHAnsi"/>
                <w:b/>
                <w:sz w:val="20"/>
                <w:szCs w:val="20"/>
              </w:rPr>
              <w:t>3Q</w:t>
            </w:r>
          </w:p>
        </w:tc>
        <w:tc>
          <w:tcPr>
            <w:tcW w:w="2100" w:type="dxa"/>
            <w:tcBorders>
              <w:top w:val="single" w:sz="6" w:space="0" w:color="CCCCCC"/>
              <w:left w:val="single" w:sz="6" w:space="0" w:color="CCCCCC"/>
              <w:bottom w:val="single" w:sz="6" w:space="0" w:color="CCCCCC"/>
              <w:right w:val="single" w:sz="6" w:space="0" w:color="000000" w:themeColor="text1"/>
            </w:tcBorders>
            <w:shd w:val="clear" w:color="auto" w:fill="FFFFFF" w:themeFill="background1"/>
            <w:tcMar>
              <w:top w:w="40" w:type="dxa"/>
              <w:left w:w="40" w:type="dxa"/>
              <w:bottom w:w="40" w:type="dxa"/>
              <w:right w:w="40" w:type="dxa"/>
            </w:tcMar>
          </w:tcPr>
          <w:p w14:paraId="07459315" w14:textId="77777777" w:rsidR="0042415F" w:rsidRPr="004B4B33" w:rsidRDefault="0042415F">
            <w:pPr>
              <w:widowControl w:val="0"/>
              <w:spacing w:before="0" w:after="0"/>
              <w:rPr>
                <w:rFonts w:asciiTheme="majorHAnsi" w:hAnsiTheme="majorHAnsi" w:cstheme="majorHAnsi"/>
                <w:sz w:val="20"/>
                <w:szCs w:val="20"/>
              </w:rPr>
            </w:pPr>
          </w:p>
        </w:tc>
        <w:tc>
          <w:tcPr>
            <w:tcW w:w="3060" w:type="dxa"/>
            <w:tcBorders>
              <w:top w:val="single" w:sz="6" w:space="0" w:color="CCCCCC"/>
              <w:left w:val="single" w:sz="6" w:space="0" w:color="CCCCCC"/>
              <w:bottom w:val="single" w:sz="6" w:space="0" w:color="CCCCCC"/>
              <w:right w:val="single" w:sz="6" w:space="0" w:color="000000" w:themeColor="text1"/>
            </w:tcBorders>
            <w:shd w:val="clear" w:color="auto" w:fill="FFFFFF" w:themeFill="background1"/>
            <w:tcMar>
              <w:top w:w="40" w:type="dxa"/>
              <w:left w:w="40" w:type="dxa"/>
              <w:bottom w:w="40" w:type="dxa"/>
              <w:right w:w="40" w:type="dxa"/>
            </w:tcMar>
          </w:tcPr>
          <w:p w14:paraId="6537F28F" w14:textId="77777777" w:rsidR="0042415F" w:rsidRPr="004B4B33" w:rsidRDefault="0042415F">
            <w:pPr>
              <w:widowControl w:val="0"/>
              <w:spacing w:before="0" w:after="0"/>
              <w:rPr>
                <w:rFonts w:asciiTheme="majorHAnsi" w:hAnsiTheme="majorHAnsi" w:cstheme="majorHAnsi"/>
                <w:sz w:val="20"/>
                <w:szCs w:val="20"/>
              </w:rPr>
            </w:pPr>
          </w:p>
        </w:tc>
        <w:tc>
          <w:tcPr>
            <w:tcW w:w="3585" w:type="dxa"/>
            <w:tcBorders>
              <w:top w:val="single" w:sz="6" w:space="0" w:color="CCCCCC"/>
              <w:left w:val="single" w:sz="6" w:space="0" w:color="CCCCCC"/>
              <w:bottom w:val="single" w:sz="6" w:space="0" w:color="CCCCCC"/>
              <w:right w:val="single" w:sz="18" w:space="0" w:color="000000" w:themeColor="text1"/>
            </w:tcBorders>
            <w:shd w:val="clear" w:color="auto" w:fill="FFFFFF" w:themeFill="background1"/>
            <w:tcMar>
              <w:top w:w="40" w:type="dxa"/>
              <w:left w:w="40" w:type="dxa"/>
              <w:bottom w:w="40" w:type="dxa"/>
              <w:right w:w="40" w:type="dxa"/>
            </w:tcMar>
          </w:tcPr>
          <w:p w14:paraId="6D078054" w14:textId="18E4298D" w:rsidR="0042415F" w:rsidRPr="004B4B33" w:rsidRDefault="27057EDF" w:rsidP="4966BBAE">
            <w:pPr>
              <w:widowControl w:val="0"/>
              <w:spacing w:before="0" w:after="0" w:line="288" w:lineRule="auto"/>
              <w:jc w:val="both"/>
              <w:rPr>
                <w:rFonts w:asciiTheme="majorHAnsi" w:hAnsiTheme="majorHAnsi" w:cstheme="majorBidi"/>
                <w:sz w:val="20"/>
                <w:szCs w:val="20"/>
              </w:rPr>
            </w:pPr>
            <w:r w:rsidRPr="5B41DABB">
              <w:rPr>
                <w:rFonts w:asciiTheme="majorHAnsi" w:hAnsiTheme="majorHAnsi" w:cstheme="majorBidi"/>
                <w:sz w:val="20"/>
                <w:szCs w:val="20"/>
              </w:rPr>
              <w:t xml:space="preserve">Ustavení </w:t>
            </w:r>
            <w:r w:rsidRPr="5B41DABB">
              <w:rPr>
                <w:rFonts w:asciiTheme="majorHAnsi" w:eastAsia="Times New Roman" w:hAnsiTheme="majorHAnsi" w:cstheme="majorBidi"/>
                <w:sz w:val="20"/>
                <w:szCs w:val="20"/>
              </w:rPr>
              <w:t>investiční struktury včetně centrální správní a</w:t>
            </w:r>
            <w:r w:rsidR="000D7449">
              <w:rPr>
                <w:rFonts w:asciiTheme="majorHAnsi" w:eastAsia="Times New Roman" w:hAnsiTheme="majorHAnsi" w:cstheme="majorBidi"/>
                <w:sz w:val="20"/>
                <w:szCs w:val="20"/>
              </w:rPr>
              <w:t> </w:t>
            </w:r>
            <w:r w:rsidRPr="5B41DABB">
              <w:rPr>
                <w:rFonts w:asciiTheme="majorHAnsi" w:eastAsia="Times New Roman" w:hAnsiTheme="majorHAnsi" w:cstheme="majorBidi"/>
                <w:sz w:val="20"/>
                <w:szCs w:val="20"/>
              </w:rPr>
              <w:t xml:space="preserve">dohledové kapacity (Monitorovací výbor). </w:t>
            </w:r>
          </w:p>
          <w:p w14:paraId="643F756E" w14:textId="3657C8F6" w:rsidR="0042415F" w:rsidRPr="004B4B33" w:rsidRDefault="4F4B7F86" w:rsidP="4966BBAE">
            <w:pPr>
              <w:widowControl w:val="0"/>
              <w:spacing w:before="0" w:after="0"/>
              <w:rPr>
                <w:rFonts w:asciiTheme="majorHAnsi" w:hAnsiTheme="majorHAnsi" w:cstheme="majorBidi"/>
                <w:sz w:val="20"/>
                <w:szCs w:val="20"/>
              </w:rPr>
            </w:pPr>
            <w:r w:rsidRPr="4966BBAE">
              <w:rPr>
                <w:rFonts w:asciiTheme="majorHAnsi" w:hAnsiTheme="majorHAnsi" w:cstheme="majorBidi"/>
                <w:sz w:val="20"/>
                <w:szCs w:val="20"/>
              </w:rPr>
              <w:t>Start programů</w:t>
            </w:r>
            <w:r w:rsidR="2EF326C5" w:rsidRPr="4966BBAE">
              <w:rPr>
                <w:rFonts w:asciiTheme="majorHAnsi" w:hAnsiTheme="majorHAnsi" w:cstheme="majorBidi"/>
                <w:sz w:val="20"/>
                <w:szCs w:val="20"/>
              </w:rPr>
              <w:t>.</w:t>
            </w:r>
          </w:p>
        </w:tc>
      </w:tr>
      <w:tr w:rsidR="0042415F" w:rsidRPr="004B4B33" w14:paraId="004FB819" w14:textId="77777777" w:rsidTr="5B41DABB">
        <w:trPr>
          <w:trHeight w:val="315"/>
        </w:trPr>
        <w:tc>
          <w:tcPr>
            <w:tcW w:w="675" w:type="dxa"/>
            <w:vMerge/>
            <w:tcMar>
              <w:top w:w="100" w:type="dxa"/>
              <w:left w:w="100" w:type="dxa"/>
              <w:bottom w:w="100" w:type="dxa"/>
              <w:right w:w="100" w:type="dxa"/>
            </w:tcMar>
          </w:tcPr>
          <w:p w14:paraId="6DFB9E20" w14:textId="77777777" w:rsidR="0042415F" w:rsidRPr="004B4B33" w:rsidRDefault="0042415F">
            <w:pPr>
              <w:widowControl w:val="0"/>
              <w:spacing w:before="0" w:after="0"/>
              <w:rPr>
                <w:rFonts w:asciiTheme="majorHAnsi" w:hAnsiTheme="majorHAnsi" w:cstheme="majorHAnsi"/>
                <w:sz w:val="20"/>
                <w:szCs w:val="20"/>
              </w:rPr>
            </w:pPr>
          </w:p>
        </w:tc>
        <w:tc>
          <w:tcPr>
            <w:tcW w:w="885" w:type="dxa"/>
            <w:tcBorders>
              <w:top w:val="single" w:sz="6" w:space="0" w:color="CCCCCC"/>
              <w:left w:val="single" w:sz="6" w:space="0" w:color="CCCCCC"/>
              <w:bottom w:val="single" w:sz="6" w:space="0" w:color="000000" w:themeColor="text1"/>
              <w:right w:val="single" w:sz="18" w:space="0" w:color="000000" w:themeColor="text1"/>
            </w:tcBorders>
            <w:shd w:val="clear" w:color="auto" w:fill="auto"/>
            <w:tcMar>
              <w:top w:w="40" w:type="dxa"/>
              <w:left w:w="40" w:type="dxa"/>
              <w:bottom w:w="40" w:type="dxa"/>
              <w:right w:w="40" w:type="dxa"/>
            </w:tcMar>
          </w:tcPr>
          <w:p w14:paraId="4804EC20" w14:textId="77777777" w:rsidR="0042415F" w:rsidRPr="004B4B33" w:rsidRDefault="001D082B">
            <w:pPr>
              <w:widowControl w:val="0"/>
              <w:spacing w:before="0" w:after="0"/>
              <w:jc w:val="center"/>
              <w:rPr>
                <w:rFonts w:asciiTheme="majorHAnsi" w:hAnsiTheme="majorHAnsi" w:cstheme="majorHAnsi"/>
                <w:sz w:val="20"/>
                <w:szCs w:val="20"/>
              </w:rPr>
            </w:pPr>
            <w:r w:rsidRPr="004B4B33">
              <w:rPr>
                <w:rFonts w:asciiTheme="majorHAnsi" w:hAnsiTheme="majorHAnsi" w:cstheme="majorHAnsi"/>
                <w:b/>
                <w:sz w:val="20"/>
                <w:szCs w:val="20"/>
              </w:rPr>
              <w:t>4Q</w:t>
            </w:r>
          </w:p>
        </w:tc>
        <w:tc>
          <w:tcPr>
            <w:tcW w:w="2100" w:type="dxa"/>
            <w:tcBorders>
              <w:top w:val="single" w:sz="6" w:space="0" w:color="CCCCCC"/>
              <w:left w:val="single" w:sz="6" w:space="0" w:color="CCCCCC"/>
              <w:bottom w:val="single" w:sz="6" w:space="0" w:color="CCCCCC"/>
              <w:right w:val="single" w:sz="6" w:space="0" w:color="000000" w:themeColor="text1"/>
            </w:tcBorders>
            <w:shd w:val="clear" w:color="auto" w:fill="auto"/>
            <w:tcMar>
              <w:top w:w="40" w:type="dxa"/>
              <w:left w:w="40" w:type="dxa"/>
              <w:bottom w:w="40" w:type="dxa"/>
              <w:right w:w="40" w:type="dxa"/>
            </w:tcMar>
          </w:tcPr>
          <w:p w14:paraId="70DF9E56" w14:textId="77777777" w:rsidR="0042415F" w:rsidRPr="004B4B33" w:rsidRDefault="0042415F">
            <w:pPr>
              <w:widowControl w:val="0"/>
              <w:spacing w:before="0" w:after="0"/>
              <w:rPr>
                <w:rFonts w:asciiTheme="majorHAnsi" w:hAnsiTheme="majorHAnsi" w:cstheme="majorHAnsi"/>
                <w:sz w:val="20"/>
                <w:szCs w:val="20"/>
              </w:rPr>
            </w:pPr>
          </w:p>
        </w:tc>
        <w:tc>
          <w:tcPr>
            <w:tcW w:w="3060" w:type="dxa"/>
            <w:tcBorders>
              <w:top w:val="single" w:sz="6" w:space="0" w:color="CCCCCC"/>
              <w:left w:val="single" w:sz="6" w:space="0" w:color="CCCCCC"/>
              <w:bottom w:val="single" w:sz="6" w:space="0" w:color="000000" w:themeColor="text1"/>
              <w:right w:val="single" w:sz="6" w:space="0" w:color="000000" w:themeColor="text1"/>
            </w:tcBorders>
            <w:shd w:val="clear" w:color="auto" w:fill="FFFFFF" w:themeFill="background1"/>
            <w:tcMar>
              <w:top w:w="40" w:type="dxa"/>
              <w:left w:w="40" w:type="dxa"/>
              <w:bottom w:w="40" w:type="dxa"/>
              <w:right w:w="40" w:type="dxa"/>
            </w:tcMar>
          </w:tcPr>
          <w:p w14:paraId="44E871BC" w14:textId="77777777" w:rsidR="0042415F" w:rsidRPr="004B4B33" w:rsidRDefault="0042415F">
            <w:pPr>
              <w:widowControl w:val="0"/>
              <w:spacing w:before="0" w:after="0"/>
              <w:rPr>
                <w:rFonts w:asciiTheme="majorHAnsi" w:hAnsiTheme="majorHAnsi" w:cstheme="majorHAnsi"/>
                <w:sz w:val="20"/>
                <w:szCs w:val="20"/>
              </w:rPr>
            </w:pPr>
          </w:p>
        </w:tc>
        <w:tc>
          <w:tcPr>
            <w:tcW w:w="3585" w:type="dxa"/>
            <w:tcBorders>
              <w:top w:val="single" w:sz="6" w:space="0" w:color="CCCCCC"/>
              <w:left w:val="single" w:sz="6" w:space="0" w:color="CCCCCC"/>
              <w:bottom w:val="single" w:sz="6" w:space="0" w:color="000000" w:themeColor="text1"/>
              <w:right w:val="single" w:sz="18" w:space="0" w:color="000000" w:themeColor="text1"/>
            </w:tcBorders>
            <w:shd w:val="clear" w:color="auto" w:fill="FFFFFF" w:themeFill="background1"/>
            <w:tcMar>
              <w:top w:w="40" w:type="dxa"/>
              <w:left w:w="40" w:type="dxa"/>
              <w:bottom w:w="40" w:type="dxa"/>
              <w:right w:w="40" w:type="dxa"/>
            </w:tcMar>
          </w:tcPr>
          <w:p w14:paraId="144A5D23" w14:textId="77777777" w:rsidR="0042415F" w:rsidRPr="004B4B33" w:rsidRDefault="0042415F">
            <w:pPr>
              <w:widowControl w:val="0"/>
              <w:spacing w:before="0" w:after="0"/>
              <w:rPr>
                <w:rFonts w:asciiTheme="majorHAnsi" w:hAnsiTheme="majorHAnsi" w:cstheme="majorHAnsi"/>
                <w:sz w:val="20"/>
                <w:szCs w:val="20"/>
              </w:rPr>
            </w:pPr>
          </w:p>
        </w:tc>
      </w:tr>
      <w:tr w:rsidR="0042415F" w:rsidRPr="004B4B33" w14:paraId="4C949B07" w14:textId="77777777" w:rsidTr="5B41DABB">
        <w:trPr>
          <w:trHeight w:val="555"/>
        </w:trPr>
        <w:tc>
          <w:tcPr>
            <w:tcW w:w="675" w:type="dxa"/>
            <w:vMerge w:val="restart"/>
            <w:tcBorders>
              <w:top w:val="single" w:sz="6" w:space="0" w:color="CCCCCC"/>
              <w:left w:val="single" w:sz="18" w:space="0" w:color="000000" w:themeColor="text1"/>
              <w:bottom w:val="single" w:sz="6" w:space="0" w:color="000000" w:themeColor="text1"/>
              <w:right w:val="single" w:sz="6" w:space="0" w:color="000000" w:themeColor="text1"/>
            </w:tcBorders>
            <w:shd w:val="clear" w:color="auto" w:fill="auto"/>
            <w:tcMar>
              <w:top w:w="40" w:type="dxa"/>
              <w:left w:w="40" w:type="dxa"/>
              <w:bottom w:w="40" w:type="dxa"/>
              <w:right w:w="40" w:type="dxa"/>
            </w:tcMar>
          </w:tcPr>
          <w:p w14:paraId="3C32F1D6" w14:textId="77777777" w:rsidR="0042415F" w:rsidRPr="004B4B33" w:rsidRDefault="001D082B">
            <w:pPr>
              <w:widowControl w:val="0"/>
              <w:spacing w:before="0" w:after="0"/>
              <w:jc w:val="center"/>
              <w:rPr>
                <w:rFonts w:asciiTheme="majorHAnsi" w:hAnsiTheme="majorHAnsi" w:cstheme="majorHAnsi"/>
                <w:b/>
                <w:sz w:val="20"/>
                <w:szCs w:val="20"/>
              </w:rPr>
            </w:pPr>
            <w:r w:rsidRPr="004B4B33">
              <w:rPr>
                <w:rFonts w:asciiTheme="majorHAnsi" w:hAnsiTheme="majorHAnsi" w:cstheme="majorHAnsi"/>
                <w:b/>
                <w:sz w:val="20"/>
                <w:szCs w:val="20"/>
              </w:rPr>
              <w:t>2025</w:t>
            </w:r>
          </w:p>
        </w:tc>
        <w:tc>
          <w:tcPr>
            <w:tcW w:w="885" w:type="dxa"/>
            <w:tcBorders>
              <w:top w:val="single" w:sz="6" w:space="0" w:color="CCCCCC"/>
              <w:left w:val="single" w:sz="6" w:space="0" w:color="CCCCCC"/>
              <w:bottom w:val="single" w:sz="6" w:space="0" w:color="CCCCCC"/>
              <w:right w:val="single" w:sz="18" w:space="0" w:color="000000" w:themeColor="text1"/>
            </w:tcBorders>
            <w:shd w:val="clear" w:color="auto" w:fill="auto"/>
            <w:tcMar>
              <w:top w:w="40" w:type="dxa"/>
              <w:left w:w="40" w:type="dxa"/>
              <w:bottom w:w="40" w:type="dxa"/>
              <w:right w:w="40" w:type="dxa"/>
            </w:tcMar>
          </w:tcPr>
          <w:p w14:paraId="79200C7B" w14:textId="77777777" w:rsidR="0042415F" w:rsidRPr="004B4B33" w:rsidRDefault="001D082B">
            <w:pPr>
              <w:widowControl w:val="0"/>
              <w:spacing w:before="0" w:after="0"/>
              <w:jc w:val="center"/>
              <w:rPr>
                <w:rFonts w:asciiTheme="majorHAnsi" w:hAnsiTheme="majorHAnsi" w:cstheme="majorHAnsi"/>
                <w:sz w:val="20"/>
                <w:szCs w:val="20"/>
              </w:rPr>
            </w:pPr>
            <w:r w:rsidRPr="004B4B33">
              <w:rPr>
                <w:rFonts w:asciiTheme="majorHAnsi" w:hAnsiTheme="majorHAnsi" w:cstheme="majorHAnsi"/>
                <w:b/>
                <w:sz w:val="20"/>
                <w:szCs w:val="20"/>
              </w:rPr>
              <w:t>1Q</w:t>
            </w:r>
          </w:p>
        </w:tc>
        <w:tc>
          <w:tcPr>
            <w:tcW w:w="2100" w:type="dxa"/>
            <w:tcBorders>
              <w:top w:val="single" w:sz="6" w:space="0" w:color="CCCCCC"/>
              <w:left w:val="single" w:sz="6" w:space="0" w:color="CCCCCC"/>
              <w:bottom w:val="single" w:sz="6" w:space="0" w:color="CCCCCC"/>
              <w:right w:val="single" w:sz="6" w:space="0" w:color="000000" w:themeColor="text1"/>
            </w:tcBorders>
            <w:shd w:val="clear" w:color="auto" w:fill="FFFFFF" w:themeFill="background1"/>
            <w:tcMar>
              <w:top w:w="40" w:type="dxa"/>
              <w:left w:w="40" w:type="dxa"/>
              <w:bottom w:w="40" w:type="dxa"/>
              <w:right w:w="40" w:type="dxa"/>
            </w:tcMar>
          </w:tcPr>
          <w:p w14:paraId="738610EB" w14:textId="77777777" w:rsidR="0042415F" w:rsidRPr="004B4B33" w:rsidRDefault="0042415F">
            <w:pPr>
              <w:widowControl w:val="0"/>
              <w:spacing w:before="0" w:after="0"/>
              <w:rPr>
                <w:rFonts w:asciiTheme="majorHAnsi" w:hAnsiTheme="majorHAnsi" w:cstheme="majorHAnsi"/>
                <w:sz w:val="20"/>
                <w:szCs w:val="20"/>
              </w:rPr>
            </w:pPr>
          </w:p>
        </w:tc>
        <w:tc>
          <w:tcPr>
            <w:tcW w:w="3060"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40" w:type="dxa"/>
              <w:left w:w="40" w:type="dxa"/>
              <w:bottom w:w="40" w:type="dxa"/>
              <w:right w:w="40" w:type="dxa"/>
            </w:tcMar>
          </w:tcPr>
          <w:p w14:paraId="14BEB60C" w14:textId="77777777" w:rsidR="0042415F" w:rsidRPr="004B4B33" w:rsidRDefault="001D082B">
            <w:pPr>
              <w:widowControl w:val="0"/>
              <w:spacing w:before="0" w:after="0"/>
              <w:rPr>
                <w:rFonts w:asciiTheme="majorHAnsi" w:hAnsiTheme="majorHAnsi" w:cstheme="majorHAnsi"/>
                <w:sz w:val="20"/>
                <w:szCs w:val="20"/>
              </w:rPr>
            </w:pPr>
            <w:r w:rsidRPr="004B4B33">
              <w:rPr>
                <w:rFonts w:asciiTheme="majorHAnsi" w:hAnsiTheme="majorHAnsi" w:cstheme="majorHAnsi"/>
                <w:sz w:val="20"/>
                <w:szCs w:val="20"/>
              </w:rPr>
              <w:t>Fungování všech center (8 center pro všechny kraje)</w:t>
            </w:r>
          </w:p>
        </w:tc>
        <w:tc>
          <w:tcPr>
            <w:tcW w:w="3585" w:type="dxa"/>
            <w:tcBorders>
              <w:top w:val="single" w:sz="6" w:space="0" w:color="CCCCCC"/>
              <w:left w:val="single" w:sz="6" w:space="0" w:color="CCCCCC"/>
              <w:bottom w:val="single" w:sz="6" w:space="0" w:color="CCCCCC"/>
              <w:right w:val="single" w:sz="18" w:space="0" w:color="000000" w:themeColor="text1"/>
            </w:tcBorders>
            <w:shd w:val="clear" w:color="auto" w:fill="FFFFFF" w:themeFill="background1"/>
            <w:tcMar>
              <w:top w:w="40" w:type="dxa"/>
              <w:left w:w="40" w:type="dxa"/>
              <w:bottom w:w="40" w:type="dxa"/>
              <w:right w:w="40" w:type="dxa"/>
            </w:tcMar>
          </w:tcPr>
          <w:p w14:paraId="637805D2" w14:textId="77777777" w:rsidR="0042415F" w:rsidRPr="004B4B33" w:rsidRDefault="0042415F">
            <w:pPr>
              <w:widowControl w:val="0"/>
              <w:spacing w:before="0" w:after="0"/>
              <w:rPr>
                <w:rFonts w:asciiTheme="majorHAnsi" w:hAnsiTheme="majorHAnsi" w:cstheme="majorHAnsi"/>
                <w:sz w:val="20"/>
                <w:szCs w:val="20"/>
              </w:rPr>
            </w:pPr>
          </w:p>
        </w:tc>
      </w:tr>
      <w:tr w:rsidR="0042415F" w:rsidRPr="004B4B33" w14:paraId="5BCEEC98" w14:textId="77777777" w:rsidTr="5B41DABB">
        <w:trPr>
          <w:trHeight w:val="315"/>
        </w:trPr>
        <w:tc>
          <w:tcPr>
            <w:tcW w:w="675" w:type="dxa"/>
            <w:vMerge/>
            <w:tcMar>
              <w:top w:w="100" w:type="dxa"/>
              <w:left w:w="100" w:type="dxa"/>
              <w:bottom w:w="100" w:type="dxa"/>
              <w:right w:w="100" w:type="dxa"/>
            </w:tcMar>
          </w:tcPr>
          <w:p w14:paraId="463F29E8" w14:textId="77777777" w:rsidR="0042415F" w:rsidRPr="004B4B33" w:rsidRDefault="0042415F">
            <w:pPr>
              <w:widowControl w:val="0"/>
              <w:spacing w:before="0" w:after="0"/>
              <w:rPr>
                <w:rFonts w:asciiTheme="majorHAnsi" w:hAnsiTheme="majorHAnsi" w:cstheme="majorHAnsi"/>
                <w:sz w:val="20"/>
                <w:szCs w:val="20"/>
              </w:rPr>
            </w:pPr>
          </w:p>
        </w:tc>
        <w:tc>
          <w:tcPr>
            <w:tcW w:w="885" w:type="dxa"/>
            <w:tcBorders>
              <w:top w:val="single" w:sz="6" w:space="0" w:color="CCCCCC"/>
              <w:left w:val="single" w:sz="6" w:space="0" w:color="CCCCCC"/>
              <w:bottom w:val="single" w:sz="6" w:space="0" w:color="CCCCCC"/>
              <w:right w:val="single" w:sz="18" w:space="0" w:color="000000" w:themeColor="text1"/>
            </w:tcBorders>
            <w:shd w:val="clear" w:color="auto" w:fill="auto"/>
            <w:tcMar>
              <w:top w:w="40" w:type="dxa"/>
              <w:left w:w="40" w:type="dxa"/>
              <w:bottom w:w="40" w:type="dxa"/>
              <w:right w:w="40" w:type="dxa"/>
            </w:tcMar>
          </w:tcPr>
          <w:p w14:paraId="3F9567DB" w14:textId="77777777" w:rsidR="0042415F" w:rsidRPr="004B4B33" w:rsidRDefault="001D082B">
            <w:pPr>
              <w:widowControl w:val="0"/>
              <w:spacing w:before="0" w:after="0"/>
              <w:jc w:val="center"/>
              <w:rPr>
                <w:rFonts w:asciiTheme="majorHAnsi" w:hAnsiTheme="majorHAnsi" w:cstheme="majorHAnsi"/>
                <w:sz w:val="20"/>
                <w:szCs w:val="20"/>
              </w:rPr>
            </w:pPr>
            <w:r w:rsidRPr="004B4B33">
              <w:rPr>
                <w:rFonts w:asciiTheme="majorHAnsi" w:hAnsiTheme="majorHAnsi" w:cstheme="majorHAnsi"/>
                <w:b/>
                <w:sz w:val="20"/>
                <w:szCs w:val="20"/>
              </w:rPr>
              <w:t>2Q</w:t>
            </w:r>
          </w:p>
        </w:tc>
        <w:tc>
          <w:tcPr>
            <w:tcW w:w="2100" w:type="dxa"/>
            <w:tcBorders>
              <w:top w:val="single" w:sz="6" w:space="0" w:color="CCCCCC"/>
              <w:left w:val="single" w:sz="6" w:space="0" w:color="CCCCCC"/>
              <w:bottom w:val="single" w:sz="6" w:space="0" w:color="CCCCCC"/>
              <w:right w:val="single" w:sz="6" w:space="0" w:color="000000" w:themeColor="text1"/>
            </w:tcBorders>
            <w:shd w:val="clear" w:color="auto" w:fill="auto"/>
            <w:tcMar>
              <w:top w:w="40" w:type="dxa"/>
              <w:left w:w="40" w:type="dxa"/>
              <w:bottom w:w="40" w:type="dxa"/>
              <w:right w:w="40" w:type="dxa"/>
            </w:tcMar>
          </w:tcPr>
          <w:p w14:paraId="3B7B4B86" w14:textId="0FA38197" w:rsidR="0042415F" w:rsidRPr="004B4B33" w:rsidRDefault="3FDC38D0" w:rsidP="4C634DFF">
            <w:pPr>
              <w:widowControl w:val="0"/>
              <w:spacing w:before="0" w:after="0"/>
              <w:rPr>
                <w:rFonts w:asciiTheme="majorHAnsi" w:hAnsiTheme="majorHAnsi" w:cstheme="majorHAnsi"/>
                <w:sz w:val="20"/>
                <w:szCs w:val="20"/>
              </w:rPr>
            </w:pPr>
            <w:r w:rsidRPr="004B4B33">
              <w:rPr>
                <w:rFonts w:asciiTheme="majorHAnsi" w:hAnsiTheme="majorHAnsi" w:cstheme="majorHAnsi"/>
                <w:sz w:val="20"/>
                <w:szCs w:val="20"/>
              </w:rPr>
              <w:t>Vstup zákona v</w:t>
            </w:r>
            <w:r w:rsidR="000D7449">
              <w:rPr>
                <w:rFonts w:asciiTheme="majorHAnsi" w:hAnsiTheme="majorHAnsi" w:cstheme="majorHAnsi"/>
                <w:sz w:val="20"/>
                <w:szCs w:val="20"/>
              </w:rPr>
              <w:t> </w:t>
            </w:r>
            <w:r w:rsidRPr="004B4B33">
              <w:rPr>
                <w:rFonts w:asciiTheme="majorHAnsi" w:hAnsiTheme="majorHAnsi" w:cstheme="majorHAnsi"/>
                <w:sz w:val="20"/>
                <w:szCs w:val="20"/>
              </w:rPr>
              <w:t>platnost</w:t>
            </w:r>
          </w:p>
        </w:tc>
        <w:tc>
          <w:tcPr>
            <w:tcW w:w="3060"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40" w:type="dxa"/>
              <w:left w:w="40" w:type="dxa"/>
              <w:bottom w:w="40" w:type="dxa"/>
              <w:right w:w="40" w:type="dxa"/>
            </w:tcMar>
          </w:tcPr>
          <w:p w14:paraId="3A0FF5F2" w14:textId="77777777" w:rsidR="0042415F" w:rsidRPr="004B4B33" w:rsidRDefault="0042415F">
            <w:pPr>
              <w:widowControl w:val="0"/>
              <w:spacing w:before="0" w:after="0"/>
              <w:rPr>
                <w:rFonts w:asciiTheme="majorHAnsi" w:hAnsiTheme="majorHAnsi" w:cstheme="majorHAnsi"/>
                <w:sz w:val="20"/>
                <w:szCs w:val="20"/>
              </w:rPr>
            </w:pPr>
          </w:p>
        </w:tc>
        <w:tc>
          <w:tcPr>
            <w:tcW w:w="3585" w:type="dxa"/>
            <w:tcBorders>
              <w:top w:val="single" w:sz="6" w:space="0" w:color="CCCCCC"/>
              <w:left w:val="single" w:sz="6" w:space="0" w:color="CCCCCC"/>
              <w:bottom w:val="single" w:sz="6" w:space="0" w:color="CCCCCC"/>
              <w:right w:val="single" w:sz="18" w:space="0" w:color="000000" w:themeColor="text1"/>
            </w:tcBorders>
            <w:shd w:val="clear" w:color="auto" w:fill="FFFFFF" w:themeFill="background1"/>
            <w:tcMar>
              <w:top w:w="40" w:type="dxa"/>
              <w:left w:w="40" w:type="dxa"/>
              <w:bottom w:w="40" w:type="dxa"/>
              <w:right w:w="40" w:type="dxa"/>
            </w:tcMar>
          </w:tcPr>
          <w:p w14:paraId="5630AD66" w14:textId="77777777" w:rsidR="0042415F" w:rsidRPr="004B4B33" w:rsidRDefault="0042415F">
            <w:pPr>
              <w:widowControl w:val="0"/>
              <w:spacing w:before="0" w:after="0"/>
              <w:rPr>
                <w:rFonts w:asciiTheme="majorHAnsi" w:hAnsiTheme="majorHAnsi" w:cstheme="majorHAnsi"/>
                <w:sz w:val="20"/>
                <w:szCs w:val="20"/>
              </w:rPr>
            </w:pPr>
          </w:p>
        </w:tc>
      </w:tr>
      <w:tr w:rsidR="0042415F" w:rsidRPr="004B4B33" w14:paraId="47D626E9" w14:textId="77777777" w:rsidTr="5B41DABB">
        <w:trPr>
          <w:trHeight w:val="315"/>
        </w:trPr>
        <w:tc>
          <w:tcPr>
            <w:tcW w:w="675" w:type="dxa"/>
            <w:vMerge/>
            <w:tcMar>
              <w:top w:w="100" w:type="dxa"/>
              <w:left w:w="100" w:type="dxa"/>
              <w:bottom w:w="100" w:type="dxa"/>
              <w:right w:w="100" w:type="dxa"/>
            </w:tcMar>
          </w:tcPr>
          <w:p w14:paraId="61829076" w14:textId="77777777" w:rsidR="0042415F" w:rsidRPr="004B4B33" w:rsidRDefault="0042415F">
            <w:pPr>
              <w:widowControl w:val="0"/>
              <w:spacing w:before="0" w:after="0"/>
              <w:rPr>
                <w:rFonts w:asciiTheme="majorHAnsi" w:hAnsiTheme="majorHAnsi" w:cstheme="majorHAnsi"/>
                <w:sz w:val="20"/>
                <w:szCs w:val="20"/>
              </w:rPr>
            </w:pPr>
          </w:p>
        </w:tc>
        <w:tc>
          <w:tcPr>
            <w:tcW w:w="885" w:type="dxa"/>
            <w:tcBorders>
              <w:top w:val="single" w:sz="6" w:space="0" w:color="CCCCCC"/>
              <w:left w:val="single" w:sz="6" w:space="0" w:color="CCCCCC"/>
              <w:bottom w:val="single" w:sz="6" w:space="0" w:color="CCCCCC"/>
              <w:right w:val="single" w:sz="18" w:space="0" w:color="000000" w:themeColor="text1"/>
            </w:tcBorders>
            <w:shd w:val="clear" w:color="auto" w:fill="auto"/>
            <w:tcMar>
              <w:top w:w="40" w:type="dxa"/>
              <w:left w:w="40" w:type="dxa"/>
              <w:bottom w:w="40" w:type="dxa"/>
              <w:right w:w="40" w:type="dxa"/>
            </w:tcMar>
          </w:tcPr>
          <w:p w14:paraId="6CF5760D" w14:textId="77777777" w:rsidR="0042415F" w:rsidRPr="004B4B33" w:rsidRDefault="001D082B">
            <w:pPr>
              <w:widowControl w:val="0"/>
              <w:spacing w:before="0" w:after="0"/>
              <w:jc w:val="center"/>
              <w:rPr>
                <w:rFonts w:asciiTheme="majorHAnsi" w:hAnsiTheme="majorHAnsi" w:cstheme="majorHAnsi"/>
                <w:sz w:val="20"/>
                <w:szCs w:val="20"/>
              </w:rPr>
            </w:pPr>
            <w:r w:rsidRPr="004B4B33">
              <w:rPr>
                <w:rFonts w:asciiTheme="majorHAnsi" w:hAnsiTheme="majorHAnsi" w:cstheme="majorHAnsi"/>
                <w:b/>
                <w:sz w:val="20"/>
                <w:szCs w:val="20"/>
              </w:rPr>
              <w:t>3Q</w:t>
            </w:r>
          </w:p>
        </w:tc>
        <w:tc>
          <w:tcPr>
            <w:tcW w:w="2100" w:type="dxa"/>
            <w:tcBorders>
              <w:top w:val="single" w:sz="6" w:space="0" w:color="CCCCCC"/>
              <w:left w:val="single" w:sz="6" w:space="0" w:color="CCCCCC"/>
              <w:bottom w:val="single" w:sz="6" w:space="0" w:color="CCCCCC"/>
              <w:right w:val="single" w:sz="6" w:space="0" w:color="000000" w:themeColor="text1"/>
            </w:tcBorders>
            <w:shd w:val="clear" w:color="auto" w:fill="auto"/>
            <w:tcMar>
              <w:top w:w="40" w:type="dxa"/>
              <w:left w:w="40" w:type="dxa"/>
              <w:bottom w:w="40" w:type="dxa"/>
              <w:right w:w="40" w:type="dxa"/>
            </w:tcMar>
          </w:tcPr>
          <w:p w14:paraId="7EE0F486" w14:textId="71367312" w:rsidR="0042415F" w:rsidRPr="004B4B33" w:rsidRDefault="0042415F">
            <w:pPr>
              <w:widowControl w:val="0"/>
              <w:spacing w:before="0" w:after="0"/>
              <w:rPr>
                <w:rFonts w:asciiTheme="majorHAnsi" w:hAnsiTheme="majorHAnsi" w:cstheme="majorHAnsi"/>
                <w:sz w:val="20"/>
                <w:szCs w:val="20"/>
              </w:rPr>
            </w:pPr>
          </w:p>
        </w:tc>
        <w:tc>
          <w:tcPr>
            <w:tcW w:w="3060"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40" w:type="dxa"/>
              <w:left w:w="40" w:type="dxa"/>
              <w:bottom w:w="40" w:type="dxa"/>
              <w:right w:w="40" w:type="dxa"/>
            </w:tcMar>
          </w:tcPr>
          <w:p w14:paraId="2BA226A1" w14:textId="77777777" w:rsidR="0042415F" w:rsidRPr="004B4B33" w:rsidRDefault="0042415F">
            <w:pPr>
              <w:widowControl w:val="0"/>
              <w:spacing w:before="0" w:after="0"/>
              <w:rPr>
                <w:rFonts w:asciiTheme="majorHAnsi" w:hAnsiTheme="majorHAnsi" w:cstheme="majorHAnsi"/>
                <w:sz w:val="20"/>
                <w:szCs w:val="20"/>
              </w:rPr>
            </w:pPr>
          </w:p>
        </w:tc>
        <w:tc>
          <w:tcPr>
            <w:tcW w:w="3585" w:type="dxa"/>
            <w:tcBorders>
              <w:top w:val="single" w:sz="6" w:space="0" w:color="CCCCCC"/>
              <w:left w:val="single" w:sz="6" w:space="0" w:color="CCCCCC"/>
              <w:bottom w:val="single" w:sz="6" w:space="0" w:color="CCCCCC"/>
              <w:right w:val="single" w:sz="18" w:space="0" w:color="000000" w:themeColor="text1"/>
            </w:tcBorders>
            <w:shd w:val="clear" w:color="auto" w:fill="FFFFFF" w:themeFill="background1"/>
            <w:tcMar>
              <w:top w:w="40" w:type="dxa"/>
              <w:left w:w="40" w:type="dxa"/>
              <w:bottom w:w="40" w:type="dxa"/>
              <w:right w:w="40" w:type="dxa"/>
            </w:tcMar>
          </w:tcPr>
          <w:p w14:paraId="17AD93B2" w14:textId="77777777" w:rsidR="0042415F" w:rsidRPr="004B4B33" w:rsidRDefault="0042415F">
            <w:pPr>
              <w:widowControl w:val="0"/>
              <w:spacing w:before="0" w:after="0"/>
              <w:rPr>
                <w:rFonts w:asciiTheme="majorHAnsi" w:hAnsiTheme="majorHAnsi" w:cstheme="majorHAnsi"/>
                <w:sz w:val="20"/>
                <w:szCs w:val="20"/>
              </w:rPr>
            </w:pPr>
          </w:p>
        </w:tc>
      </w:tr>
      <w:tr w:rsidR="0042415F" w:rsidRPr="004B4B33" w14:paraId="51C640A3" w14:textId="77777777" w:rsidTr="5B41DABB">
        <w:trPr>
          <w:trHeight w:val="315"/>
        </w:trPr>
        <w:tc>
          <w:tcPr>
            <w:tcW w:w="675" w:type="dxa"/>
            <w:vMerge/>
            <w:tcMar>
              <w:top w:w="100" w:type="dxa"/>
              <w:left w:w="100" w:type="dxa"/>
              <w:bottom w:w="100" w:type="dxa"/>
              <w:right w:w="100" w:type="dxa"/>
            </w:tcMar>
          </w:tcPr>
          <w:p w14:paraId="0DE4B5B7" w14:textId="77777777" w:rsidR="0042415F" w:rsidRPr="004B4B33" w:rsidRDefault="0042415F">
            <w:pPr>
              <w:widowControl w:val="0"/>
              <w:spacing w:before="0" w:after="0"/>
              <w:rPr>
                <w:rFonts w:asciiTheme="majorHAnsi" w:hAnsiTheme="majorHAnsi" w:cstheme="majorHAnsi"/>
                <w:sz w:val="20"/>
                <w:szCs w:val="20"/>
              </w:rPr>
            </w:pPr>
          </w:p>
        </w:tc>
        <w:tc>
          <w:tcPr>
            <w:tcW w:w="885" w:type="dxa"/>
            <w:tcBorders>
              <w:top w:val="single" w:sz="6" w:space="0" w:color="CCCCCC"/>
              <w:left w:val="single" w:sz="6" w:space="0" w:color="CCCCCC"/>
              <w:bottom w:val="single" w:sz="6" w:space="0" w:color="000000" w:themeColor="text1"/>
              <w:right w:val="single" w:sz="18" w:space="0" w:color="000000" w:themeColor="text1"/>
            </w:tcBorders>
            <w:shd w:val="clear" w:color="auto" w:fill="auto"/>
            <w:tcMar>
              <w:top w:w="40" w:type="dxa"/>
              <w:left w:w="40" w:type="dxa"/>
              <w:bottom w:w="40" w:type="dxa"/>
              <w:right w:w="40" w:type="dxa"/>
            </w:tcMar>
          </w:tcPr>
          <w:p w14:paraId="3A5E3DE2" w14:textId="77777777" w:rsidR="0042415F" w:rsidRPr="004B4B33" w:rsidRDefault="001D082B">
            <w:pPr>
              <w:widowControl w:val="0"/>
              <w:spacing w:before="0" w:after="0"/>
              <w:jc w:val="center"/>
              <w:rPr>
                <w:rFonts w:asciiTheme="majorHAnsi" w:hAnsiTheme="majorHAnsi" w:cstheme="majorHAnsi"/>
                <w:sz w:val="20"/>
                <w:szCs w:val="20"/>
              </w:rPr>
            </w:pPr>
            <w:r w:rsidRPr="004B4B33">
              <w:rPr>
                <w:rFonts w:asciiTheme="majorHAnsi" w:hAnsiTheme="majorHAnsi" w:cstheme="majorHAnsi"/>
                <w:b/>
                <w:sz w:val="20"/>
                <w:szCs w:val="20"/>
              </w:rPr>
              <w:t>4Q</w:t>
            </w:r>
          </w:p>
        </w:tc>
        <w:tc>
          <w:tcPr>
            <w:tcW w:w="2100" w:type="dxa"/>
            <w:tcBorders>
              <w:top w:val="single" w:sz="6" w:space="0" w:color="CCCCCC"/>
              <w:left w:val="single" w:sz="6" w:space="0" w:color="CCCCCC"/>
              <w:bottom w:val="single" w:sz="6" w:space="0" w:color="000000" w:themeColor="text1"/>
              <w:right w:val="single" w:sz="6" w:space="0" w:color="000000" w:themeColor="text1"/>
            </w:tcBorders>
            <w:shd w:val="clear" w:color="auto" w:fill="auto"/>
            <w:tcMar>
              <w:top w:w="40" w:type="dxa"/>
              <w:left w:w="40" w:type="dxa"/>
              <w:bottom w:w="40" w:type="dxa"/>
              <w:right w:w="40" w:type="dxa"/>
            </w:tcMar>
          </w:tcPr>
          <w:p w14:paraId="66204FF1" w14:textId="77777777" w:rsidR="0042415F" w:rsidRPr="004B4B33" w:rsidRDefault="0042415F">
            <w:pPr>
              <w:widowControl w:val="0"/>
              <w:spacing w:before="0" w:after="0"/>
              <w:rPr>
                <w:rFonts w:asciiTheme="majorHAnsi" w:hAnsiTheme="majorHAnsi" w:cstheme="majorHAnsi"/>
                <w:sz w:val="20"/>
                <w:szCs w:val="20"/>
              </w:rPr>
            </w:pPr>
          </w:p>
        </w:tc>
        <w:tc>
          <w:tcPr>
            <w:tcW w:w="3060" w:type="dxa"/>
            <w:tcBorders>
              <w:top w:val="single" w:sz="6" w:space="0" w:color="CCCCCC"/>
              <w:left w:val="single" w:sz="6" w:space="0" w:color="CCCCCC"/>
              <w:bottom w:val="single" w:sz="6" w:space="0" w:color="000000" w:themeColor="text1"/>
              <w:right w:val="single" w:sz="6" w:space="0" w:color="CCCCCC"/>
            </w:tcBorders>
            <w:shd w:val="clear" w:color="auto" w:fill="FFFFFF" w:themeFill="background1"/>
            <w:tcMar>
              <w:top w:w="40" w:type="dxa"/>
              <w:left w:w="40" w:type="dxa"/>
              <w:bottom w:w="40" w:type="dxa"/>
              <w:right w:w="40" w:type="dxa"/>
            </w:tcMar>
          </w:tcPr>
          <w:p w14:paraId="2DBF0D7D" w14:textId="77777777" w:rsidR="0042415F" w:rsidRPr="004B4B33" w:rsidRDefault="0042415F">
            <w:pPr>
              <w:widowControl w:val="0"/>
              <w:spacing w:before="0" w:after="0"/>
              <w:rPr>
                <w:rFonts w:asciiTheme="majorHAnsi" w:hAnsiTheme="majorHAnsi" w:cstheme="majorHAnsi"/>
                <w:sz w:val="20"/>
                <w:szCs w:val="20"/>
              </w:rPr>
            </w:pPr>
          </w:p>
        </w:tc>
        <w:tc>
          <w:tcPr>
            <w:tcW w:w="3585" w:type="dxa"/>
            <w:tcBorders>
              <w:top w:val="single" w:sz="6" w:space="0" w:color="CCCCCC"/>
              <w:left w:val="single" w:sz="6" w:space="0" w:color="CCCCCC"/>
              <w:bottom w:val="single" w:sz="6" w:space="0" w:color="000000" w:themeColor="text1"/>
              <w:right w:val="single" w:sz="18" w:space="0" w:color="000000" w:themeColor="text1"/>
            </w:tcBorders>
            <w:shd w:val="clear" w:color="auto" w:fill="FFFFFF" w:themeFill="background1"/>
            <w:tcMar>
              <w:top w:w="40" w:type="dxa"/>
              <w:left w:w="40" w:type="dxa"/>
              <w:bottom w:w="40" w:type="dxa"/>
              <w:right w:w="40" w:type="dxa"/>
            </w:tcMar>
          </w:tcPr>
          <w:p w14:paraId="6B62F1B3" w14:textId="77777777" w:rsidR="0042415F" w:rsidRPr="004B4B33" w:rsidRDefault="0042415F">
            <w:pPr>
              <w:widowControl w:val="0"/>
              <w:spacing w:before="0" w:after="0"/>
              <w:rPr>
                <w:rFonts w:asciiTheme="majorHAnsi" w:hAnsiTheme="majorHAnsi" w:cstheme="majorHAnsi"/>
                <w:sz w:val="20"/>
                <w:szCs w:val="20"/>
              </w:rPr>
            </w:pPr>
          </w:p>
        </w:tc>
      </w:tr>
      <w:tr w:rsidR="0042415F" w:rsidRPr="004B4B33" w14:paraId="6F8A7B5E" w14:textId="77777777" w:rsidTr="5B41DABB">
        <w:trPr>
          <w:trHeight w:val="555"/>
        </w:trPr>
        <w:tc>
          <w:tcPr>
            <w:tcW w:w="675" w:type="dxa"/>
            <w:vMerge w:val="restart"/>
            <w:tcBorders>
              <w:top w:val="single" w:sz="6" w:space="0" w:color="CCCCCC"/>
              <w:left w:val="single" w:sz="18" w:space="0" w:color="000000" w:themeColor="text1"/>
              <w:bottom w:val="single" w:sz="18" w:space="0" w:color="000000" w:themeColor="text1"/>
              <w:right w:val="single" w:sz="6" w:space="0" w:color="000000" w:themeColor="text1"/>
            </w:tcBorders>
            <w:shd w:val="clear" w:color="auto" w:fill="auto"/>
            <w:tcMar>
              <w:top w:w="40" w:type="dxa"/>
              <w:left w:w="40" w:type="dxa"/>
              <w:bottom w:w="40" w:type="dxa"/>
              <w:right w:w="40" w:type="dxa"/>
            </w:tcMar>
          </w:tcPr>
          <w:p w14:paraId="4B169B85" w14:textId="77777777" w:rsidR="0042415F" w:rsidRPr="004B4B33" w:rsidRDefault="001D082B">
            <w:pPr>
              <w:widowControl w:val="0"/>
              <w:spacing w:before="0" w:after="0"/>
              <w:jc w:val="center"/>
              <w:rPr>
                <w:rFonts w:asciiTheme="majorHAnsi" w:hAnsiTheme="majorHAnsi" w:cstheme="majorHAnsi"/>
                <w:b/>
                <w:sz w:val="20"/>
                <w:szCs w:val="20"/>
              </w:rPr>
            </w:pPr>
            <w:r w:rsidRPr="004B4B33">
              <w:rPr>
                <w:rFonts w:asciiTheme="majorHAnsi" w:hAnsiTheme="majorHAnsi" w:cstheme="majorHAnsi"/>
                <w:b/>
                <w:sz w:val="20"/>
                <w:szCs w:val="20"/>
              </w:rPr>
              <w:t>2026</w:t>
            </w:r>
          </w:p>
        </w:tc>
        <w:tc>
          <w:tcPr>
            <w:tcW w:w="885" w:type="dxa"/>
            <w:tcBorders>
              <w:top w:val="single" w:sz="6" w:space="0" w:color="CCCCCC"/>
              <w:left w:val="single" w:sz="6" w:space="0" w:color="CCCCCC"/>
              <w:bottom w:val="single" w:sz="6" w:space="0" w:color="CCCCCC"/>
              <w:right w:val="single" w:sz="18" w:space="0" w:color="000000" w:themeColor="text1"/>
            </w:tcBorders>
            <w:shd w:val="clear" w:color="auto" w:fill="auto"/>
            <w:tcMar>
              <w:top w:w="40" w:type="dxa"/>
              <w:left w:w="40" w:type="dxa"/>
              <w:bottom w:w="40" w:type="dxa"/>
              <w:right w:w="40" w:type="dxa"/>
            </w:tcMar>
          </w:tcPr>
          <w:p w14:paraId="6135D068" w14:textId="77777777" w:rsidR="0042415F" w:rsidRPr="004B4B33" w:rsidRDefault="001D082B">
            <w:pPr>
              <w:widowControl w:val="0"/>
              <w:spacing w:before="0" w:after="0"/>
              <w:jc w:val="center"/>
              <w:rPr>
                <w:rFonts w:asciiTheme="majorHAnsi" w:hAnsiTheme="majorHAnsi" w:cstheme="majorHAnsi"/>
                <w:sz w:val="20"/>
                <w:szCs w:val="20"/>
              </w:rPr>
            </w:pPr>
            <w:r w:rsidRPr="004B4B33">
              <w:rPr>
                <w:rFonts w:asciiTheme="majorHAnsi" w:hAnsiTheme="majorHAnsi" w:cstheme="majorHAnsi"/>
                <w:b/>
                <w:sz w:val="20"/>
                <w:szCs w:val="20"/>
              </w:rPr>
              <w:t>1Q</w:t>
            </w:r>
          </w:p>
        </w:tc>
        <w:tc>
          <w:tcPr>
            <w:tcW w:w="2100" w:type="dxa"/>
            <w:tcBorders>
              <w:top w:val="single" w:sz="6" w:space="0" w:color="CCCCCC"/>
              <w:left w:val="single" w:sz="6" w:space="0" w:color="CCCCCC"/>
              <w:bottom w:val="single" w:sz="6" w:space="0" w:color="CCCCCC"/>
              <w:right w:val="single" w:sz="6" w:space="0" w:color="000000" w:themeColor="text1"/>
            </w:tcBorders>
            <w:shd w:val="clear" w:color="auto" w:fill="auto"/>
            <w:tcMar>
              <w:top w:w="40" w:type="dxa"/>
              <w:left w:w="40" w:type="dxa"/>
              <w:bottom w:w="40" w:type="dxa"/>
              <w:right w:w="40" w:type="dxa"/>
            </w:tcMar>
          </w:tcPr>
          <w:p w14:paraId="02F2C34E" w14:textId="77777777" w:rsidR="0042415F" w:rsidRPr="004B4B33" w:rsidRDefault="0042415F">
            <w:pPr>
              <w:widowControl w:val="0"/>
              <w:spacing w:before="0" w:after="0"/>
              <w:rPr>
                <w:rFonts w:asciiTheme="majorHAnsi" w:hAnsiTheme="majorHAnsi" w:cstheme="majorHAnsi"/>
                <w:sz w:val="20"/>
                <w:szCs w:val="20"/>
              </w:rPr>
            </w:pPr>
          </w:p>
        </w:tc>
        <w:tc>
          <w:tcPr>
            <w:tcW w:w="3060"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40" w:type="dxa"/>
              <w:left w:w="40" w:type="dxa"/>
              <w:bottom w:w="40" w:type="dxa"/>
              <w:right w:w="40" w:type="dxa"/>
            </w:tcMar>
          </w:tcPr>
          <w:p w14:paraId="680A4E5D" w14:textId="77777777" w:rsidR="0042415F" w:rsidRPr="004B4B33" w:rsidRDefault="0042415F">
            <w:pPr>
              <w:widowControl w:val="0"/>
              <w:spacing w:before="0" w:after="0"/>
              <w:rPr>
                <w:rFonts w:asciiTheme="majorHAnsi" w:hAnsiTheme="majorHAnsi" w:cstheme="majorHAnsi"/>
                <w:sz w:val="20"/>
                <w:szCs w:val="20"/>
              </w:rPr>
            </w:pPr>
          </w:p>
        </w:tc>
        <w:tc>
          <w:tcPr>
            <w:tcW w:w="3585" w:type="dxa"/>
            <w:tcBorders>
              <w:top w:val="single" w:sz="6" w:space="0" w:color="CCCCCC"/>
              <w:left w:val="single" w:sz="6" w:space="0" w:color="CCCCCC"/>
              <w:bottom w:val="single" w:sz="6" w:space="0" w:color="CCCCCC"/>
              <w:right w:val="single" w:sz="18" w:space="0" w:color="000000" w:themeColor="text1"/>
            </w:tcBorders>
            <w:shd w:val="clear" w:color="auto" w:fill="FFFFFF" w:themeFill="background1"/>
            <w:tcMar>
              <w:top w:w="40" w:type="dxa"/>
              <w:left w:w="40" w:type="dxa"/>
              <w:bottom w:w="40" w:type="dxa"/>
              <w:right w:w="40" w:type="dxa"/>
            </w:tcMar>
          </w:tcPr>
          <w:p w14:paraId="19219836" w14:textId="77777777" w:rsidR="0042415F" w:rsidRPr="004B4B33" w:rsidRDefault="0042415F" w:rsidP="007F2A07">
            <w:pPr>
              <w:widowControl w:val="0"/>
              <w:spacing w:before="0" w:after="0" w:line="240" w:lineRule="auto"/>
              <w:rPr>
                <w:rFonts w:asciiTheme="majorHAnsi" w:hAnsiTheme="majorHAnsi" w:cstheme="majorHAnsi"/>
                <w:sz w:val="20"/>
                <w:szCs w:val="20"/>
              </w:rPr>
            </w:pPr>
          </w:p>
        </w:tc>
      </w:tr>
      <w:tr w:rsidR="007F2A07" w:rsidRPr="004B4B33" w14:paraId="3EDF0D17" w14:textId="77777777" w:rsidTr="5B41DABB">
        <w:trPr>
          <w:trHeight w:val="315"/>
        </w:trPr>
        <w:tc>
          <w:tcPr>
            <w:tcW w:w="675" w:type="dxa"/>
            <w:vMerge/>
            <w:tcMar>
              <w:top w:w="100" w:type="dxa"/>
              <w:left w:w="100" w:type="dxa"/>
              <w:bottom w:w="100" w:type="dxa"/>
              <w:right w:w="100" w:type="dxa"/>
            </w:tcMar>
          </w:tcPr>
          <w:p w14:paraId="296FEF7D" w14:textId="77777777" w:rsidR="007F2A07" w:rsidRPr="004B4B33" w:rsidRDefault="007F2A07" w:rsidP="007F2A07">
            <w:pPr>
              <w:widowControl w:val="0"/>
              <w:spacing w:before="0" w:after="0"/>
              <w:rPr>
                <w:rFonts w:asciiTheme="majorHAnsi" w:hAnsiTheme="majorHAnsi" w:cstheme="majorHAnsi"/>
                <w:sz w:val="20"/>
                <w:szCs w:val="20"/>
              </w:rPr>
            </w:pPr>
          </w:p>
        </w:tc>
        <w:tc>
          <w:tcPr>
            <w:tcW w:w="885" w:type="dxa"/>
            <w:tcBorders>
              <w:top w:val="single" w:sz="6" w:space="0" w:color="CCCCCC"/>
              <w:left w:val="single" w:sz="6" w:space="0" w:color="CCCCCC"/>
              <w:bottom w:val="single" w:sz="6" w:space="0" w:color="CCCCCC"/>
              <w:right w:val="single" w:sz="18" w:space="0" w:color="000000" w:themeColor="text1"/>
            </w:tcBorders>
            <w:shd w:val="clear" w:color="auto" w:fill="auto"/>
            <w:tcMar>
              <w:top w:w="40" w:type="dxa"/>
              <w:left w:w="40" w:type="dxa"/>
              <w:bottom w:w="40" w:type="dxa"/>
              <w:right w:w="40" w:type="dxa"/>
            </w:tcMar>
          </w:tcPr>
          <w:p w14:paraId="507C9AE9" w14:textId="77777777" w:rsidR="007F2A07" w:rsidRPr="004B4B33" w:rsidRDefault="007F2A07" w:rsidP="007F2A07">
            <w:pPr>
              <w:widowControl w:val="0"/>
              <w:spacing w:before="0" w:after="0"/>
              <w:jc w:val="center"/>
              <w:rPr>
                <w:rFonts w:asciiTheme="majorHAnsi" w:hAnsiTheme="majorHAnsi" w:cstheme="majorHAnsi"/>
                <w:sz w:val="20"/>
                <w:szCs w:val="20"/>
              </w:rPr>
            </w:pPr>
            <w:r w:rsidRPr="004B4B33">
              <w:rPr>
                <w:rFonts w:asciiTheme="majorHAnsi" w:hAnsiTheme="majorHAnsi" w:cstheme="majorHAnsi"/>
                <w:b/>
                <w:sz w:val="20"/>
                <w:szCs w:val="20"/>
              </w:rPr>
              <w:t>2Q</w:t>
            </w:r>
          </w:p>
        </w:tc>
        <w:tc>
          <w:tcPr>
            <w:tcW w:w="2100" w:type="dxa"/>
            <w:tcBorders>
              <w:top w:val="single" w:sz="6" w:space="0" w:color="CCCCCC"/>
              <w:left w:val="single" w:sz="6" w:space="0" w:color="CCCCCC"/>
              <w:bottom w:val="single" w:sz="6" w:space="0" w:color="CCCCCC"/>
              <w:right w:val="single" w:sz="6" w:space="0" w:color="000000" w:themeColor="text1"/>
            </w:tcBorders>
            <w:shd w:val="clear" w:color="auto" w:fill="auto"/>
            <w:tcMar>
              <w:top w:w="40" w:type="dxa"/>
              <w:left w:w="40" w:type="dxa"/>
              <w:bottom w:w="40" w:type="dxa"/>
              <w:right w:w="40" w:type="dxa"/>
            </w:tcMar>
          </w:tcPr>
          <w:p w14:paraId="7194DBDC" w14:textId="77777777" w:rsidR="007F2A07" w:rsidRPr="004B4B33" w:rsidRDefault="007F2A07" w:rsidP="007F2A07">
            <w:pPr>
              <w:widowControl w:val="0"/>
              <w:spacing w:before="0" w:after="0"/>
              <w:rPr>
                <w:rFonts w:asciiTheme="majorHAnsi" w:hAnsiTheme="majorHAnsi" w:cstheme="majorHAnsi"/>
                <w:sz w:val="20"/>
                <w:szCs w:val="20"/>
              </w:rPr>
            </w:pPr>
          </w:p>
        </w:tc>
        <w:tc>
          <w:tcPr>
            <w:tcW w:w="3060"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40" w:type="dxa"/>
              <w:left w:w="40" w:type="dxa"/>
              <w:bottom w:w="40" w:type="dxa"/>
              <w:right w:w="40" w:type="dxa"/>
            </w:tcMar>
          </w:tcPr>
          <w:p w14:paraId="769D0D3C" w14:textId="77777777" w:rsidR="007F2A07" w:rsidRPr="004B4B33" w:rsidRDefault="007F2A07" w:rsidP="007F2A07">
            <w:pPr>
              <w:widowControl w:val="0"/>
              <w:spacing w:before="0" w:after="0"/>
              <w:rPr>
                <w:rFonts w:asciiTheme="majorHAnsi" w:hAnsiTheme="majorHAnsi" w:cstheme="majorHAnsi"/>
                <w:sz w:val="20"/>
                <w:szCs w:val="20"/>
              </w:rPr>
            </w:pPr>
          </w:p>
        </w:tc>
        <w:tc>
          <w:tcPr>
            <w:tcW w:w="3585" w:type="dxa"/>
            <w:tcBorders>
              <w:top w:val="single" w:sz="6" w:space="0" w:color="CCCCCC"/>
              <w:left w:val="single" w:sz="6" w:space="0" w:color="CCCCCC"/>
              <w:bottom w:val="single" w:sz="6" w:space="0" w:color="CCCCCC"/>
              <w:right w:val="single" w:sz="18" w:space="0" w:color="000000" w:themeColor="text1"/>
            </w:tcBorders>
            <w:shd w:val="clear" w:color="auto" w:fill="FFFFFF" w:themeFill="background1"/>
            <w:tcMar>
              <w:top w:w="40" w:type="dxa"/>
              <w:left w:w="40" w:type="dxa"/>
              <w:bottom w:w="40" w:type="dxa"/>
              <w:right w:w="40" w:type="dxa"/>
            </w:tcMar>
          </w:tcPr>
          <w:p w14:paraId="54CD245A" w14:textId="77777777" w:rsidR="007F2A07" w:rsidRPr="004B4B33" w:rsidRDefault="007F2A07" w:rsidP="007F2A07">
            <w:pPr>
              <w:widowControl w:val="0"/>
              <w:spacing w:before="0" w:after="0" w:line="240" w:lineRule="auto"/>
              <w:rPr>
                <w:rFonts w:asciiTheme="majorHAnsi" w:hAnsiTheme="majorHAnsi" w:cstheme="majorHAnsi"/>
                <w:sz w:val="20"/>
                <w:szCs w:val="20"/>
              </w:rPr>
            </w:pPr>
          </w:p>
        </w:tc>
      </w:tr>
      <w:tr w:rsidR="007F2A07" w:rsidRPr="004B4B33" w14:paraId="2B9A2D9D" w14:textId="77777777" w:rsidTr="5B41DABB">
        <w:trPr>
          <w:trHeight w:val="315"/>
        </w:trPr>
        <w:tc>
          <w:tcPr>
            <w:tcW w:w="675" w:type="dxa"/>
            <w:vMerge/>
            <w:tcMar>
              <w:top w:w="100" w:type="dxa"/>
              <w:left w:w="100" w:type="dxa"/>
              <w:bottom w:w="100" w:type="dxa"/>
              <w:right w:w="100" w:type="dxa"/>
            </w:tcMar>
          </w:tcPr>
          <w:p w14:paraId="1231BE67" w14:textId="77777777" w:rsidR="007F2A07" w:rsidRPr="004B4B33" w:rsidRDefault="007F2A07" w:rsidP="007F2A07">
            <w:pPr>
              <w:widowControl w:val="0"/>
              <w:spacing w:before="0" w:after="0"/>
              <w:rPr>
                <w:rFonts w:asciiTheme="majorHAnsi" w:hAnsiTheme="majorHAnsi" w:cstheme="majorHAnsi"/>
                <w:sz w:val="20"/>
                <w:szCs w:val="20"/>
              </w:rPr>
            </w:pPr>
          </w:p>
        </w:tc>
        <w:tc>
          <w:tcPr>
            <w:tcW w:w="885" w:type="dxa"/>
            <w:tcBorders>
              <w:top w:val="single" w:sz="6" w:space="0" w:color="CCCCCC"/>
              <w:left w:val="single" w:sz="6" w:space="0" w:color="CCCCCC"/>
              <w:bottom w:val="single" w:sz="6" w:space="0" w:color="CCCCCC"/>
              <w:right w:val="single" w:sz="18" w:space="0" w:color="000000" w:themeColor="text1"/>
            </w:tcBorders>
            <w:shd w:val="clear" w:color="auto" w:fill="auto"/>
            <w:tcMar>
              <w:top w:w="40" w:type="dxa"/>
              <w:left w:w="40" w:type="dxa"/>
              <w:bottom w:w="40" w:type="dxa"/>
              <w:right w:w="40" w:type="dxa"/>
            </w:tcMar>
          </w:tcPr>
          <w:p w14:paraId="7FAC99E6" w14:textId="77777777" w:rsidR="007F2A07" w:rsidRPr="004B4B33" w:rsidRDefault="007F2A07" w:rsidP="007F2A07">
            <w:pPr>
              <w:widowControl w:val="0"/>
              <w:spacing w:before="0" w:after="0"/>
              <w:jc w:val="center"/>
              <w:rPr>
                <w:rFonts w:asciiTheme="majorHAnsi" w:hAnsiTheme="majorHAnsi" w:cstheme="majorHAnsi"/>
                <w:sz w:val="20"/>
                <w:szCs w:val="20"/>
              </w:rPr>
            </w:pPr>
            <w:r w:rsidRPr="004B4B33">
              <w:rPr>
                <w:rFonts w:asciiTheme="majorHAnsi" w:hAnsiTheme="majorHAnsi" w:cstheme="majorHAnsi"/>
                <w:b/>
                <w:sz w:val="20"/>
                <w:szCs w:val="20"/>
              </w:rPr>
              <w:t>3Q</w:t>
            </w:r>
          </w:p>
        </w:tc>
        <w:tc>
          <w:tcPr>
            <w:tcW w:w="2100" w:type="dxa"/>
            <w:tcBorders>
              <w:top w:val="single" w:sz="6" w:space="0" w:color="CCCCCC"/>
              <w:left w:val="single" w:sz="6" w:space="0" w:color="CCCCCC"/>
              <w:bottom w:val="single" w:sz="6" w:space="0" w:color="CCCCCC"/>
              <w:right w:val="single" w:sz="6" w:space="0" w:color="000000" w:themeColor="text1"/>
            </w:tcBorders>
            <w:shd w:val="clear" w:color="auto" w:fill="auto"/>
            <w:tcMar>
              <w:top w:w="40" w:type="dxa"/>
              <w:left w:w="40" w:type="dxa"/>
              <w:bottom w:w="40" w:type="dxa"/>
              <w:right w:w="40" w:type="dxa"/>
            </w:tcMar>
          </w:tcPr>
          <w:p w14:paraId="36FEB5B0" w14:textId="77777777" w:rsidR="007F2A07" w:rsidRPr="004B4B33" w:rsidRDefault="007F2A07" w:rsidP="007F2A07">
            <w:pPr>
              <w:widowControl w:val="0"/>
              <w:spacing w:before="0" w:after="0"/>
              <w:rPr>
                <w:rFonts w:asciiTheme="majorHAnsi" w:hAnsiTheme="majorHAnsi" w:cstheme="majorHAnsi"/>
                <w:sz w:val="20"/>
                <w:szCs w:val="20"/>
              </w:rPr>
            </w:pPr>
          </w:p>
        </w:tc>
        <w:tc>
          <w:tcPr>
            <w:tcW w:w="3060" w:type="dxa"/>
            <w:tcBorders>
              <w:top w:val="single" w:sz="6" w:space="0" w:color="CCCCCC"/>
              <w:left w:val="single" w:sz="6" w:space="0" w:color="CCCCCC"/>
              <w:bottom w:val="single" w:sz="6" w:space="0" w:color="CCCCCC"/>
              <w:right w:val="single" w:sz="6" w:space="0" w:color="CCCCCC"/>
            </w:tcBorders>
            <w:shd w:val="clear" w:color="auto" w:fill="FFFFFF" w:themeFill="background1"/>
            <w:tcMar>
              <w:top w:w="40" w:type="dxa"/>
              <w:left w:w="40" w:type="dxa"/>
              <w:bottom w:w="40" w:type="dxa"/>
              <w:right w:w="40" w:type="dxa"/>
            </w:tcMar>
          </w:tcPr>
          <w:p w14:paraId="27D88043" w14:textId="752097B9" w:rsidR="007F2A07" w:rsidRPr="004B4B33" w:rsidRDefault="007F2A07" w:rsidP="007F2A07">
            <w:pPr>
              <w:widowControl w:val="0"/>
              <w:spacing w:before="0" w:after="0"/>
              <w:rPr>
                <w:rFonts w:asciiTheme="majorHAnsi" w:hAnsiTheme="majorHAnsi" w:cstheme="majorHAnsi"/>
                <w:sz w:val="20"/>
                <w:szCs w:val="20"/>
              </w:rPr>
            </w:pPr>
            <w:r w:rsidRPr="004B4B33">
              <w:rPr>
                <w:rFonts w:asciiTheme="majorHAnsi" w:hAnsiTheme="majorHAnsi" w:cstheme="majorHAnsi"/>
                <w:sz w:val="20"/>
                <w:szCs w:val="20"/>
              </w:rPr>
              <w:t xml:space="preserve">100 </w:t>
            </w:r>
            <w:r w:rsidR="00D5786F" w:rsidRPr="004B4B33">
              <w:rPr>
                <w:rFonts w:asciiTheme="majorHAnsi" w:hAnsiTheme="majorHAnsi" w:cstheme="majorHAnsi"/>
                <w:sz w:val="20"/>
                <w:szCs w:val="20"/>
              </w:rPr>
              <w:t>příjemců</w:t>
            </w:r>
            <w:r w:rsidRPr="004B4B33">
              <w:rPr>
                <w:rFonts w:asciiTheme="majorHAnsi" w:hAnsiTheme="majorHAnsi" w:cstheme="majorHAnsi"/>
                <w:sz w:val="20"/>
                <w:szCs w:val="20"/>
              </w:rPr>
              <w:t xml:space="preserve"> podpořených v</w:t>
            </w:r>
            <w:r w:rsidR="000D7449">
              <w:rPr>
                <w:rFonts w:asciiTheme="majorHAnsi" w:hAnsiTheme="majorHAnsi" w:cstheme="majorHAnsi"/>
                <w:sz w:val="20"/>
                <w:szCs w:val="20"/>
              </w:rPr>
              <w:t> </w:t>
            </w:r>
            <w:r w:rsidRPr="004B4B33">
              <w:rPr>
                <w:rFonts w:asciiTheme="majorHAnsi" w:hAnsiTheme="majorHAnsi" w:cstheme="majorHAnsi"/>
                <w:sz w:val="20"/>
                <w:szCs w:val="20"/>
              </w:rPr>
              <w:t>přípravě projektů</w:t>
            </w:r>
          </w:p>
        </w:tc>
        <w:tc>
          <w:tcPr>
            <w:tcW w:w="3585" w:type="dxa"/>
            <w:tcBorders>
              <w:top w:val="single" w:sz="6" w:space="0" w:color="CCCCCC"/>
              <w:left w:val="single" w:sz="6" w:space="0" w:color="CCCCCC"/>
              <w:bottom w:val="single" w:sz="6" w:space="0" w:color="CCCCCC"/>
              <w:right w:val="single" w:sz="18" w:space="0" w:color="000000" w:themeColor="text1"/>
            </w:tcBorders>
            <w:shd w:val="clear" w:color="auto" w:fill="FFFFFF" w:themeFill="background1"/>
            <w:tcMar>
              <w:top w:w="40" w:type="dxa"/>
              <w:left w:w="40" w:type="dxa"/>
              <w:bottom w:w="40" w:type="dxa"/>
              <w:right w:w="40" w:type="dxa"/>
            </w:tcMar>
          </w:tcPr>
          <w:p w14:paraId="6DF82632" w14:textId="6DC3256E" w:rsidR="007F2A07" w:rsidRPr="004B4B33" w:rsidRDefault="00414AA8" w:rsidP="0031089B">
            <w:pPr>
              <w:spacing w:before="0" w:after="0" w:line="240" w:lineRule="auto"/>
              <w:rPr>
                <w:rFonts w:asciiTheme="majorHAnsi" w:hAnsiTheme="majorHAnsi" w:cstheme="majorHAnsi"/>
                <w:sz w:val="20"/>
                <w:szCs w:val="20"/>
              </w:rPr>
            </w:pPr>
            <w:r w:rsidRPr="004B4B33">
              <w:rPr>
                <w:rFonts w:asciiTheme="majorHAnsi" w:hAnsiTheme="majorHAnsi" w:cstheme="majorHAnsi"/>
                <w:sz w:val="20"/>
                <w:szCs w:val="20"/>
              </w:rPr>
              <w:t>Projekty v</w:t>
            </w:r>
            <w:r w:rsidR="000D7449">
              <w:rPr>
                <w:rFonts w:asciiTheme="majorHAnsi" w:hAnsiTheme="majorHAnsi" w:cstheme="majorHAnsi"/>
                <w:sz w:val="20"/>
                <w:szCs w:val="20"/>
              </w:rPr>
              <w:t> </w:t>
            </w:r>
            <w:r w:rsidRPr="004B4B33">
              <w:rPr>
                <w:rFonts w:asciiTheme="majorHAnsi" w:hAnsiTheme="majorHAnsi" w:cstheme="majorHAnsi"/>
                <w:sz w:val="20"/>
                <w:szCs w:val="20"/>
              </w:rPr>
              <w:t>rozsahu 100% objemu finančních nástrojů budou schváleny a</w:t>
            </w:r>
            <w:r w:rsidR="000D7449">
              <w:rPr>
                <w:rFonts w:asciiTheme="majorHAnsi" w:hAnsiTheme="majorHAnsi" w:cstheme="majorHAnsi"/>
                <w:sz w:val="20"/>
                <w:szCs w:val="20"/>
              </w:rPr>
              <w:t> </w:t>
            </w:r>
            <w:r w:rsidRPr="004B4B33">
              <w:rPr>
                <w:rFonts w:asciiTheme="majorHAnsi" w:hAnsiTheme="majorHAnsi" w:cstheme="majorHAnsi"/>
                <w:sz w:val="20"/>
                <w:szCs w:val="20"/>
              </w:rPr>
              <w:t xml:space="preserve">zasmluvněny (commitment) </w:t>
            </w:r>
          </w:p>
        </w:tc>
      </w:tr>
      <w:tr w:rsidR="007F2A07" w:rsidRPr="004B4B33" w14:paraId="3D9F9C06" w14:textId="77777777" w:rsidTr="003804AC">
        <w:trPr>
          <w:trHeight w:val="289"/>
        </w:trPr>
        <w:tc>
          <w:tcPr>
            <w:tcW w:w="675" w:type="dxa"/>
            <w:vMerge/>
            <w:tcMar>
              <w:top w:w="100" w:type="dxa"/>
              <w:left w:w="100" w:type="dxa"/>
              <w:bottom w:w="100" w:type="dxa"/>
              <w:right w:w="100" w:type="dxa"/>
            </w:tcMar>
          </w:tcPr>
          <w:p w14:paraId="30D7AA69" w14:textId="77777777" w:rsidR="007F2A07" w:rsidRPr="004B4B33" w:rsidRDefault="007F2A07" w:rsidP="007F2A07">
            <w:pPr>
              <w:widowControl w:val="0"/>
              <w:spacing w:before="0" w:after="0"/>
              <w:rPr>
                <w:rFonts w:asciiTheme="majorHAnsi" w:hAnsiTheme="majorHAnsi" w:cstheme="majorHAnsi"/>
                <w:sz w:val="20"/>
                <w:szCs w:val="20"/>
              </w:rPr>
            </w:pPr>
          </w:p>
        </w:tc>
        <w:tc>
          <w:tcPr>
            <w:tcW w:w="885" w:type="dxa"/>
            <w:tcBorders>
              <w:top w:val="single" w:sz="6" w:space="0" w:color="CCCCCC"/>
              <w:left w:val="single" w:sz="6" w:space="0" w:color="CCCCCC"/>
              <w:bottom w:val="single" w:sz="18" w:space="0" w:color="000000" w:themeColor="text1"/>
              <w:right w:val="single" w:sz="18" w:space="0" w:color="000000" w:themeColor="text1"/>
            </w:tcBorders>
            <w:shd w:val="clear" w:color="auto" w:fill="auto"/>
            <w:tcMar>
              <w:top w:w="40" w:type="dxa"/>
              <w:left w:w="40" w:type="dxa"/>
              <w:bottom w:w="40" w:type="dxa"/>
              <w:right w:w="40" w:type="dxa"/>
            </w:tcMar>
          </w:tcPr>
          <w:p w14:paraId="4544853D" w14:textId="77777777" w:rsidR="007F2A07" w:rsidRPr="004B4B33" w:rsidRDefault="007F2A07" w:rsidP="007F2A07">
            <w:pPr>
              <w:widowControl w:val="0"/>
              <w:spacing w:before="0" w:after="0"/>
              <w:jc w:val="center"/>
              <w:rPr>
                <w:rFonts w:asciiTheme="majorHAnsi" w:hAnsiTheme="majorHAnsi" w:cstheme="majorHAnsi"/>
                <w:sz w:val="20"/>
                <w:szCs w:val="20"/>
              </w:rPr>
            </w:pPr>
            <w:r w:rsidRPr="004B4B33">
              <w:rPr>
                <w:rFonts w:asciiTheme="majorHAnsi" w:hAnsiTheme="majorHAnsi" w:cstheme="majorHAnsi"/>
                <w:b/>
                <w:sz w:val="20"/>
                <w:szCs w:val="20"/>
              </w:rPr>
              <w:t>4Q</w:t>
            </w:r>
          </w:p>
        </w:tc>
        <w:tc>
          <w:tcPr>
            <w:tcW w:w="2100" w:type="dxa"/>
            <w:tcBorders>
              <w:top w:val="single" w:sz="6" w:space="0" w:color="CCCCCC"/>
              <w:left w:val="single" w:sz="6" w:space="0" w:color="CCCCCC"/>
              <w:bottom w:val="single" w:sz="18" w:space="0" w:color="000000" w:themeColor="text1"/>
              <w:right w:val="single" w:sz="6" w:space="0" w:color="000000" w:themeColor="text1"/>
            </w:tcBorders>
            <w:shd w:val="clear" w:color="auto" w:fill="auto"/>
            <w:tcMar>
              <w:top w:w="40" w:type="dxa"/>
              <w:left w:w="40" w:type="dxa"/>
              <w:bottom w:w="40" w:type="dxa"/>
              <w:right w:w="40" w:type="dxa"/>
            </w:tcMar>
          </w:tcPr>
          <w:p w14:paraId="7196D064" w14:textId="77777777" w:rsidR="007F2A07" w:rsidRPr="004B4B33" w:rsidRDefault="007F2A07" w:rsidP="007F2A07">
            <w:pPr>
              <w:widowControl w:val="0"/>
              <w:spacing w:before="0" w:after="0"/>
              <w:rPr>
                <w:rFonts w:asciiTheme="majorHAnsi" w:hAnsiTheme="majorHAnsi" w:cstheme="majorHAnsi"/>
                <w:sz w:val="20"/>
                <w:szCs w:val="20"/>
              </w:rPr>
            </w:pPr>
          </w:p>
        </w:tc>
        <w:tc>
          <w:tcPr>
            <w:tcW w:w="3060" w:type="dxa"/>
            <w:tcBorders>
              <w:top w:val="single" w:sz="6" w:space="0" w:color="CCCCCC"/>
              <w:left w:val="single" w:sz="6" w:space="0" w:color="CCCCCC"/>
              <w:bottom w:val="single" w:sz="18" w:space="0" w:color="000000" w:themeColor="text1"/>
              <w:right w:val="single" w:sz="6" w:space="0" w:color="CCCCCC"/>
            </w:tcBorders>
            <w:shd w:val="clear" w:color="auto" w:fill="FFFFFF" w:themeFill="background1"/>
            <w:tcMar>
              <w:top w:w="40" w:type="dxa"/>
              <w:left w:w="40" w:type="dxa"/>
              <w:bottom w:w="40" w:type="dxa"/>
              <w:right w:w="40" w:type="dxa"/>
            </w:tcMar>
          </w:tcPr>
          <w:p w14:paraId="34FF1C98" w14:textId="77777777" w:rsidR="007F2A07" w:rsidRPr="004B4B33" w:rsidRDefault="007F2A07" w:rsidP="007F2A07">
            <w:pPr>
              <w:widowControl w:val="0"/>
              <w:spacing w:before="0" w:after="0"/>
              <w:rPr>
                <w:rFonts w:asciiTheme="majorHAnsi" w:hAnsiTheme="majorHAnsi" w:cstheme="majorHAnsi"/>
                <w:sz w:val="20"/>
                <w:szCs w:val="20"/>
              </w:rPr>
            </w:pPr>
          </w:p>
        </w:tc>
        <w:tc>
          <w:tcPr>
            <w:tcW w:w="3585" w:type="dxa"/>
            <w:tcBorders>
              <w:top w:val="single" w:sz="6" w:space="0" w:color="CCCCCC"/>
              <w:left w:val="single" w:sz="6" w:space="0" w:color="CCCCCC"/>
              <w:bottom w:val="single" w:sz="18" w:space="0" w:color="000000" w:themeColor="text1"/>
              <w:right w:val="single" w:sz="18" w:space="0" w:color="000000" w:themeColor="text1"/>
            </w:tcBorders>
            <w:shd w:val="clear" w:color="auto" w:fill="FFFFFF" w:themeFill="background1"/>
            <w:tcMar>
              <w:top w:w="40" w:type="dxa"/>
              <w:left w:w="40" w:type="dxa"/>
              <w:bottom w:w="40" w:type="dxa"/>
              <w:right w:w="40" w:type="dxa"/>
            </w:tcMar>
          </w:tcPr>
          <w:p w14:paraId="6D072C0D" w14:textId="77777777" w:rsidR="007F2A07" w:rsidRPr="004B4B33" w:rsidRDefault="007F2A07" w:rsidP="007F2A07">
            <w:pPr>
              <w:widowControl w:val="0"/>
              <w:spacing w:before="0" w:after="0" w:line="240" w:lineRule="auto"/>
              <w:rPr>
                <w:rFonts w:asciiTheme="majorHAnsi" w:hAnsiTheme="majorHAnsi" w:cstheme="majorHAnsi"/>
                <w:sz w:val="20"/>
                <w:szCs w:val="20"/>
              </w:rPr>
            </w:pPr>
          </w:p>
        </w:tc>
      </w:tr>
    </w:tbl>
    <w:p w14:paraId="238601FE" w14:textId="4D14D0DC" w:rsidR="0042415F" w:rsidRPr="003804AC" w:rsidRDefault="0042415F" w:rsidP="003804AC">
      <w:pPr>
        <w:spacing w:before="240" w:after="240"/>
        <w:jc w:val="both"/>
        <w:rPr>
          <w:rFonts w:asciiTheme="majorHAnsi" w:hAnsiTheme="majorHAnsi" w:cstheme="majorBidi"/>
          <w:sz w:val="4"/>
          <w:szCs w:val="4"/>
        </w:rPr>
      </w:pPr>
    </w:p>
    <w:sectPr w:rsidR="0042415F" w:rsidRPr="003804AC" w:rsidSect="00187192">
      <w:footerReference w:type="default" r:id="rId11"/>
      <w:pgSz w:w="11906" w:h="16838"/>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CABC7" w14:textId="77777777" w:rsidR="000D7449" w:rsidRDefault="000D7449">
      <w:pPr>
        <w:spacing w:before="0" w:after="0" w:line="240" w:lineRule="auto"/>
      </w:pPr>
      <w:r>
        <w:separator/>
      </w:r>
    </w:p>
  </w:endnote>
  <w:endnote w:type="continuationSeparator" w:id="0">
    <w:p w14:paraId="5B08B5D1" w14:textId="77777777" w:rsidR="000D7449" w:rsidRDefault="000D744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Roboto Condensed">
    <w:altName w:val="Times New Roman"/>
    <w:charset w:val="00"/>
    <w:family w:val="auto"/>
    <w:pitch w:val="variable"/>
    <w:sig w:usb0="00000001" w:usb1="5000217F" w:usb2="00000021"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E58F48" w14:textId="77777777" w:rsidR="000D7449" w:rsidRDefault="000D7449">
    <w:pPr>
      <w:jc w:val="center"/>
    </w:pPr>
    <w:r>
      <w:fldChar w:fldCharType="begin"/>
    </w:r>
    <w:r>
      <w:instrText>PAGE</w:instrText>
    </w:r>
    <w:r>
      <w:fldChar w:fldCharType="separate"/>
    </w:r>
    <w:r>
      <w:rPr>
        <w:noProof/>
      </w:rPr>
      <w:t>33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DEB4AB" w14:textId="77777777" w:rsidR="000D7449" w:rsidRDefault="000D7449">
      <w:pPr>
        <w:spacing w:before="0" w:after="0" w:line="240" w:lineRule="auto"/>
      </w:pPr>
      <w:r>
        <w:separator/>
      </w:r>
    </w:p>
  </w:footnote>
  <w:footnote w:type="continuationSeparator" w:id="0">
    <w:p w14:paraId="0AD9C6F4" w14:textId="77777777" w:rsidR="000D7449" w:rsidRDefault="000D7449">
      <w:pPr>
        <w:spacing w:before="0" w:after="0" w:line="240" w:lineRule="auto"/>
      </w:pPr>
      <w:r>
        <w:continuationSeparator/>
      </w:r>
    </w:p>
  </w:footnote>
  <w:footnote w:id="1">
    <w:p w14:paraId="21722E2C" w14:textId="77777777" w:rsidR="000D7449" w:rsidRPr="003804AC" w:rsidRDefault="000D7449" w:rsidP="004B4B33">
      <w:pPr>
        <w:spacing w:before="0" w:after="0" w:line="240" w:lineRule="auto"/>
        <w:jc w:val="both"/>
        <w:rPr>
          <w:i/>
          <w:sz w:val="20"/>
          <w:szCs w:val="20"/>
          <w:lang w:val="en-US"/>
        </w:rPr>
      </w:pPr>
      <w:r>
        <w:rPr>
          <w:vertAlign w:val="superscript"/>
        </w:rPr>
        <w:footnoteRef/>
      </w:r>
      <w:r>
        <w:rPr>
          <w:sz w:val="20"/>
          <w:szCs w:val="20"/>
        </w:rPr>
        <w:t xml:space="preserve"> 2022 Country Report - </w:t>
      </w:r>
      <w:r w:rsidRPr="003804AC">
        <w:rPr>
          <w:sz w:val="20"/>
          <w:szCs w:val="20"/>
          <w:lang w:val="en-US"/>
        </w:rPr>
        <w:t xml:space="preserve">Czechia (Accompanying the document Recommendation for a COUNCIL RECOMMENDATION on the 2022 National Reform Programme of Czechia and delivering a Council opinion on the 2022 Convergence Programme of Czechia): </w:t>
      </w:r>
      <w:r w:rsidRPr="003804AC">
        <w:rPr>
          <w:i/>
          <w:sz w:val="20"/>
          <w:szCs w:val="20"/>
          <w:lang w:val="en-US"/>
        </w:rPr>
        <w:t>‘Housing affordability in Czechia has been among the lowest in the EU for the past 5 years (12). Acquiring property has become increasingly difficult for middle-income groups and young families, feeding the demand for rental property. (...) Affordability of housing is limited, in particular for low-income groups, due to the absence of a legal framework providing systemic support for social housing. (...) A broad reform ensuring adequate and affordable housing in Czechia is needed. As part of the reform efforts, incentivising the availability of land suitable for housing construction at municipal level, and the reconstruction and refurbishment of existing housing units can have positive effects on housing supply and prices.’</w:t>
      </w:r>
    </w:p>
  </w:footnote>
  <w:footnote w:id="2">
    <w:p w14:paraId="3DEE8373" w14:textId="77777777" w:rsidR="000D7449" w:rsidRDefault="000D7449" w:rsidP="003804AC">
      <w:pPr>
        <w:spacing w:before="0" w:after="0" w:line="240" w:lineRule="auto"/>
        <w:jc w:val="both"/>
        <w:rPr>
          <w:sz w:val="20"/>
          <w:szCs w:val="20"/>
        </w:rPr>
      </w:pPr>
      <w:r>
        <w:rPr>
          <w:vertAlign w:val="superscript"/>
        </w:rPr>
        <w:footnoteRef/>
      </w:r>
      <w:r>
        <w:rPr>
          <w:sz w:val="20"/>
          <w:szCs w:val="20"/>
        </w:rPr>
        <w:t xml:space="preserve"> Např. viz Metodika identifikace tržního selhání v oblasti bydlení (SÚ AV, ČVUT, 2019), výstupy OECD. Zahrnuje i odstranění cenových a právních deformací v segmentu nájemního bydlení.</w:t>
      </w:r>
    </w:p>
  </w:footnote>
  <w:footnote w:id="3">
    <w:p w14:paraId="5EA09F14" w14:textId="77777777" w:rsidR="000D7449" w:rsidRPr="002B1374" w:rsidRDefault="000D7449" w:rsidP="003804AC">
      <w:pPr>
        <w:pStyle w:val="Textpoznpodarou"/>
        <w:jc w:val="both"/>
      </w:pPr>
      <w:r>
        <w:rPr>
          <w:rStyle w:val="Znakapoznpodarou"/>
        </w:rPr>
        <w:footnoteRef/>
      </w:r>
      <w:r>
        <w:t xml:space="preserve"> Viz např. studie Hnutí Duha, podle které většina lidí v energetické chudobě bydlí ve vysoce energeticky náročných budovách. V případě bytových domů se to týká zejména lidí žijících v nájemních bytech. </w:t>
      </w:r>
      <w:r w:rsidRPr="00057831">
        <w:t>https://hnutiduha.cz/sites/default/files/publikace/2023/01/soc_bydleni_finalni_jedna_strana_opr.pdf</w:t>
      </w:r>
      <w:r>
        <w:t xml:space="preserve"> </w:t>
      </w:r>
    </w:p>
  </w:footnote>
  <w:footnote w:id="4">
    <w:p w14:paraId="0C594948" w14:textId="18BBC5D2" w:rsidR="000D7449" w:rsidRPr="00C470BE" w:rsidRDefault="000D7449" w:rsidP="003804AC">
      <w:pPr>
        <w:pStyle w:val="Textpoznpodarou"/>
        <w:jc w:val="both"/>
      </w:pPr>
      <w:r>
        <w:rPr>
          <w:rStyle w:val="Znakapoznpodarou"/>
        </w:rPr>
        <w:footnoteRef/>
      </w:r>
      <w:r>
        <w:t xml:space="preserve"> Mezi </w:t>
      </w:r>
      <w:r w:rsidRPr="003070F6">
        <w:t>listopadem 2021 a 2022</w:t>
      </w:r>
      <w:r>
        <w:t xml:space="preserve"> se d</w:t>
      </w:r>
      <w:r w:rsidRPr="003070F6">
        <w:t xml:space="preserve">omácnostem pod hranicí </w:t>
      </w:r>
      <w:r w:rsidR="003804AC" w:rsidRPr="003070F6">
        <w:t>chudoby výdaje</w:t>
      </w:r>
      <w:r w:rsidRPr="003070F6">
        <w:t xml:space="preserve"> na bydlení a energie zvýšily o deset procent, vysokopříjmovým jen o čtyři procenta</w:t>
      </w:r>
      <w:r>
        <w:t>.</w:t>
      </w:r>
      <w:r w:rsidRPr="003070F6">
        <w:t xml:space="preserve"> </w:t>
      </w:r>
      <w:r w:rsidR="003804AC">
        <w:t>Zdroj: PAQ</w:t>
      </w:r>
      <w:r w:rsidRPr="003070F6">
        <w:t xml:space="preserve"> Research</w:t>
      </w:r>
      <w:r>
        <w:t xml:space="preserve">, </w:t>
      </w:r>
      <w:r w:rsidRPr="003070F6">
        <w:t>https://data.irozhlas.cz/zivot/vydaje-procenta/.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55275"/>
    <w:multiLevelType w:val="hybridMultilevel"/>
    <w:tmpl w:val="CF4AE01E"/>
    <w:lvl w:ilvl="0" w:tplc="303A7736">
      <w:start w:val="7"/>
      <w:numFmt w:val="bullet"/>
      <w:lvlText w:val="-"/>
      <w:lvlJc w:val="left"/>
      <w:pPr>
        <w:ind w:left="966" w:hanging="850"/>
      </w:pPr>
      <w:rPr>
        <w:rFonts w:ascii="Roboto Condensed" w:eastAsia="Roboto Condensed" w:hAnsi="Roboto Condensed" w:cs="Roboto Condensed" w:hint="default"/>
        <w:w w:val="100"/>
        <w:sz w:val="24"/>
        <w:szCs w:val="24"/>
        <w:lang w:val="cs-CZ" w:eastAsia="en-US" w:bidi="ar-SA"/>
      </w:rPr>
    </w:lvl>
    <w:lvl w:ilvl="1" w:tplc="ECCAA4F4">
      <w:numFmt w:val="bullet"/>
      <w:lvlText w:val="•"/>
      <w:lvlJc w:val="left"/>
      <w:pPr>
        <w:ind w:left="1794" w:hanging="850"/>
      </w:pPr>
      <w:rPr>
        <w:rFonts w:hint="default"/>
        <w:lang w:val="cs-CZ" w:eastAsia="en-US" w:bidi="ar-SA"/>
      </w:rPr>
    </w:lvl>
    <w:lvl w:ilvl="2" w:tplc="A95E16C4">
      <w:numFmt w:val="bullet"/>
      <w:lvlText w:val="•"/>
      <w:lvlJc w:val="left"/>
      <w:pPr>
        <w:ind w:left="2629" w:hanging="850"/>
      </w:pPr>
      <w:rPr>
        <w:rFonts w:hint="default"/>
        <w:lang w:val="cs-CZ" w:eastAsia="en-US" w:bidi="ar-SA"/>
      </w:rPr>
    </w:lvl>
    <w:lvl w:ilvl="3" w:tplc="D94A74DC">
      <w:numFmt w:val="bullet"/>
      <w:lvlText w:val="•"/>
      <w:lvlJc w:val="left"/>
      <w:pPr>
        <w:ind w:left="3463" w:hanging="850"/>
      </w:pPr>
      <w:rPr>
        <w:rFonts w:hint="default"/>
        <w:lang w:val="cs-CZ" w:eastAsia="en-US" w:bidi="ar-SA"/>
      </w:rPr>
    </w:lvl>
    <w:lvl w:ilvl="4" w:tplc="A13AA534">
      <w:numFmt w:val="bullet"/>
      <w:lvlText w:val="•"/>
      <w:lvlJc w:val="left"/>
      <w:pPr>
        <w:ind w:left="4298" w:hanging="850"/>
      </w:pPr>
      <w:rPr>
        <w:rFonts w:hint="default"/>
        <w:lang w:val="cs-CZ" w:eastAsia="en-US" w:bidi="ar-SA"/>
      </w:rPr>
    </w:lvl>
    <w:lvl w:ilvl="5" w:tplc="65C8287E">
      <w:numFmt w:val="bullet"/>
      <w:lvlText w:val="•"/>
      <w:lvlJc w:val="left"/>
      <w:pPr>
        <w:ind w:left="5133" w:hanging="850"/>
      </w:pPr>
      <w:rPr>
        <w:rFonts w:hint="default"/>
        <w:lang w:val="cs-CZ" w:eastAsia="en-US" w:bidi="ar-SA"/>
      </w:rPr>
    </w:lvl>
    <w:lvl w:ilvl="6" w:tplc="B30EA5F6">
      <w:numFmt w:val="bullet"/>
      <w:lvlText w:val="•"/>
      <w:lvlJc w:val="left"/>
      <w:pPr>
        <w:ind w:left="5967" w:hanging="850"/>
      </w:pPr>
      <w:rPr>
        <w:rFonts w:hint="default"/>
        <w:lang w:val="cs-CZ" w:eastAsia="en-US" w:bidi="ar-SA"/>
      </w:rPr>
    </w:lvl>
    <w:lvl w:ilvl="7" w:tplc="7786AD04">
      <w:numFmt w:val="bullet"/>
      <w:lvlText w:val="•"/>
      <w:lvlJc w:val="left"/>
      <w:pPr>
        <w:ind w:left="6802" w:hanging="850"/>
      </w:pPr>
      <w:rPr>
        <w:rFonts w:hint="default"/>
        <w:lang w:val="cs-CZ" w:eastAsia="en-US" w:bidi="ar-SA"/>
      </w:rPr>
    </w:lvl>
    <w:lvl w:ilvl="8" w:tplc="E1DEBE00">
      <w:numFmt w:val="bullet"/>
      <w:lvlText w:val="•"/>
      <w:lvlJc w:val="left"/>
      <w:pPr>
        <w:ind w:left="7637" w:hanging="850"/>
      </w:pPr>
      <w:rPr>
        <w:rFonts w:hint="default"/>
        <w:lang w:val="cs-CZ" w:eastAsia="en-US" w:bidi="ar-SA"/>
      </w:rPr>
    </w:lvl>
  </w:abstractNum>
  <w:abstractNum w:abstractNumId="1" w15:restartNumberingAfterBreak="0">
    <w:nsid w:val="0B3A6BBA"/>
    <w:multiLevelType w:val="hybridMultilevel"/>
    <w:tmpl w:val="1C0EB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E2257"/>
    <w:multiLevelType w:val="multilevel"/>
    <w:tmpl w:val="57A4C1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4F06835"/>
    <w:multiLevelType w:val="multilevel"/>
    <w:tmpl w:val="EC2045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5A76249"/>
    <w:multiLevelType w:val="multilevel"/>
    <w:tmpl w:val="AFB8D5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6126F51"/>
    <w:multiLevelType w:val="multilevel"/>
    <w:tmpl w:val="961AEB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89962E4"/>
    <w:multiLevelType w:val="multilevel"/>
    <w:tmpl w:val="2FC29D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1B444689"/>
    <w:multiLevelType w:val="multilevel"/>
    <w:tmpl w:val="75C8E0D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8" w15:restartNumberingAfterBreak="0">
    <w:nsid w:val="1DF7315C"/>
    <w:multiLevelType w:val="multilevel"/>
    <w:tmpl w:val="8954F0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F6E058B"/>
    <w:multiLevelType w:val="multilevel"/>
    <w:tmpl w:val="89BEB19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F733165"/>
    <w:multiLevelType w:val="multilevel"/>
    <w:tmpl w:val="3CE80D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17D6627"/>
    <w:multiLevelType w:val="multilevel"/>
    <w:tmpl w:val="8274430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32F34FF7"/>
    <w:multiLevelType w:val="multilevel"/>
    <w:tmpl w:val="F2985BD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33114F60"/>
    <w:multiLevelType w:val="multilevel"/>
    <w:tmpl w:val="9C92191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3447500C"/>
    <w:multiLevelType w:val="multilevel"/>
    <w:tmpl w:val="2B02681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36910DA1"/>
    <w:multiLevelType w:val="multilevel"/>
    <w:tmpl w:val="F1B653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00125A9"/>
    <w:multiLevelType w:val="multilevel"/>
    <w:tmpl w:val="05EC6E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49A785B"/>
    <w:multiLevelType w:val="hybridMultilevel"/>
    <w:tmpl w:val="040C7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B636D5"/>
    <w:multiLevelType w:val="multilevel"/>
    <w:tmpl w:val="8CC61A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B542AE3"/>
    <w:multiLevelType w:val="multilevel"/>
    <w:tmpl w:val="F3D4C114"/>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C144EE1"/>
    <w:multiLevelType w:val="hybridMultilevel"/>
    <w:tmpl w:val="5BE02B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A70CC1"/>
    <w:multiLevelType w:val="multilevel"/>
    <w:tmpl w:val="FBFC7F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02F7087"/>
    <w:multiLevelType w:val="multilevel"/>
    <w:tmpl w:val="6E565FD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3" w15:restartNumberingAfterBreak="0">
    <w:nsid w:val="52DB59FB"/>
    <w:multiLevelType w:val="multilevel"/>
    <w:tmpl w:val="5254B54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32D23BC"/>
    <w:multiLevelType w:val="hybridMultilevel"/>
    <w:tmpl w:val="8F041B98"/>
    <w:lvl w:ilvl="0" w:tplc="0405000F">
      <w:start w:val="1"/>
      <w:numFmt w:val="decimal"/>
      <w:lvlText w:val="%1."/>
      <w:lvlJc w:val="left"/>
      <w:pPr>
        <w:ind w:left="720"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5" w15:restartNumberingAfterBreak="0">
    <w:nsid w:val="537D324F"/>
    <w:multiLevelType w:val="multilevel"/>
    <w:tmpl w:val="65525E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57593A26"/>
    <w:multiLevelType w:val="multilevel"/>
    <w:tmpl w:val="0DBE9C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61A12F8E"/>
    <w:multiLevelType w:val="multilevel"/>
    <w:tmpl w:val="47480E6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8" w15:restartNumberingAfterBreak="0">
    <w:nsid w:val="699F4CF4"/>
    <w:multiLevelType w:val="multilevel"/>
    <w:tmpl w:val="C9CE58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69E6743D"/>
    <w:multiLevelType w:val="multilevel"/>
    <w:tmpl w:val="1F7654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71ED63D3"/>
    <w:multiLevelType w:val="multilevel"/>
    <w:tmpl w:val="BAE8FE9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15:restartNumberingAfterBreak="0">
    <w:nsid w:val="72016783"/>
    <w:multiLevelType w:val="multilevel"/>
    <w:tmpl w:val="B8727E5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2" w15:restartNumberingAfterBreak="0">
    <w:nsid w:val="75964535"/>
    <w:multiLevelType w:val="hybridMultilevel"/>
    <w:tmpl w:val="414E9E82"/>
    <w:lvl w:ilvl="0" w:tplc="FFFFFFFF">
      <w:start w:val="7"/>
      <w:numFmt w:val="bullet"/>
      <w:lvlText w:val="-"/>
      <w:lvlJc w:val="left"/>
      <w:pPr>
        <w:ind w:left="720" w:hanging="360"/>
      </w:pPr>
      <w:rPr>
        <w:rFonts w:ascii="Roboto Condensed" w:hAnsi="Roboto Condensed"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96E4EA0"/>
    <w:multiLevelType w:val="multilevel"/>
    <w:tmpl w:val="12F6A54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4" w15:restartNumberingAfterBreak="0">
    <w:nsid w:val="7B106AAA"/>
    <w:multiLevelType w:val="multilevel"/>
    <w:tmpl w:val="7B9EDB7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5" w15:restartNumberingAfterBreak="0">
    <w:nsid w:val="7E414906"/>
    <w:multiLevelType w:val="multilevel"/>
    <w:tmpl w:val="587036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ED92DBA"/>
    <w:multiLevelType w:val="multilevel"/>
    <w:tmpl w:val="F7F28E80"/>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37" w15:restartNumberingAfterBreak="0">
    <w:nsid w:val="7F012F11"/>
    <w:multiLevelType w:val="multilevel"/>
    <w:tmpl w:val="D31691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7"/>
  </w:num>
  <w:num w:numId="2">
    <w:abstractNumId w:val="35"/>
  </w:num>
  <w:num w:numId="3">
    <w:abstractNumId w:val="16"/>
  </w:num>
  <w:num w:numId="4">
    <w:abstractNumId w:val="30"/>
  </w:num>
  <w:num w:numId="5">
    <w:abstractNumId w:val="5"/>
  </w:num>
  <w:num w:numId="6">
    <w:abstractNumId w:val="6"/>
  </w:num>
  <w:num w:numId="7">
    <w:abstractNumId w:val="22"/>
  </w:num>
  <w:num w:numId="8">
    <w:abstractNumId w:val="25"/>
  </w:num>
  <w:num w:numId="9">
    <w:abstractNumId w:val="27"/>
  </w:num>
  <w:num w:numId="10">
    <w:abstractNumId w:val="34"/>
  </w:num>
  <w:num w:numId="11">
    <w:abstractNumId w:val="4"/>
  </w:num>
  <w:num w:numId="12">
    <w:abstractNumId w:val="26"/>
  </w:num>
  <w:num w:numId="13">
    <w:abstractNumId w:val="36"/>
  </w:num>
  <w:num w:numId="14">
    <w:abstractNumId w:val="7"/>
  </w:num>
  <w:num w:numId="15">
    <w:abstractNumId w:val="18"/>
  </w:num>
  <w:num w:numId="16">
    <w:abstractNumId w:val="3"/>
  </w:num>
  <w:num w:numId="17">
    <w:abstractNumId w:val="15"/>
  </w:num>
  <w:num w:numId="18">
    <w:abstractNumId w:val="11"/>
  </w:num>
  <w:num w:numId="19">
    <w:abstractNumId w:val="14"/>
  </w:num>
  <w:num w:numId="20">
    <w:abstractNumId w:val="2"/>
  </w:num>
  <w:num w:numId="21">
    <w:abstractNumId w:val="31"/>
  </w:num>
  <w:num w:numId="22">
    <w:abstractNumId w:val="8"/>
  </w:num>
  <w:num w:numId="23">
    <w:abstractNumId w:val="19"/>
  </w:num>
  <w:num w:numId="24">
    <w:abstractNumId w:val="9"/>
  </w:num>
  <w:num w:numId="25">
    <w:abstractNumId w:val="10"/>
  </w:num>
  <w:num w:numId="26">
    <w:abstractNumId w:val="12"/>
  </w:num>
  <w:num w:numId="27">
    <w:abstractNumId w:val="33"/>
  </w:num>
  <w:num w:numId="28">
    <w:abstractNumId w:val="23"/>
  </w:num>
  <w:num w:numId="29">
    <w:abstractNumId w:val="21"/>
  </w:num>
  <w:num w:numId="30">
    <w:abstractNumId w:val="28"/>
  </w:num>
  <w:num w:numId="31">
    <w:abstractNumId w:val="13"/>
  </w:num>
  <w:num w:numId="32">
    <w:abstractNumId w:val="29"/>
  </w:num>
  <w:num w:numId="33">
    <w:abstractNumId w:val="17"/>
  </w:num>
  <w:num w:numId="34">
    <w:abstractNumId w:val="32"/>
  </w:num>
  <w:num w:numId="35">
    <w:abstractNumId w:val="0"/>
  </w:num>
  <w:num w:numId="36">
    <w:abstractNumId w:val="24"/>
  </w:num>
  <w:num w:numId="37">
    <w:abstractNumId w:val="1"/>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displayBackgroundShape/>
  <w:proofState w:spelling="clean" w:grammar="clean"/>
  <w:defaultTabStop w:val="720"/>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415F"/>
    <w:rsid w:val="00057831"/>
    <w:rsid w:val="000A1CE7"/>
    <w:rsid w:val="000D6B76"/>
    <w:rsid w:val="000D7449"/>
    <w:rsid w:val="00187192"/>
    <w:rsid w:val="001A5271"/>
    <w:rsid w:val="001A6A1F"/>
    <w:rsid w:val="001B24E1"/>
    <w:rsid w:val="001D082B"/>
    <w:rsid w:val="001E47B7"/>
    <w:rsid w:val="002008E1"/>
    <w:rsid w:val="00222E51"/>
    <w:rsid w:val="0022724F"/>
    <w:rsid w:val="002A3F52"/>
    <w:rsid w:val="002B1374"/>
    <w:rsid w:val="002F70DA"/>
    <w:rsid w:val="003070F6"/>
    <w:rsid w:val="0031089B"/>
    <w:rsid w:val="00310F92"/>
    <w:rsid w:val="0034482C"/>
    <w:rsid w:val="003804AC"/>
    <w:rsid w:val="003E45B4"/>
    <w:rsid w:val="00410795"/>
    <w:rsid w:val="00414AA8"/>
    <w:rsid w:val="0042415F"/>
    <w:rsid w:val="004292E1"/>
    <w:rsid w:val="00446A7E"/>
    <w:rsid w:val="00460B1D"/>
    <w:rsid w:val="004B4B33"/>
    <w:rsid w:val="004D59AC"/>
    <w:rsid w:val="00504571"/>
    <w:rsid w:val="00533C9A"/>
    <w:rsid w:val="00540ADC"/>
    <w:rsid w:val="0059738D"/>
    <w:rsid w:val="005B059D"/>
    <w:rsid w:val="005B437B"/>
    <w:rsid w:val="005D2BF6"/>
    <w:rsid w:val="005E1CA1"/>
    <w:rsid w:val="005F5C76"/>
    <w:rsid w:val="00607F7A"/>
    <w:rsid w:val="00611545"/>
    <w:rsid w:val="00611803"/>
    <w:rsid w:val="006225D8"/>
    <w:rsid w:val="00631EC1"/>
    <w:rsid w:val="00647645"/>
    <w:rsid w:val="00666A9B"/>
    <w:rsid w:val="00691FE5"/>
    <w:rsid w:val="0072358F"/>
    <w:rsid w:val="00746BC1"/>
    <w:rsid w:val="00794068"/>
    <w:rsid w:val="007B5514"/>
    <w:rsid w:val="007E4B81"/>
    <w:rsid w:val="007F2A07"/>
    <w:rsid w:val="00813C6B"/>
    <w:rsid w:val="0085567A"/>
    <w:rsid w:val="00893654"/>
    <w:rsid w:val="00897837"/>
    <w:rsid w:val="008A01D4"/>
    <w:rsid w:val="008B7FE4"/>
    <w:rsid w:val="00916439"/>
    <w:rsid w:val="009370EB"/>
    <w:rsid w:val="009715ED"/>
    <w:rsid w:val="00981E02"/>
    <w:rsid w:val="009A13D2"/>
    <w:rsid w:val="009D2BB6"/>
    <w:rsid w:val="009D3ECE"/>
    <w:rsid w:val="00A10AD9"/>
    <w:rsid w:val="00AA7DF0"/>
    <w:rsid w:val="00AF39BB"/>
    <w:rsid w:val="00B1208B"/>
    <w:rsid w:val="00B15941"/>
    <w:rsid w:val="00B228E1"/>
    <w:rsid w:val="00B925B8"/>
    <w:rsid w:val="00BB578B"/>
    <w:rsid w:val="00C124D4"/>
    <w:rsid w:val="00C827F6"/>
    <w:rsid w:val="00CC1F25"/>
    <w:rsid w:val="00CF3678"/>
    <w:rsid w:val="00CF515E"/>
    <w:rsid w:val="00D02678"/>
    <w:rsid w:val="00D24957"/>
    <w:rsid w:val="00D34C24"/>
    <w:rsid w:val="00D5786F"/>
    <w:rsid w:val="00D67E48"/>
    <w:rsid w:val="00DD7370"/>
    <w:rsid w:val="00E33150"/>
    <w:rsid w:val="00E3657A"/>
    <w:rsid w:val="00E740B2"/>
    <w:rsid w:val="00E74A23"/>
    <w:rsid w:val="00E82E67"/>
    <w:rsid w:val="00E90DF0"/>
    <w:rsid w:val="00E94A83"/>
    <w:rsid w:val="00EA6A7C"/>
    <w:rsid w:val="00EC0139"/>
    <w:rsid w:val="00F03FC4"/>
    <w:rsid w:val="00F325CD"/>
    <w:rsid w:val="00FA4ED5"/>
    <w:rsid w:val="00FB7ADA"/>
    <w:rsid w:val="00FE2B6A"/>
    <w:rsid w:val="012A4095"/>
    <w:rsid w:val="01FDF639"/>
    <w:rsid w:val="020DB1D3"/>
    <w:rsid w:val="0227B752"/>
    <w:rsid w:val="0258BAE7"/>
    <w:rsid w:val="0333991E"/>
    <w:rsid w:val="0335F2C6"/>
    <w:rsid w:val="0399C69A"/>
    <w:rsid w:val="0526D0F3"/>
    <w:rsid w:val="06318139"/>
    <w:rsid w:val="06737F49"/>
    <w:rsid w:val="073438A8"/>
    <w:rsid w:val="089602A0"/>
    <w:rsid w:val="08AA55D8"/>
    <w:rsid w:val="091C2A1D"/>
    <w:rsid w:val="0988FD6C"/>
    <w:rsid w:val="0A784E06"/>
    <w:rsid w:val="0C2D23A2"/>
    <w:rsid w:val="0CD38464"/>
    <w:rsid w:val="0D2ED691"/>
    <w:rsid w:val="0E2A20C9"/>
    <w:rsid w:val="11B40FCB"/>
    <w:rsid w:val="1261A247"/>
    <w:rsid w:val="13BC0EF7"/>
    <w:rsid w:val="155C1049"/>
    <w:rsid w:val="155D97AC"/>
    <w:rsid w:val="15E50D68"/>
    <w:rsid w:val="15F7F618"/>
    <w:rsid w:val="167A92D3"/>
    <w:rsid w:val="16D1700B"/>
    <w:rsid w:val="16F9680D"/>
    <w:rsid w:val="179E6B0C"/>
    <w:rsid w:val="17BF62AF"/>
    <w:rsid w:val="1821DC6D"/>
    <w:rsid w:val="1909F9FE"/>
    <w:rsid w:val="193A3B6D"/>
    <w:rsid w:val="1ABE2A95"/>
    <w:rsid w:val="1ACA7B78"/>
    <w:rsid w:val="1ACEDA79"/>
    <w:rsid w:val="1B43E89D"/>
    <w:rsid w:val="1B4E0B12"/>
    <w:rsid w:val="1B7771B3"/>
    <w:rsid w:val="1E316740"/>
    <w:rsid w:val="1E379265"/>
    <w:rsid w:val="1E8D6615"/>
    <w:rsid w:val="1EAE14DF"/>
    <w:rsid w:val="1F3AD02E"/>
    <w:rsid w:val="1F58801D"/>
    <w:rsid w:val="2093F198"/>
    <w:rsid w:val="20BF4960"/>
    <w:rsid w:val="2168BE63"/>
    <w:rsid w:val="2331F52E"/>
    <w:rsid w:val="233FF8FA"/>
    <w:rsid w:val="25DC6EED"/>
    <w:rsid w:val="2601735E"/>
    <w:rsid w:val="2685A580"/>
    <w:rsid w:val="27057EDF"/>
    <w:rsid w:val="27602EC6"/>
    <w:rsid w:val="277F3D05"/>
    <w:rsid w:val="27C9837E"/>
    <w:rsid w:val="2807D2A1"/>
    <w:rsid w:val="281B1FFE"/>
    <w:rsid w:val="28C91B11"/>
    <w:rsid w:val="28FC06A4"/>
    <w:rsid w:val="2984D530"/>
    <w:rsid w:val="2B012440"/>
    <w:rsid w:val="2B5C9D70"/>
    <w:rsid w:val="2BC6CA2E"/>
    <w:rsid w:val="2D59DD7A"/>
    <w:rsid w:val="2E584653"/>
    <w:rsid w:val="2EA61995"/>
    <w:rsid w:val="2EA6D833"/>
    <w:rsid w:val="2EBB4D1C"/>
    <w:rsid w:val="2EF326C5"/>
    <w:rsid w:val="2FB2329B"/>
    <w:rsid w:val="2FD53E39"/>
    <w:rsid w:val="313C23B9"/>
    <w:rsid w:val="326428B7"/>
    <w:rsid w:val="32F4AF23"/>
    <w:rsid w:val="32F4BB7D"/>
    <w:rsid w:val="33D1DC13"/>
    <w:rsid w:val="3444358F"/>
    <w:rsid w:val="354B1389"/>
    <w:rsid w:val="359AA752"/>
    <w:rsid w:val="35E8E2DE"/>
    <w:rsid w:val="364BC46D"/>
    <w:rsid w:val="372E30A8"/>
    <w:rsid w:val="3946B31B"/>
    <w:rsid w:val="3988B390"/>
    <w:rsid w:val="3ABB3289"/>
    <w:rsid w:val="3AE2837C"/>
    <w:rsid w:val="3B6B7440"/>
    <w:rsid w:val="3BDCEDF8"/>
    <w:rsid w:val="3CD127E2"/>
    <w:rsid w:val="3CE63D0B"/>
    <w:rsid w:val="3D78BE59"/>
    <w:rsid w:val="3E00FBE1"/>
    <w:rsid w:val="3F94483F"/>
    <w:rsid w:val="3FDC38D0"/>
    <w:rsid w:val="40122804"/>
    <w:rsid w:val="41389CA3"/>
    <w:rsid w:val="417DD3B5"/>
    <w:rsid w:val="42B38C24"/>
    <w:rsid w:val="45A52D6A"/>
    <w:rsid w:val="45F51332"/>
    <w:rsid w:val="46AF00C5"/>
    <w:rsid w:val="4895F066"/>
    <w:rsid w:val="48C8C541"/>
    <w:rsid w:val="4943AE88"/>
    <w:rsid w:val="4966BBAE"/>
    <w:rsid w:val="49E96884"/>
    <w:rsid w:val="4A67EE63"/>
    <w:rsid w:val="4B0D8A6E"/>
    <w:rsid w:val="4BBE2511"/>
    <w:rsid w:val="4C634DFF"/>
    <w:rsid w:val="4CB2A4E6"/>
    <w:rsid w:val="4D117457"/>
    <w:rsid w:val="4D5D53DD"/>
    <w:rsid w:val="4F4B7F86"/>
    <w:rsid w:val="4F645A78"/>
    <w:rsid w:val="50B18881"/>
    <w:rsid w:val="535E2CD5"/>
    <w:rsid w:val="53D5750A"/>
    <w:rsid w:val="548F18D8"/>
    <w:rsid w:val="54E3B632"/>
    <w:rsid w:val="557A2422"/>
    <w:rsid w:val="566CD4D5"/>
    <w:rsid w:val="56B540EF"/>
    <w:rsid w:val="5750678E"/>
    <w:rsid w:val="5752A697"/>
    <w:rsid w:val="58523E2A"/>
    <w:rsid w:val="5AA9C8AA"/>
    <w:rsid w:val="5AAAEA48"/>
    <w:rsid w:val="5AB0A143"/>
    <w:rsid w:val="5B41DABB"/>
    <w:rsid w:val="5B695CED"/>
    <w:rsid w:val="5BBA759D"/>
    <w:rsid w:val="5C2273FB"/>
    <w:rsid w:val="5CEBBDA8"/>
    <w:rsid w:val="5D052D4E"/>
    <w:rsid w:val="5D961762"/>
    <w:rsid w:val="5E157CD9"/>
    <w:rsid w:val="6029354E"/>
    <w:rsid w:val="6044560D"/>
    <w:rsid w:val="608F1C50"/>
    <w:rsid w:val="60FBF60A"/>
    <w:rsid w:val="621D08A5"/>
    <w:rsid w:val="622AECB1"/>
    <w:rsid w:val="6305481F"/>
    <w:rsid w:val="6309D403"/>
    <w:rsid w:val="632ABDBD"/>
    <w:rsid w:val="635AFF2C"/>
    <w:rsid w:val="643DC888"/>
    <w:rsid w:val="6539CB71"/>
    <w:rsid w:val="65AF415F"/>
    <w:rsid w:val="67FCC870"/>
    <w:rsid w:val="69E1ADD6"/>
    <w:rsid w:val="69F97ECD"/>
    <w:rsid w:val="6A39EF3D"/>
    <w:rsid w:val="6A834724"/>
    <w:rsid w:val="6B22DCF7"/>
    <w:rsid w:val="6BE5CA96"/>
    <w:rsid w:val="6CD744BE"/>
    <w:rsid w:val="6CE1EBC0"/>
    <w:rsid w:val="6D16D61A"/>
    <w:rsid w:val="6E978CCD"/>
    <w:rsid w:val="6ED98651"/>
    <w:rsid w:val="6FE3E6E3"/>
    <w:rsid w:val="7033A18F"/>
    <w:rsid w:val="708FA166"/>
    <w:rsid w:val="70C1BFBC"/>
    <w:rsid w:val="7123CA92"/>
    <w:rsid w:val="717B3A41"/>
    <w:rsid w:val="748DC80F"/>
    <w:rsid w:val="74A2CFAD"/>
    <w:rsid w:val="75FB48C4"/>
    <w:rsid w:val="76CA20E4"/>
    <w:rsid w:val="78F8E056"/>
    <w:rsid w:val="7A980642"/>
    <w:rsid w:val="7B760D13"/>
    <w:rsid w:val="7BD2BB5B"/>
    <w:rsid w:val="7C2B4D90"/>
    <w:rsid w:val="7C4665A9"/>
    <w:rsid w:val="7ED0B7CB"/>
    <w:rsid w:val="7F8E70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4:docId w14:val="2F9A44C6"/>
  <w15:docId w15:val="{29186BA0-CA3B-474D-A846-C7CC81FDC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Roboto Condensed" w:eastAsia="Roboto Condensed" w:hAnsi="Roboto Condensed" w:cs="Roboto Condensed"/>
        <w:sz w:val="22"/>
        <w:szCs w:val="22"/>
        <w:lang w:val="cs-CZ" w:eastAsia="cs-CZ" w:bidi="ar-SA"/>
      </w:rPr>
    </w:rPrDefault>
    <w:pPrDefault>
      <w:pPr>
        <w:spacing w:before="120" w:after="12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87192"/>
  </w:style>
  <w:style w:type="paragraph" w:styleId="Nadpis1">
    <w:name w:val="heading 1"/>
    <w:basedOn w:val="Normln"/>
    <w:next w:val="Normln"/>
    <w:uiPriority w:val="9"/>
    <w:qFormat/>
    <w:rsid w:val="00187192"/>
    <w:pPr>
      <w:keepNext/>
      <w:keepLines/>
      <w:spacing w:before="400"/>
      <w:outlineLvl w:val="0"/>
    </w:pPr>
    <w:rPr>
      <w:sz w:val="40"/>
      <w:szCs w:val="40"/>
    </w:rPr>
  </w:style>
  <w:style w:type="paragraph" w:styleId="Nadpis2">
    <w:name w:val="heading 2"/>
    <w:basedOn w:val="Normln"/>
    <w:next w:val="Normln"/>
    <w:uiPriority w:val="9"/>
    <w:semiHidden/>
    <w:unhideWhenUsed/>
    <w:qFormat/>
    <w:rsid w:val="00187192"/>
    <w:pPr>
      <w:keepNext/>
      <w:keepLines/>
      <w:spacing w:before="360"/>
      <w:outlineLvl w:val="1"/>
    </w:pPr>
    <w:rPr>
      <w:sz w:val="32"/>
      <w:szCs w:val="32"/>
    </w:rPr>
  </w:style>
  <w:style w:type="paragraph" w:styleId="Nadpis3">
    <w:name w:val="heading 3"/>
    <w:basedOn w:val="Normln"/>
    <w:next w:val="Normln"/>
    <w:uiPriority w:val="9"/>
    <w:semiHidden/>
    <w:unhideWhenUsed/>
    <w:qFormat/>
    <w:rsid w:val="00187192"/>
    <w:pPr>
      <w:keepNext/>
      <w:keepLines/>
      <w:spacing w:before="320" w:after="80"/>
      <w:outlineLvl w:val="2"/>
    </w:pPr>
    <w:rPr>
      <w:color w:val="434343"/>
      <w:sz w:val="28"/>
      <w:szCs w:val="28"/>
    </w:rPr>
  </w:style>
  <w:style w:type="paragraph" w:styleId="Nadpis4">
    <w:name w:val="heading 4"/>
    <w:basedOn w:val="Normln"/>
    <w:next w:val="Normln"/>
    <w:uiPriority w:val="9"/>
    <w:semiHidden/>
    <w:unhideWhenUsed/>
    <w:qFormat/>
    <w:rsid w:val="00187192"/>
    <w:pPr>
      <w:keepNext/>
      <w:keepLines/>
      <w:spacing w:before="280" w:after="80"/>
      <w:outlineLvl w:val="3"/>
    </w:pPr>
    <w:rPr>
      <w:color w:val="666666"/>
      <w:sz w:val="24"/>
      <w:szCs w:val="24"/>
    </w:rPr>
  </w:style>
  <w:style w:type="paragraph" w:styleId="Nadpis5">
    <w:name w:val="heading 5"/>
    <w:basedOn w:val="Normln"/>
    <w:next w:val="Normln"/>
    <w:uiPriority w:val="9"/>
    <w:semiHidden/>
    <w:unhideWhenUsed/>
    <w:qFormat/>
    <w:rsid w:val="00187192"/>
    <w:pPr>
      <w:keepNext/>
      <w:keepLines/>
      <w:spacing w:before="240" w:after="80"/>
      <w:outlineLvl w:val="4"/>
    </w:pPr>
    <w:rPr>
      <w:color w:val="666666"/>
    </w:rPr>
  </w:style>
  <w:style w:type="paragraph" w:styleId="Nadpis6">
    <w:name w:val="heading 6"/>
    <w:basedOn w:val="Normln"/>
    <w:next w:val="Normln"/>
    <w:uiPriority w:val="9"/>
    <w:semiHidden/>
    <w:unhideWhenUsed/>
    <w:qFormat/>
    <w:rsid w:val="00187192"/>
    <w:pPr>
      <w:keepNext/>
      <w:keepLines/>
      <w:spacing w:before="240" w:after="80"/>
      <w:outlineLvl w:val="5"/>
    </w:pPr>
    <w:rPr>
      <w:i/>
      <w:color w:val="66666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NormalTable0">
    <w:name w:val="Normal Table0"/>
    <w:rsid w:val="00187192"/>
    <w:tblPr>
      <w:tblCellMar>
        <w:top w:w="0" w:type="dxa"/>
        <w:left w:w="0" w:type="dxa"/>
        <w:bottom w:w="0" w:type="dxa"/>
        <w:right w:w="0" w:type="dxa"/>
      </w:tblCellMar>
    </w:tblPr>
  </w:style>
  <w:style w:type="paragraph" w:styleId="Nzev">
    <w:name w:val="Title"/>
    <w:basedOn w:val="Normln"/>
    <w:next w:val="Normln"/>
    <w:uiPriority w:val="10"/>
    <w:qFormat/>
    <w:rsid w:val="00187192"/>
    <w:pPr>
      <w:keepNext/>
      <w:keepLines/>
      <w:spacing w:before="0" w:after="60"/>
    </w:pPr>
    <w:rPr>
      <w:sz w:val="52"/>
      <w:szCs w:val="52"/>
    </w:rPr>
  </w:style>
  <w:style w:type="paragraph" w:styleId="Podnadpis">
    <w:name w:val="Subtitle"/>
    <w:basedOn w:val="Normln"/>
    <w:next w:val="Normln"/>
    <w:uiPriority w:val="11"/>
    <w:qFormat/>
    <w:rsid w:val="00187192"/>
    <w:pPr>
      <w:keepNext/>
      <w:keepLines/>
      <w:spacing w:before="0" w:after="320"/>
    </w:pPr>
    <w:rPr>
      <w:rFonts w:ascii="Arial" w:eastAsia="Arial" w:hAnsi="Arial" w:cs="Arial"/>
      <w:color w:val="666666"/>
      <w:sz w:val="30"/>
      <w:szCs w:val="30"/>
    </w:rPr>
  </w:style>
  <w:style w:type="table" w:customStyle="1" w:styleId="a">
    <w:basedOn w:val="NormalTable0"/>
    <w:rsid w:val="00187192"/>
    <w:tblPr>
      <w:tblStyleRowBandSize w:val="1"/>
      <w:tblStyleColBandSize w:val="1"/>
      <w:tblCellMar>
        <w:top w:w="100" w:type="dxa"/>
        <w:left w:w="100" w:type="dxa"/>
        <w:bottom w:w="100" w:type="dxa"/>
        <w:right w:w="100" w:type="dxa"/>
      </w:tblCellMar>
    </w:tblPr>
  </w:style>
  <w:style w:type="table" w:customStyle="1" w:styleId="a0">
    <w:basedOn w:val="NormalTable0"/>
    <w:rsid w:val="00187192"/>
    <w:tblPr>
      <w:tblStyleRowBandSize w:val="1"/>
      <w:tblStyleColBandSize w:val="1"/>
      <w:tblCellMar>
        <w:top w:w="100" w:type="dxa"/>
        <w:left w:w="100" w:type="dxa"/>
        <w:bottom w:w="100" w:type="dxa"/>
        <w:right w:w="100" w:type="dxa"/>
      </w:tblCellMar>
    </w:tblPr>
  </w:style>
  <w:style w:type="table" w:customStyle="1" w:styleId="a1">
    <w:basedOn w:val="NormalTable0"/>
    <w:rsid w:val="00187192"/>
    <w:tblPr>
      <w:tblStyleRowBandSize w:val="1"/>
      <w:tblStyleColBandSize w:val="1"/>
      <w:tblCellMar>
        <w:top w:w="100" w:type="dxa"/>
        <w:left w:w="100" w:type="dxa"/>
        <w:bottom w:w="100" w:type="dxa"/>
        <w:right w:w="100" w:type="dxa"/>
      </w:tblCellMar>
    </w:tblPr>
  </w:style>
  <w:style w:type="table" w:customStyle="1" w:styleId="a2">
    <w:basedOn w:val="NormalTable0"/>
    <w:rsid w:val="00187192"/>
    <w:tblPr>
      <w:tblStyleRowBandSize w:val="1"/>
      <w:tblStyleColBandSize w:val="1"/>
      <w:tblCellMar>
        <w:top w:w="100" w:type="dxa"/>
        <w:left w:w="100" w:type="dxa"/>
        <w:bottom w:w="100" w:type="dxa"/>
        <w:right w:w="100" w:type="dxa"/>
      </w:tblCellMar>
    </w:tblPr>
  </w:style>
  <w:style w:type="table" w:customStyle="1" w:styleId="a3">
    <w:basedOn w:val="NormalTable0"/>
    <w:rsid w:val="00187192"/>
    <w:tblPr>
      <w:tblStyleRowBandSize w:val="1"/>
      <w:tblStyleColBandSize w:val="1"/>
      <w:tblCellMar>
        <w:top w:w="100" w:type="dxa"/>
        <w:left w:w="100" w:type="dxa"/>
        <w:bottom w:w="100" w:type="dxa"/>
        <w:right w:w="100" w:type="dxa"/>
      </w:tblCellMar>
    </w:tblPr>
  </w:style>
  <w:style w:type="paragraph" w:styleId="Textkomente">
    <w:name w:val="annotation text"/>
    <w:basedOn w:val="Normln"/>
    <w:link w:val="TextkomenteChar"/>
    <w:uiPriority w:val="99"/>
    <w:semiHidden/>
    <w:unhideWhenUsed/>
    <w:rsid w:val="00187192"/>
    <w:pPr>
      <w:spacing w:line="240" w:lineRule="auto"/>
    </w:pPr>
    <w:rPr>
      <w:sz w:val="20"/>
      <w:szCs w:val="20"/>
    </w:rPr>
  </w:style>
  <w:style w:type="character" w:customStyle="1" w:styleId="TextkomenteChar">
    <w:name w:val="Text komentáře Char"/>
    <w:basedOn w:val="Standardnpsmoodstavce"/>
    <w:link w:val="Textkomente"/>
    <w:uiPriority w:val="99"/>
    <w:semiHidden/>
    <w:rsid w:val="00187192"/>
    <w:rPr>
      <w:sz w:val="20"/>
      <w:szCs w:val="20"/>
    </w:rPr>
  </w:style>
  <w:style w:type="character" w:styleId="Odkaznakoment">
    <w:name w:val="annotation reference"/>
    <w:basedOn w:val="Standardnpsmoodstavce"/>
    <w:uiPriority w:val="99"/>
    <w:semiHidden/>
    <w:unhideWhenUsed/>
    <w:rsid w:val="00187192"/>
    <w:rPr>
      <w:sz w:val="16"/>
      <w:szCs w:val="16"/>
    </w:rPr>
  </w:style>
  <w:style w:type="paragraph" w:styleId="Textbubliny">
    <w:name w:val="Balloon Text"/>
    <w:basedOn w:val="Normln"/>
    <w:link w:val="TextbublinyChar"/>
    <w:uiPriority w:val="99"/>
    <w:semiHidden/>
    <w:unhideWhenUsed/>
    <w:rsid w:val="00B1208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208B"/>
    <w:rPr>
      <w:rFonts w:ascii="Segoe UI" w:hAnsi="Segoe UI" w:cs="Segoe UI"/>
      <w:sz w:val="18"/>
      <w:szCs w:val="18"/>
    </w:rPr>
  </w:style>
  <w:style w:type="paragraph" w:styleId="Odstavecseseznamem">
    <w:name w:val="List Paragraph"/>
    <w:basedOn w:val="Normln"/>
    <w:uiPriority w:val="1"/>
    <w:qFormat/>
    <w:rsid w:val="002F70DA"/>
    <w:pPr>
      <w:ind w:left="720"/>
      <w:contextualSpacing/>
    </w:pPr>
  </w:style>
  <w:style w:type="paragraph" w:styleId="Textpoznpodarou">
    <w:name w:val="footnote text"/>
    <w:basedOn w:val="Normln"/>
    <w:link w:val="TextpoznpodarouChar"/>
    <w:uiPriority w:val="99"/>
    <w:semiHidden/>
    <w:unhideWhenUsed/>
    <w:rsid w:val="00533C9A"/>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33C9A"/>
    <w:rPr>
      <w:sz w:val="20"/>
      <w:szCs w:val="20"/>
    </w:rPr>
  </w:style>
  <w:style w:type="character" w:styleId="Znakapoznpodarou">
    <w:name w:val="footnote reference"/>
    <w:basedOn w:val="Standardnpsmoodstavce"/>
    <w:uiPriority w:val="99"/>
    <w:semiHidden/>
    <w:unhideWhenUsed/>
    <w:rsid w:val="00533C9A"/>
    <w:rPr>
      <w:vertAlign w:val="superscript"/>
    </w:rPr>
  </w:style>
  <w:style w:type="paragraph" w:styleId="Pedmtkomente">
    <w:name w:val="annotation subject"/>
    <w:basedOn w:val="Textkomente"/>
    <w:next w:val="Textkomente"/>
    <w:link w:val="PedmtkomenteChar"/>
    <w:uiPriority w:val="99"/>
    <w:semiHidden/>
    <w:unhideWhenUsed/>
    <w:rsid w:val="005B437B"/>
    <w:rPr>
      <w:b/>
      <w:bCs/>
    </w:rPr>
  </w:style>
  <w:style w:type="character" w:customStyle="1" w:styleId="PedmtkomenteChar">
    <w:name w:val="Předmět komentáře Char"/>
    <w:basedOn w:val="TextkomenteChar"/>
    <w:link w:val="Pedmtkomente"/>
    <w:uiPriority w:val="99"/>
    <w:semiHidden/>
    <w:rsid w:val="005B437B"/>
    <w:rPr>
      <w:b/>
      <w:bCs/>
      <w:sz w:val="20"/>
      <w:szCs w:val="20"/>
    </w:rPr>
  </w:style>
  <w:style w:type="paragraph" w:styleId="Revize">
    <w:name w:val="Revision"/>
    <w:hidden/>
    <w:uiPriority w:val="99"/>
    <w:semiHidden/>
    <w:rsid w:val="000D6B76"/>
    <w:pPr>
      <w:spacing w:before="0" w:after="0" w:line="240" w:lineRule="auto"/>
    </w:pPr>
  </w:style>
  <w:style w:type="paragraph" w:styleId="Zhlav">
    <w:name w:val="header"/>
    <w:basedOn w:val="Normln"/>
    <w:link w:val="ZhlavChar"/>
    <w:uiPriority w:val="99"/>
    <w:unhideWhenUsed/>
    <w:rsid w:val="003E45B4"/>
    <w:pPr>
      <w:tabs>
        <w:tab w:val="center" w:pos="4703"/>
        <w:tab w:val="right" w:pos="9406"/>
      </w:tabs>
      <w:spacing w:before="0" w:after="0" w:line="240" w:lineRule="auto"/>
    </w:pPr>
  </w:style>
  <w:style w:type="character" w:customStyle="1" w:styleId="ZhlavChar">
    <w:name w:val="Záhlaví Char"/>
    <w:basedOn w:val="Standardnpsmoodstavce"/>
    <w:link w:val="Zhlav"/>
    <w:uiPriority w:val="99"/>
    <w:rsid w:val="003E45B4"/>
  </w:style>
  <w:style w:type="paragraph" w:styleId="Zpat">
    <w:name w:val="footer"/>
    <w:basedOn w:val="Normln"/>
    <w:link w:val="ZpatChar"/>
    <w:uiPriority w:val="99"/>
    <w:unhideWhenUsed/>
    <w:rsid w:val="003E45B4"/>
    <w:pPr>
      <w:tabs>
        <w:tab w:val="center" w:pos="4703"/>
        <w:tab w:val="right" w:pos="9406"/>
      </w:tabs>
      <w:spacing w:before="0" w:after="0" w:line="240" w:lineRule="auto"/>
    </w:pPr>
  </w:style>
  <w:style w:type="character" w:customStyle="1" w:styleId="ZpatChar">
    <w:name w:val="Zápatí Char"/>
    <w:basedOn w:val="Standardnpsmoodstavce"/>
    <w:link w:val="Zpat"/>
    <w:uiPriority w:val="99"/>
    <w:rsid w:val="003E45B4"/>
  </w:style>
  <w:style w:type="character" w:customStyle="1" w:styleId="contentpasted1">
    <w:name w:val="contentpasted1"/>
    <w:basedOn w:val="Standardnpsmoodstavce"/>
    <w:rsid w:val="00E82E67"/>
  </w:style>
  <w:style w:type="character" w:customStyle="1" w:styleId="normaltextrun">
    <w:name w:val="normaltextrun"/>
    <w:basedOn w:val="Standardnpsmoodstavce"/>
    <w:rsid w:val="00E82E67"/>
  </w:style>
  <w:style w:type="table" w:styleId="Mkatabulky">
    <w:name w:val="Table Grid"/>
    <w:basedOn w:val="Normlntabulka"/>
    <w:uiPriority w:val="39"/>
    <w:unhideWhenUsed/>
    <w:rsid w:val="004B4B33"/>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8688460">
      <w:bodyDiv w:val="1"/>
      <w:marLeft w:val="0"/>
      <w:marRight w:val="0"/>
      <w:marTop w:val="0"/>
      <w:marBottom w:val="0"/>
      <w:divBdr>
        <w:top w:val="none" w:sz="0" w:space="0" w:color="auto"/>
        <w:left w:val="none" w:sz="0" w:space="0" w:color="auto"/>
        <w:bottom w:val="none" w:sz="0" w:space="0" w:color="auto"/>
        <w:right w:val="none" w:sz="0" w:space="0" w:color="auto"/>
      </w:divBdr>
    </w:div>
    <w:div w:id="1836653249">
      <w:bodyDiv w:val="1"/>
      <w:marLeft w:val="0"/>
      <w:marRight w:val="0"/>
      <w:marTop w:val="0"/>
      <w:marBottom w:val="0"/>
      <w:divBdr>
        <w:top w:val="none" w:sz="0" w:space="0" w:color="auto"/>
        <w:left w:val="none" w:sz="0" w:space="0" w:color="auto"/>
        <w:bottom w:val="none" w:sz="0" w:space="0" w:color="auto"/>
        <w:right w:val="none" w:sz="0" w:space="0" w:color="auto"/>
      </w:divBdr>
    </w:div>
    <w:div w:id="18698350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87497-B45F-487B-A5D3-51E3A9A1E54A}">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customXml/itemProps2.xml><?xml version="1.0" encoding="utf-8"?>
<ds:datastoreItem xmlns:ds="http://schemas.openxmlformats.org/officeDocument/2006/customXml" ds:itemID="{F1FA976B-8251-4BC0-8ECF-16EE23045D2D}">
  <ds:schemaRefs>
    <ds:schemaRef ds:uri="http://schemas.microsoft.com/sharepoint/v3/contenttype/forms"/>
  </ds:schemaRefs>
</ds:datastoreItem>
</file>

<file path=customXml/itemProps3.xml><?xml version="1.0" encoding="utf-8"?>
<ds:datastoreItem xmlns:ds="http://schemas.openxmlformats.org/officeDocument/2006/customXml" ds:itemID="{CA8B78F1-8C1E-4C2C-B2F2-F2C431E571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4FF0EF-1DD9-4C60-A8FB-35129E486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D7057FC1.dotm</Template>
  <TotalTime>14</TotalTime>
  <Pages>31</Pages>
  <Words>11418</Words>
  <Characters>67369</Characters>
  <Application>Microsoft Office Word</Application>
  <DocSecurity>0</DocSecurity>
  <Lines>561</Lines>
  <Paragraphs>157</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78630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Lesák Vít</dc:creator>
  <cp:lastModifiedBy>Bubenková Monika</cp:lastModifiedBy>
  <cp:revision>15</cp:revision>
  <dcterms:created xsi:type="dcterms:W3CDTF">2023-06-30T04:43:00Z</dcterms:created>
  <dcterms:modified xsi:type="dcterms:W3CDTF">2023-11-22T07:16:00Z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ediaServiceImageTags">
    <vt:lpwstr/>
  </property>
</Properties>
</file>