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25C3D" w:rsidRPr="00226044" w14:paraId="354126C9" w14:textId="77777777" w:rsidTr="00B63C77">
        <w:tc>
          <w:tcPr>
            <w:tcW w:w="9166" w:type="dxa"/>
            <w:gridSpan w:val="2"/>
            <w:shd w:val="clear" w:color="auto" w:fill="1F3864"/>
          </w:tcPr>
          <w:p w14:paraId="5CA807D4" w14:textId="77777777" w:rsidR="00425C3D" w:rsidRPr="00226044" w:rsidRDefault="002C7E0F" w:rsidP="00B63C77">
            <w:pPr>
              <w:jc w:val="center"/>
              <w:rPr>
                <w:rFonts w:ascii="Times New Roman" w:eastAsia="Calibri" w:hAnsi="Times New Roman" w:cs="Times New Roman"/>
                <w:b/>
                <w:bCs/>
                <w:noProof/>
                <w:sz w:val="24"/>
                <w:szCs w:val="24"/>
                <w:u w:val="single"/>
                <w:lang w:val="en-IE"/>
              </w:rPr>
            </w:pPr>
            <w:bookmarkStart w:id="0" w:name="_GoBack"/>
            <w:bookmarkEnd w:id="0"/>
            <w:r w:rsidRPr="00226044">
              <w:rPr>
                <w:rFonts w:ascii="Times New Roman" w:eastAsia="Calibri" w:hAnsi="Times New Roman" w:cs="Times New Roman"/>
                <w:b/>
                <w:bCs/>
                <w:noProof/>
                <w:sz w:val="20"/>
                <w:szCs w:val="20"/>
                <w:lang w:val="en-US"/>
              </w:rPr>
              <w:t>Component 3.2: ADAPTATION OF SCHOOL PROGRAMMES</w:t>
            </w:r>
          </w:p>
        </w:tc>
      </w:tr>
      <w:tr w:rsidR="00425C3D" w:rsidRPr="00226044" w14:paraId="056E4C91" w14:textId="77777777" w:rsidTr="00B63C77">
        <w:tc>
          <w:tcPr>
            <w:tcW w:w="3227" w:type="dxa"/>
            <w:shd w:val="clear" w:color="auto" w:fill="00B0F0"/>
          </w:tcPr>
          <w:p w14:paraId="1F79AD89" w14:textId="77777777" w:rsidR="00425C3D" w:rsidRPr="00226044" w:rsidRDefault="00425C3D" w:rsidP="00B63C77">
            <w:pPr>
              <w:jc w:val="both"/>
              <w:rPr>
                <w:rFonts w:ascii="Times New Roman" w:eastAsia="Calibri" w:hAnsi="Times New Roman" w:cs="Times New Roman"/>
                <w:b/>
                <w:bCs/>
                <w:noProof/>
                <w:color w:val="FFFFFF"/>
                <w:sz w:val="24"/>
                <w:szCs w:val="24"/>
                <w:u w:val="single"/>
                <w:lang w:val="en-IE"/>
              </w:rPr>
            </w:pPr>
            <w:r w:rsidRPr="00226044">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1A03234F" w14:textId="77777777" w:rsidR="00425C3D" w:rsidRPr="00226044" w:rsidRDefault="00347CEB" w:rsidP="00B63C77">
            <w:pPr>
              <w:jc w:val="both"/>
              <w:rPr>
                <w:rFonts w:ascii="Times New Roman" w:eastAsia="Calibri" w:hAnsi="Times New Roman" w:cs="Times New Roman"/>
                <w:b/>
                <w:bCs/>
                <w:noProof/>
                <w:color w:val="FFFFFF"/>
                <w:sz w:val="24"/>
                <w:szCs w:val="24"/>
                <w:u w:val="single"/>
                <w:lang w:val="en-IE"/>
              </w:rPr>
            </w:pPr>
            <w:r w:rsidRPr="00226044">
              <w:rPr>
                <w:rFonts w:ascii="Times New Roman" w:eastAsia="Calibri" w:hAnsi="Times New Roman" w:cs="Times New Roman"/>
                <w:b/>
                <w:bCs/>
                <w:noProof/>
                <w:color w:val="FFFFFF"/>
                <w:sz w:val="24"/>
                <w:szCs w:val="24"/>
                <w:u w:val="single"/>
                <w:lang w:val="en-IE"/>
              </w:rPr>
              <w:t>Investment 1</w:t>
            </w:r>
          </w:p>
        </w:tc>
      </w:tr>
      <w:tr w:rsidR="00425C3D" w:rsidRPr="00226044" w14:paraId="5DA6485F" w14:textId="77777777" w:rsidTr="00B63C77">
        <w:tc>
          <w:tcPr>
            <w:tcW w:w="3227" w:type="dxa"/>
            <w:shd w:val="clear" w:color="auto" w:fill="00B0F0"/>
          </w:tcPr>
          <w:p w14:paraId="737C195C" w14:textId="77777777" w:rsidR="00425C3D" w:rsidRPr="00226044" w:rsidRDefault="00425C3D" w:rsidP="00B63C77">
            <w:pPr>
              <w:jc w:val="both"/>
              <w:rPr>
                <w:rFonts w:ascii="Times New Roman" w:eastAsia="Calibri" w:hAnsi="Times New Roman" w:cs="Times New Roman"/>
                <w:b/>
                <w:bCs/>
                <w:noProof/>
                <w:color w:val="FFFFFF"/>
                <w:sz w:val="24"/>
                <w:szCs w:val="24"/>
                <w:u w:val="single"/>
                <w:lang w:val="en-IE"/>
              </w:rPr>
            </w:pPr>
            <w:r w:rsidRPr="00226044">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7AE5D195" w14:textId="77777777" w:rsidR="00425C3D" w:rsidRPr="00226044" w:rsidRDefault="00083533" w:rsidP="00B63C77">
            <w:pPr>
              <w:jc w:val="both"/>
              <w:rPr>
                <w:rFonts w:ascii="Times New Roman" w:eastAsia="Calibri" w:hAnsi="Times New Roman" w:cs="Times New Roman"/>
                <w:b/>
                <w:bCs/>
                <w:noProof/>
                <w:color w:val="FFFFFF"/>
                <w:sz w:val="24"/>
                <w:szCs w:val="24"/>
                <w:u w:val="single"/>
                <w:lang w:val="en-IE"/>
              </w:rPr>
            </w:pPr>
            <w:r w:rsidRPr="00226044">
              <w:rPr>
                <w:rFonts w:ascii="Times New Roman" w:eastAsia="Calibri" w:hAnsi="Times New Roman" w:cs="Times New Roman"/>
                <w:b/>
                <w:bCs/>
                <w:noProof/>
                <w:color w:val="FFFFFF"/>
                <w:sz w:val="24"/>
                <w:szCs w:val="24"/>
                <w:u w:val="single"/>
                <w:lang w:val="en-IE"/>
              </w:rPr>
              <w:t>Development of  selected</w:t>
            </w:r>
            <w:r w:rsidR="006F0858" w:rsidRPr="00226044">
              <w:rPr>
                <w:rFonts w:ascii="Times New Roman" w:eastAsia="Calibri" w:hAnsi="Times New Roman" w:cs="Times New Roman"/>
                <w:b/>
                <w:bCs/>
                <w:noProof/>
                <w:color w:val="FFFFFF"/>
                <w:sz w:val="24"/>
                <w:szCs w:val="24"/>
                <w:u w:val="single"/>
                <w:lang w:val="en-IE"/>
              </w:rPr>
              <w:t xml:space="preserve"> key academic sites</w:t>
            </w:r>
          </w:p>
        </w:tc>
      </w:tr>
      <w:tr w:rsidR="00425C3D" w:rsidRPr="00226044" w14:paraId="06D1C737" w14:textId="77777777" w:rsidTr="00B63C77">
        <w:tc>
          <w:tcPr>
            <w:tcW w:w="3227" w:type="dxa"/>
            <w:shd w:val="clear" w:color="auto" w:fill="BDD6EE"/>
          </w:tcPr>
          <w:p w14:paraId="4F335F78" w14:textId="77777777" w:rsidR="00425C3D" w:rsidRPr="00226044" w:rsidRDefault="00425C3D" w:rsidP="00B63C77">
            <w:pPr>
              <w:rPr>
                <w:rFonts w:ascii="Times New Roman" w:eastAsia="Calibri" w:hAnsi="Times New Roman" w:cs="Times New Roman"/>
                <w:b/>
                <w:bCs/>
                <w:noProof/>
                <w:sz w:val="20"/>
                <w:szCs w:val="20"/>
                <w:lang w:val="en-US"/>
              </w:rPr>
            </w:pPr>
            <w:r w:rsidRPr="00226044">
              <w:rPr>
                <w:rFonts w:ascii="Times New Roman" w:eastAsia="Calibri" w:hAnsi="Times New Roman" w:cs="Times New Roman"/>
                <w:b/>
                <w:bCs/>
                <w:noProof/>
                <w:sz w:val="20"/>
                <w:szCs w:val="20"/>
                <w:lang w:val="en-US"/>
              </w:rPr>
              <w:t>Type of change compared to CID</w:t>
            </w:r>
          </w:p>
        </w:tc>
        <w:tc>
          <w:tcPr>
            <w:tcW w:w="5939" w:type="dxa"/>
          </w:tcPr>
          <w:p w14:paraId="00E25B36" w14:textId="77777777" w:rsidR="00425C3D" w:rsidRPr="00226044" w:rsidRDefault="00425C3D" w:rsidP="00B63C77">
            <w:pPr>
              <w:jc w:val="both"/>
              <w:rPr>
                <w:rFonts w:ascii="Times New Roman" w:eastAsia="Calibri" w:hAnsi="Times New Roman" w:cs="Times New Roman"/>
                <w:b/>
                <w:bCs/>
                <w:noProof/>
                <w:sz w:val="24"/>
                <w:szCs w:val="24"/>
                <w:u w:val="single"/>
                <w:lang w:val="en-IE"/>
              </w:rPr>
            </w:pPr>
            <w:r w:rsidRPr="00226044">
              <w:rPr>
                <w:rFonts w:ascii="Times New Roman" w:eastAsia="Calibri" w:hAnsi="Times New Roman" w:cs="Times New Roman"/>
                <w:noProof/>
                <w:sz w:val="20"/>
                <w:szCs w:val="20"/>
                <w:lang w:val="en-US"/>
              </w:rPr>
              <w:t>[modified]</w:t>
            </w:r>
          </w:p>
        </w:tc>
      </w:tr>
      <w:tr w:rsidR="00425C3D" w:rsidRPr="00226044" w14:paraId="182F5A5E" w14:textId="77777777" w:rsidTr="00B63C77">
        <w:tc>
          <w:tcPr>
            <w:tcW w:w="3227" w:type="dxa"/>
            <w:shd w:val="clear" w:color="auto" w:fill="BDD6EE"/>
          </w:tcPr>
          <w:p w14:paraId="38D43CFC" w14:textId="77777777" w:rsidR="00425C3D" w:rsidRPr="00226044" w:rsidRDefault="00425C3D" w:rsidP="00B63C77">
            <w:pPr>
              <w:jc w:val="both"/>
              <w:rPr>
                <w:rFonts w:ascii="Times New Roman" w:eastAsia="Calibri" w:hAnsi="Times New Roman" w:cs="Times New Roman"/>
                <w:b/>
                <w:bCs/>
                <w:noProof/>
                <w:sz w:val="24"/>
                <w:szCs w:val="24"/>
                <w:u w:val="single"/>
                <w:lang w:val="en-IE"/>
              </w:rPr>
            </w:pPr>
            <w:r w:rsidRPr="00226044">
              <w:rPr>
                <w:rFonts w:ascii="Times New Roman" w:eastAsia="Calibri" w:hAnsi="Times New Roman" w:cs="Times New Roman"/>
                <w:b/>
                <w:bCs/>
                <w:noProof/>
                <w:sz w:val="20"/>
                <w:szCs w:val="20"/>
                <w:lang w:val="en-US"/>
              </w:rPr>
              <w:t>Legal base of the change (select at least one)</w:t>
            </w:r>
          </w:p>
        </w:tc>
        <w:tc>
          <w:tcPr>
            <w:tcW w:w="5939" w:type="dxa"/>
          </w:tcPr>
          <w:p w14:paraId="413450C6" w14:textId="77777777" w:rsidR="00425C3D" w:rsidRPr="00226044" w:rsidRDefault="00235E69" w:rsidP="00B63C7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226044">
                  <w:rPr>
                    <w:rFonts w:ascii="Segoe UI Symbol" w:eastAsia="Calibri" w:hAnsi="Segoe UI Symbol" w:cs="Segoe UI Symbol"/>
                    <w:noProof/>
                    <w:color w:val="2B579A"/>
                    <w:sz w:val="20"/>
                    <w:szCs w:val="20"/>
                    <w:shd w:val="clear" w:color="auto" w:fill="E6E6E6"/>
                    <w:lang w:val="en-US"/>
                  </w:rPr>
                  <w:t>☐</w:t>
                </w:r>
              </w:sdtContent>
            </w:sdt>
            <w:r w:rsidR="00425C3D" w:rsidRPr="00226044">
              <w:rPr>
                <w:rFonts w:ascii="Times New Roman" w:eastAsia="Calibri" w:hAnsi="Times New Roman" w:cs="Times New Roman"/>
                <w:noProof/>
                <w:sz w:val="20"/>
                <w:szCs w:val="20"/>
                <w:lang w:val="en-US"/>
              </w:rPr>
              <w:t xml:space="preserve"> Article 14(2) – loan request</w:t>
            </w:r>
          </w:p>
          <w:p w14:paraId="0F0B8729" w14:textId="77777777" w:rsidR="00425C3D" w:rsidRPr="00226044" w:rsidRDefault="00235E69" w:rsidP="00B63C7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1"/>
                  <w14:checkedState w14:val="2612" w14:font="MS Gothic"/>
                  <w14:uncheckedState w14:val="2610" w14:font="MS Gothic"/>
                </w14:checkbox>
              </w:sdtPr>
              <w:sdtEndPr/>
              <w:sdtContent>
                <w:r w:rsidR="0035048C" w:rsidRPr="00226044">
                  <w:rPr>
                    <w:rFonts w:ascii="MS Gothic" w:eastAsia="MS Gothic" w:hAnsi="MS Gothic" w:cs="Times New Roman" w:hint="eastAsia"/>
                    <w:noProof/>
                    <w:color w:val="2B579A"/>
                    <w:sz w:val="20"/>
                    <w:szCs w:val="20"/>
                    <w:shd w:val="clear" w:color="auto" w:fill="E6E6E6"/>
                    <w:lang w:val="en-US"/>
                  </w:rPr>
                  <w:t>☒</w:t>
                </w:r>
              </w:sdtContent>
            </w:sdt>
            <w:r w:rsidR="00425C3D" w:rsidRPr="00226044">
              <w:rPr>
                <w:rFonts w:ascii="Times New Roman" w:eastAsia="Calibri" w:hAnsi="Times New Roman" w:cs="Times New Roman"/>
                <w:noProof/>
                <w:sz w:val="20"/>
                <w:szCs w:val="20"/>
                <w:lang w:val="en-US"/>
              </w:rPr>
              <w:t xml:space="preserve"> Article 18(2) – update of the maximum financial contribution</w:t>
            </w:r>
          </w:p>
          <w:p w14:paraId="484CF175" w14:textId="77777777" w:rsidR="00425C3D" w:rsidRPr="00226044" w:rsidRDefault="00235E69" w:rsidP="00B63C77">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0"/>
                  <w14:checkedState w14:val="2612" w14:font="MS Gothic"/>
                  <w14:uncheckedState w14:val="2610" w14:font="MS Gothic"/>
                </w14:checkbox>
              </w:sdtPr>
              <w:sdtEndPr/>
              <w:sdtContent>
                <w:r w:rsidR="00700EFA" w:rsidRPr="00226044">
                  <w:rPr>
                    <w:rFonts w:ascii="MS Gothic" w:eastAsia="MS Gothic" w:hAnsi="MS Gothic" w:cs="Times New Roman" w:hint="eastAsia"/>
                    <w:noProof/>
                    <w:color w:val="2B579A"/>
                    <w:sz w:val="20"/>
                    <w:szCs w:val="20"/>
                    <w:shd w:val="clear" w:color="auto" w:fill="E6E6E6"/>
                    <w:lang w:val="en-US"/>
                  </w:rPr>
                  <w:t>☐</w:t>
                </w:r>
              </w:sdtContent>
            </w:sdt>
            <w:r w:rsidR="00425C3D" w:rsidRPr="00226044">
              <w:rPr>
                <w:rFonts w:ascii="Times New Roman" w:eastAsia="Calibri" w:hAnsi="Times New Roman" w:cs="Times New Roman"/>
                <w:noProof/>
                <w:sz w:val="20"/>
                <w:szCs w:val="20"/>
                <w:lang w:val="en-US"/>
              </w:rPr>
              <w:t xml:space="preserve"> Article 21 – amendment due to objective circumstances</w:t>
            </w:r>
          </w:p>
          <w:p w14:paraId="4AD7ECDF" w14:textId="77777777" w:rsidR="00425C3D" w:rsidRPr="00226044" w:rsidRDefault="00235E69" w:rsidP="00B63C77">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226044">
                  <w:rPr>
                    <w:rFonts w:ascii="Segoe UI Symbol" w:eastAsia="Calibri" w:hAnsi="Segoe UI Symbol" w:cs="Segoe UI Symbol"/>
                    <w:noProof/>
                    <w:color w:val="2B579A"/>
                    <w:sz w:val="20"/>
                    <w:szCs w:val="20"/>
                    <w:shd w:val="clear" w:color="auto" w:fill="E6E6E6"/>
                    <w:lang w:val="fr-BE"/>
                  </w:rPr>
                  <w:t>☐</w:t>
                </w:r>
              </w:sdtContent>
            </w:sdt>
            <w:r w:rsidR="00425C3D" w:rsidRPr="00226044">
              <w:rPr>
                <w:rFonts w:ascii="Times New Roman" w:eastAsia="Calibri" w:hAnsi="Times New Roman" w:cs="Times New Roman"/>
                <w:noProof/>
                <w:sz w:val="20"/>
                <w:szCs w:val="20"/>
                <w:lang w:val="fr-BE"/>
              </w:rPr>
              <w:t xml:space="preserve"> Article 21a – REPowerEU non-repayable financial support (ETS revenue)</w:t>
            </w:r>
          </w:p>
          <w:p w14:paraId="58A6F8E8" w14:textId="77777777" w:rsidR="00425C3D" w:rsidRPr="00226044" w:rsidRDefault="00235E69" w:rsidP="00B63C77">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226044">
                  <w:rPr>
                    <w:rFonts w:ascii="Segoe UI Symbol" w:eastAsia="Calibri" w:hAnsi="Segoe UI Symbol" w:cs="Segoe UI Symbol"/>
                    <w:noProof/>
                    <w:color w:val="2B579A"/>
                    <w:sz w:val="20"/>
                    <w:szCs w:val="20"/>
                    <w:shd w:val="clear" w:color="auto" w:fill="E6E6E6"/>
                    <w:lang w:val="en-IE"/>
                  </w:rPr>
                  <w:t>☐</w:t>
                </w:r>
              </w:sdtContent>
            </w:sdt>
            <w:r w:rsidR="00425C3D" w:rsidRPr="00226044">
              <w:rPr>
                <w:rFonts w:ascii="Times New Roman" w:eastAsia="Calibri" w:hAnsi="Times New Roman" w:cs="Times New Roman"/>
                <w:noProof/>
                <w:sz w:val="20"/>
                <w:szCs w:val="20"/>
                <w:lang w:val="en-IE"/>
              </w:rPr>
              <w:t xml:space="preserve"> Article 21b (2) – BAR transfers</w:t>
            </w:r>
          </w:p>
          <w:p w14:paraId="18A7CA94" w14:textId="77777777" w:rsidR="00425C3D" w:rsidRPr="00226044" w:rsidRDefault="00425C3D" w:rsidP="00B63C77">
            <w:pPr>
              <w:jc w:val="both"/>
              <w:rPr>
                <w:rFonts w:ascii="Times New Roman" w:eastAsia="Calibri" w:hAnsi="Times New Roman" w:cs="Times New Roman"/>
                <w:noProof/>
                <w:sz w:val="20"/>
                <w:szCs w:val="20"/>
                <w:lang w:val="en-US"/>
              </w:rPr>
            </w:pPr>
            <w:r w:rsidRPr="00226044">
              <w:rPr>
                <w:rFonts w:ascii="Segoe UI Symbol" w:eastAsia="MS Gothic" w:hAnsi="Segoe UI Symbol" w:cs="Segoe UI Symbol"/>
                <w:noProof/>
                <w:sz w:val="20"/>
                <w:szCs w:val="20"/>
                <w:lang w:val="en-US"/>
              </w:rPr>
              <w:t>☐</w:t>
            </w:r>
            <w:r w:rsidRPr="00226044">
              <w:rPr>
                <w:rFonts w:ascii="Times New Roman" w:eastAsia="Calibri" w:hAnsi="Times New Roman" w:cs="Times New Roman"/>
                <w:noProof/>
                <w:sz w:val="20"/>
                <w:szCs w:val="20"/>
                <w:lang w:val="en-US"/>
              </w:rPr>
              <w:t xml:space="preserve"> None of the above, correction of clerical error</w:t>
            </w:r>
          </w:p>
          <w:p w14:paraId="781351A0" w14:textId="77777777" w:rsidR="00425C3D" w:rsidRPr="00226044" w:rsidRDefault="00425C3D" w:rsidP="00B63C77">
            <w:pPr>
              <w:jc w:val="both"/>
              <w:rPr>
                <w:rFonts w:ascii="Times New Roman" w:eastAsia="Calibri" w:hAnsi="Times New Roman" w:cs="Times New Roman"/>
                <w:noProof/>
                <w:sz w:val="20"/>
                <w:szCs w:val="20"/>
                <w:lang w:val="en-IE"/>
              </w:rPr>
            </w:pPr>
          </w:p>
        </w:tc>
      </w:tr>
      <w:tr w:rsidR="00425C3D" w:rsidRPr="00226044" w14:paraId="59A89EC7" w14:textId="77777777" w:rsidTr="00B63C77">
        <w:tc>
          <w:tcPr>
            <w:tcW w:w="3227" w:type="dxa"/>
            <w:shd w:val="clear" w:color="auto" w:fill="BDD6EE"/>
          </w:tcPr>
          <w:p w14:paraId="6BAA89B5" w14:textId="77777777" w:rsidR="00425C3D" w:rsidRPr="00226044" w:rsidRDefault="00425C3D" w:rsidP="00B63C77">
            <w:pPr>
              <w:rPr>
                <w:rFonts w:ascii="Times New Roman" w:eastAsia="Calibri" w:hAnsi="Times New Roman" w:cs="Times New Roman"/>
                <w:b/>
                <w:bCs/>
                <w:noProof/>
                <w:sz w:val="20"/>
                <w:szCs w:val="20"/>
                <w:lang w:val="en-US"/>
              </w:rPr>
            </w:pPr>
            <w:r w:rsidRPr="00226044">
              <w:rPr>
                <w:rFonts w:ascii="Times New Roman" w:eastAsia="Calibri" w:hAnsi="Times New Roman" w:cs="Times New Roman"/>
                <w:b/>
                <w:bCs/>
                <w:noProof/>
                <w:sz w:val="20"/>
                <w:szCs w:val="20"/>
                <w:lang w:val="en-US"/>
              </w:rPr>
              <w:t>Elements modified (only for modified measures)</w:t>
            </w:r>
          </w:p>
          <w:p w14:paraId="0871E27D" w14:textId="77777777" w:rsidR="00425C3D" w:rsidRPr="00226044" w:rsidRDefault="00425C3D" w:rsidP="00B63C77">
            <w:pPr>
              <w:jc w:val="both"/>
              <w:rPr>
                <w:rFonts w:ascii="Times New Roman" w:eastAsia="Calibri" w:hAnsi="Times New Roman" w:cs="Times New Roman"/>
                <w:b/>
                <w:bCs/>
                <w:noProof/>
                <w:sz w:val="24"/>
                <w:szCs w:val="24"/>
                <w:u w:val="single"/>
                <w:lang w:val="en-IE"/>
              </w:rPr>
            </w:pPr>
          </w:p>
        </w:tc>
        <w:tc>
          <w:tcPr>
            <w:tcW w:w="5939" w:type="dxa"/>
          </w:tcPr>
          <w:p w14:paraId="140A8119" w14:textId="77777777" w:rsidR="00425C3D" w:rsidRPr="00226044" w:rsidRDefault="00235E69" w:rsidP="00B63C7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0"/>
                  <w14:checkedState w14:val="2612" w14:font="MS Gothic"/>
                  <w14:uncheckedState w14:val="2610" w14:font="MS Gothic"/>
                </w14:checkbox>
              </w:sdtPr>
              <w:sdtEndPr/>
              <w:sdtContent>
                <w:r w:rsidR="00425C3D" w:rsidRPr="00226044">
                  <w:rPr>
                    <w:rFonts w:ascii="Segoe UI Symbol" w:eastAsia="Calibri" w:hAnsi="Segoe UI Symbol" w:cs="Segoe UI Symbol"/>
                    <w:noProof/>
                    <w:color w:val="2B579A"/>
                    <w:sz w:val="20"/>
                    <w:szCs w:val="20"/>
                    <w:shd w:val="clear" w:color="auto" w:fill="E6E6E6"/>
                    <w:lang w:val="en-US"/>
                  </w:rPr>
                  <w:t>☐</w:t>
                </w:r>
              </w:sdtContent>
            </w:sdt>
            <w:r w:rsidR="00425C3D" w:rsidRPr="00226044">
              <w:rPr>
                <w:rFonts w:ascii="Times New Roman" w:eastAsia="Calibri" w:hAnsi="Times New Roman" w:cs="Times New Roman"/>
                <w:noProof/>
                <w:sz w:val="20"/>
                <w:szCs w:val="20"/>
                <w:lang w:val="en-US"/>
              </w:rPr>
              <w:t xml:space="preserve"> Component / Measure description</w:t>
            </w:r>
          </w:p>
          <w:p w14:paraId="72074B95" w14:textId="77777777" w:rsidR="00425C3D" w:rsidRPr="00226044" w:rsidRDefault="00235E69" w:rsidP="00B63C7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0"/>
                  <w14:checkedState w14:val="2612" w14:font="MS Gothic"/>
                  <w14:uncheckedState w14:val="2610" w14:font="MS Gothic"/>
                </w14:checkbox>
              </w:sdtPr>
              <w:sdtEndPr/>
              <w:sdtContent>
                <w:r w:rsidR="00700EFA" w:rsidRPr="00226044">
                  <w:rPr>
                    <w:rFonts w:ascii="MS Gothic" w:eastAsia="MS Gothic" w:hAnsi="MS Gothic" w:cs="Times New Roman" w:hint="eastAsia"/>
                    <w:noProof/>
                    <w:color w:val="2B579A"/>
                    <w:sz w:val="20"/>
                    <w:szCs w:val="20"/>
                    <w:shd w:val="clear" w:color="auto" w:fill="E6E6E6"/>
                    <w:lang w:val="en-US"/>
                  </w:rPr>
                  <w:t>☐</w:t>
                </w:r>
              </w:sdtContent>
            </w:sdt>
            <w:r w:rsidR="00425C3D" w:rsidRPr="00226044">
              <w:rPr>
                <w:rFonts w:ascii="Times New Roman" w:eastAsia="Calibri" w:hAnsi="Times New Roman" w:cs="Times New Roman"/>
                <w:noProof/>
                <w:sz w:val="20"/>
                <w:szCs w:val="20"/>
                <w:lang w:val="en-US"/>
              </w:rPr>
              <w:t>Milestones and targets</w:t>
            </w:r>
          </w:p>
          <w:p w14:paraId="1CEB997A" w14:textId="77777777" w:rsidR="00425C3D" w:rsidRPr="00226044" w:rsidRDefault="00235E69" w:rsidP="00B63C7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1"/>
                  <w14:checkedState w14:val="2612" w14:font="MS Gothic"/>
                  <w14:uncheckedState w14:val="2610" w14:font="MS Gothic"/>
                </w14:checkbox>
              </w:sdtPr>
              <w:sdtEndPr/>
              <w:sdtContent>
                <w:r w:rsidR="0035048C" w:rsidRPr="00226044">
                  <w:rPr>
                    <w:rFonts w:ascii="MS Gothic" w:eastAsia="MS Gothic" w:hAnsi="MS Gothic" w:cs="Times New Roman" w:hint="eastAsia"/>
                    <w:noProof/>
                    <w:color w:val="2B579A"/>
                    <w:sz w:val="20"/>
                    <w:szCs w:val="20"/>
                    <w:shd w:val="clear" w:color="auto" w:fill="E6E6E6"/>
                    <w:lang w:val="en-US"/>
                  </w:rPr>
                  <w:t>☒</w:t>
                </w:r>
              </w:sdtContent>
            </w:sdt>
            <w:r w:rsidR="00425C3D" w:rsidRPr="00226044">
              <w:rPr>
                <w:rFonts w:ascii="Times New Roman" w:eastAsia="Calibri" w:hAnsi="Times New Roman" w:cs="Times New Roman"/>
                <w:noProof/>
                <w:sz w:val="20"/>
                <w:szCs w:val="20"/>
                <w:lang w:val="en-US"/>
              </w:rPr>
              <w:t xml:space="preserve"> Estimated cost</w:t>
            </w:r>
          </w:p>
          <w:p w14:paraId="156BAB06" w14:textId="77777777" w:rsidR="00425C3D" w:rsidRPr="00226044" w:rsidRDefault="00235E69" w:rsidP="00B63C7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226044">
                  <w:rPr>
                    <w:rFonts w:ascii="Segoe UI Symbol" w:eastAsia="Calibri" w:hAnsi="Segoe UI Symbol" w:cs="Segoe UI Symbol"/>
                    <w:noProof/>
                    <w:color w:val="2B579A"/>
                    <w:sz w:val="20"/>
                    <w:szCs w:val="20"/>
                    <w:shd w:val="clear" w:color="auto" w:fill="E6E6E6"/>
                    <w:lang w:val="en-US"/>
                  </w:rPr>
                  <w:t>☐</w:t>
                </w:r>
              </w:sdtContent>
            </w:sdt>
            <w:r w:rsidR="00425C3D" w:rsidRPr="00226044">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E8CC684" w14:textId="77777777" w:rsidR="00425C3D" w:rsidRPr="00226044" w:rsidRDefault="00235E69" w:rsidP="00B63C77">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226044">
                  <w:rPr>
                    <w:rFonts w:ascii="Segoe UI Symbol" w:eastAsia="Calibri" w:hAnsi="Segoe UI Symbol" w:cs="Segoe UI Symbol"/>
                    <w:noProof/>
                    <w:color w:val="2B579A"/>
                    <w:sz w:val="20"/>
                    <w:szCs w:val="20"/>
                    <w:shd w:val="clear" w:color="auto" w:fill="E6E6E6"/>
                    <w:lang w:val="en-US"/>
                  </w:rPr>
                  <w:t>☐</w:t>
                </w:r>
              </w:sdtContent>
            </w:sdt>
            <w:r w:rsidR="00425C3D" w:rsidRPr="00226044">
              <w:rPr>
                <w:rFonts w:ascii="Times New Roman" w:eastAsia="Calibri" w:hAnsi="Times New Roman" w:cs="Times New Roman"/>
                <w:noProof/>
                <w:sz w:val="20"/>
                <w:szCs w:val="20"/>
                <w:lang w:val="en-US"/>
              </w:rPr>
              <w:t xml:space="preserve"> DNSH self-assessment</w:t>
            </w:r>
          </w:p>
        </w:tc>
      </w:tr>
    </w:tbl>
    <w:p w14:paraId="34E0168E" w14:textId="77777777" w:rsidR="00713948" w:rsidRPr="00226044"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226044" w14:paraId="62BE4B1E" w14:textId="77777777" w:rsidTr="0A2107C3">
        <w:tc>
          <w:tcPr>
            <w:tcW w:w="9242" w:type="dxa"/>
            <w:gridSpan w:val="3"/>
            <w:shd w:val="clear" w:color="auto" w:fill="1F3864"/>
          </w:tcPr>
          <w:p w14:paraId="13CE0C65" w14:textId="77777777" w:rsidR="00425C3D" w:rsidRPr="00226044" w:rsidRDefault="0005777C" w:rsidP="00B63C77">
            <w:pPr>
              <w:jc w:val="center"/>
              <w:rPr>
                <w:rFonts w:ascii="Times New Roman" w:eastAsia="Calibri" w:hAnsi="Times New Roman" w:cs="Times New Roman"/>
                <w:b/>
                <w:bCs/>
                <w:noProof/>
                <w:sz w:val="20"/>
                <w:szCs w:val="20"/>
                <w:lang w:val="en-IE"/>
              </w:rPr>
            </w:pPr>
            <w:r w:rsidRPr="00226044">
              <w:rPr>
                <w:rFonts w:ascii="Times New Roman" w:eastAsia="Calibri" w:hAnsi="Times New Roman" w:cs="Times New Roman"/>
                <w:b/>
                <w:bCs/>
                <w:noProof/>
                <w:sz w:val="20"/>
                <w:szCs w:val="20"/>
                <w:lang w:val="en-IE"/>
              </w:rPr>
              <w:t>Investment 1: Development of selected key academic sites</w:t>
            </w:r>
            <w:r w:rsidR="0035048C" w:rsidRPr="00226044">
              <w:rPr>
                <w:rFonts w:ascii="Times New Roman" w:eastAsia="Calibri" w:hAnsi="Times New Roman" w:cs="Times New Roman"/>
                <w:b/>
                <w:bCs/>
                <w:noProof/>
                <w:sz w:val="20"/>
                <w:szCs w:val="20"/>
                <w:lang w:val="en-IE"/>
              </w:rPr>
              <w:t xml:space="preserve"> – Target 180</w:t>
            </w:r>
          </w:p>
        </w:tc>
      </w:tr>
      <w:tr w:rsidR="00425C3D" w:rsidRPr="00226044" w14:paraId="7EE06D39" w14:textId="77777777" w:rsidTr="0A2107C3">
        <w:tc>
          <w:tcPr>
            <w:tcW w:w="9242" w:type="dxa"/>
            <w:gridSpan w:val="3"/>
            <w:shd w:val="clear" w:color="auto" w:fill="auto"/>
          </w:tcPr>
          <w:p w14:paraId="3954A23A" w14:textId="77777777" w:rsidR="00425C3D" w:rsidRPr="00226044" w:rsidRDefault="00425C3D" w:rsidP="00B63C77">
            <w:pPr>
              <w:jc w:val="both"/>
              <w:rPr>
                <w:rFonts w:ascii="Times New Roman" w:eastAsia="Calibri" w:hAnsi="Times New Roman" w:cs="Times New Roman"/>
                <w:i/>
                <w:iCs/>
                <w:noProof/>
                <w:sz w:val="20"/>
                <w:szCs w:val="20"/>
                <w:lang w:val="en-IE"/>
              </w:rPr>
            </w:pPr>
            <w:r w:rsidRPr="00226044">
              <w:rPr>
                <w:rFonts w:ascii="Times New Roman" w:eastAsia="Calibri" w:hAnsi="Times New Roman" w:cs="Times New Roman"/>
                <w:i/>
                <w:iCs/>
                <w:noProof/>
                <w:sz w:val="20"/>
                <w:szCs w:val="20"/>
                <w:lang w:val="en-IE"/>
              </w:rPr>
              <w:t>Description and justification of the change</w:t>
            </w:r>
          </w:p>
        </w:tc>
      </w:tr>
      <w:tr w:rsidR="00425C3D" w:rsidRPr="00226044" w14:paraId="35C452C6" w14:textId="77777777" w:rsidTr="0A2107C3">
        <w:tc>
          <w:tcPr>
            <w:tcW w:w="2235" w:type="dxa"/>
            <w:shd w:val="clear" w:color="auto" w:fill="00B0F0"/>
          </w:tcPr>
          <w:p w14:paraId="02CB21F7" w14:textId="77777777" w:rsidR="00425C3D" w:rsidRPr="00226044" w:rsidRDefault="00425C3D" w:rsidP="00B63C77">
            <w:pPr>
              <w:jc w:val="center"/>
              <w:rPr>
                <w:rFonts w:ascii="Times New Roman" w:eastAsia="Calibri" w:hAnsi="Times New Roman" w:cs="Times New Roman"/>
                <w:b/>
                <w:bCs/>
                <w:noProof/>
                <w:color w:val="FFFFFF"/>
                <w:sz w:val="20"/>
                <w:szCs w:val="20"/>
                <w:lang w:val="en-IE"/>
              </w:rPr>
            </w:pPr>
            <w:r w:rsidRPr="00226044">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45E2B6C1" w14:textId="77777777" w:rsidR="00425C3D" w:rsidRPr="00226044" w:rsidRDefault="00425C3D" w:rsidP="00B63C77">
            <w:pPr>
              <w:jc w:val="center"/>
              <w:rPr>
                <w:rFonts w:ascii="Times New Roman" w:eastAsia="Calibri" w:hAnsi="Times New Roman" w:cs="Times New Roman"/>
                <w:b/>
                <w:bCs/>
                <w:noProof/>
                <w:color w:val="FFFFFF"/>
                <w:sz w:val="20"/>
                <w:szCs w:val="20"/>
                <w:lang w:val="en-IE"/>
              </w:rPr>
            </w:pPr>
            <w:r w:rsidRPr="00226044">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2589E288" w14:textId="77777777" w:rsidR="00425C3D" w:rsidRPr="00226044" w:rsidRDefault="00425C3D" w:rsidP="00B63C77">
            <w:pPr>
              <w:jc w:val="center"/>
              <w:rPr>
                <w:rFonts w:ascii="Times New Roman" w:eastAsia="Calibri" w:hAnsi="Times New Roman" w:cs="Times New Roman"/>
                <w:b/>
                <w:bCs/>
                <w:noProof/>
                <w:color w:val="FFFFFF"/>
                <w:sz w:val="20"/>
                <w:szCs w:val="20"/>
                <w:lang w:val="en-IE"/>
              </w:rPr>
            </w:pPr>
            <w:r w:rsidRPr="00226044">
              <w:rPr>
                <w:rFonts w:ascii="Times New Roman" w:eastAsia="Calibri" w:hAnsi="Times New Roman" w:cs="Times New Roman"/>
                <w:b/>
                <w:bCs/>
                <w:noProof/>
                <w:color w:val="FFFFFF"/>
                <w:sz w:val="20"/>
                <w:szCs w:val="20"/>
                <w:lang w:val="en-IE"/>
              </w:rPr>
              <w:t>Amended version</w:t>
            </w:r>
          </w:p>
        </w:tc>
      </w:tr>
      <w:tr w:rsidR="00425C3D" w:rsidRPr="00226044" w14:paraId="6D5C846A" w14:textId="77777777" w:rsidTr="0A2107C3">
        <w:tc>
          <w:tcPr>
            <w:tcW w:w="2235" w:type="dxa"/>
          </w:tcPr>
          <w:p w14:paraId="47A847D3" w14:textId="77777777" w:rsidR="00425C3D" w:rsidRPr="00226044" w:rsidRDefault="00425C3D" w:rsidP="00B63C77">
            <w:pPr>
              <w:jc w:val="both"/>
              <w:rPr>
                <w:rFonts w:ascii="Times New Roman" w:eastAsia="Calibri" w:hAnsi="Times New Roman" w:cs="Times New Roman"/>
                <w:b/>
                <w:bCs/>
                <w:i/>
                <w:iCs/>
                <w:noProof/>
                <w:sz w:val="20"/>
                <w:szCs w:val="20"/>
                <w:lang w:val="en-IE"/>
              </w:rPr>
            </w:pPr>
            <w:r w:rsidRPr="00226044">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1DD857F3" w14:textId="77777777" w:rsidR="008E6BB8" w:rsidRPr="00226044" w:rsidRDefault="008E6BB8" w:rsidP="008E6BB8">
            <w:pPr>
              <w:jc w:val="both"/>
              <w:rPr>
                <w:rFonts w:ascii="Times New Roman" w:eastAsia="Calibri" w:hAnsi="Times New Roman" w:cs="Times New Roman"/>
                <w:noProof/>
                <w:sz w:val="20"/>
                <w:szCs w:val="20"/>
                <w:lang w:val="en-US"/>
              </w:rPr>
            </w:pPr>
            <w:r w:rsidRPr="00226044">
              <w:rPr>
                <w:rFonts w:ascii="Times New Roman" w:eastAsia="Calibri" w:hAnsi="Times New Roman" w:cs="Times New Roman"/>
                <w:noProof/>
                <w:sz w:val="20"/>
                <w:szCs w:val="20"/>
                <w:lang w:val="en-US"/>
              </w:rPr>
              <w:t>Of the overall objective to construct 111 000 m², at least 100 000 m² of new university areas shall be constructed.</w:t>
            </w:r>
          </w:p>
          <w:p w14:paraId="0FB2C725" w14:textId="77777777" w:rsidR="00425C3D" w:rsidRPr="00226044" w:rsidRDefault="00425C3D" w:rsidP="00B63C77">
            <w:pPr>
              <w:jc w:val="both"/>
              <w:rPr>
                <w:rFonts w:ascii="Times New Roman" w:eastAsia="Calibri" w:hAnsi="Times New Roman" w:cs="Times New Roman"/>
                <w:noProof/>
                <w:sz w:val="20"/>
                <w:szCs w:val="20"/>
                <w:lang w:val="en-IE"/>
              </w:rPr>
            </w:pPr>
          </w:p>
        </w:tc>
        <w:tc>
          <w:tcPr>
            <w:tcW w:w="3747" w:type="dxa"/>
          </w:tcPr>
          <w:p w14:paraId="588E7CF4" w14:textId="77777777" w:rsidR="00425C3D" w:rsidRPr="00226044" w:rsidRDefault="0035048C"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No change</w:t>
            </w:r>
          </w:p>
        </w:tc>
      </w:tr>
      <w:tr w:rsidR="00425C3D" w:rsidRPr="00226044" w14:paraId="023900C1" w14:textId="77777777" w:rsidTr="0A2107C3">
        <w:tc>
          <w:tcPr>
            <w:tcW w:w="2235" w:type="dxa"/>
          </w:tcPr>
          <w:p w14:paraId="1150C64E" w14:textId="77777777" w:rsidR="00425C3D" w:rsidRPr="00226044" w:rsidRDefault="00425C3D" w:rsidP="00B63C77">
            <w:pPr>
              <w:jc w:val="both"/>
              <w:rPr>
                <w:rFonts w:ascii="Times New Roman" w:eastAsia="Calibri" w:hAnsi="Times New Roman" w:cs="Times New Roman"/>
                <w:b/>
                <w:bCs/>
                <w:i/>
                <w:iCs/>
                <w:noProof/>
                <w:sz w:val="20"/>
                <w:szCs w:val="20"/>
                <w:lang w:val="en-IE"/>
              </w:rPr>
            </w:pPr>
            <w:r w:rsidRPr="00226044">
              <w:rPr>
                <w:rFonts w:ascii="Times New Roman" w:eastAsia="Calibri" w:hAnsi="Times New Roman" w:cs="Times New Roman"/>
                <w:b/>
                <w:bCs/>
                <w:i/>
                <w:iCs/>
                <w:noProof/>
                <w:sz w:val="20"/>
                <w:szCs w:val="20"/>
                <w:lang w:val="en-IE"/>
              </w:rPr>
              <w:t xml:space="preserve">Milestones and targets </w:t>
            </w:r>
          </w:p>
        </w:tc>
        <w:tc>
          <w:tcPr>
            <w:tcW w:w="3260" w:type="dxa"/>
          </w:tcPr>
          <w:p w14:paraId="62D4521C" w14:textId="77777777" w:rsidR="00425C3D" w:rsidRPr="00226044" w:rsidRDefault="0035048C" w:rsidP="00B63C77">
            <w:pPr>
              <w:jc w:val="both"/>
              <w:rPr>
                <w:rFonts w:ascii="Times New Roman" w:eastAsia="Calibri" w:hAnsi="Times New Roman" w:cs="Times New Roman"/>
                <w:noProof/>
                <w:sz w:val="20"/>
                <w:szCs w:val="20"/>
                <w:lang w:val="en-IE"/>
              </w:rPr>
            </w:pPr>
            <w:r w:rsidRPr="00226044">
              <w:rPr>
                <w:rStyle w:val="normaltextrun"/>
                <w:color w:val="000000"/>
                <w:sz w:val="20"/>
                <w:szCs w:val="20"/>
                <w:shd w:val="clear" w:color="auto" w:fill="FFFFFF"/>
                <w:lang w:val="en-IE"/>
              </w:rPr>
              <w:t>Number of square metres of new university area</w:t>
            </w:r>
            <w:r w:rsidRPr="00226044">
              <w:rPr>
                <w:rStyle w:val="eop"/>
                <w:color w:val="000000"/>
                <w:sz w:val="20"/>
                <w:szCs w:val="20"/>
                <w:shd w:val="clear" w:color="auto" w:fill="FFFFFF"/>
              </w:rPr>
              <w:t> </w:t>
            </w:r>
          </w:p>
        </w:tc>
        <w:tc>
          <w:tcPr>
            <w:tcW w:w="3747" w:type="dxa"/>
          </w:tcPr>
          <w:p w14:paraId="065EE9B9" w14:textId="77777777" w:rsidR="00425C3D" w:rsidRPr="00226044" w:rsidRDefault="0035048C"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No change</w:t>
            </w:r>
          </w:p>
        </w:tc>
      </w:tr>
      <w:tr w:rsidR="00425C3D" w:rsidRPr="00226044" w14:paraId="05DD7E8D" w14:textId="77777777" w:rsidTr="0A2107C3">
        <w:tc>
          <w:tcPr>
            <w:tcW w:w="2235" w:type="dxa"/>
          </w:tcPr>
          <w:p w14:paraId="5FDE9579" w14:textId="77777777" w:rsidR="00425C3D" w:rsidRPr="00226044" w:rsidRDefault="00425C3D" w:rsidP="00B63C77">
            <w:pPr>
              <w:jc w:val="both"/>
              <w:rPr>
                <w:rFonts w:ascii="Times New Roman" w:eastAsia="Calibri" w:hAnsi="Times New Roman" w:cs="Times New Roman"/>
                <w:b/>
                <w:bCs/>
                <w:i/>
                <w:iCs/>
                <w:noProof/>
                <w:sz w:val="20"/>
                <w:szCs w:val="20"/>
                <w:lang w:val="en-IE"/>
              </w:rPr>
            </w:pPr>
            <w:r w:rsidRPr="00226044">
              <w:rPr>
                <w:rFonts w:ascii="Times New Roman" w:eastAsia="Calibri" w:hAnsi="Times New Roman" w:cs="Times New Roman"/>
                <w:b/>
                <w:bCs/>
                <w:i/>
                <w:iCs/>
                <w:noProof/>
                <w:sz w:val="20"/>
                <w:szCs w:val="20"/>
                <w:lang w:val="en-IE"/>
              </w:rPr>
              <w:t>Estimated cost</w:t>
            </w:r>
          </w:p>
        </w:tc>
        <w:tc>
          <w:tcPr>
            <w:tcW w:w="3260" w:type="dxa"/>
          </w:tcPr>
          <w:p w14:paraId="791926FC" w14:textId="77777777" w:rsidR="00425C3D" w:rsidRPr="00226044" w:rsidRDefault="0035048C" w:rsidP="0035048C">
            <w:pPr>
              <w:jc w:val="both"/>
              <w:rPr>
                <w:rFonts w:ascii="Times New Roman" w:eastAsia="Calibri" w:hAnsi="Times New Roman" w:cs="Times New Roman"/>
                <w:noProof/>
                <w:sz w:val="20"/>
                <w:szCs w:val="20"/>
                <w:lang w:val="en-IE"/>
              </w:rPr>
            </w:pPr>
            <w:r w:rsidRPr="00226044">
              <w:rPr>
                <w:b/>
                <w:color w:val="000000" w:themeColor="text1"/>
                <w:sz w:val="20"/>
                <w:szCs w:val="20"/>
              </w:rPr>
              <w:t>Total RRF - 7 156 000 000,00 CZK</w:t>
            </w:r>
          </w:p>
        </w:tc>
        <w:tc>
          <w:tcPr>
            <w:tcW w:w="3747" w:type="dxa"/>
          </w:tcPr>
          <w:p w14:paraId="54F99532" w14:textId="3B2594C4" w:rsidR="00425C3D" w:rsidRPr="00226044" w:rsidRDefault="0035048C" w:rsidP="0035048C">
            <w:pPr>
              <w:jc w:val="both"/>
              <w:rPr>
                <w:rFonts w:ascii="Times New Roman" w:eastAsia="Calibri" w:hAnsi="Times New Roman" w:cs="Times New Roman"/>
                <w:noProof/>
                <w:sz w:val="20"/>
                <w:szCs w:val="20"/>
                <w:lang w:val="en-IE"/>
              </w:rPr>
            </w:pPr>
            <w:r w:rsidRPr="00226044">
              <w:rPr>
                <w:b/>
                <w:bCs/>
                <w:color w:val="000000" w:themeColor="text1"/>
                <w:sz w:val="20"/>
                <w:szCs w:val="20"/>
              </w:rPr>
              <w:t>Total RRF - 9</w:t>
            </w:r>
            <w:r w:rsidR="003B63FB" w:rsidRPr="00226044">
              <w:rPr>
                <w:b/>
                <w:bCs/>
                <w:color w:val="000000" w:themeColor="text1"/>
                <w:sz w:val="20"/>
                <w:szCs w:val="20"/>
              </w:rPr>
              <w:t> </w:t>
            </w:r>
            <w:r w:rsidR="6739D110" w:rsidRPr="00226044">
              <w:rPr>
                <w:b/>
                <w:bCs/>
                <w:color w:val="000000" w:themeColor="text1"/>
                <w:sz w:val="20"/>
                <w:szCs w:val="20"/>
              </w:rPr>
              <w:t>356</w:t>
            </w:r>
            <w:r w:rsidR="003B63FB" w:rsidRPr="00226044">
              <w:rPr>
                <w:b/>
                <w:bCs/>
                <w:color w:val="000000" w:themeColor="text1"/>
                <w:sz w:val="20"/>
                <w:szCs w:val="20"/>
              </w:rPr>
              <w:t> </w:t>
            </w:r>
            <w:r w:rsidR="1A859EE7" w:rsidRPr="00226044">
              <w:rPr>
                <w:b/>
                <w:bCs/>
                <w:color w:val="000000" w:themeColor="text1"/>
                <w:sz w:val="20"/>
                <w:szCs w:val="20"/>
              </w:rPr>
              <w:t>589</w:t>
            </w:r>
            <w:r w:rsidR="003B63FB" w:rsidRPr="00226044">
              <w:rPr>
                <w:b/>
                <w:bCs/>
                <w:color w:val="000000" w:themeColor="text1"/>
                <w:sz w:val="20"/>
                <w:szCs w:val="20"/>
              </w:rPr>
              <w:t xml:space="preserve"> </w:t>
            </w:r>
            <w:r w:rsidR="37826989" w:rsidRPr="00226044">
              <w:rPr>
                <w:b/>
                <w:bCs/>
                <w:color w:val="000000" w:themeColor="text1"/>
                <w:sz w:val="20"/>
                <w:szCs w:val="20"/>
              </w:rPr>
              <w:t>5</w:t>
            </w:r>
            <w:r w:rsidR="003B63FB" w:rsidRPr="00226044">
              <w:rPr>
                <w:b/>
                <w:bCs/>
                <w:color w:val="000000" w:themeColor="text1"/>
                <w:sz w:val="20"/>
                <w:szCs w:val="20"/>
              </w:rPr>
              <w:t>00</w:t>
            </w:r>
            <w:r w:rsidRPr="00226044">
              <w:rPr>
                <w:b/>
                <w:bCs/>
                <w:color w:val="000000" w:themeColor="text1"/>
                <w:sz w:val="20"/>
                <w:szCs w:val="20"/>
              </w:rPr>
              <w:t xml:space="preserve"> CZK</w:t>
            </w:r>
          </w:p>
        </w:tc>
      </w:tr>
      <w:tr w:rsidR="00425C3D" w:rsidRPr="00226044" w14:paraId="28F1C0D2" w14:textId="77777777" w:rsidTr="0A2107C3">
        <w:tc>
          <w:tcPr>
            <w:tcW w:w="2235" w:type="dxa"/>
          </w:tcPr>
          <w:p w14:paraId="1D4CA378" w14:textId="77777777" w:rsidR="00425C3D" w:rsidRPr="00226044" w:rsidRDefault="00425C3D" w:rsidP="00B63C77">
            <w:pPr>
              <w:jc w:val="both"/>
              <w:rPr>
                <w:rFonts w:ascii="Times New Roman" w:eastAsia="Calibri" w:hAnsi="Times New Roman" w:cs="Times New Roman"/>
                <w:b/>
                <w:bCs/>
                <w:i/>
                <w:iCs/>
                <w:noProof/>
                <w:sz w:val="20"/>
                <w:szCs w:val="20"/>
                <w:lang w:val="en-IE"/>
              </w:rPr>
            </w:pPr>
            <w:r w:rsidRPr="00226044">
              <w:rPr>
                <w:rFonts w:ascii="Times New Roman" w:eastAsia="Calibri" w:hAnsi="Times New Roman" w:cs="Times New Roman"/>
                <w:b/>
                <w:bCs/>
                <w:i/>
                <w:iCs/>
                <w:noProof/>
                <w:sz w:val="20"/>
                <w:szCs w:val="20"/>
                <w:lang w:val="en-IE"/>
              </w:rPr>
              <w:t>Green and digital tagging</w:t>
            </w:r>
          </w:p>
        </w:tc>
        <w:tc>
          <w:tcPr>
            <w:tcW w:w="3260" w:type="dxa"/>
          </w:tcPr>
          <w:p w14:paraId="2027E792" w14:textId="77777777" w:rsidR="00425C3D" w:rsidRPr="00226044" w:rsidRDefault="0035048C"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No change</w:t>
            </w:r>
          </w:p>
        </w:tc>
        <w:tc>
          <w:tcPr>
            <w:tcW w:w="3747" w:type="dxa"/>
          </w:tcPr>
          <w:p w14:paraId="35EB8FA0" w14:textId="77777777" w:rsidR="00425C3D" w:rsidRPr="00226044" w:rsidRDefault="0035048C"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No change</w:t>
            </w:r>
          </w:p>
        </w:tc>
      </w:tr>
      <w:tr w:rsidR="00425C3D" w:rsidRPr="00226044" w14:paraId="37A0233E" w14:textId="77777777" w:rsidTr="0A2107C3">
        <w:tc>
          <w:tcPr>
            <w:tcW w:w="2235" w:type="dxa"/>
          </w:tcPr>
          <w:p w14:paraId="5D7F0E01" w14:textId="77777777" w:rsidR="00425C3D" w:rsidRPr="00226044" w:rsidRDefault="00425C3D" w:rsidP="00B63C77">
            <w:pPr>
              <w:jc w:val="both"/>
              <w:rPr>
                <w:rFonts w:ascii="Times New Roman" w:eastAsia="Calibri" w:hAnsi="Times New Roman" w:cs="Times New Roman"/>
                <w:b/>
                <w:bCs/>
                <w:i/>
                <w:iCs/>
                <w:noProof/>
                <w:sz w:val="20"/>
                <w:szCs w:val="20"/>
                <w:lang w:val="en-IE"/>
              </w:rPr>
            </w:pPr>
            <w:r w:rsidRPr="00226044">
              <w:rPr>
                <w:rFonts w:ascii="Times New Roman" w:eastAsia="Calibri" w:hAnsi="Times New Roman" w:cs="Times New Roman"/>
                <w:b/>
                <w:bCs/>
                <w:i/>
                <w:iCs/>
                <w:noProof/>
                <w:sz w:val="20"/>
                <w:szCs w:val="20"/>
                <w:lang w:val="en-IE"/>
              </w:rPr>
              <w:t>DNSH self-assessment</w:t>
            </w:r>
          </w:p>
        </w:tc>
        <w:tc>
          <w:tcPr>
            <w:tcW w:w="3260" w:type="dxa"/>
          </w:tcPr>
          <w:p w14:paraId="6E4934C5" w14:textId="77777777" w:rsidR="00425C3D" w:rsidRPr="00226044" w:rsidRDefault="0035048C"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No change</w:t>
            </w:r>
          </w:p>
        </w:tc>
        <w:tc>
          <w:tcPr>
            <w:tcW w:w="3747" w:type="dxa"/>
          </w:tcPr>
          <w:p w14:paraId="097A65CD" w14:textId="77777777" w:rsidR="00425C3D" w:rsidRPr="00226044" w:rsidRDefault="0035048C"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No change</w:t>
            </w:r>
          </w:p>
        </w:tc>
      </w:tr>
    </w:tbl>
    <w:p w14:paraId="1574DD17" w14:textId="77777777" w:rsidR="00425C3D" w:rsidRPr="00226044" w:rsidRDefault="00425C3D" w:rsidP="00605759"/>
    <w:p w14:paraId="3F526D7C" w14:textId="77777777" w:rsidR="00885201" w:rsidRPr="00226044" w:rsidRDefault="0035048C" w:rsidP="00605759">
      <w:pPr>
        <w:rPr>
          <w:rFonts w:cstheme="minorHAnsi"/>
          <w:b/>
          <w:bCs/>
          <w:i/>
          <w:iCs/>
          <w:sz w:val="20"/>
          <w:szCs w:val="20"/>
          <w:lang w:val="en-IE"/>
        </w:rPr>
      </w:pPr>
      <w:r w:rsidRPr="00226044">
        <w:rPr>
          <w:rFonts w:cstheme="minorHAnsi"/>
          <w:b/>
          <w:bCs/>
          <w:i/>
          <w:iCs/>
          <w:sz w:val="20"/>
          <w:szCs w:val="20"/>
          <w:lang w:val="en-IE"/>
        </w:rPr>
        <w:t>Objective facts why the milestones and targets could not be met:</w:t>
      </w:r>
    </w:p>
    <w:p w14:paraId="583EF561" w14:textId="77777777" w:rsidR="00B77F4E" w:rsidRPr="00226044" w:rsidRDefault="00B77F4E" w:rsidP="00B77F4E">
      <w:pPr>
        <w:ind w:left="71"/>
        <w:jc w:val="both"/>
        <w:rPr>
          <w:rStyle w:val="eop"/>
          <w:rFonts w:eastAsiaTheme="majorEastAsia"/>
          <w:sz w:val="20"/>
        </w:rPr>
      </w:pPr>
      <w:r w:rsidRPr="00226044">
        <w:rPr>
          <w:rStyle w:val="eop"/>
          <w:rFonts w:eastAsiaTheme="majorEastAsia"/>
          <w:sz w:val="20"/>
        </w:rPr>
        <w:t>The situation on the construction market has been unpredictable since the pandemic (mostly because of global pandemic Covid-19 - interruption of production). In addition to a significant increase in the prices of materials, there are also supply shortages and the demand for building modifications is high. This year is so far the worst due to the ongoing war in Ukraine - departure of Ukraine workers, who made up a large part of the construction capacity, back to Ukraine, international sanctions and fluctuations in prices and supplies of raw materials from Russia, which caused speculation and panic on trade market. Materials such as bricks, iron, steel, polystyrene and others were hit by the biggest price increase.</w:t>
      </w:r>
    </w:p>
    <w:p w14:paraId="02586116" w14:textId="77777777" w:rsidR="00B77F4E" w:rsidRPr="00226044" w:rsidRDefault="00B77F4E" w:rsidP="00725028">
      <w:pPr>
        <w:ind w:left="71"/>
        <w:jc w:val="both"/>
        <w:rPr>
          <w:rStyle w:val="eop"/>
          <w:rFonts w:eastAsiaTheme="majorEastAsia"/>
          <w:sz w:val="20"/>
        </w:rPr>
      </w:pPr>
      <w:r w:rsidRPr="00226044">
        <w:rPr>
          <w:rStyle w:val="eop"/>
          <w:rFonts w:eastAsiaTheme="majorEastAsia"/>
          <w:sz w:val="20"/>
        </w:rPr>
        <w:t>Another reason for the increase in the prices of building materials is primarily the significant increase in energy prices and outages in their supply (especially natural gas).</w:t>
      </w:r>
    </w:p>
    <w:p w14:paraId="13912A1D" w14:textId="77777777" w:rsidR="00B77F4E" w:rsidRPr="00226044" w:rsidDel="00475A52" w:rsidRDefault="00B77F4E" w:rsidP="00B77F4E">
      <w:pPr>
        <w:jc w:val="both"/>
        <w:rPr>
          <w:rStyle w:val="eop"/>
          <w:rFonts w:eastAsiaTheme="majorEastAsia"/>
          <w:sz w:val="20"/>
        </w:rPr>
      </w:pPr>
      <w:r w:rsidRPr="00226044">
        <w:rPr>
          <w:rStyle w:val="eop"/>
          <w:rFonts w:eastAsiaTheme="majorEastAsia"/>
          <w:sz w:val="20"/>
        </w:rPr>
        <w:t xml:space="preserve">Intensive preparations for all three projects are currently underway. </w:t>
      </w:r>
      <w:proofErr w:type="spellStart"/>
      <w:r w:rsidRPr="00226044">
        <w:rPr>
          <w:rStyle w:val="eop"/>
          <w:rFonts w:eastAsiaTheme="majorEastAsia"/>
          <w:sz w:val="20"/>
        </w:rPr>
        <w:t>Mephared</w:t>
      </w:r>
      <w:proofErr w:type="spellEnd"/>
      <w:r w:rsidRPr="00226044">
        <w:rPr>
          <w:rStyle w:val="eop"/>
          <w:rFonts w:eastAsiaTheme="majorEastAsia"/>
          <w:sz w:val="20"/>
        </w:rPr>
        <w:t xml:space="preserve"> and the Biocentre already have valid building permits. The tender procedure for the construction of </w:t>
      </w:r>
      <w:proofErr w:type="spellStart"/>
      <w:r w:rsidRPr="00226044">
        <w:rPr>
          <w:rStyle w:val="eop"/>
          <w:rFonts w:eastAsiaTheme="majorEastAsia"/>
          <w:sz w:val="20"/>
        </w:rPr>
        <w:t>Mephared</w:t>
      </w:r>
      <w:proofErr w:type="spellEnd"/>
      <w:r w:rsidRPr="00226044">
        <w:rPr>
          <w:rStyle w:val="eop"/>
          <w:rFonts w:eastAsiaTheme="majorEastAsia"/>
          <w:sz w:val="20"/>
        </w:rPr>
        <w:t xml:space="preserve"> 2 started in IV. quarter of 2022. On March 16, 2023, envelopes with offers for construction were opened. The price extremely exceeds the planned project budget and the approved allocation, which has an impact on the financing of the entire component. At the moment, it is not possible to estimate the results of the procurement procedures for the other two buildings, as they are expected to be announced in II. quarter of 2023.</w:t>
      </w:r>
    </w:p>
    <w:p w14:paraId="430958F4" w14:textId="77777777" w:rsidR="00B77F4E" w:rsidRPr="00226044" w:rsidRDefault="00B77F4E" w:rsidP="00B77F4E">
      <w:pPr>
        <w:jc w:val="both"/>
        <w:rPr>
          <w:rStyle w:val="eop"/>
          <w:rFonts w:eastAsiaTheme="majorEastAsia"/>
          <w:sz w:val="20"/>
        </w:rPr>
      </w:pPr>
      <w:r w:rsidRPr="00226044">
        <w:rPr>
          <w:rStyle w:val="eop"/>
          <w:rFonts w:eastAsiaTheme="majorEastAsia"/>
          <w:sz w:val="20"/>
        </w:rPr>
        <w:lastRenderedPageBreak/>
        <w:t>The market situation described above, and the result of the tender clearly show that the previously set budget for the construction of buildings is currently inadequate.</w:t>
      </w:r>
    </w:p>
    <w:p w14:paraId="58A65EE2" w14:textId="77777777" w:rsidR="0035048C" w:rsidRPr="00226044" w:rsidRDefault="0035048C" w:rsidP="00605759">
      <w:pPr>
        <w:rPr>
          <w:rFonts w:cstheme="minorHAnsi"/>
          <w:b/>
          <w:bCs/>
          <w:i/>
          <w:iCs/>
          <w:sz w:val="20"/>
          <w:szCs w:val="20"/>
          <w:lang w:val="en-IE"/>
        </w:rPr>
      </w:pPr>
      <w:r w:rsidRPr="00226044">
        <w:rPr>
          <w:rFonts w:cstheme="minorHAnsi"/>
          <w:b/>
          <w:bCs/>
          <w:i/>
          <w:iCs/>
          <w:sz w:val="20"/>
          <w:szCs w:val="20"/>
          <w:lang w:val="en-IE"/>
        </w:rPr>
        <w:t>Proof of the relationship between the objective fact/reason and the non-fulfilment of the milestone and target:</w:t>
      </w:r>
    </w:p>
    <w:p w14:paraId="0192E091" w14:textId="77777777" w:rsidR="00B77F4E" w:rsidRPr="00226044" w:rsidRDefault="00B77F4E" w:rsidP="00B77F4E">
      <w:pPr>
        <w:spacing w:line="252" w:lineRule="auto"/>
        <w:jc w:val="both"/>
        <w:rPr>
          <w:rFonts w:eastAsia="Calibri"/>
          <w:i/>
          <w:sz w:val="20"/>
          <w:lang w:val="en-IE"/>
        </w:rPr>
      </w:pPr>
      <w:bookmarkStart w:id="1" w:name="_Hlk132790602"/>
      <w:r w:rsidRPr="00226044">
        <w:rPr>
          <w:rFonts w:eastAsia="Calibri"/>
          <w:i/>
          <w:sz w:val="20"/>
          <w:lang w:val="en-IE"/>
        </w:rPr>
        <w:t xml:space="preserve">Future inflation as such significant factor was not </w:t>
      </w:r>
      <w:proofErr w:type="gramStart"/>
      <w:r w:rsidRPr="00226044">
        <w:rPr>
          <w:rFonts w:eastAsia="Calibri"/>
          <w:i/>
          <w:sz w:val="20"/>
          <w:lang w:val="en-IE"/>
        </w:rPr>
        <w:t>taken into account</w:t>
      </w:r>
      <w:proofErr w:type="gramEnd"/>
      <w:r w:rsidRPr="00226044">
        <w:rPr>
          <w:rFonts w:eastAsia="Calibri"/>
          <w:i/>
          <w:sz w:val="20"/>
          <w:lang w:val="en-IE"/>
        </w:rPr>
        <w:t xml:space="preserve"> in the original costing, </w:t>
      </w:r>
      <w:proofErr w:type="spellStart"/>
      <w:r w:rsidRPr="00226044">
        <w:rPr>
          <w:rFonts w:eastAsia="Calibri"/>
          <w:i/>
          <w:sz w:val="20"/>
          <w:lang w:val="en-IE"/>
        </w:rPr>
        <w:t>i.e.the</w:t>
      </w:r>
      <w:proofErr w:type="spellEnd"/>
      <w:r w:rsidRPr="00226044">
        <w:rPr>
          <w:rFonts w:eastAsia="Calibri"/>
          <w:i/>
          <w:sz w:val="20"/>
          <w:lang w:val="en-IE"/>
        </w:rPr>
        <w:t xml:space="preserve"> price per m</w:t>
      </w:r>
      <w:r w:rsidRPr="00226044">
        <w:rPr>
          <w:rFonts w:eastAsia="Calibri"/>
          <w:i/>
          <w:sz w:val="20"/>
          <w:vertAlign w:val="superscript"/>
          <w:lang w:val="en-IE"/>
        </w:rPr>
        <w:t>2</w:t>
      </w:r>
      <w:r w:rsidRPr="00226044">
        <w:rPr>
          <w:rFonts w:eastAsia="Calibri"/>
          <w:i/>
          <w:sz w:val="20"/>
          <w:lang w:val="en-IE"/>
        </w:rPr>
        <w:t xml:space="preserve"> was calculated at the same amount for the entire implementation period, and it was determined in June 2021, but based on data in the RTS system published in January 2021. Therefore, we have not taken inflation into account in our calculations The original allocation was calculated with a reserve for highly probable adjustments in projects , </w:t>
      </w:r>
      <w:proofErr w:type="spellStart"/>
      <w:r w:rsidRPr="00226044">
        <w:rPr>
          <w:rFonts w:eastAsia="Calibri"/>
          <w:i/>
          <w:sz w:val="20"/>
          <w:lang w:val="en-IE"/>
        </w:rPr>
        <w:t>ie</w:t>
      </w:r>
      <w:proofErr w:type="spellEnd"/>
      <w:r w:rsidRPr="00226044">
        <w:rPr>
          <w:rFonts w:eastAsia="Calibri"/>
          <w:i/>
          <w:sz w:val="20"/>
          <w:lang w:val="en-IE"/>
        </w:rPr>
        <w:t xml:space="preserve"> 10 % increase in square metres  (1 008 mil CZK),  due to external circumstances, there was a sharp increase in the prices of inputs for building materials and work, which cannot be covered The calculation of the resulting amount of the allocation increase is based on the forecast of the expected rate of inflation according to the European Commission for the years 2023-2026, when the original costing plan from 2021 is multiplied by the expected inflation for each year</w:t>
      </w:r>
    </w:p>
    <w:p w14:paraId="7ABDD3B1" w14:textId="77777777" w:rsidR="00B77F4E" w:rsidRPr="00226044" w:rsidRDefault="00B77F4E" w:rsidP="00B77F4E">
      <w:pPr>
        <w:jc w:val="both"/>
        <w:rPr>
          <w:i/>
          <w:sz w:val="20"/>
        </w:rPr>
      </w:pPr>
      <w:r w:rsidRPr="00226044">
        <w:rPr>
          <w:i/>
          <w:sz w:val="20"/>
        </w:rPr>
        <w:t>The detailed calculation for increasing the allocation is shown in the table in Appendix No. 1. All costs in this component are construction costs.</w:t>
      </w:r>
    </w:p>
    <w:p w14:paraId="5F6F3645" w14:textId="77777777" w:rsidR="00885201" w:rsidRPr="00226044" w:rsidRDefault="00B77F4E" w:rsidP="00725028">
      <w:pPr>
        <w:spacing w:line="252" w:lineRule="auto"/>
        <w:jc w:val="both"/>
        <w:rPr>
          <w:i/>
          <w:sz w:val="20"/>
          <w:lang w:val="en-US"/>
        </w:rPr>
      </w:pPr>
      <w:r w:rsidRPr="00226044">
        <w:rPr>
          <w:i/>
          <w:sz w:val="20"/>
          <w:lang w:val="en-US"/>
        </w:rPr>
        <w:t xml:space="preserve">In addition to inflation, we also have to work with a different distribution of costs over time compared to the assumption from 2021. Due to situation described above tender procedures were delayed (not in 2022) and construction will start later. </w:t>
      </w:r>
      <w:proofErr w:type="gramStart"/>
      <w:r w:rsidRPr="00226044">
        <w:rPr>
          <w:i/>
          <w:sz w:val="20"/>
          <w:lang w:val="en-US"/>
        </w:rPr>
        <w:t>Thus</w:t>
      </w:r>
      <w:proofErr w:type="gramEnd"/>
      <w:r w:rsidRPr="00226044">
        <w:rPr>
          <w:i/>
          <w:sz w:val="20"/>
          <w:lang w:val="en-US"/>
        </w:rPr>
        <w:t> project costs were postponed for following years.</w:t>
      </w:r>
      <w:bookmarkEnd w:id="1"/>
    </w:p>
    <w:tbl>
      <w:tblPr>
        <w:tblpPr w:leftFromText="141" w:rightFromText="141" w:vertAnchor="page" w:horzAnchor="margin" w:tblpXSpec="center" w:tblpY="7066"/>
        <w:tblW w:w="9207" w:type="dxa"/>
        <w:tblCellMar>
          <w:left w:w="70" w:type="dxa"/>
          <w:right w:w="70" w:type="dxa"/>
        </w:tblCellMar>
        <w:tblLook w:val="04A0" w:firstRow="1" w:lastRow="0" w:firstColumn="1" w:lastColumn="0" w:noHBand="0" w:noVBand="1"/>
      </w:tblPr>
      <w:tblGrid>
        <w:gridCol w:w="1408"/>
        <w:gridCol w:w="992"/>
        <w:gridCol w:w="1491"/>
        <w:gridCol w:w="897"/>
        <w:gridCol w:w="897"/>
        <w:gridCol w:w="897"/>
        <w:gridCol w:w="897"/>
        <w:gridCol w:w="864"/>
        <w:gridCol w:w="864"/>
      </w:tblGrid>
      <w:tr w:rsidR="00725028" w:rsidRPr="00226044" w14:paraId="52839C7E" w14:textId="77777777" w:rsidTr="00725028">
        <w:trPr>
          <w:trHeight w:val="427"/>
        </w:trPr>
        <w:tc>
          <w:tcPr>
            <w:tcW w:w="1408" w:type="dxa"/>
            <w:tcBorders>
              <w:top w:val="single" w:sz="8" w:space="0" w:color="auto"/>
              <w:left w:val="single" w:sz="8" w:space="0" w:color="auto"/>
              <w:bottom w:val="single" w:sz="8" w:space="0" w:color="auto"/>
              <w:right w:val="single" w:sz="4" w:space="0" w:color="000000"/>
            </w:tcBorders>
            <w:shd w:val="clear" w:color="000000" w:fill="B4C6E7"/>
            <w:noWrap/>
            <w:vAlign w:val="bottom"/>
            <w:hideMark/>
          </w:tcPr>
          <w:p w14:paraId="4881DBF1" w14:textId="77777777" w:rsidR="00725028" w:rsidRPr="00226044" w:rsidRDefault="00725028" w:rsidP="00725028">
            <w:pPr>
              <w:spacing w:after="0" w:line="240" w:lineRule="auto"/>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 </w:t>
            </w:r>
          </w:p>
        </w:tc>
        <w:tc>
          <w:tcPr>
            <w:tcW w:w="992" w:type="dxa"/>
            <w:tcBorders>
              <w:top w:val="single" w:sz="8" w:space="0" w:color="auto"/>
              <w:left w:val="nil"/>
              <w:bottom w:val="single" w:sz="8" w:space="0" w:color="auto"/>
              <w:right w:val="single" w:sz="4" w:space="0" w:color="000000"/>
            </w:tcBorders>
            <w:shd w:val="clear" w:color="000000" w:fill="B4C6E7"/>
            <w:noWrap/>
            <w:vAlign w:val="bottom"/>
            <w:hideMark/>
          </w:tcPr>
          <w:p w14:paraId="38DF9573" w14:textId="77777777" w:rsidR="00725028" w:rsidRPr="00226044" w:rsidRDefault="00725028" w:rsidP="00725028">
            <w:pPr>
              <w:spacing w:after="0" w:line="240" w:lineRule="auto"/>
              <w:jc w:val="center"/>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rate</w:t>
            </w:r>
          </w:p>
        </w:tc>
        <w:tc>
          <w:tcPr>
            <w:tcW w:w="1491" w:type="dxa"/>
            <w:tcBorders>
              <w:top w:val="single" w:sz="8" w:space="0" w:color="auto"/>
              <w:left w:val="nil"/>
              <w:bottom w:val="single" w:sz="8" w:space="0" w:color="auto"/>
              <w:right w:val="single" w:sz="4" w:space="0" w:color="000000"/>
            </w:tcBorders>
            <w:shd w:val="clear" w:color="000000" w:fill="B4C6E7"/>
            <w:noWrap/>
            <w:vAlign w:val="bottom"/>
            <w:hideMark/>
          </w:tcPr>
          <w:p w14:paraId="74754201" w14:textId="77777777" w:rsidR="00725028" w:rsidRPr="00226044" w:rsidRDefault="00725028" w:rsidP="00725028">
            <w:pPr>
              <w:spacing w:after="0" w:line="240" w:lineRule="auto"/>
              <w:jc w:val="center"/>
              <w:rPr>
                <w:rFonts w:ascii="Calibri" w:eastAsia="Times New Roman" w:hAnsi="Calibri" w:cs="Calibri"/>
                <w:b/>
                <w:bCs/>
                <w:color w:val="000000"/>
                <w:szCs w:val="32"/>
                <w:lang w:val="cs-CZ" w:eastAsia="cs-CZ"/>
              </w:rPr>
            </w:pPr>
            <w:proofErr w:type="spellStart"/>
            <w:r w:rsidRPr="00226044">
              <w:rPr>
                <w:rFonts w:ascii="Calibri" w:eastAsia="Times New Roman" w:hAnsi="Calibri" w:cs="Calibri"/>
                <w:b/>
                <w:bCs/>
                <w:color w:val="000000"/>
                <w:szCs w:val="32"/>
                <w:lang w:val="cs-CZ" w:eastAsia="cs-CZ"/>
              </w:rPr>
              <w:t>coef</w:t>
            </w:r>
            <w:proofErr w:type="spellEnd"/>
          </w:p>
        </w:tc>
        <w:tc>
          <w:tcPr>
            <w:tcW w:w="897" w:type="dxa"/>
            <w:tcBorders>
              <w:top w:val="single" w:sz="8" w:space="0" w:color="auto"/>
              <w:left w:val="nil"/>
              <w:bottom w:val="single" w:sz="8" w:space="0" w:color="auto"/>
              <w:right w:val="single" w:sz="4" w:space="0" w:color="000000"/>
            </w:tcBorders>
            <w:shd w:val="clear" w:color="000000" w:fill="BDD7EE"/>
            <w:vAlign w:val="bottom"/>
            <w:hideMark/>
          </w:tcPr>
          <w:p w14:paraId="51720969" w14:textId="77777777" w:rsidR="00725028" w:rsidRPr="00226044" w:rsidRDefault="00725028" w:rsidP="00725028">
            <w:pPr>
              <w:spacing w:after="0" w:line="240" w:lineRule="auto"/>
              <w:jc w:val="right"/>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2022</w:t>
            </w:r>
          </w:p>
        </w:tc>
        <w:tc>
          <w:tcPr>
            <w:tcW w:w="897" w:type="dxa"/>
            <w:tcBorders>
              <w:top w:val="single" w:sz="8" w:space="0" w:color="auto"/>
              <w:left w:val="nil"/>
              <w:bottom w:val="single" w:sz="8" w:space="0" w:color="auto"/>
              <w:right w:val="single" w:sz="4" w:space="0" w:color="000000"/>
            </w:tcBorders>
            <w:shd w:val="clear" w:color="000000" w:fill="BDD7EE"/>
            <w:vAlign w:val="bottom"/>
            <w:hideMark/>
          </w:tcPr>
          <w:p w14:paraId="1EDFF476" w14:textId="77777777" w:rsidR="00725028" w:rsidRPr="00226044" w:rsidRDefault="00725028" w:rsidP="00725028">
            <w:pPr>
              <w:spacing w:after="0" w:line="240" w:lineRule="auto"/>
              <w:jc w:val="right"/>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2023</w:t>
            </w:r>
          </w:p>
        </w:tc>
        <w:tc>
          <w:tcPr>
            <w:tcW w:w="897" w:type="dxa"/>
            <w:tcBorders>
              <w:top w:val="single" w:sz="8" w:space="0" w:color="auto"/>
              <w:left w:val="nil"/>
              <w:bottom w:val="single" w:sz="8" w:space="0" w:color="auto"/>
              <w:right w:val="single" w:sz="4" w:space="0" w:color="000000"/>
            </w:tcBorders>
            <w:shd w:val="clear" w:color="000000" w:fill="BDD7EE"/>
            <w:vAlign w:val="bottom"/>
            <w:hideMark/>
          </w:tcPr>
          <w:p w14:paraId="10B21B40" w14:textId="77777777" w:rsidR="00725028" w:rsidRPr="00226044" w:rsidRDefault="00725028" w:rsidP="00725028">
            <w:pPr>
              <w:spacing w:after="0" w:line="240" w:lineRule="auto"/>
              <w:jc w:val="right"/>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2024</w:t>
            </w:r>
          </w:p>
        </w:tc>
        <w:tc>
          <w:tcPr>
            <w:tcW w:w="897" w:type="dxa"/>
            <w:tcBorders>
              <w:top w:val="single" w:sz="8" w:space="0" w:color="auto"/>
              <w:left w:val="nil"/>
              <w:bottom w:val="single" w:sz="8" w:space="0" w:color="auto"/>
              <w:right w:val="single" w:sz="4" w:space="0" w:color="000000"/>
            </w:tcBorders>
            <w:shd w:val="clear" w:color="000000" w:fill="BDD7EE"/>
            <w:vAlign w:val="bottom"/>
            <w:hideMark/>
          </w:tcPr>
          <w:p w14:paraId="1BCC2B90" w14:textId="77777777" w:rsidR="00725028" w:rsidRPr="00226044" w:rsidRDefault="00725028" w:rsidP="00725028">
            <w:pPr>
              <w:spacing w:after="0" w:line="240" w:lineRule="auto"/>
              <w:jc w:val="right"/>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2025</w:t>
            </w:r>
          </w:p>
        </w:tc>
        <w:tc>
          <w:tcPr>
            <w:tcW w:w="864" w:type="dxa"/>
            <w:tcBorders>
              <w:top w:val="single" w:sz="8" w:space="0" w:color="auto"/>
              <w:left w:val="nil"/>
              <w:bottom w:val="single" w:sz="8" w:space="0" w:color="auto"/>
              <w:right w:val="nil"/>
            </w:tcBorders>
            <w:shd w:val="clear" w:color="000000" w:fill="BDD7EE"/>
            <w:vAlign w:val="bottom"/>
            <w:hideMark/>
          </w:tcPr>
          <w:p w14:paraId="02AFE777" w14:textId="77777777" w:rsidR="00725028" w:rsidRPr="00226044" w:rsidRDefault="00725028" w:rsidP="00725028">
            <w:pPr>
              <w:spacing w:after="0" w:line="240" w:lineRule="auto"/>
              <w:jc w:val="right"/>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2026</w:t>
            </w:r>
          </w:p>
        </w:tc>
        <w:tc>
          <w:tcPr>
            <w:tcW w:w="864" w:type="dxa"/>
            <w:tcBorders>
              <w:top w:val="single" w:sz="8" w:space="0" w:color="auto"/>
              <w:left w:val="single" w:sz="4" w:space="0" w:color="auto"/>
              <w:bottom w:val="single" w:sz="8" w:space="0" w:color="auto"/>
              <w:right w:val="single" w:sz="8" w:space="0" w:color="auto"/>
            </w:tcBorders>
            <w:shd w:val="clear" w:color="000000" w:fill="F4B084"/>
            <w:noWrap/>
            <w:vAlign w:val="bottom"/>
            <w:hideMark/>
          </w:tcPr>
          <w:p w14:paraId="314F83E4" w14:textId="77777777" w:rsidR="00725028" w:rsidRPr="00226044" w:rsidRDefault="00725028" w:rsidP="00725028">
            <w:pPr>
              <w:spacing w:after="0" w:line="240" w:lineRule="auto"/>
              <w:jc w:val="center"/>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TOTAL</w:t>
            </w:r>
          </w:p>
        </w:tc>
      </w:tr>
      <w:tr w:rsidR="00725028" w:rsidRPr="00226044" w14:paraId="389EEF26" w14:textId="77777777" w:rsidTr="00725028">
        <w:trPr>
          <w:trHeight w:val="412"/>
        </w:trPr>
        <w:tc>
          <w:tcPr>
            <w:tcW w:w="1408" w:type="dxa"/>
            <w:tcBorders>
              <w:top w:val="nil"/>
              <w:left w:val="single" w:sz="8" w:space="0" w:color="auto"/>
              <w:bottom w:val="nil"/>
              <w:right w:val="nil"/>
            </w:tcBorders>
            <w:shd w:val="clear" w:color="000000" w:fill="B4C6E7"/>
            <w:noWrap/>
            <w:vAlign w:val="bottom"/>
            <w:hideMark/>
          </w:tcPr>
          <w:p w14:paraId="1E177660" w14:textId="77777777" w:rsidR="00725028" w:rsidRPr="00226044" w:rsidRDefault="00725028" w:rsidP="00725028">
            <w:pPr>
              <w:spacing w:after="0" w:line="240" w:lineRule="auto"/>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 xml:space="preserve">costing EC table </w:t>
            </w:r>
            <w:proofErr w:type="spellStart"/>
            <w:r w:rsidRPr="00226044">
              <w:rPr>
                <w:rFonts w:ascii="Calibri" w:eastAsia="Times New Roman" w:hAnsi="Calibri" w:cs="Calibri"/>
                <w:b/>
                <w:bCs/>
                <w:color w:val="000000"/>
                <w:szCs w:val="32"/>
                <w:lang w:val="cs-CZ" w:eastAsia="cs-CZ"/>
              </w:rPr>
              <w:t>original</w:t>
            </w:r>
            <w:proofErr w:type="spellEnd"/>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14:paraId="05250A3C"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c>
          <w:tcPr>
            <w:tcW w:w="1491" w:type="dxa"/>
            <w:tcBorders>
              <w:top w:val="nil"/>
              <w:left w:val="nil"/>
              <w:bottom w:val="single" w:sz="4" w:space="0" w:color="auto"/>
              <w:right w:val="single" w:sz="4" w:space="0" w:color="auto"/>
            </w:tcBorders>
            <w:shd w:val="clear" w:color="auto" w:fill="auto"/>
            <w:noWrap/>
            <w:vAlign w:val="bottom"/>
            <w:hideMark/>
          </w:tcPr>
          <w:p w14:paraId="79064C9A"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c>
          <w:tcPr>
            <w:tcW w:w="897" w:type="dxa"/>
            <w:tcBorders>
              <w:top w:val="nil"/>
              <w:left w:val="nil"/>
              <w:bottom w:val="single" w:sz="4" w:space="0" w:color="auto"/>
              <w:right w:val="single" w:sz="4" w:space="0" w:color="auto"/>
            </w:tcBorders>
            <w:shd w:val="clear" w:color="auto" w:fill="auto"/>
            <w:noWrap/>
            <w:vAlign w:val="center"/>
            <w:hideMark/>
          </w:tcPr>
          <w:p w14:paraId="01B5A19E"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270,00</w:t>
            </w:r>
          </w:p>
        </w:tc>
        <w:tc>
          <w:tcPr>
            <w:tcW w:w="897" w:type="dxa"/>
            <w:tcBorders>
              <w:top w:val="nil"/>
              <w:left w:val="nil"/>
              <w:bottom w:val="single" w:sz="4" w:space="0" w:color="auto"/>
              <w:right w:val="single" w:sz="4" w:space="0" w:color="auto"/>
            </w:tcBorders>
            <w:shd w:val="clear" w:color="auto" w:fill="auto"/>
            <w:noWrap/>
            <w:vAlign w:val="center"/>
            <w:hideMark/>
          </w:tcPr>
          <w:p w14:paraId="3005CCA4"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1350,00</w:t>
            </w:r>
          </w:p>
        </w:tc>
        <w:tc>
          <w:tcPr>
            <w:tcW w:w="897" w:type="dxa"/>
            <w:tcBorders>
              <w:top w:val="nil"/>
              <w:left w:val="nil"/>
              <w:bottom w:val="single" w:sz="4" w:space="0" w:color="auto"/>
              <w:right w:val="single" w:sz="4" w:space="0" w:color="auto"/>
            </w:tcBorders>
            <w:shd w:val="clear" w:color="auto" w:fill="auto"/>
            <w:noWrap/>
            <w:vAlign w:val="center"/>
            <w:hideMark/>
          </w:tcPr>
          <w:p w14:paraId="698889CB"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2160,00</w:t>
            </w:r>
          </w:p>
        </w:tc>
        <w:tc>
          <w:tcPr>
            <w:tcW w:w="897" w:type="dxa"/>
            <w:tcBorders>
              <w:top w:val="nil"/>
              <w:left w:val="nil"/>
              <w:bottom w:val="single" w:sz="4" w:space="0" w:color="auto"/>
              <w:right w:val="single" w:sz="4" w:space="0" w:color="auto"/>
            </w:tcBorders>
            <w:shd w:val="clear" w:color="auto" w:fill="auto"/>
            <w:noWrap/>
            <w:vAlign w:val="center"/>
            <w:hideMark/>
          </w:tcPr>
          <w:p w14:paraId="361B15E6"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2515,50</w:t>
            </w:r>
          </w:p>
        </w:tc>
        <w:tc>
          <w:tcPr>
            <w:tcW w:w="864" w:type="dxa"/>
            <w:tcBorders>
              <w:top w:val="nil"/>
              <w:left w:val="nil"/>
              <w:bottom w:val="single" w:sz="4" w:space="0" w:color="auto"/>
              <w:right w:val="nil"/>
            </w:tcBorders>
            <w:shd w:val="clear" w:color="auto" w:fill="auto"/>
            <w:noWrap/>
            <w:vAlign w:val="center"/>
            <w:hideMark/>
          </w:tcPr>
          <w:p w14:paraId="4823FAA3"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860,40</w:t>
            </w:r>
          </w:p>
        </w:tc>
        <w:tc>
          <w:tcPr>
            <w:tcW w:w="864" w:type="dxa"/>
            <w:tcBorders>
              <w:top w:val="nil"/>
              <w:left w:val="single" w:sz="4" w:space="0" w:color="auto"/>
              <w:bottom w:val="single" w:sz="4" w:space="0" w:color="auto"/>
              <w:right w:val="single" w:sz="8" w:space="0" w:color="auto"/>
            </w:tcBorders>
            <w:shd w:val="clear" w:color="auto" w:fill="auto"/>
            <w:noWrap/>
            <w:vAlign w:val="bottom"/>
            <w:hideMark/>
          </w:tcPr>
          <w:p w14:paraId="27531024"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7155,90</w:t>
            </w:r>
          </w:p>
        </w:tc>
      </w:tr>
      <w:tr w:rsidR="00725028" w:rsidRPr="00226044" w14:paraId="7FD25FD2" w14:textId="77777777" w:rsidTr="00725028">
        <w:trPr>
          <w:trHeight w:val="825"/>
        </w:trPr>
        <w:tc>
          <w:tcPr>
            <w:tcW w:w="1408" w:type="dxa"/>
            <w:tcBorders>
              <w:top w:val="single" w:sz="4" w:space="0" w:color="000000"/>
              <w:left w:val="single" w:sz="8" w:space="0" w:color="auto"/>
              <w:bottom w:val="single" w:sz="4" w:space="0" w:color="000000"/>
              <w:right w:val="single" w:sz="4" w:space="0" w:color="000000"/>
            </w:tcBorders>
            <w:shd w:val="clear" w:color="000000" w:fill="B4C6E7"/>
            <w:vAlign w:val="bottom"/>
            <w:hideMark/>
          </w:tcPr>
          <w:p w14:paraId="444955E1" w14:textId="77777777" w:rsidR="00725028" w:rsidRPr="00226044" w:rsidRDefault="00725028" w:rsidP="00725028">
            <w:pPr>
              <w:spacing w:after="0" w:line="240" w:lineRule="auto"/>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costing (</w:t>
            </w:r>
            <w:proofErr w:type="spellStart"/>
            <w:r w:rsidRPr="00226044">
              <w:rPr>
                <w:rFonts w:ascii="Calibri" w:eastAsia="Times New Roman" w:hAnsi="Calibri" w:cs="Calibri"/>
                <w:b/>
                <w:bCs/>
                <w:color w:val="000000"/>
                <w:szCs w:val="32"/>
                <w:lang w:val="cs-CZ" w:eastAsia="cs-CZ"/>
              </w:rPr>
              <w:t>including</w:t>
            </w:r>
            <w:proofErr w:type="spellEnd"/>
            <w:r w:rsidRPr="00226044">
              <w:rPr>
                <w:rFonts w:ascii="Calibri" w:eastAsia="Times New Roman" w:hAnsi="Calibri" w:cs="Calibri"/>
                <w:b/>
                <w:bCs/>
                <w:color w:val="000000"/>
                <w:szCs w:val="32"/>
                <w:lang w:val="cs-CZ" w:eastAsia="cs-CZ"/>
              </w:rPr>
              <w:t xml:space="preserve"> </w:t>
            </w:r>
            <w:proofErr w:type="spellStart"/>
            <w:r w:rsidRPr="00226044">
              <w:rPr>
                <w:rFonts w:ascii="Calibri" w:eastAsia="Times New Roman" w:hAnsi="Calibri" w:cs="Calibri"/>
                <w:b/>
                <w:bCs/>
                <w:color w:val="000000"/>
                <w:szCs w:val="32"/>
                <w:lang w:val="cs-CZ" w:eastAsia="cs-CZ"/>
              </w:rPr>
              <w:t>cofinancing</w:t>
            </w:r>
            <w:proofErr w:type="spellEnd"/>
            <w:r w:rsidRPr="00226044">
              <w:rPr>
                <w:rFonts w:ascii="Calibri" w:eastAsia="Times New Roman" w:hAnsi="Calibri" w:cs="Calibri"/>
                <w:b/>
                <w:bCs/>
                <w:color w:val="000000"/>
                <w:szCs w:val="32"/>
                <w:lang w:val="cs-CZ" w:eastAsia="cs-CZ"/>
              </w:rPr>
              <w:t xml:space="preserve">) - </w:t>
            </w:r>
            <w:proofErr w:type="spellStart"/>
            <w:r w:rsidRPr="00226044">
              <w:rPr>
                <w:rFonts w:ascii="Calibri" w:eastAsia="Times New Roman" w:hAnsi="Calibri" w:cs="Calibri"/>
                <w:b/>
                <w:bCs/>
                <w:color w:val="000000"/>
                <w:szCs w:val="32"/>
                <w:lang w:val="cs-CZ" w:eastAsia="cs-CZ"/>
              </w:rPr>
              <w:t>original</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4C7060BE"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c>
          <w:tcPr>
            <w:tcW w:w="1491" w:type="dxa"/>
            <w:tcBorders>
              <w:top w:val="nil"/>
              <w:left w:val="nil"/>
              <w:bottom w:val="single" w:sz="4" w:space="0" w:color="auto"/>
              <w:right w:val="single" w:sz="4" w:space="0" w:color="auto"/>
            </w:tcBorders>
            <w:shd w:val="clear" w:color="auto" w:fill="auto"/>
            <w:noWrap/>
            <w:vAlign w:val="bottom"/>
            <w:hideMark/>
          </w:tcPr>
          <w:p w14:paraId="0E3C4838"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c>
          <w:tcPr>
            <w:tcW w:w="897" w:type="dxa"/>
            <w:tcBorders>
              <w:top w:val="nil"/>
              <w:left w:val="nil"/>
              <w:bottom w:val="single" w:sz="4" w:space="0" w:color="000000"/>
              <w:right w:val="single" w:sz="4" w:space="0" w:color="000000"/>
            </w:tcBorders>
            <w:shd w:val="clear" w:color="auto" w:fill="auto"/>
            <w:noWrap/>
            <w:vAlign w:val="bottom"/>
            <w:hideMark/>
          </w:tcPr>
          <w:p w14:paraId="39AB551A"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300,00</w:t>
            </w:r>
          </w:p>
        </w:tc>
        <w:tc>
          <w:tcPr>
            <w:tcW w:w="897" w:type="dxa"/>
            <w:tcBorders>
              <w:top w:val="nil"/>
              <w:left w:val="nil"/>
              <w:bottom w:val="single" w:sz="4" w:space="0" w:color="000000"/>
              <w:right w:val="single" w:sz="4" w:space="0" w:color="000000"/>
            </w:tcBorders>
            <w:shd w:val="clear" w:color="auto" w:fill="auto"/>
            <w:noWrap/>
            <w:vAlign w:val="bottom"/>
            <w:hideMark/>
          </w:tcPr>
          <w:p w14:paraId="7CEC883B"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1500,00</w:t>
            </w:r>
          </w:p>
        </w:tc>
        <w:tc>
          <w:tcPr>
            <w:tcW w:w="897" w:type="dxa"/>
            <w:tcBorders>
              <w:top w:val="nil"/>
              <w:left w:val="nil"/>
              <w:bottom w:val="single" w:sz="4" w:space="0" w:color="000000"/>
              <w:right w:val="single" w:sz="4" w:space="0" w:color="000000"/>
            </w:tcBorders>
            <w:shd w:val="clear" w:color="auto" w:fill="auto"/>
            <w:noWrap/>
            <w:vAlign w:val="bottom"/>
            <w:hideMark/>
          </w:tcPr>
          <w:p w14:paraId="19332BB5"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2400,00</w:t>
            </w:r>
          </w:p>
        </w:tc>
        <w:tc>
          <w:tcPr>
            <w:tcW w:w="897" w:type="dxa"/>
            <w:tcBorders>
              <w:top w:val="nil"/>
              <w:left w:val="nil"/>
              <w:bottom w:val="single" w:sz="4" w:space="0" w:color="000000"/>
              <w:right w:val="single" w:sz="4" w:space="0" w:color="000000"/>
            </w:tcBorders>
            <w:shd w:val="clear" w:color="auto" w:fill="auto"/>
            <w:noWrap/>
            <w:vAlign w:val="bottom"/>
            <w:hideMark/>
          </w:tcPr>
          <w:p w14:paraId="5B20845C"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2795,00</w:t>
            </w:r>
          </w:p>
        </w:tc>
        <w:tc>
          <w:tcPr>
            <w:tcW w:w="864" w:type="dxa"/>
            <w:tcBorders>
              <w:top w:val="nil"/>
              <w:left w:val="nil"/>
              <w:bottom w:val="single" w:sz="4" w:space="0" w:color="000000"/>
              <w:right w:val="nil"/>
            </w:tcBorders>
            <w:shd w:val="clear" w:color="auto" w:fill="auto"/>
            <w:noWrap/>
            <w:vAlign w:val="bottom"/>
            <w:hideMark/>
          </w:tcPr>
          <w:p w14:paraId="0982B3D0"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956,00</w:t>
            </w:r>
          </w:p>
        </w:tc>
        <w:tc>
          <w:tcPr>
            <w:tcW w:w="864" w:type="dxa"/>
            <w:tcBorders>
              <w:top w:val="nil"/>
              <w:left w:val="single" w:sz="4" w:space="0" w:color="auto"/>
              <w:bottom w:val="single" w:sz="4" w:space="0" w:color="auto"/>
              <w:right w:val="single" w:sz="8" w:space="0" w:color="auto"/>
            </w:tcBorders>
            <w:shd w:val="clear" w:color="auto" w:fill="auto"/>
            <w:noWrap/>
            <w:vAlign w:val="bottom"/>
            <w:hideMark/>
          </w:tcPr>
          <w:p w14:paraId="7638E5BC"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7951,00</w:t>
            </w:r>
          </w:p>
        </w:tc>
      </w:tr>
      <w:tr w:rsidR="00725028" w:rsidRPr="00226044" w14:paraId="121921BC" w14:textId="77777777" w:rsidTr="00725028">
        <w:trPr>
          <w:trHeight w:val="412"/>
        </w:trPr>
        <w:tc>
          <w:tcPr>
            <w:tcW w:w="1408" w:type="dxa"/>
            <w:tcBorders>
              <w:top w:val="nil"/>
              <w:left w:val="single" w:sz="8" w:space="0" w:color="auto"/>
              <w:bottom w:val="single" w:sz="4" w:space="0" w:color="000000"/>
              <w:right w:val="single" w:sz="4" w:space="0" w:color="000000"/>
            </w:tcBorders>
            <w:shd w:val="clear" w:color="000000" w:fill="B4C6E7"/>
            <w:noWrap/>
            <w:vAlign w:val="bottom"/>
            <w:hideMark/>
          </w:tcPr>
          <w:p w14:paraId="44B2E550" w14:textId="77777777" w:rsidR="00725028" w:rsidRPr="00226044" w:rsidRDefault="00725028" w:rsidP="00725028">
            <w:pPr>
              <w:spacing w:after="0" w:line="240" w:lineRule="auto"/>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 xml:space="preserve">RRF - </w:t>
            </w:r>
            <w:proofErr w:type="spellStart"/>
            <w:r w:rsidRPr="00226044">
              <w:rPr>
                <w:rFonts w:ascii="Calibri" w:eastAsia="Times New Roman" w:hAnsi="Calibri" w:cs="Calibri"/>
                <w:b/>
                <w:bCs/>
                <w:color w:val="000000"/>
                <w:szCs w:val="32"/>
                <w:lang w:val="cs-CZ" w:eastAsia="cs-CZ"/>
              </w:rPr>
              <w:t>real</w:t>
            </w:r>
            <w:proofErr w:type="spellEnd"/>
            <w:r w:rsidRPr="00226044">
              <w:rPr>
                <w:rFonts w:ascii="Calibri" w:eastAsia="Times New Roman" w:hAnsi="Calibri" w:cs="Calibri"/>
                <w:b/>
                <w:bCs/>
                <w:color w:val="000000"/>
                <w:szCs w:val="32"/>
                <w:lang w:val="cs-CZ" w:eastAsia="cs-CZ"/>
              </w:rPr>
              <w:t xml:space="preserve"> </w:t>
            </w:r>
            <w:proofErr w:type="spellStart"/>
            <w:r w:rsidRPr="00226044">
              <w:rPr>
                <w:rFonts w:ascii="Calibri" w:eastAsia="Times New Roman" w:hAnsi="Calibri" w:cs="Calibri"/>
                <w:b/>
                <w:bCs/>
                <w:color w:val="000000"/>
                <w:szCs w:val="32"/>
                <w:lang w:val="cs-CZ" w:eastAsia="cs-CZ"/>
              </w:rPr>
              <w:t>contribution</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1E1408CE"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c>
          <w:tcPr>
            <w:tcW w:w="1491" w:type="dxa"/>
            <w:tcBorders>
              <w:top w:val="nil"/>
              <w:left w:val="nil"/>
              <w:bottom w:val="single" w:sz="4" w:space="0" w:color="auto"/>
              <w:right w:val="single" w:sz="4" w:space="0" w:color="auto"/>
            </w:tcBorders>
            <w:shd w:val="clear" w:color="auto" w:fill="auto"/>
            <w:noWrap/>
            <w:vAlign w:val="bottom"/>
            <w:hideMark/>
          </w:tcPr>
          <w:p w14:paraId="01A2790B"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c>
          <w:tcPr>
            <w:tcW w:w="897" w:type="dxa"/>
            <w:tcBorders>
              <w:top w:val="nil"/>
              <w:left w:val="nil"/>
              <w:bottom w:val="single" w:sz="4" w:space="0" w:color="000000"/>
              <w:right w:val="single" w:sz="4" w:space="0" w:color="000000"/>
            </w:tcBorders>
            <w:shd w:val="clear" w:color="000000" w:fill="FFE699"/>
            <w:noWrap/>
            <w:vAlign w:val="bottom"/>
            <w:hideMark/>
          </w:tcPr>
          <w:p w14:paraId="510A42EF"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0,00</w:t>
            </w:r>
          </w:p>
        </w:tc>
        <w:tc>
          <w:tcPr>
            <w:tcW w:w="897" w:type="dxa"/>
            <w:tcBorders>
              <w:top w:val="nil"/>
              <w:left w:val="nil"/>
              <w:bottom w:val="single" w:sz="4" w:space="0" w:color="000000"/>
              <w:right w:val="single" w:sz="4" w:space="0" w:color="000000"/>
            </w:tcBorders>
            <w:shd w:val="clear" w:color="000000" w:fill="FFE699"/>
            <w:noWrap/>
            <w:vAlign w:val="bottom"/>
            <w:hideMark/>
          </w:tcPr>
          <w:p w14:paraId="11B69D8D"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1250,00</w:t>
            </w:r>
          </w:p>
        </w:tc>
        <w:tc>
          <w:tcPr>
            <w:tcW w:w="897" w:type="dxa"/>
            <w:tcBorders>
              <w:top w:val="nil"/>
              <w:left w:val="nil"/>
              <w:bottom w:val="single" w:sz="4" w:space="0" w:color="000000"/>
              <w:right w:val="single" w:sz="4" w:space="0" w:color="000000"/>
            </w:tcBorders>
            <w:shd w:val="clear" w:color="000000" w:fill="FFE699"/>
            <w:noWrap/>
            <w:vAlign w:val="bottom"/>
            <w:hideMark/>
          </w:tcPr>
          <w:p w14:paraId="25C6D72E"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2260,00</w:t>
            </w:r>
          </w:p>
        </w:tc>
        <w:tc>
          <w:tcPr>
            <w:tcW w:w="897" w:type="dxa"/>
            <w:tcBorders>
              <w:top w:val="nil"/>
              <w:left w:val="nil"/>
              <w:bottom w:val="single" w:sz="4" w:space="0" w:color="000000"/>
              <w:right w:val="single" w:sz="4" w:space="0" w:color="000000"/>
            </w:tcBorders>
            <w:shd w:val="clear" w:color="000000" w:fill="FFE699"/>
            <w:noWrap/>
            <w:vAlign w:val="bottom"/>
            <w:hideMark/>
          </w:tcPr>
          <w:p w14:paraId="5839D8F3"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2700,00</w:t>
            </w:r>
          </w:p>
        </w:tc>
        <w:tc>
          <w:tcPr>
            <w:tcW w:w="864" w:type="dxa"/>
            <w:tcBorders>
              <w:top w:val="nil"/>
              <w:left w:val="nil"/>
              <w:bottom w:val="single" w:sz="4" w:space="0" w:color="000000"/>
              <w:right w:val="nil"/>
            </w:tcBorders>
            <w:shd w:val="clear" w:color="000000" w:fill="FFE699"/>
            <w:noWrap/>
            <w:vAlign w:val="bottom"/>
            <w:hideMark/>
          </w:tcPr>
          <w:p w14:paraId="3E44C8EE"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945,90</w:t>
            </w:r>
          </w:p>
        </w:tc>
        <w:tc>
          <w:tcPr>
            <w:tcW w:w="864" w:type="dxa"/>
            <w:tcBorders>
              <w:top w:val="nil"/>
              <w:left w:val="single" w:sz="4" w:space="0" w:color="auto"/>
              <w:bottom w:val="single" w:sz="4" w:space="0" w:color="auto"/>
              <w:right w:val="single" w:sz="8" w:space="0" w:color="auto"/>
            </w:tcBorders>
            <w:shd w:val="clear" w:color="000000" w:fill="F4B084"/>
            <w:noWrap/>
            <w:vAlign w:val="bottom"/>
            <w:hideMark/>
          </w:tcPr>
          <w:p w14:paraId="6FDD2674"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7155,90</w:t>
            </w:r>
          </w:p>
        </w:tc>
      </w:tr>
      <w:tr w:rsidR="00725028" w:rsidRPr="00226044" w14:paraId="6D139AE2" w14:textId="77777777" w:rsidTr="00725028">
        <w:trPr>
          <w:trHeight w:val="412"/>
        </w:trPr>
        <w:tc>
          <w:tcPr>
            <w:tcW w:w="1408" w:type="dxa"/>
            <w:tcBorders>
              <w:top w:val="nil"/>
              <w:left w:val="single" w:sz="8" w:space="0" w:color="auto"/>
              <w:bottom w:val="single" w:sz="4" w:space="0" w:color="000000"/>
              <w:right w:val="single" w:sz="4" w:space="0" w:color="000000"/>
            </w:tcBorders>
            <w:shd w:val="clear" w:color="000000" w:fill="B4C6E7"/>
            <w:noWrap/>
            <w:vAlign w:val="bottom"/>
            <w:hideMark/>
          </w:tcPr>
          <w:p w14:paraId="692FEADB" w14:textId="77777777" w:rsidR="00725028" w:rsidRPr="00226044" w:rsidRDefault="00725028" w:rsidP="00725028">
            <w:pPr>
              <w:spacing w:after="0" w:line="240" w:lineRule="auto"/>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 xml:space="preserve">% of </w:t>
            </w:r>
            <w:proofErr w:type="spellStart"/>
            <w:r w:rsidRPr="00226044">
              <w:rPr>
                <w:rFonts w:ascii="Calibri" w:eastAsia="Times New Roman" w:hAnsi="Calibri" w:cs="Calibri"/>
                <w:b/>
                <w:bCs/>
                <w:color w:val="000000"/>
                <w:szCs w:val="32"/>
                <w:lang w:val="cs-CZ" w:eastAsia="cs-CZ"/>
              </w:rPr>
              <w:t>original</w:t>
            </w:r>
            <w:proofErr w:type="spellEnd"/>
            <w:r w:rsidRPr="00226044">
              <w:rPr>
                <w:rFonts w:ascii="Calibri" w:eastAsia="Times New Roman" w:hAnsi="Calibri" w:cs="Calibri"/>
                <w:b/>
                <w:bCs/>
                <w:color w:val="000000"/>
                <w:szCs w:val="32"/>
                <w:lang w:val="cs-CZ" w:eastAsia="cs-CZ"/>
              </w:rPr>
              <w:t xml:space="preserve"> EC costing</w:t>
            </w:r>
          </w:p>
        </w:tc>
        <w:tc>
          <w:tcPr>
            <w:tcW w:w="992" w:type="dxa"/>
            <w:tcBorders>
              <w:top w:val="nil"/>
              <w:left w:val="nil"/>
              <w:bottom w:val="single" w:sz="4" w:space="0" w:color="auto"/>
              <w:right w:val="single" w:sz="4" w:space="0" w:color="auto"/>
            </w:tcBorders>
            <w:shd w:val="clear" w:color="auto" w:fill="auto"/>
            <w:noWrap/>
            <w:vAlign w:val="bottom"/>
            <w:hideMark/>
          </w:tcPr>
          <w:p w14:paraId="6E51D149"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c>
          <w:tcPr>
            <w:tcW w:w="1491" w:type="dxa"/>
            <w:tcBorders>
              <w:top w:val="nil"/>
              <w:left w:val="nil"/>
              <w:bottom w:val="single" w:sz="4" w:space="0" w:color="auto"/>
              <w:right w:val="single" w:sz="4" w:space="0" w:color="auto"/>
            </w:tcBorders>
            <w:shd w:val="clear" w:color="auto" w:fill="auto"/>
            <w:noWrap/>
            <w:vAlign w:val="bottom"/>
            <w:hideMark/>
          </w:tcPr>
          <w:p w14:paraId="53D6D5C7"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c>
          <w:tcPr>
            <w:tcW w:w="897" w:type="dxa"/>
            <w:tcBorders>
              <w:top w:val="nil"/>
              <w:left w:val="nil"/>
              <w:bottom w:val="single" w:sz="4" w:space="0" w:color="000000"/>
              <w:right w:val="single" w:sz="4" w:space="0" w:color="000000"/>
            </w:tcBorders>
            <w:shd w:val="clear" w:color="000000" w:fill="FFF2CC"/>
            <w:noWrap/>
            <w:vAlign w:val="bottom"/>
            <w:hideMark/>
          </w:tcPr>
          <w:p w14:paraId="73D421A9"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0,00</w:t>
            </w:r>
          </w:p>
        </w:tc>
        <w:tc>
          <w:tcPr>
            <w:tcW w:w="897" w:type="dxa"/>
            <w:tcBorders>
              <w:top w:val="nil"/>
              <w:left w:val="nil"/>
              <w:bottom w:val="single" w:sz="4" w:space="0" w:color="000000"/>
              <w:right w:val="single" w:sz="4" w:space="0" w:color="000000"/>
            </w:tcBorders>
            <w:shd w:val="clear" w:color="000000" w:fill="FFF2CC"/>
            <w:noWrap/>
            <w:vAlign w:val="bottom"/>
            <w:hideMark/>
          </w:tcPr>
          <w:p w14:paraId="2C1C3F97"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92,59</w:t>
            </w:r>
          </w:p>
        </w:tc>
        <w:tc>
          <w:tcPr>
            <w:tcW w:w="897" w:type="dxa"/>
            <w:tcBorders>
              <w:top w:val="nil"/>
              <w:left w:val="nil"/>
              <w:bottom w:val="single" w:sz="4" w:space="0" w:color="000000"/>
              <w:right w:val="single" w:sz="4" w:space="0" w:color="000000"/>
            </w:tcBorders>
            <w:shd w:val="clear" w:color="000000" w:fill="FFF2CC"/>
            <w:noWrap/>
            <w:vAlign w:val="bottom"/>
            <w:hideMark/>
          </w:tcPr>
          <w:p w14:paraId="52C04C9C"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104,63</w:t>
            </w:r>
          </w:p>
        </w:tc>
        <w:tc>
          <w:tcPr>
            <w:tcW w:w="897" w:type="dxa"/>
            <w:tcBorders>
              <w:top w:val="nil"/>
              <w:left w:val="nil"/>
              <w:bottom w:val="single" w:sz="4" w:space="0" w:color="000000"/>
              <w:right w:val="single" w:sz="4" w:space="0" w:color="000000"/>
            </w:tcBorders>
            <w:shd w:val="clear" w:color="000000" w:fill="FFF2CC"/>
            <w:noWrap/>
            <w:vAlign w:val="bottom"/>
            <w:hideMark/>
          </w:tcPr>
          <w:p w14:paraId="3647E4D3"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107,33</w:t>
            </w:r>
          </w:p>
        </w:tc>
        <w:tc>
          <w:tcPr>
            <w:tcW w:w="864" w:type="dxa"/>
            <w:tcBorders>
              <w:top w:val="nil"/>
              <w:left w:val="nil"/>
              <w:bottom w:val="single" w:sz="4" w:space="0" w:color="000000"/>
              <w:right w:val="single" w:sz="4" w:space="0" w:color="000000"/>
            </w:tcBorders>
            <w:shd w:val="clear" w:color="000000" w:fill="FFF2CC"/>
            <w:noWrap/>
            <w:vAlign w:val="bottom"/>
            <w:hideMark/>
          </w:tcPr>
          <w:p w14:paraId="7F22388F" w14:textId="77777777" w:rsidR="00725028" w:rsidRPr="00226044" w:rsidRDefault="00725028" w:rsidP="00725028">
            <w:pPr>
              <w:spacing w:after="0" w:line="240" w:lineRule="auto"/>
              <w:jc w:val="right"/>
              <w:rPr>
                <w:rFonts w:ascii="Calibri" w:eastAsia="Times New Roman" w:hAnsi="Calibri" w:cs="Calibri"/>
                <w:color w:val="006100"/>
                <w:szCs w:val="32"/>
                <w:lang w:val="cs-CZ" w:eastAsia="cs-CZ"/>
              </w:rPr>
            </w:pPr>
            <w:r w:rsidRPr="00226044">
              <w:rPr>
                <w:rFonts w:ascii="Calibri" w:eastAsia="Times New Roman" w:hAnsi="Calibri" w:cs="Calibri"/>
                <w:color w:val="006100"/>
                <w:szCs w:val="32"/>
                <w:lang w:val="cs-CZ" w:eastAsia="cs-CZ"/>
              </w:rPr>
              <w:t>109,94</w:t>
            </w:r>
          </w:p>
        </w:tc>
        <w:tc>
          <w:tcPr>
            <w:tcW w:w="864" w:type="dxa"/>
            <w:tcBorders>
              <w:top w:val="nil"/>
              <w:left w:val="nil"/>
              <w:bottom w:val="single" w:sz="4" w:space="0" w:color="auto"/>
              <w:right w:val="single" w:sz="8" w:space="0" w:color="auto"/>
            </w:tcBorders>
            <w:shd w:val="clear" w:color="auto" w:fill="auto"/>
            <w:noWrap/>
            <w:vAlign w:val="bottom"/>
            <w:hideMark/>
          </w:tcPr>
          <w:p w14:paraId="5EE0B1D8"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r>
      <w:tr w:rsidR="00725028" w:rsidRPr="00226044" w14:paraId="74A0A931" w14:textId="77777777" w:rsidTr="00725028">
        <w:trPr>
          <w:trHeight w:val="412"/>
        </w:trPr>
        <w:tc>
          <w:tcPr>
            <w:tcW w:w="1408" w:type="dxa"/>
            <w:tcBorders>
              <w:top w:val="nil"/>
              <w:left w:val="single" w:sz="8" w:space="0" w:color="auto"/>
              <w:bottom w:val="single" w:sz="4" w:space="0" w:color="000000"/>
              <w:right w:val="single" w:sz="4" w:space="0" w:color="000000"/>
            </w:tcBorders>
            <w:shd w:val="clear" w:color="000000" w:fill="B4C6E7"/>
            <w:noWrap/>
            <w:vAlign w:val="bottom"/>
            <w:hideMark/>
          </w:tcPr>
          <w:p w14:paraId="2429D421" w14:textId="77777777" w:rsidR="00725028" w:rsidRPr="00226044" w:rsidRDefault="00725028" w:rsidP="00725028">
            <w:pPr>
              <w:spacing w:after="0" w:line="240" w:lineRule="auto"/>
              <w:jc w:val="center"/>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2021</w:t>
            </w:r>
          </w:p>
        </w:tc>
        <w:tc>
          <w:tcPr>
            <w:tcW w:w="992" w:type="dxa"/>
            <w:tcBorders>
              <w:top w:val="nil"/>
              <w:left w:val="nil"/>
              <w:bottom w:val="single" w:sz="4" w:space="0" w:color="000000"/>
              <w:right w:val="single" w:sz="4" w:space="0" w:color="000000"/>
            </w:tcBorders>
            <w:shd w:val="clear" w:color="auto" w:fill="auto"/>
            <w:noWrap/>
            <w:vAlign w:val="bottom"/>
            <w:hideMark/>
          </w:tcPr>
          <w:p w14:paraId="73BBAB8F"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5,800</w:t>
            </w:r>
          </w:p>
        </w:tc>
        <w:tc>
          <w:tcPr>
            <w:tcW w:w="1491" w:type="dxa"/>
            <w:tcBorders>
              <w:top w:val="nil"/>
              <w:left w:val="nil"/>
              <w:bottom w:val="single" w:sz="4" w:space="0" w:color="000000"/>
              <w:right w:val="single" w:sz="4" w:space="0" w:color="000000"/>
            </w:tcBorders>
            <w:shd w:val="clear" w:color="auto" w:fill="auto"/>
            <w:noWrap/>
            <w:vAlign w:val="bottom"/>
            <w:hideMark/>
          </w:tcPr>
          <w:p w14:paraId="01B18849"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0,058</w:t>
            </w:r>
          </w:p>
        </w:tc>
        <w:tc>
          <w:tcPr>
            <w:tcW w:w="897" w:type="dxa"/>
            <w:tcBorders>
              <w:top w:val="nil"/>
              <w:left w:val="nil"/>
              <w:bottom w:val="single" w:sz="4" w:space="0" w:color="000000"/>
              <w:right w:val="single" w:sz="4" w:space="0" w:color="000000"/>
            </w:tcBorders>
            <w:shd w:val="clear" w:color="auto" w:fill="auto"/>
            <w:noWrap/>
            <w:vAlign w:val="bottom"/>
            <w:hideMark/>
          </w:tcPr>
          <w:p w14:paraId="12C60B66"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nil"/>
              <w:left w:val="nil"/>
              <w:bottom w:val="single" w:sz="4" w:space="0" w:color="000000"/>
              <w:right w:val="single" w:sz="4" w:space="0" w:color="000000"/>
            </w:tcBorders>
            <w:shd w:val="clear" w:color="auto" w:fill="auto"/>
            <w:noWrap/>
            <w:vAlign w:val="bottom"/>
            <w:hideMark/>
          </w:tcPr>
          <w:p w14:paraId="52B00858"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72,50</w:t>
            </w:r>
          </w:p>
        </w:tc>
        <w:tc>
          <w:tcPr>
            <w:tcW w:w="897" w:type="dxa"/>
            <w:tcBorders>
              <w:top w:val="nil"/>
              <w:left w:val="nil"/>
              <w:bottom w:val="single" w:sz="4" w:space="0" w:color="000000"/>
              <w:right w:val="single" w:sz="4" w:space="0" w:color="000000"/>
            </w:tcBorders>
            <w:shd w:val="clear" w:color="auto" w:fill="auto"/>
            <w:noWrap/>
            <w:vAlign w:val="bottom"/>
            <w:hideMark/>
          </w:tcPr>
          <w:p w14:paraId="463D02F7"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131,08</w:t>
            </w:r>
          </w:p>
        </w:tc>
        <w:tc>
          <w:tcPr>
            <w:tcW w:w="897" w:type="dxa"/>
            <w:tcBorders>
              <w:top w:val="nil"/>
              <w:left w:val="nil"/>
              <w:bottom w:val="single" w:sz="4" w:space="0" w:color="000000"/>
              <w:right w:val="single" w:sz="4" w:space="0" w:color="000000"/>
            </w:tcBorders>
            <w:shd w:val="clear" w:color="auto" w:fill="auto"/>
            <w:noWrap/>
            <w:vAlign w:val="bottom"/>
            <w:hideMark/>
          </w:tcPr>
          <w:p w14:paraId="2DA7A642"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156,60</w:t>
            </w:r>
          </w:p>
        </w:tc>
        <w:tc>
          <w:tcPr>
            <w:tcW w:w="864" w:type="dxa"/>
            <w:tcBorders>
              <w:top w:val="nil"/>
              <w:left w:val="nil"/>
              <w:bottom w:val="single" w:sz="4" w:space="0" w:color="000000"/>
              <w:right w:val="nil"/>
            </w:tcBorders>
            <w:shd w:val="clear" w:color="auto" w:fill="auto"/>
            <w:noWrap/>
            <w:vAlign w:val="bottom"/>
            <w:hideMark/>
          </w:tcPr>
          <w:p w14:paraId="13A1F45E"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54,86</w:t>
            </w:r>
          </w:p>
        </w:tc>
        <w:tc>
          <w:tcPr>
            <w:tcW w:w="864" w:type="dxa"/>
            <w:tcBorders>
              <w:top w:val="nil"/>
              <w:left w:val="single" w:sz="4" w:space="0" w:color="auto"/>
              <w:bottom w:val="single" w:sz="4" w:space="0" w:color="auto"/>
              <w:right w:val="single" w:sz="8" w:space="0" w:color="auto"/>
            </w:tcBorders>
            <w:shd w:val="clear" w:color="auto" w:fill="auto"/>
            <w:noWrap/>
            <w:vAlign w:val="bottom"/>
            <w:hideMark/>
          </w:tcPr>
          <w:p w14:paraId="47286B14"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r>
      <w:tr w:rsidR="00725028" w:rsidRPr="00226044" w14:paraId="7DCB247C" w14:textId="77777777" w:rsidTr="00725028">
        <w:trPr>
          <w:trHeight w:val="412"/>
        </w:trPr>
        <w:tc>
          <w:tcPr>
            <w:tcW w:w="1408" w:type="dxa"/>
            <w:tcBorders>
              <w:top w:val="nil"/>
              <w:left w:val="single" w:sz="8" w:space="0" w:color="auto"/>
              <w:bottom w:val="single" w:sz="4" w:space="0" w:color="000000"/>
              <w:right w:val="single" w:sz="4" w:space="0" w:color="000000"/>
            </w:tcBorders>
            <w:shd w:val="clear" w:color="000000" w:fill="B4C6E7"/>
            <w:noWrap/>
            <w:vAlign w:val="bottom"/>
            <w:hideMark/>
          </w:tcPr>
          <w:p w14:paraId="5287AF37" w14:textId="77777777" w:rsidR="00725028" w:rsidRPr="00226044" w:rsidRDefault="00725028" w:rsidP="00725028">
            <w:pPr>
              <w:spacing w:after="0" w:line="240" w:lineRule="auto"/>
              <w:jc w:val="center"/>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2022</w:t>
            </w:r>
          </w:p>
        </w:tc>
        <w:tc>
          <w:tcPr>
            <w:tcW w:w="992" w:type="dxa"/>
            <w:tcBorders>
              <w:top w:val="nil"/>
              <w:left w:val="nil"/>
              <w:bottom w:val="single" w:sz="4" w:space="0" w:color="000000"/>
              <w:right w:val="single" w:sz="4" w:space="0" w:color="000000"/>
            </w:tcBorders>
            <w:shd w:val="clear" w:color="auto" w:fill="auto"/>
            <w:noWrap/>
            <w:vAlign w:val="bottom"/>
            <w:hideMark/>
          </w:tcPr>
          <w:p w14:paraId="3A59B8E8"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13,100</w:t>
            </w:r>
          </w:p>
        </w:tc>
        <w:tc>
          <w:tcPr>
            <w:tcW w:w="1491" w:type="dxa"/>
            <w:tcBorders>
              <w:top w:val="nil"/>
              <w:left w:val="nil"/>
              <w:bottom w:val="single" w:sz="4" w:space="0" w:color="000000"/>
              <w:right w:val="single" w:sz="4" w:space="0" w:color="000000"/>
            </w:tcBorders>
            <w:shd w:val="clear" w:color="auto" w:fill="auto"/>
            <w:noWrap/>
            <w:vAlign w:val="bottom"/>
            <w:hideMark/>
          </w:tcPr>
          <w:p w14:paraId="1F1773A6"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0,131</w:t>
            </w:r>
          </w:p>
        </w:tc>
        <w:tc>
          <w:tcPr>
            <w:tcW w:w="897" w:type="dxa"/>
            <w:tcBorders>
              <w:top w:val="nil"/>
              <w:left w:val="nil"/>
              <w:bottom w:val="single" w:sz="4" w:space="0" w:color="000000"/>
              <w:right w:val="single" w:sz="4" w:space="0" w:color="000000"/>
            </w:tcBorders>
            <w:shd w:val="clear" w:color="auto" w:fill="auto"/>
            <w:noWrap/>
            <w:vAlign w:val="bottom"/>
            <w:hideMark/>
          </w:tcPr>
          <w:p w14:paraId="61BC7933"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nil"/>
              <w:left w:val="nil"/>
              <w:bottom w:val="single" w:sz="4" w:space="0" w:color="000000"/>
              <w:right w:val="single" w:sz="4" w:space="0" w:color="000000"/>
            </w:tcBorders>
            <w:shd w:val="clear" w:color="auto" w:fill="auto"/>
            <w:noWrap/>
            <w:vAlign w:val="bottom"/>
            <w:hideMark/>
          </w:tcPr>
          <w:p w14:paraId="168287D3"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163,75</w:t>
            </w:r>
          </w:p>
        </w:tc>
        <w:tc>
          <w:tcPr>
            <w:tcW w:w="897" w:type="dxa"/>
            <w:tcBorders>
              <w:top w:val="nil"/>
              <w:left w:val="nil"/>
              <w:bottom w:val="single" w:sz="4" w:space="0" w:color="000000"/>
              <w:right w:val="single" w:sz="4" w:space="0" w:color="000000"/>
            </w:tcBorders>
            <w:shd w:val="clear" w:color="auto" w:fill="auto"/>
            <w:noWrap/>
            <w:vAlign w:val="bottom"/>
            <w:hideMark/>
          </w:tcPr>
          <w:p w14:paraId="28A16B84"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296,06</w:t>
            </w:r>
          </w:p>
        </w:tc>
        <w:tc>
          <w:tcPr>
            <w:tcW w:w="897" w:type="dxa"/>
            <w:tcBorders>
              <w:top w:val="nil"/>
              <w:left w:val="nil"/>
              <w:bottom w:val="single" w:sz="4" w:space="0" w:color="000000"/>
              <w:right w:val="single" w:sz="4" w:space="0" w:color="000000"/>
            </w:tcBorders>
            <w:shd w:val="clear" w:color="auto" w:fill="auto"/>
            <w:noWrap/>
            <w:vAlign w:val="bottom"/>
            <w:hideMark/>
          </w:tcPr>
          <w:p w14:paraId="53A673D4"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353,70</w:t>
            </w:r>
          </w:p>
        </w:tc>
        <w:tc>
          <w:tcPr>
            <w:tcW w:w="864" w:type="dxa"/>
            <w:tcBorders>
              <w:top w:val="nil"/>
              <w:left w:val="nil"/>
              <w:bottom w:val="single" w:sz="4" w:space="0" w:color="000000"/>
              <w:right w:val="nil"/>
            </w:tcBorders>
            <w:shd w:val="clear" w:color="auto" w:fill="auto"/>
            <w:noWrap/>
            <w:vAlign w:val="bottom"/>
            <w:hideMark/>
          </w:tcPr>
          <w:p w14:paraId="33B673CB"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123,91</w:t>
            </w:r>
          </w:p>
        </w:tc>
        <w:tc>
          <w:tcPr>
            <w:tcW w:w="864" w:type="dxa"/>
            <w:tcBorders>
              <w:top w:val="nil"/>
              <w:left w:val="single" w:sz="4" w:space="0" w:color="auto"/>
              <w:bottom w:val="single" w:sz="4" w:space="0" w:color="auto"/>
              <w:right w:val="single" w:sz="8" w:space="0" w:color="auto"/>
            </w:tcBorders>
            <w:shd w:val="clear" w:color="auto" w:fill="auto"/>
            <w:noWrap/>
            <w:vAlign w:val="bottom"/>
            <w:hideMark/>
          </w:tcPr>
          <w:p w14:paraId="7984FC2C"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r>
      <w:tr w:rsidR="00725028" w:rsidRPr="00226044" w14:paraId="38E475BF" w14:textId="77777777" w:rsidTr="00725028">
        <w:trPr>
          <w:trHeight w:val="412"/>
        </w:trPr>
        <w:tc>
          <w:tcPr>
            <w:tcW w:w="1408" w:type="dxa"/>
            <w:tcBorders>
              <w:top w:val="nil"/>
              <w:left w:val="single" w:sz="8" w:space="0" w:color="auto"/>
              <w:bottom w:val="single" w:sz="4" w:space="0" w:color="000000"/>
              <w:right w:val="single" w:sz="4" w:space="0" w:color="000000"/>
            </w:tcBorders>
            <w:shd w:val="clear" w:color="000000" w:fill="B4C6E7"/>
            <w:noWrap/>
            <w:vAlign w:val="bottom"/>
            <w:hideMark/>
          </w:tcPr>
          <w:p w14:paraId="754396AA" w14:textId="77777777" w:rsidR="00725028" w:rsidRPr="00226044" w:rsidRDefault="00725028" w:rsidP="00725028">
            <w:pPr>
              <w:spacing w:after="0" w:line="240" w:lineRule="auto"/>
              <w:jc w:val="center"/>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2023</w:t>
            </w:r>
          </w:p>
        </w:tc>
        <w:tc>
          <w:tcPr>
            <w:tcW w:w="992" w:type="dxa"/>
            <w:tcBorders>
              <w:top w:val="nil"/>
              <w:left w:val="nil"/>
              <w:bottom w:val="single" w:sz="4" w:space="0" w:color="000000"/>
              <w:right w:val="single" w:sz="4" w:space="0" w:color="000000"/>
            </w:tcBorders>
            <w:shd w:val="clear" w:color="auto" w:fill="auto"/>
            <w:noWrap/>
            <w:vAlign w:val="bottom"/>
            <w:hideMark/>
          </w:tcPr>
          <w:p w14:paraId="3CF7EE12"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9,300</w:t>
            </w:r>
          </w:p>
        </w:tc>
        <w:tc>
          <w:tcPr>
            <w:tcW w:w="1491" w:type="dxa"/>
            <w:tcBorders>
              <w:top w:val="nil"/>
              <w:left w:val="nil"/>
              <w:bottom w:val="single" w:sz="4" w:space="0" w:color="000000"/>
              <w:right w:val="single" w:sz="4" w:space="0" w:color="000000"/>
            </w:tcBorders>
            <w:shd w:val="clear" w:color="auto" w:fill="auto"/>
            <w:noWrap/>
            <w:vAlign w:val="bottom"/>
            <w:hideMark/>
          </w:tcPr>
          <w:p w14:paraId="0E74FB30"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0,093</w:t>
            </w:r>
          </w:p>
        </w:tc>
        <w:tc>
          <w:tcPr>
            <w:tcW w:w="897" w:type="dxa"/>
            <w:tcBorders>
              <w:top w:val="nil"/>
              <w:left w:val="nil"/>
              <w:bottom w:val="single" w:sz="4" w:space="0" w:color="000000"/>
              <w:right w:val="single" w:sz="4" w:space="0" w:color="000000"/>
            </w:tcBorders>
            <w:shd w:val="clear" w:color="auto" w:fill="auto"/>
            <w:noWrap/>
            <w:vAlign w:val="bottom"/>
            <w:hideMark/>
          </w:tcPr>
          <w:p w14:paraId="38D52153"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nil"/>
              <w:left w:val="nil"/>
              <w:bottom w:val="single" w:sz="4" w:space="0" w:color="000000"/>
              <w:right w:val="single" w:sz="4" w:space="0" w:color="000000"/>
            </w:tcBorders>
            <w:shd w:val="clear" w:color="auto" w:fill="auto"/>
            <w:noWrap/>
            <w:vAlign w:val="bottom"/>
            <w:hideMark/>
          </w:tcPr>
          <w:p w14:paraId="636C5287"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116,25</w:t>
            </w:r>
          </w:p>
        </w:tc>
        <w:tc>
          <w:tcPr>
            <w:tcW w:w="897" w:type="dxa"/>
            <w:tcBorders>
              <w:top w:val="nil"/>
              <w:left w:val="nil"/>
              <w:bottom w:val="single" w:sz="4" w:space="0" w:color="000000"/>
              <w:right w:val="single" w:sz="4" w:space="0" w:color="000000"/>
            </w:tcBorders>
            <w:shd w:val="clear" w:color="auto" w:fill="auto"/>
            <w:noWrap/>
            <w:vAlign w:val="bottom"/>
            <w:hideMark/>
          </w:tcPr>
          <w:p w14:paraId="4DA6FC07"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210,18</w:t>
            </w:r>
          </w:p>
        </w:tc>
        <w:tc>
          <w:tcPr>
            <w:tcW w:w="897" w:type="dxa"/>
            <w:tcBorders>
              <w:top w:val="nil"/>
              <w:left w:val="nil"/>
              <w:bottom w:val="single" w:sz="4" w:space="0" w:color="000000"/>
              <w:right w:val="single" w:sz="4" w:space="0" w:color="000000"/>
            </w:tcBorders>
            <w:shd w:val="clear" w:color="auto" w:fill="auto"/>
            <w:noWrap/>
            <w:vAlign w:val="bottom"/>
            <w:hideMark/>
          </w:tcPr>
          <w:p w14:paraId="1A1F8378"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251,10</w:t>
            </w:r>
          </w:p>
        </w:tc>
        <w:tc>
          <w:tcPr>
            <w:tcW w:w="864" w:type="dxa"/>
            <w:tcBorders>
              <w:top w:val="nil"/>
              <w:left w:val="nil"/>
              <w:bottom w:val="single" w:sz="4" w:space="0" w:color="000000"/>
              <w:right w:val="nil"/>
            </w:tcBorders>
            <w:shd w:val="clear" w:color="auto" w:fill="auto"/>
            <w:noWrap/>
            <w:vAlign w:val="bottom"/>
            <w:hideMark/>
          </w:tcPr>
          <w:p w14:paraId="46034DC9"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87,97</w:t>
            </w:r>
          </w:p>
        </w:tc>
        <w:tc>
          <w:tcPr>
            <w:tcW w:w="864" w:type="dxa"/>
            <w:tcBorders>
              <w:top w:val="nil"/>
              <w:left w:val="single" w:sz="4" w:space="0" w:color="auto"/>
              <w:bottom w:val="single" w:sz="4" w:space="0" w:color="auto"/>
              <w:right w:val="single" w:sz="8" w:space="0" w:color="auto"/>
            </w:tcBorders>
            <w:shd w:val="clear" w:color="auto" w:fill="auto"/>
            <w:noWrap/>
            <w:vAlign w:val="bottom"/>
            <w:hideMark/>
          </w:tcPr>
          <w:p w14:paraId="07CC04E5"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r>
      <w:tr w:rsidR="00725028" w:rsidRPr="00226044" w14:paraId="0139621B" w14:textId="77777777" w:rsidTr="00725028">
        <w:trPr>
          <w:trHeight w:val="412"/>
        </w:trPr>
        <w:tc>
          <w:tcPr>
            <w:tcW w:w="1408" w:type="dxa"/>
            <w:tcBorders>
              <w:top w:val="nil"/>
              <w:left w:val="single" w:sz="8" w:space="0" w:color="auto"/>
              <w:bottom w:val="single" w:sz="4" w:space="0" w:color="000000"/>
              <w:right w:val="single" w:sz="4" w:space="0" w:color="000000"/>
            </w:tcBorders>
            <w:shd w:val="clear" w:color="000000" w:fill="B4C6E7"/>
            <w:noWrap/>
            <w:vAlign w:val="bottom"/>
            <w:hideMark/>
          </w:tcPr>
          <w:p w14:paraId="2F85EED7" w14:textId="77777777" w:rsidR="00725028" w:rsidRPr="00226044" w:rsidRDefault="00725028" w:rsidP="00725028">
            <w:pPr>
              <w:spacing w:after="0" w:line="240" w:lineRule="auto"/>
              <w:jc w:val="center"/>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2024</w:t>
            </w:r>
          </w:p>
        </w:tc>
        <w:tc>
          <w:tcPr>
            <w:tcW w:w="992" w:type="dxa"/>
            <w:tcBorders>
              <w:top w:val="nil"/>
              <w:left w:val="nil"/>
              <w:bottom w:val="single" w:sz="4" w:space="0" w:color="000000"/>
              <w:right w:val="single" w:sz="4" w:space="0" w:color="000000"/>
            </w:tcBorders>
            <w:shd w:val="clear" w:color="auto" w:fill="auto"/>
            <w:noWrap/>
            <w:vAlign w:val="bottom"/>
            <w:hideMark/>
          </w:tcPr>
          <w:p w14:paraId="40286866"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3,500</w:t>
            </w:r>
          </w:p>
        </w:tc>
        <w:tc>
          <w:tcPr>
            <w:tcW w:w="1491" w:type="dxa"/>
            <w:tcBorders>
              <w:top w:val="nil"/>
              <w:left w:val="nil"/>
              <w:bottom w:val="single" w:sz="4" w:space="0" w:color="000000"/>
              <w:right w:val="single" w:sz="4" w:space="0" w:color="000000"/>
            </w:tcBorders>
            <w:shd w:val="clear" w:color="auto" w:fill="auto"/>
            <w:noWrap/>
            <w:vAlign w:val="bottom"/>
            <w:hideMark/>
          </w:tcPr>
          <w:p w14:paraId="6939F708"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0,035</w:t>
            </w:r>
          </w:p>
        </w:tc>
        <w:tc>
          <w:tcPr>
            <w:tcW w:w="897" w:type="dxa"/>
            <w:tcBorders>
              <w:top w:val="nil"/>
              <w:left w:val="nil"/>
              <w:bottom w:val="single" w:sz="4" w:space="0" w:color="000000"/>
              <w:right w:val="single" w:sz="4" w:space="0" w:color="000000"/>
            </w:tcBorders>
            <w:shd w:val="clear" w:color="auto" w:fill="auto"/>
            <w:noWrap/>
            <w:vAlign w:val="bottom"/>
            <w:hideMark/>
          </w:tcPr>
          <w:p w14:paraId="6FC6CFE9"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nil"/>
              <w:left w:val="nil"/>
              <w:bottom w:val="single" w:sz="4" w:space="0" w:color="000000"/>
              <w:right w:val="single" w:sz="4" w:space="0" w:color="000000"/>
            </w:tcBorders>
            <w:shd w:val="clear" w:color="auto" w:fill="auto"/>
            <w:noWrap/>
            <w:vAlign w:val="bottom"/>
            <w:hideMark/>
          </w:tcPr>
          <w:p w14:paraId="39230DF6"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nil"/>
              <w:left w:val="nil"/>
              <w:bottom w:val="single" w:sz="4" w:space="0" w:color="000000"/>
              <w:right w:val="single" w:sz="4" w:space="0" w:color="000000"/>
            </w:tcBorders>
            <w:shd w:val="clear" w:color="auto" w:fill="auto"/>
            <w:noWrap/>
            <w:vAlign w:val="bottom"/>
            <w:hideMark/>
          </w:tcPr>
          <w:p w14:paraId="10DB7B00"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79,10</w:t>
            </w:r>
          </w:p>
        </w:tc>
        <w:tc>
          <w:tcPr>
            <w:tcW w:w="897" w:type="dxa"/>
            <w:tcBorders>
              <w:top w:val="nil"/>
              <w:left w:val="nil"/>
              <w:bottom w:val="single" w:sz="4" w:space="0" w:color="000000"/>
              <w:right w:val="single" w:sz="4" w:space="0" w:color="000000"/>
            </w:tcBorders>
            <w:shd w:val="clear" w:color="auto" w:fill="auto"/>
            <w:noWrap/>
            <w:vAlign w:val="bottom"/>
            <w:hideMark/>
          </w:tcPr>
          <w:p w14:paraId="4F0A604D"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94,50</w:t>
            </w:r>
          </w:p>
        </w:tc>
        <w:tc>
          <w:tcPr>
            <w:tcW w:w="864" w:type="dxa"/>
            <w:tcBorders>
              <w:top w:val="nil"/>
              <w:left w:val="nil"/>
              <w:bottom w:val="single" w:sz="4" w:space="0" w:color="000000"/>
              <w:right w:val="nil"/>
            </w:tcBorders>
            <w:shd w:val="clear" w:color="auto" w:fill="auto"/>
            <w:noWrap/>
            <w:vAlign w:val="bottom"/>
            <w:hideMark/>
          </w:tcPr>
          <w:p w14:paraId="5C1D57BE"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33,11</w:t>
            </w:r>
          </w:p>
        </w:tc>
        <w:tc>
          <w:tcPr>
            <w:tcW w:w="864" w:type="dxa"/>
            <w:tcBorders>
              <w:top w:val="nil"/>
              <w:left w:val="single" w:sz="4" w:space="0" w:color="auto"/>
              <w:bottom w:val="single" w:sz="4" w:space="0" w:color="auto"/>
              <w:right w:val="single" w:sz="8" w:space="0" w:color="auto"/>
            </w:tcBorders>
            <w:shd w:val="clear" w:color="auto" w:fill="auto"/>
            <w:noWrap/>
            <w:vAlign w:val="bottom"/>
            <w:hideMark/>
          </w:tcPr>
          <w:p w14:paraId="6CBBF1D5"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r>
      <w:tr w:rsidR="00725028" w:rsidRPr="00226044" w14:paraId="39433D5B" w14:textId="77777777" w:rsidTr="00725028">
        <w:trPr>
          <w:trHeight w:val="412"/>
        </w:trPr>
        <w:tc>
          <w:tcPr>
            <w:tcW w:w="1408" w:type="dxa"/>
            <w:tcBorders>
              <w:top w:val="nil"/>
              <w:left w:val="single" w:sz="8" w:space="0" w:color="auto"/>
              <w:bottom w:val="single" w:sz="4" w:space="0" w:color="000000"/>
              <w:right w:val="single" w:sz="4" w:space="0" w:color="000000"/>
            </w:tcBorders>
            <w:shd w:val="clear" w:color="000000" w:fill="B4C6E7"/>
            <w:noWrap/>
            <w:vAlign w:val="bottom"/>
            <w:hideMark/>
          </w:tcPr>
          <w:p w14:paraId="117564AD" w14:textId="77777777" w:rsidR="00725028" w:rsidRPr="00226044" w:rsidRDefault="00725028" w:rsidP="00725028">
            <w:pPr>
              <w:spacing w:after="0" w:line="240" w:lineRule="auto"/>
              <w:jc w:val="center"/>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2025</w:t>
            </w:r>
          </w:p>
        </w:tc>
        <w:tc>
          <w:tcPr>
            <w:tcW w:w="992" w:type="dxa"/>
            <w:tcBorders>
              <w:top w:val="nil"/>
              <w:left w:val="nil"/>
              <w:bottom w:val="single" w:sz="4" w:space="0" w:color="000000"/>
              <w:right w:val="single" w:sz="4" w:space="0" w:color="000000"/>
            </w:tcBorders>
            <w:shd w:val="clear" w:color="auto" w:fill="auto"/>
            <w:noWrap/>
            <w:vAlign w:val="bottom"/>
            <w:hideMark/>
          </w:tcPr>
          <w:p w14:paraId="5FA40389"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2,000</w:t>
            </w:r>
          </w:p>
        </w:tc>
        <w:tc>
          <w:tcPr>
            <w:tcW w:w="1491" w:type="dxa"/>
            <w:tcBorders>
              <w:top w:val="nil"/>
              <w:left w:val="nil"/>
              <w:bottom w:val="single" w:sz="4" w:space="0" w:color="000000"/>
              <w:right w:val="single" w:sz="4" w:space="0" w:color="000000"/>
            </w:tcBorders>
            <w:shd w:val="clear" w:color="auto" w:fill="auto"/>
            <w:noWrap/>
            <w:vAlign w:val="bottom"/>
            <w:hideMark/>
          </w:tcPr>
          <w:p w14:paraId="32287713"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0,020</w:t>
            </w:r>
          </w:p>
        </w:tc>
        <w:tc>
          <w:tcPr>
            <w:tcW w:w="897" w:type="dxa"/>
            <w:tcBorders>
              <w:top w:val="nil"/>
              <w:left w:val="nil"/>
              <w:bottom w:val="single" w:sz="4" w:space="0" w:color="000000"/>
              <w:right w:val="single" w:sz="4" w:space="0" w:color="000000"/>
            </w:tcBorders>
            <w:shd w:val="clear" w:color="auto" w:fill="auto"/>
            <w:noWrap/>
            <w:vAlign w:val="bottom"/>
            <w:hideMark/>
          </w:tcPr>
          <w:p w14:paraId="556CDD08"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nil"/>
              <w:left w:val="nil"/>
              <w:bottom w:val="single" w:sz="4" w:space="0" w:color="000000"/>
              <w:right w:val="single" w:sz="4" w:space="0" w:color="000000"/>
            </w:tcBorders>
            <w:shd w:val="clear" w:color="auto" w:fill="auto"/>
            <w:noWrap/>
            <w:vAlign w:val="bottom"/>
            <w:hideMark/>
          </w:tcPr>
          <w:p w14:paraId="4C686089"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nil"/>
              <w:left w:val="nil"/>
              <w:bottom w:val="single" w:sz="4" w:space="0" w:color="000000"/>
              <w:right w:val="single" w:sz="4" w:space="0" w:color="000000"/>
            </w:tcBorders>
            <w:shd w:val="clear" w:color="auto" w:fill="auto"/>
            <w:noWrap/>
            <w:vAlign w:val="bottom"/>
            <w:hideMark/>
          </w:tcPr>
          <w:p w14:paraId="5B4C3F6F"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nil"/>
              <w:left w:val="nil"/>
              <w:bottom w:val="single" w:sz="4" w:space="0" w:color="000000"/>
              <w:right w:val="single" w:sz="4" w:space="0" w:color="000000"/>
            </w:tcBorders>
            <w:shd w:val="clear" w:color="auto" w:fill="auto"/>
            <w:noWrap/>
            <w:vAlign w:val="bottom"/>
            <w:hideMark/>
          </w:tcPr>
          <w:p w14:paraId="172A7319"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54,00</w:t>
            </w:r>
          </w:p>
        </w:tc>
        <w:tc>
          <w:tcPr>
            <w:tcW w:w="864" w:type="dxa"/>
            <w:tcBorders>
              <w:top w:val="nil"/>
              <w:left w:val="nil"/>
              <w:bottom w:val="single" w:sz="4" w:space="0" w:color="000000"/>
              <w:right w:val="nil"/>
            </w:tcBorders>
            <w:shd w:val="clear" w:color="auto" w:fill="auto"/>
            <w:noWrap/>
            <w:vAlign w:val="bottom"/>
            <w:hideMark/>
          </w:tcPr>
          <w:p w14:paraId="528E3D87"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18,92</w:t>
            </w:r>
          </w:p>
        </w:tc>
        <w:tc>
          <w:tcPr>
            <w:tcW w:w="864" w:type="dxa"/>
            <w:tcBorders>
              <w:top w:val="nil"/>
              <w:left w:val="single" w:sz="4" w:space="0" w:color="auto"/>
              <w:bottom w:val="single" w:sz="4" w:space="0" w:color="auto"/>
              <w:right w:val="single" w:sz="8" w:space="0" w:color="auto"/>
            </w:tcBorders>
            <w:shd w:val="clear" w:color="auto" w:fill="auto"/>
            <w:noWrap/>
            <w:vAlign w:val="bottom"/>
            <w:hideMark/>
          </w:tcPr>
          <w:p w14:paraId="35DB4DC5"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r>
      <w:tr w:rsidR="00725028" w:rsidRPr="00226044" w14:paraId="2136F051" w14:textId="77777777" w:rsidTr="00725028">
        <w:trPr>
          <w:trHeight w:val="412"/>
        </w:trPr>
        <w:tc>
          <w:tcPr>
            <w:tcW w:w="1408" w:type="dxa"/>
            <w:tcBorders>
              <w:top w:val="nil"/>
              <w:left w:val="single" w:sz="8" w:space="0" w:color="auto"/>
              <w:bottom w:val="single" w:sz="4" w:space="0" w:color="000000"/>
              <w:right w:val="single" w:sz="4" w:space="0" w:color="000000"/>
            </w:tcBorders>
            <w:shd w:val="clear" w:color="000000" w:fill="B4C6E7"/>
            <w:noWrap/>
            <w:vAlign w:val="bottom"/>
            <w:hideMark/>
          </w:tcPr>
          <w:p w14:paraId="6395AE23" w14:textId="77777777" w:rsidR="00725028" w:rsidRPr="00226044" w:rsidRDefault="00725028" w:rsidP="00725028">
            <w:pPr>
              <w:spacing w:after="0" w:line="240" w:lineRule="auto"/>
              <w:jc w:val="center"/>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2026</w:t>
            </w:r>
          </w:p>
        </w:tc>
        <w:tc>
          <w:tcPr>
            <w:tcW w:w="992" w:type="dxa"/>
            <w:tcBorders>
              <w:top w:val="nil"/>
              <w:left w:val="nil"/>
              <w:bottom w:val="single" w:sz="4" w:space="0" w:color="000000"/>
              <w:right w:val="single" w:sz="4" w:space="0" w:color="000000"/>
            </w:tcBorders>
            <w:shd w:val="clear" w:color="auto" w:fill="auto"/>
            <w:noWrap/>
            <w:vAlign w:val="bottom"/>
            <w:hideMark/>
          </w:tcPr>
          <w:p w14:paraId="00466C01"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2,000</w:t>
            </w:r>
          </w:p>
        </w:tc>
        <w:tc>
          <w:tcPr>
            <w:tcW w:w="1491" w:type="dxa"/>
            <w:tcBorders>
              <w:top w:val="nil"/>
              <w:left w:val="nil"/>
              <w:bottom w:val="single" w:sz="4" w:space="0" w:color="000000"/>
              <w:right w:val="single" w:sz="4" w:space="0" w:color="000000"/>
            </w:tcBorders>
            <w:shd w:val="clear" w:color="auto" w:fill="auto"/>
            <w:noWrap/>
            <w:vAlign w:val="bottom"/>
            <w:hideMark/>
          </w:tcPr>
          <w:p w14:paraId="28AA1C6F"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0,020</w:t>
            </w:r>
          </w:p>
        </w:tc>
        <w:tc>
          <w:tcPr>
            <w:tcW w:w="897" w:type="dxa"/>
            <w:tcBorders>
              <w:top w:val="nil"/>
              <w:left w:val="nil"/>
              <w:bottom w:val="single" w:sz="4" w:space="0" w:color="000000"/>
              <w:right w:val="single" w:sz="4" w:space="0" w:color="000000"/>
            </w:tcBorders>
            <w:shd w:val="clear" w:color="auto" w:fill="auto"/>
            <w:noWrap/>
            <w:vAlign w:val="bottom"/>
            <w:hideMark/>
          </w:tcPr>
          <w:p w14:paraId="21119F66"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nil"/>
              <w:left w:val="nil"/>
              <w:bottom w:val="single" w:sz="4" w:space="0" w:color="000000"/>
              <w:right w:val="single" w:sz="4" w:space="0" w:color="000000"/>
            </w:tcBorders>
            <w:shd w:val="clear" w:color="auto" w:fill="auto"/>
            <w:noWrap/>
            <w:vAlign w:val="bottom"/>
            <w:hideMark/>
          </w:tcPr>
          <w:p w14:paraId="3C1CE273"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nil"/>
              <w:left w:val="nil"/>
              <w:bottom w:val="single" w:sz="4" w:space="0" w:color="000000"/>
              <w:right w:val="single" w:sz="4" w:space="0" w:color="000000"/>
            </w:tcBorders>
            <w:shd w:val="clear" w:color="auto" w:fill="auto"/>
            <w:noWrap/>
            <w:vAlign w:val="bottom"/>
            <w:hideMark/>
          </w:tcPr>
          <w:p w14:paraId="3B2819D0"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nil"/>
              <w:left w:val="nil"/>
              <w:bottom w:val="single" w:sz="4" w:space="0" w:color="000000"/>
              <w:right w:val="single" w:sz="4" w:space="0" w:color="000000"/>
            </w:tcBorders>
            <w:shd w:val="clear" w:color="auto" w:fill="auto"/>
            <w:noWrap/>
            <w:vAlign w:val="bottom"/>
            <w:hideMark/>
          </w:tcPr>
          <w:p w14:paraId="0C7317B5"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64" w:type="dxa"/>
            <w:tcBorders>
              <w:top w:val="nil"/>
              <w:left w:val="nil"/>
              <w:bottom w:val="single" w:sz="4" w:space="0" w:color="000000"/>
              <w:right w:val="nil"/>
            </w:tcBorders>
            <w:shd w:val="clear" w:color="auto" w:fill="auto"/>
            <w:noWrap/>
            <w:vAlign w:val="bottom"/>
            <w:hideMark/>
          </w:tcPr>
          <w:p w14:paraId="366137BF"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18,92</w:t>
            </w:r>
          </w:p>
        </w:tc>
        <w:tc>
          <w:tcPr>
            <w:tcW w:w="864" w:type="dxa"/>
            <w:tcBorders>
              <w:top w:val="nil"/>
              <w:left w:val="single" w:sz="4" w:space="0" w:color="auto"/>
              <w:bottom w:val="single" w:sz="4" w:space="0" w:color="auto"/>
              <w:right w:val="single" w:sz="8" w:space="0" w:color="auto"/>
            </w:tcBorders>
            <w:shd w:val="clear" w:color="auto" w:fill="auto"/>
            <w:noWrap/>
            <w:vAlign w:val="bottom"/>
            <w:hideMark/>
          </w:tcPr>
          <w:p w14:paraId="4AA46EAE"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r>
      <w:tr w:rsidR="00725028" w:rsidRPr="00226044" w14:paraId="392AB626" w14:textId="77777777" w:rsidTr="00725028">
        <w:trPr>
          <w:trHeight w:val="412"/>
        </w:trPr>
        <w:tc>
          <w:tcPr>
            <w:tcW w:w="1408" w:type="dxa"/>
            <w:tcBorders>
              <w:top w:val="nil"/>
              <w:left w:val="single" w:sz="8" w:space="0" w:color="auto"/>
              <w:bottom w:val="nil"/>
              <w:right w:val="single" w:sz="4" w:space="0" w:color="000000"/>
            </w:tcBorders>
            <w:shd w:val="clear" w:color="000000" w:fill="FFE699"/>
            <w:noWrap/>
            <w:vAlign w:val="bottom"/>
            <w:hideMark/>
          </w:tcPr>
          <w:p w14:paraId="53AE0481" w14:textId="77777777" w:rsidR="00725028" w:rsidRPr="00226044" w:rsidRDefault="00725028" w:rsidP="00725028">
            <w:pPr>
              <w:spacing w:after="0" w:line="240" w:lineRule="auto"/>
              <w:rPr>
                <w:rFonts w:ascii="Calibri" w:eastAsia="Times New Roman" w:hAnsi="Calibri" w:cs="Calibri"/>
                <w:b/>
                <w:bCs/>
                <w:color w:val="000000"/>
                <w:szCs w:val="32"/>
                <w:lang w:val="cs-CZ" w:eastAsia="cs-CZ"/>
              </w:rPr>
            </w:pPr>
            <w:proofErr w:type="spellStart"/>
            <w:r w:rsidRPr="00226044">
              <w:rPr>
                <w:rFonts w:ascii="Calibri" w:eastAsia="Times New Roman" w:hAnsi="Calibri" w:cs="Calibri"/>
                <w:b/>
                <w:bCs/>
                <w:color w:val="000000"/>
                <w:szCs w:val="32"/>
                <w:lang w:val="cs-CZ" w:eastAsia="cs-CZ"/>
              </w:rPr>
              <w:t>inflation</w:t>
            </w:r>
            <w:proofErr w:type="spellEnd"/>
            <w:r w:rsidRPr="00226044">
              <w:rPr>
                <w:rFonts w:ascii="Calibri" w:eastAsia="Times New Roman" w:hAnsi="Calibri" w:cs="Calibri"/>
                <w:b/>
                <w:bCs/>
                <w:color w:val="000000"/>
                <w:szCs w:val="32"/>
                <w:lang w:val="cs-CZ" w:eastAsia="cs-CZ"/>
              </w:rPr>
              <w:t xml:space="preserve"> </w:t>
            </w:r>
            <w:proofErr w:type="spellStart"/>
            <w:r w:rsidRPr="00226044">
              <w:rPr>
                <w:rFonts w:ascii="Calibri" w:eastAsia="Times New Roman" w:hAnsi="Calibri" w:cs="Calibri"/>
                <w:b/>
                <w:bCs/>
                <w:color w:val="000000"/>
                <w:szCs w:val="32"/>
                <w:lang w:val="cs-CZ" w:eastAsia="cs-CZ"/>
              </w:rPr>
              <w:t>increase</w:t>
            </w:r>
            <w:proofErr w:type="spellEnd"/>
            <w:r w:rsidRPr="00226044">
              <w:rPr>
                <w:rFonts w:ascii="Calibri" w:eastAsia="Times New Roman" w:hAnsi="Calibri" w:cs="Calibri"/>
                <w:b/>
                <w:bCs/>
                <w:color w:val="000000"/>
                <w:szCs w:val="32"/>
                <w:lang w:val="cs-CZ" w:eastAsia="cs-CZ"/>
              </w:rPr>
              <w:t xml:space="preserve"> </w:t>
            </w:r>
          </w:p>
        </w:tc>
        <w:tc>
          <w:tcPr>
            <w:tcW w:w="992" w:type="dxa"/>
            <w:tcBorders>
              <w:top w:val="nil"/>
              <w:left w:val="nil"/>
              <w:bottom w:val="single" w:sz="4" w:space="0" w:color="auto"/>
              <w:right w:val="single" w:sz="4" w:space="0" w:color="auto"/>
            </w:tcBorders>
            <w:shd w:val="clear" w:color="auto" w:fill="auto"/>
            <w:noWrap/>
            <w:vAlign w:val="bottom"/>
            <w:hideMark/>
          </w:tcPr>
          <w:p w14:paraId="55EFA1BA"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c>
          <w:tcPr>
            <w:tcW w:w="1491" w:type="dxa"/>
            <w:tcBorders>
              <w:top w:val="nil"/>
              <w:left w:val="nil"/>
              <w:bottom w:val="single" w:sz="4" w:space="0" w:color="auto"/>
              <w:right w:val="single" w:sz="4" w:space="0" w:color="auto"/>
            </w:tcBorders>
            <w:shd w:val="clear" w:color="auto" w:fill="auto"/>
            <w:noWrap/>
            <w:vAlign w:val="bottom"/>
            <w:hideMark/>
          </w:tcPr>
          <w:p w14:paraId="651C46BE"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c>
          <w:tcPr>
            <w:tcW w:w="897" w:type="dxa"/>
            <w:tcBorders>
              <w:top w:val="nil"/>
              <w:left w:val="nil"/>
              <w:bottom w:val="nil"/>
              <w:right w:val="single" w:sz="4" w:space="0" w:color="000000"/>
            </w:tcBorders>
            <w:shd w:val="clear" w:color="000000" w:fill="FFE699"/>
            <w:noWrap/>
            <w:vAlign w:val="bottom"/>
            <w:hideMark/>
          </w:tcPr>
          <w:p w14:paraId="08D2CFA1"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nil"/>
              <w:left w:val="nil"/>
              <w:bottom w:val="nil"/>
              <w:right w:val="single" w:sz="4" w:space="0" w:color="000000"/>
            </w:tcBorders>
            <w:shd w:val="clear" w:color="000000" w:fill="FFE699"/>
            <w:noWrap/>
            <w:vAlign w:val="bottom"/>
            <w:hideMark/>
          </w:tcPr>
          <w:p w14:paraId="1A73F67B"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352,50</w:t>
            </w:r>
          </w:p>
        </w:tc>
        <w:tc>
          <w:tcPr>
            <w:tcW w:w="897" w:type="dxa"/>
            <w:tcBorders>
              <w:top w:val="nil"/>
              <w:left w:val="nil"/>
              <w:bottom w:val="nil"/>
              <w:right w:val="single" w:sz="4" w:space="0" w:color="000000"/>
            </w:tcBorders>
            <w:shd w:val="clear" w:color="000000" w:fill="FFE699"/>
            <w:noWrap/>
            <w:vAlign w:val="bottom"/>
            <w:hideMark/>
          </w:tcPr>
          <w:p w14:paraId="6DC39FDA"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716,42</w:t>
            </w:r>
          </w:p>
        </w:tc>
        <w:tc>
          <w:tcPr>
            <w:tcW w:w="897" w:type="dxa"/>
            <w:tcBorders>
              <w:top w:val="nil"/>
              <w:left w:val="nil"/>
              <w:bottom w:val="nil"/>
              <w:right w:val="single" w:sz="4" w:space="0" w:color="000000"/>
            </w:tcBorders>
            <w:shd w:val="clear" w:color="000000" w:fill="FFE699"/>
            <w:noWrap/>
            <w:vAlign w:val="bottom"/>
            <w:hideMark/>
          </w:tcPr>
          <w:p w14:paraId="04D85FDE"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909,90</w:t>
            </w:r>
          </w:p>
        </w:tc>
        <w:tc>
          <w:tcPr>
            <w:tcW w:w="864" w:type="dxa"/>
            <w:tcBorders>
              <w:top w:val="nil"/>
              <w:left w:val="nil"/>
              <w:bottom w:val="nil"/>
              <w:right w:val="single" w:sz="4" w:space="0" w:color="000000"/>
            </w:tcBorders>
            <w:shd w:val="clear" w:color="000000" w:fill="FFE699"/>
            <w:noWrap/>
            <w:vAlign w:val="bottom"/>
            <w:hideMark/>
          </w:tcPr>
          <w:p w14:paraId="7BE269E3"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337,69</w:t>
            </w:r>
          </w:p>
        </w:tc>
        <w:tc>
          <w:tcPr>
            <w:tcW w:w="864" w:type="dxa"/>
            <w:tcBorders>
              <w:top w:val="nil"/>
              <w:left w:val="nil"/>
              <w:bottom w:val="single" w:sz="4" w:space="0" w:color="auto"/>
              <w:right w:val="single" w:sz="8" w:space="0" w:color="auto"/>
            </w:tcBorders>
            <w:shd w:val="clear" w:color="000000" w:fill="F4B084"/>
            <w:noWrap/>
            <w:vAlign w:val="bottom"/>
            <w:hideMark/>
          </w:tcPr>
          <w:p w14:paraId="38052A0B"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2316,51</w:t>
            </w:r>
          </w:p>
        </w:tc>
      </w:tr>
      <w:tr w:rsidR="00725028" w:rsidRPr="00226044" w14:paraId="12F0B0A8" w14:textId="77777777" w:rsidTr="00725028">
        <w:trPr>
          <w:trHeight w:val="427"/>
        </w:trPr>
        <w:tc>
          <w:tcPr>
            <w:tcW w:w="1408" w:type="dxa"/>
            <w:tcBorders>
              <w:top w:val="single" w:sz="4" w:space="0" w:color="auto"/>
              <w:left w:val="single" w:sz="8" w:space="0" w:color="auto"/>
              <w:bottom w:val="single" w:sz="8" w:space="0" w:color="auto"/>
              <w:right w:val="single" w:sz="4" w:space="0" w:color="auto"/>
            </w:tcBorders>
            <w:shd w:val="clear" w:color="000000" w:fill="FFE699"/>
            <w:noWrap/>
            <w:vAlign w:val="bottom"/>
            <w:hideMark/>
          </w:tcPr>
          <w:p w14:paraId="369A9497" w14:textId="77777777" w:rsidR="00725028" w:rsidRPr="00226044" w:rsidRDefault="00725028" w:rsidP="00725028">
            <w:pPr>
              <w:spacing w:after="0" w:line="240" w:lineRule="auto"/>
              <w:rPr>
                <w:rFonts w:ascii="Calibri" w:eastAsia="Times New Roman" w:hAnsi="Calibri" w:cs="Calibri"/>
                <w:b/>
                <w:bCs/>
                <w:color w:val="000000"/>
                <w:szCs w:val="32"/>
                <w:lang w:val="cs-CZ" w:eastAsia="cs-CZ"/>
              </w:rPr>
            </w:pPr>
            <w:r w:rsidRPr="00226044">
              <w:rPr>
                <w:rFonts w:ascii="Calibri" w:eastAsia="Times New Roman" w:hAnsi="Calibri" w:cs="Calibri"/>
                <w:b/>
                <w:bCs/>
                <w:color w:val="000000"/>
                <w:szCs w:val="32"/>
                <w:lang w:val="cs-CZ" w:eastAsia="cs-CZ"/>
              </w:rPr>
              <w:t xml:space="preserve">RRF </w:t>
            </w:r>
            <w:proofErr w:type="spellStart"/>
            <w:r w:rsidRPr="00226044">
              <w:rPr>
                <w:rFonts w:ascii="Calibri" w:eastAsia="Times New Roman" w:hAnsi="Calibri" w:cs="Calibri"/>
                <w:b/>
                <w:bCs/>
                <w:color w:val="000000"/>
                <w:szCs w:val="32"/>
                <w:lang w:val="cs-CZ" w:eastAsia="cs-CZ"/>
              </w:rPr>
              <w:t>including</w:t>
            </w:r>
            <w:proofErr w:type="spellEnd"/>
            <w:r w:rsidRPr="00226044">
              <w:rPr>
                <w:rFonts w:ascii="Calibri" w:eastAsia="Times New Roman" w:hAnsi="Calibri" w:cs="Calibri"/>
                <w:b/>
                <w:bCs/>
                <w:color w:val="000000"/>
                <w:szCs w:val="32"/>
                <w:lang w:val="cs-CZ" w:eastAsia="cs-CZ"/>
              </w:rPr>
              <w:t xml:space="preserve"> </w:t>
            </w:r>
            <w:proofErr w:type="spellStart"/>
            <w:r w:rsidRPr="00226044">
              <w:rPr>
                <w:rFonts w:ascii="Calibri" w:eastAsia="Times New Roman" w:hAnsi="Calibri" w:cs="Calibri"/>
                <w:b/>
                <w:bCs/>
                <w:color w:val="000000"/>
                <w:szCs w:val="32"/>
                <w:lang w:val="cs-CZ" w:eastAsia="cs-CZ"/>
              </w:rPr>
              <w:t>inflation</w:t>
            </w:r>
            <w:proofErr w:type="spellEnd"/>
            <w:r w:rsidRPr="00226044">
              <w:rPr>
                <w:rFonts w:ascii="Calibri" w:eastAsia="Times New Roman" w:hAnsi="Calibri" w:cs="Calibri"/>
                <w:b/>
                <w:bCs/>
                <w:color w:val="000000"/>
                <w:szCs w:val="32"/>
                <w:lang w:val="cs-CZ" w:eastAsia="cs-CZ"/>
              </w:rPr>
              <w:t xml:space="preserve"> </w:t>
            </w:r>
          </w:p>
        </w:tc>
        <w:tc>
          <w:tcPr>
            <w:tcW w:w="992" w:type="dxa"/>
            <w:tcBorders>
              <w:top w:val="nil"/>
              <w:left w:val="nil"/>
              <w:bottom w:val="single" w:sz="8" w:space="0" w:color="auto"/>
              <w:right w:val="single" w:sz="4" w:space="0" w:color="auto"/>
            </w:tcBorders>
            <w:shd w:val="clear" w:color="auto" w:fill="auto"/>
            <w:noWrap/>
            <w:vAlign w:val="bottom"/>
            <w:hideMark/>
          </w:tcPr>
          <w:p w14:paraId="634334F4"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c>
          <w:tcPr>
            <w:tcW w:w="1491" w:type="dxa"/>
            <w:tcBorders>
              <w:top w:val="nil"/>
              <w:left w:val="nil"/>
              <w:bottom w:val="single" w:sz="8" w:space="0" w:color="auto"/>
              <w:right w:val="single" w:sz="4" w:space="0" w:color="auto"/>
            </w:tcBorders>
            <w:shd w:val="clear" w:color="auto" w:fill="auto"/>
            <w:noWrap/>
            <w:vAlign w:val="bottom"/>
            <w:hideMark/>
          </w:tcPr>
          <w:p w14:paraId="24535526" w14:textId="77777777" w:rsidR="00725028" w:rsidRPr="00226044" w:rsidRDefault="00725028" w:rsidP="00725028">
            <w:pPr>
              <w:spacing w:after="0" w:line="240" w:lineRule="auto"/>
              <w:jc w:val="center"/>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N/A</w:t>
            </w:r>
          </w:p>
        </w:tc>
        <w:tc>
          <w:tcPr>
            <w:tcW w:w="897" w:type="dxa"/>
            <w:tcBorders>
              <w:top w:val="single" w:sz="4" w:space="0" w:color="auto"/>
              <w:left w:val="nil"/>
              <w:bottom w:val="single" w:sz="8" w:space="0" w:color="auto"/>
              <w:right w:val="single" w:sz="4" w:space="0" w:color="auto"/>
            </w:tcBorders>
            <w:shd w:val="clear" w:color="000000" w:fill="FFE699"/>
            <w:noWrap/>
            <w:vAlign w:val="bottom"/>
            <w:hideMark/>
          </w:tcPr>
          <w:p w14:paraId="2BF66AD9"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0,00</w:t>
            </w:r>
          </w:p>
        </w:tc>
        <w:tc>
          <w:tcPr>
            <w:tcW w:w="897" w:type="dxa"/>
            <w:tcBorders>
              <w:top w:val="single" w:sz="4" w:space="0" w:color="auto"/>
              <w:left w:val="nil"/>
              <w:bottom w:val="single" w:sz="8" w:space="0" w:color="auto"/>
              <w:right w:val="single" w:sz="4" w:space="0" w:color="auto"/>
            </w:tcBorders>
            <w:shd w:val="clear" w:color="000000" w:fill="FFE699"/>
            <w:noWrap/>
            <w:vAlign w:val="bottom"/>
            <w:hideMark/>
          </w:tcPr>
          <w:p w14:paraId="276DCAB8"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1602,50</w:t>
            </w:r>
          </w:p>
        </w:tc>
        <w:tc>
          <w:tcPr>
            <w:tcW w:w="897" w:type="dxa"/>
            <w:tcBorders>
              <w:top w:val="single" w:sz="4" w:space="0" w:color="auto"/>
              <w:left w:val="nil"/>
              <w:bottom w:val="single" w:sz="8" w:space="0" w:color="auto"/>
              <w:right w:val="single" w:sz="4" w:space="0" w:color="auto"/>
            </w:tcBorders>
            <w:shd w:val="clear" w:color="000000" w:fill="FFE699"/>
            <w:noWrap/>
            <w:vAlign w:val="bottom"/>
            <w:hideMark/>
          </w:tcPr>
          <w:p w14:paraId="3A06BE0D"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2976,42</w:t>
            </w:r>
          </w:p>
        </w:tc>
        <w:tc>
          <w:tcPr>
            <w:tcW w:w="897" w:type="dxa"/>
            <w:tcBorders>
              <w:top w:val="single" w:sz="4" w:space="0" w:color="auto"/>
              <w:left w:val="nil"/>
              <w:bottom w:val="single" w:sz="8" w:space="0" w:color="auto"/>
              <w:right w:val="single" w:sz="4" w:space="0" w:color="auto"/>
            </w:tcBorders>
            <w:shd w:val="clear" w:color="000000" w:fill="FFE699"/>
            <w:noWrap/>
            <w:vAlign w:val="bottom"/>
            <w:hideMark/>
          </w:tcPr>
          <w:p w14:paraId="2FB5BDF5"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3609,90</w:t>
            </w:r>
          </w:p>
        </w:tc>
        <w:tc>
          <w:tcPr>
            <w:tcW w:w="864" w:type="dxa"/>
            <w:tcBorders>
              <w:top w:val="single" w:sz="4" w:space="0" w:color="auto"/>
              <w:left w:val="nil"/>
              <w:bottom w:val="single" w:sz="8" w:space="0" w:color="auto"/>
              <w:right w:val="single" w:sz="4" w:space="0" w:color="auto"/>
            </w:tcBorders>
            <w:shd w:val="clear" w:color="000000" w:fill="FFE699"/>
            <w:noWrap/>
            <w:vAlign w:val="bottom"/>
            <w:hideMark/>
          </w:tcPr>
          <w:p w14:paraId="6A45338C"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1283,59</w:t>
            </w:r>
          </w:p>
        </w:tc>
        <w:tc>
          <w:tcPr>
            <w:tcW w:w="864" w:type="dxa"/>
            <w:tcBorders>
              <w:top w:val="nil"/>
              <w:left w:val="nil"/>
              <w:bottom w:val="single" w:sz="8" w:space="0" w:color="auto"/>
              <w:right w:val="single" w:sz="8" w:space="0" w:color="auto"/>
            </w:tcBorders>
            <w:shd w:val="clear" w:color="000000" w:fill="F4B084"/>
            <w:noWrap/>
            <w:vAlign w:val="bottom"/>
            <w:hideMark/>
          </w:tcPr>
          <w:p w14:paraId="7BD77000" w14:textId="77777777" w:rsidR="00725028" w:rsidRPr="00226044" w:rsidRDefault="00725028" w:rsidP="00725028">
            <w:pPr>
              <w:spacing w:after="0" w:line="240" w:lineRule="auto"/>
              <w:jc w:val="right"/>
              <w:rPr>
                <w:rFonts w:ascii="Calibri" w:eastAsia="Times New Roman" w:hAnsi="Calibri" w:cs="Calibri"/>
                <w:color w:val="000000"/>
                <w:szCs w:val="32"/>
                <w:lang w:val="cs-CZ" w:eastAsia="cs-CZ"/>
              </w:rPr>
            </w:pPr>
            <w:r w:rsidRPr="00226044">
              <w:rPr>
                <w:rFonts w:ascii="Calibri" w:eastAsia="Times New Roman" w:hAnsi="Calibri" w:cs="Calibri"/>
                <w:color w:val="000000"/>
                <w:szCs w:val="32"/>
                <w:lang w:val="cs-CZ" w:eastAsia="cs-CZ"/>
              </w:rPr>
              <w:t>9472,41</w:t>
            </w:r>
          </w:p>
        </w:tc>
      </w:tr>
    </w:tbl>
    <w:p w14:paraId="36B5CBDD" w14:textId="77777777" w:rsidR="00885201" w:rsidRPr="00226044" w:rsidRDefault="00885201" w:rsidP="00605759"/>
    <w:p w14:paraId="2E8019A6" w14:textId="1F5B80D7" w:rsidR="0035048C" w:rsidRPr="00226044" w:rsidRDefault="10E4A0C4" w:rsidP="0A2107C3">
      <w:pPr>
        <w:rPr>
          <w:rFonts w:ascii="Calibri" w:eastAsia="Calibri" w:hAnsi="Calibri" w:cs="Calibri"/>
        </w:rPr>
      </w:pPr>
      <w:r w:rsidRPr="00226044">
        <w:rPr>
          <w:rFonts w:ascii="Calibri" w:eastAsia="Calibri" w:hAnsi="Calibri" w:cs="Calibri"/>
          <w:color w:val="000000" w:themeColor="text1"/>
        </w:rPr>
        <w:t xml:space="preserve">The total amount of calculated allocation 9 472 410 000 was lowered on EC and MPO-DU request by 5% to </w:t>
      </w:r>
      <w:r w:rsidRPr="00226044">
        <w:rPr>
          <w:rFonts w:ascii="Calibri" w:eastAsia="Calibri" w:hAnsi="Calibri" w:cs="Calibri"/>
          <w:b/>
          <w:bCs/>
          <w:color w:val="000000" w:themeColor="text1"/>
        </w:rPr>
        <w:t>9 356 589 500 CZK,</w:t>
      </w:r>
      <w:r w:rsidRPr="00226044">
        <w:rPr>
          <w:rFonts w:ascii="Calibri" w:eastAsia="Calibri" w:hAnsi="Calibri" w:cs="Calibri"/>
          <w:color w:val="000000" w:themeColor="text1"/>
        </w:rPr>
        <w:t xml:space="preserve"> due to EUR exchange rate changes, as RRF allocation is calculated in EUR.</w:t>
      </w:r>
    </w:p>
    <w:p w14:paraId="6B7597B9" w14:textId="317E3008" w:rsidR="0035048C" w:rsidRPr="00226044" w:rsidRDefault="0035048C" w:rsidP="0A2107C3"/>
    <w:p w14:paraId="194A71A5" w14:textId="7A3E54A8" w:rsidR="00725028" w:rsidRPr="00226044" w:rsidRDefault="00725028" w:rsidP="00605759"/>
    <w:tbl>
      <w:tblPr>
        <w:tblStyle w:val="Mkatabulky"/>
        <w:tblW w:w="0" w:type="auto"/>
        <w:tblLook w:val="04A0" w:firstRow="1" w:lastRow="0" w:firstColumn="1" w:lastColumn="0" w:noHBand="0" w:noVBand="1"/>
      </w:tblPr>
      <w:tblGrid>
        <w:gridCol w:w="3227"/>
        <w:gridCol w:w="5939"/>
      </w:tblGrid>
      <w:tr w:rsidR="00885201" w:rsidRPr="00226044" w14:paraId="4B143575" w14:textId="77777777" w:rsidTr="00B63C77">
        <w:tc>
          <w:tcPr>
            <w:tcW w:w="9166" w:type="dxa"/>
            <w:gridSpan w:val="2"/>
            <w:shd w:val="clear" w:color="auto" w:fill="1F3864"/>
          </w:tcPr>
          <w:p w14:paraId="28AE8AEC" w14:textId="77777777" w:rsidR="00885201" w:rsidRPr="00226044" w:rsidRDefault="002C7E0F" w:rsidP="00B63C77">
            <w:pPr>
              <w:jc w:val="center"/>
              <w:rPr>
                <w:rFonts w:ascii="Times New Roman" w:eastAsia="Calibri" w:hAnsi="Times New Roman" w:cs="Times New Roman"/>
                <w:b/>
                <w:bCs/>
                <w:noProof/>
                <w:sz w:val="24"/>
                <w:szCs w:val="24"/>
                <w:u w:val="single"/>
                <w:lang w:val="en-IE"/>
              </w:rPr>
            </w:pPr>
            <w:r w:rsidRPr="00226044">
              <w:rPr>
                <w:rFonts w:ascii="Times New Roman" w:eastAsia="Calibri" w:hAnsi="Times New Roman" w:cs="Times New Roman"/>
                <w:b/>
                <w:bCs/>
                <w:noProof/>
                <w:sz w:val="20"/>
                <w:szCs w:val="20"/>
                <w:lang w:val="en-US"/>
              </w:rPr>
              <w:lastRenderedPageBreak/>
              <w:t>Component 3.2: ADAPTATION OF SCHOOL PROGRAMMES</w:t>
            </w:r>
          </w:p>
        </w:tc>
      </w:tr>
      <w:tr w:rsidR="00885201" w:rsidRPr="00226044" w14:paraId="3607D1BD" w14:textId="77777777" w:rsidTr="00B63C77">
        <w:tc>
          <w:tcPr>
            <w:tcW w:w="3227" w:type="dxa"/>
            <w:shd w:val="clear" w:color="auto" w:fill="00B0F0"/>
          </w:tcPr>
          <w:p w14:paraId="6153AC68" w14:textId="77777777" w:rsidR="00885201" w:rsidRPr="00226044" w:rsidRDefault="00885201" w:rsidP="00B63C77">
            <w:pPr>
              <w:jc w:val="both"/>
              <w:rPr>
                <w:rFonts w:ascii="Times New Roman" w:eastAsia="Calibri" w:hAnsi="Times New Roman" w:cs="Times New Roman"/>
                <w:b/>
                <w:bCs/>
                <w:noProof/>
                <w:color w:val="FFFFFF"/>
                <w:sz w:val="24"/>
                <w:szCs w:val="24"/>
                <w:u w:val="single"/>
                <w:lang w:val="en-IE"/>
              </w:rPr>
            </w:pPr>
            <w:r w:rsidRPr="00226044">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20A08FE" w14:textId="77777777" w:rsidR="00885201" w:rsidRPr="00226044" w:rsidRDefault="00487553" w:rsidP="00B63C77">
            <w:pPr>
              <w:jc w:val="both"/>
              <w:rPr>
                <w:rFonts w:ascii="Times New Roman" w:eastAsia="Calibri" w:hAnsi="Times New Roman" w:cs="Times New Roman"/>
                <w:b/>
                <w:bCs/>
                <w:noProof/>
                <w:color w:val="FFFFFF"/>
                <w:sz w:val="24"/>
                <w:szCs w:val="24"/>
                <w:u w:val="single"/>
                <w:lang w:val="en-IE"/>
              </w:rPr>
            </w:pPr>
            <w:r w:rsidRPr="00226044">
              <w:rPr>
                <w:rFonts w:ascii="Times New Roman" w:eastAsia="Calibri" w:hAnsi="Times New Roman" w:cs="Times New Roman"/>
                <w:b/>
                <w:bCs/>
                <w:noProof/>
                <w:color w:val="FFFFFF"/>
                <w:sz w:val="24"/>
                <w:szCs w:val="24"/>
                <w:u w:val="single"/>
                <w:lang w:val="en-IE"/>
              </w:rPr>
              <w:t>Investment 2</w:t>
            </w:r>
          </w:p>
        </w:tc>
      </w:tr>
      <w:tr w:rsidR="00885201" w:rsidRPr="00226044" w14:paraId="79E46D26" w14:textId="77777777" w:rsidTr="00B63C77">
        <w:tc>
          <w:tcPr>
            <w:tcW w:w="3227" w:type="dxa"/>
            <w:shd w:val="clear" w:color="auto" w:fill="00B0F0"/>
          </w:tcPr>
          <w:p w14:paraId="650614DA" w14:textId="77777777" w:rsidR="00885201" w:rsidRPr="00226044" w:rsidRDefault="00885201" w:rsidP="00B63C77">
            <w:pPr>
              <w:jc w:val="both"/>
              <w:rPr>
                <w:rFonts w:ascii="Times New Roman" w:eastAsia="Calibri" w:hAnsi="Times New Roman" w:cs="Times New Roman"/>
                <w:b/>
                <w:bCs/>
                <w:noProof/>
                <w:color w:val="FFFFFF"/>
                <w:sz w:val="24"/>
                <w:szCs w:val="24"/>
                <w:u w:val="single"/>
                <w:lang w:val="en-IE"/>
              </w:rPr>
            </w:pPr>
            <w:r w:rsidRPr="00226044">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355ADD31" w14:textId="77777777" w:rsidR="00885201" w:rsidRPr="00226044" w:rsidRDefault="00487553" w:rsidP="00B63C77">
            <w:pPr>
              <w:jc w:val="both"/>
              <w:rPr>
                <w:rFonts w:ascii="Times New Roman" w:eastAsia="Calibri" w:hAnsi="Times New Roman" w:cs="Times New Roman"/>
                <w:b/>
                <w:bCs/>
                <w:noProof/>
                <w:color w:val="FFFFFF"/>
                <w:sz w:val="24"/>
                <w:szCs w:val="24"/>
                <w:u w:val="single"/>
                <w:lang w:val="en-IE"/>
              </w:rPr>
            </w:pPr>
            <w:r w:rsidRPr="00226044">
              <w:rPr>
                <w:rFonts w:ascii="Times New Roman" w:eastAsia="Calibri" w:hAnsi="Times New Roman" w:cs="Times New Roman"/>
                <w:b/>
                <w:bCs/>
                <w:noProof/>
                <w:color w:val="FFFFFF"/>
                <w:sz w:val="24"/>
                <w:szCs w:val="24"/>
                <w:u w:val="single"/>
                <w:lang w:val="en-IE"/>
              </w:rPr>
              <w:t>Tutoring of pupils</w:t>
            </w:r>
          </w:p>
        </w:tc>
      </w:tr>
      <w:tr w:rsidR="00885201" w:rsidRPr="00226044" w14:paraId="2AFD1C0C" w14:textId="77777777" w:rsidTr="00B63C77">
        <w:tc>
          <w:tcPr>
            <w:tcW w:w="3227" w:type="dxa"/>
            <w:shd w:val="clear" w:color="auto" w:fill="BDD6EE"/>
          </w:tcPr>
          <w:p w14:paraId="4B3C4E87" w14:textId="77777777" w:rsidR="00885201" w:rsidRPr="00226044" w:rsidRDefault="00885201" w:rsidP="00B63C77">
            <w:pPr>
              <w:rPr>
                <w:rFonts w:ascii="Times New Roman" w:eastAsia="Calibri" w:hAnsi="Times New Roman" w:cs="Times New Roman"/>
                <w:b/>
                <w:bCs/>
                <w:noProof/>
                <w:sz w:val="20"/>
                <w:szCs w:val="20"/>
                <w:lang w:val="en-US"/>
              </w:rPr>
            </w:pPr>
            <w:r w:rsidRPr="00226044">
              <w:rPr>
                <w:rFonts w:ascii="Times New Roman" w:eastAsia="Calibri" w:hAnsi="Times New Roman" w:cs="Times New Roman"/>
                <w:b/>
                <w:bCs/>
                <w:noProof/>
                <w:sz w:val="20"/>
                <w:szCs w:val="20"/>
                <w:lang w:val="en-US"/>
              </w:rPr>
              <w:t>Type of change compared to CID</w:t>
            </w:r>
          </w:p>
        </w:tc>
        <w:tc>
          <w:tcPr>
            <w:tcW w:w="5939" w:type="dxa"/>
          </w:tcPr>
          <w:p w14:paraId="639D7778" w14:textId="77777777" w:rsidR="00885201" w:rsidRPr="00226044" w:rsidRDefault="00885201" w:rsidP="00B63C77">
            <w:pPr>
              <w:jc w:val="both"/>
              <w:rPr>
                <w:rFonts w:ascii="Times New Roman" w:eastAsia="Calibri" w:hAnsi="Times New Roman" w:cs="Times New Roman"/>
                <w:b/>
                <w:bCs/>
                <w:noProof/>
                <w:sz w:val="24"/>
                <w:szCs w:val="24"/>
                <w:u w:val="single"/>
                <w:lang w:val="en-IE"/>
              </w:rPr>
            </w:pPr>
            <w:r w:rsidRPr="00226044">
              <w:rPr>
                <w:rFonts w:ascii="Times New Roman" w:eastAsia="Calibri" w:hAnsi="Times New Roman" w:cs="Times New Roman"/>
                <w:noProof/>
                <w:sz w:val="20"/>
                <w:szCs w:val="20"/>
                <w:lang w:val="en-US"/>
              </w:rPr>
              <w:t>[modified]</w:t>
            </w:r>
          </w:p>
        </w:tc>
      </w:tr>
      <w:tr w:rsidR="00885201" w:rsidRPr="00226044" w14:paraId="628DF06F" w14:textId="77777777" w:rsidTr="00B63C77">
        <w:tc>
          <w:tcPr>
            <w:tcW w:w="3227" w:type="dxa"/>
            <w:shd w:val="clear" w:color="auto" w:fill="BDD6EE"/>
          </w:tcPr>
          <w:p w14:paraId="4B29CFF3" w14:textId="77777777" w:rsidR="00885201" w:rsidRPr="00226044" w:rsidRDefault="00885201" w:rsidP="00B63C77">
            <w:pPr>
              <w:jc w:val="both"/>
              <w:rPr>
                <w:rFonts w:ascii="Times New Roman" w:eastAsia="Calibri" w:hAnsi="Times New Roman" w:cs="Times New Roman"/>
                <w:b/>
                <w:bCs/>
                <w:noProof/>
                <w:sz w:val="24"/>
                <w:szCs w:val="24"/>
                <w:u w:val="single"/>
                <w:lang w:val="en-IE"/>
              </w:rPr>
            </w:pPr>
            <w:r w:rsidRPr="00226044">
              <w:rPr>
                <w:rFonts w:ascii="Times New Roman" w:eastAsia="Calibri" w:hAnsi="Times New Roman" w:cs="Times New Roman"/>
                <w:b/>
                <w:bCs/>
                <w:noProof/>
                <w:sz w:val="20"/>
                <w:szCs w:val="20"/>
                <w:lang w:val="en-US"/>
              </w:rPr>
              <w:t>Legal base of the change (select at least one)</w:t>
            </w:r>
          </w:p>
        </w:tc>
        <w:tc>
          <w:tcPr>
            <w:tcW w:w="5939" w:type="dxa"/>
          </w:tcPr>
          <w:p w14:paraId="1E1B8415" w14:textId="77777777" w:rsidR="00885201" w:rsidRPr="00226044" w:rsidRDefault="00235E69" w:rsidP="00B63C7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11656252"/>
                <w14:checkbox>
                  <w14:checked w14:val="0"/>
                  <w14:checkedState w14:val="2612" w14:font="MS Gothic"/>
                  <w14:uncheckedState w14:val="2610" w14:font="MS Gothic"/>
                </w14:checkbox>
              </w:sdtPr>
              <w:sdtEndPr/>
              <w:sdtContent>
                <w:r w:rsidR="00885201" w:rsidRPr="00226044">
                  <w:rPr>
                    <w:rFonts w:ascii="Segoe UI Symbol" w:eastAsia="Calibri" w:hAnsi="Segoe UI Symbol" w:cs="Segoe UI Symbol"/>
                    <w:noProof/>
                    <w:color w:val="2B579A"/>
                    <w:sz w:val="20"/>
                    <w:szCs w:val="20"/>
                    <w:shd w:val="clear" w:color="auto" w:fill="E6E6E6"/>
                    <w:lang w:val="en-US"/>
                  </w:rPr>
                  <w:t>☐</w:t>
                </w:r>
              </w:sdtContent>
            </w:sdt>
            <w:r w:rsidR="00885201" w:rsidRPr="00226044">
              <w:rPr>
                <w:rFonts w:ascii="Times New Roman" w:eastAsia="Calibri" w:hAnsi="Times New Roman" w:cs="Times New Roman"/>
                <w:noProof/>
                <w:sz w:val="20"/>
                <w:szCs w:val="20"/>
                <w:lang w:val="en-US"/>
              </w:rPr>
              <w:t xml:space="preserve"> Article 14(2) – loan request</w:t>
            </w:r>
          </w:p>
          <w:p w14:paraId="20A6D533" w14:textId="77777777" w:rsidR="00885201" w:rsidRPr="00226044" w:rsidRDefault="00235E69" w:rsidP="00B63C7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18367924"/>
                <w14:checkbox>
                  <w14:checked w14:val="0"/>
                  <w14:checkedState w14:val="2612" w14:font="MS Gothic"/>
                  <w14:uncheckedState w14:val="2610" w14:font="MS Gothic"/>
                </w14:checkbox>
              </w:sdtPr>
              <w:sdtEndPr/>
              <w:sdtContent>
                <w:r w:rsidR="00885201" w:rsidRPr="00226044">
                  <w:rPr>
                    <w:rFonts w:ascii="Segoe UI Symbol" w:eastAsia="Calibri" w:hAnsi="Segoe UI Symbol" w:cs="Segoe UI Symbol"/>
                    <w:noProof/>
                    <w:color w:val="2B579A"/>
                    <w:sz w:val="20"/>
                    <w:szCs w:val="20"/>
                    <w:shd w:val="clear" w:color="auto" w:fill="E6E6E6"/>
                    <w:lang w:val="en-US"/>
                  </w:rPr>
                  <w:t>☐</w:t>
                </w:r>
              </w:sdtContent>
            </w:sdt>
            <w:r w:rsidR="00885201" w:rsidRPr="00226044">
              <w:rPr>
                <w:rFonts w:ascii="Times New Roman" w:eastAsia="Calibri" w:hAnsi="Times New Roman" w:cs="Times New Roman"/>
                <w:noProof/>
                <w:sz w:val="20"/>
                <w:szCs w:val="20"/>
                <w:lang w:val="en-US"/>
              </w:rPr>
              <w:t xml:space="preserve"> Article 18(2) – update of the maximum financial contribution</w:t>
            </w:r>
          </w:p>
          <w:p w14:paraId="3B4DC884" w14:textId="77777777" w:rsidR="00885201" w:rsidRPr="00226044" w:rsidRDefault="00235E69" w:rsidP="00B63C77">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55839188"/>
                <w:placeholder>
                  <w:docPart w:val="87D0573F3713465DAE2E4D5EF1F9FAA6"/>
                </w:placeholder>
                <w14:checkbox>
                  <w14:checked w14:val="1"/>
                  <w14:checkedState w14:val="2612" w14:font="MS Gothic"/>
                  <w14:uncheckedState w14:val="2610" w14:font="MS Gothic"/>
                </w14:checkbox>
              </w:sdtPr>
              <w:sdtEndPr/>
              <w:sdtContent>
                <w:r w:rsidR="00700EFA" w:rsidRPr="00226044">
                  <w:rPr>
                    <w:rFonts w:ascii="MS Gothic" w:eastAsia="MS Gothic" w:hAnsi="MS Gothic" w:cs="Times New Roman" w:hint="eastAsia"/>
                    <w:noProof/>
                    <w:color w:val="2B579A"/>
                    <w:sz w:val="20"/>
                    <w:szCs w:val="20"/>
                    <w:shd w:val="clear" w:color="auto" w:fill="E6E6E6"/>
                    <w:lang w:val="en-US"/>
                  </w:rPr>
                  <w:t>☒</w:t>
                </w:r>
              </w:sdtContent>
            </w:sdt>
            <w:r w:rsidR="00885201" w:rsidRPr="00226044">
              <w:rPr>
                <w:rFonts w:ascii="Times New Roman" w:eastAsia="Calibri" w:hAnsi="Times New Roman" w:cs="Times New Roman"/>
                <w:noProof/>
                <w:sz w:val="20"/>
                <w:szCs w:val="20"/>
                <w:lang w:val="en-US"/>
              </w:rPr>
              <w:t xml:space="preserve"> Article 21 – amendment due to objective circumstances</w:t>
            </w:r>
          </w:p>
          <w:p w14:paraId="32123244" w14:textId="77777777" w:rsidR="00885201" w:rsidRPr="00226044" w:rsidRDefault="00235E69" w:rsidP="00B63C77">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973058599"/>
                <w:placeholder>
                  <w:docPart w:val="87D0573F3713465DAE2E4D5EF1F9FAA6"/>
                </w:placeholder>
                <w14:checkbox>
                  <w14:checked w14:val="0"/>
                  <w14:checkedState w14:val="2612" w14:font="MS Gothic"/>
                  <w14:uncheckedState w14:val="2610" w14:font="MS Gothic"/>
                </w14:checkbox>
              </w:sdtPr>
              <w:sdtEndPr/>
              <w:sdtContent>
                <w:r w:rsidR="00885201" w:rsidRPr="00226044">
                  <w:rPr>
                    <w:rFonts w:ascii="Segoe UI Symbol" w:eastAsia="Calibri" w:hAnsi="Segoe UI Symbol" w:cs="Segoe UI Symbol"/>
                    <w:noProof/>
                    <w:color w:val="2B579A"/>
                    <w:sz w:val="20"/>
                    <w:szCs w:val="20"/>
                    <w:shd w:val="clear" w:color="auto" w:fill="E6E6E6"/>
                    <w:lang w:val="fr-BE"/>
                  </w:rPr>
                  <w:t>☐</w:t>
                </w:r>
              </w:sdtContent>
            </w:sdt>
            <w:r w:rsidR="00885201" w:rsidRPr="00226044">
              <w:rPr>
                <w:rFonts w:ascii="Times New Roman" w:eastAsia="Calibri" w:hAnsi="Times New Roman" w:cs="Times New Roman"/>
                <w:noProof/>
                <w:sz w:val="20"/>
                <w:szCs w:val="20"/>
                <w:lang w:val="fr-BE"/>
              </w:rPr>
              <w:t xml:space="preserve"> Article 21a – REPowerEU non-repayable financial support (ETS revenue)</w:t>
            </w:r>
          </w:p>
          <w:p w14:paraId="7F1F2B06" w14:textId="77777777" w:rsidR="00885201" w:rsidRPr="00226044" w:rsidRDefault="00235E69" w:rsidP="00B63C77">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057466639"/>
                <w:placeholder>
                  <w:docPart w:val="87D0573F3713465DAE2E4D5EF1F9FAA6"/>
                </w:placeholder>
                <w14:checkbox>
                  <w14:checked w14:val="0"/>
                  <w14:checkedState w14:val="2612" w14:font="MS Gothic"/>
                  <w14:uncheckedState w14:val="2610" w14:font="MS Gothic"/>
                </w14:checkbox>
              </w:sdtPr>
              <w:sdtEndPr/>
              <w:sdtContent>
                <w:r w:rsidR="00267D55" w:rsidRPr="00226044">
                  <w:rPr>
                    <w:rFonts w:ascii="MS Gothic" w:eastAsia="MS Gothic" w:hAnsi="MS Gothic" w:cs="Times New Roman" w:hint="eastAsia"/>
                    <w:noProof/>
                    <w:color w:val="2B579A"/>
                    <w:sz w:val="20"/>
                    <w:szCs w:val="20"/>
                    <w:shd w:val="clear" w:color="auto" w:fill="E6E6E6"/>
                    <w:lang w:val="en-IE"/>
                  </w:rPr>
                  <w:t>☐</w:t>
                </w:r>
              </w:sdtContent>
            </w:sdt>
            <w:r w:rsidR="00885201" w:rsidRPr="00226044">
              <w:rPr>
                <w:rFonts w:ascii="Times New Roman" w:eastAsia="Calibri" w:hAnsi="Times New Roman" w:cs="Times New Roman"/>
                <w:noProof/>
                <w:sz w:val="20"/>
                <w:szCs w:val="20"/>
                <w:lang w:val="en-IE"/>
              </w:rPr>
              <w:t xml:space="preserve"> Article 21b (2) – BAR transfers</w:t>
            </w:r>
          </w:p>
          <w:p w14:paraId="69C27A97" w14:textId="77777777" w:rsidR="00885201" w:rsidRPr="00226044" w:rsidRDefault="00235E69" w:rsidP="00B63C77">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IE"/>
                </w:rPr>
                <w:id w:val="-1338924420"/>
                <w:placeholder>
                  <w:docPart w:val="D5316DC1476C4905B970FFE1DE688C58"/>
                </w:placeholder>
                <w14:checkbox>
                  <w14:checked w14:val="1"/>
                  <w14:checkedState w14:val="2612" w14:font="MS Gothic"/>
                  <w14:uncheckedState w14:val="2610" w14:font="MS Gothic"/>
                </w14:checkbox>
              </w:sdtPr>
              <w:sdtEndPr/>
              <w:sdtContent>
                <w:r w:rsidR="00267D55" w:rsidRPr="00226044">
                  <w:rPr>
                    <w:rFonts w:ascii="MS Gothic" w:eastAsia="MS Gothic" w:hAnsi="MS Gothic" w:cs="Times New Roman" w:hint="eastAsia"/>
                    <w:noProof/>
                    <w:color w:val="2B579A"/>
                    <w:sz w:val="20"/>
                    <w:szCs w:val="20"/>
                    <w:shd w:val="clear" w:color="auto" w:fill="E6E6E6"/>
                    <w:lang w:val="en-IE"/>
                  </w:rPr>
                  <w:t>☒</w:t>
                </w:r>
              </w:sdtContent>
            </w:sdt>
            <w:r w:rsidR="00267D55" w:rsidRPr="00226044">
              <w:rPr>
                <w:rFonts w:ascii="Times New Roman" w:eastAsia="Calibri" w:hAnsi="Times New Roman" w:cs="Times New Roman"/>
                <w:noProof/>
                <w:sz w:val="20"/>
                <w:szCs w:val="20"/>
                <w:lang w:val="en-US"/>
              </w:rPr>
              <w:t xml:space="preserve"> </w:t>
            </w:r>
            <w:r w:rsidR="00885201" w:rsidRPr="00226044">
              <w:rPr>
                <w:rFonts w:ascii="Times New Roman" w:eastAsia="Calibri" w:hAnsi="Times New Roman" w:cs="Times New Roman"/>
                <w:noProof/>
                <w:sz w:val="20"/>
                <w:szCs w:val="20"/>
                <w:lang w:val="en-US"/>
              </w:rPr>
              <w:t>None of the above, correction of clerical error</w:t>
            </w:r>
          </w:p>
          <w:p w14:paraId="64E5E4F8" w14:textId="77777777" w:rsidR="00885201" w:rsidRPr="00226044" w:rsidRDefault="00885201" w:rsidP="00B63C77">
            <w:pPr>
              <w:jc w:val="both"/>
              <w:rPr>
                <w:rFonts w:ascii="Times New Roman" w:eastAsia="Calibri" w:hAnsi="Times New Roman" w:cs="Times New Roman"/>
                <w:noProof/>
                <w:sz w:val="20"/>
                <w:szCs w:val="20"/>
                <w:lang w:val="en-IE"/>
              </w:rPr>
            </w:pPr>
          </w:p>
        </w:tc>
      </w:tr>
      <w:tr w:rsidR="00885201" w:rsidRPr="00226044" w14:paraId="2E10CBEC" w14:textId="77777777" w:rsidTr="00B63C77">
        <w:tc>
          <w:tcPr>
            <w:tcW w:w="3227" w:type="dxa"/>
            <w:shd w:val="clear" w:color="auto" w:fill="BDD6EE"/>
          </w:tcPr>
          <w:p w14:paraId="7A4DB334" w14:textId="77777777" w:rsidR="00885201" w:rsidRPr="00226044" w:rsidRDefault="00885201" w:rsidP="00B63C77">
            <w:pPr>
              <w:rPr>
                <w:rFonts w:ascii="Times New Roman" w:eastAsia="Calibri" w:hAnsi="Times New Roman" w:cs="Times New Roman"/>
                <w:b/>
                <w:bCs/>
                <w:noProof/>
                <w:sz w:val="20"/>
                <w:szCs w:val="20"/>
                <w:lang w:val="en-US"/>
              </w:rPr>
            </w:pPr>
            <w:r w:rsidRPr="00226044">
              <w:rPr>
                <w:rFonts w:ascii="Times New Roman" w:eastAsia="Calibri" w:hAnsi="Times New Roman" w:cs="Times New Roman"/>
                <w:b/>
                <w:bCs/>
                <w:noProof/>
                <w:sz w:val="20"/>
                <w:szCs w:val="20"/>
                <w:lang w:val="en-US"/>
              </w:rPr>
              <w:t>Elements modified (only for modified measures)</w:t>
            </w:r>
          </w:p>
          <w:p w14:paraId="11E0CCC7" w14:textId="77777777" w:rsidR="00885201" w:rsidRPr="00226044" w:rsidRDefault="00885201" w:rsidP="00B63C77">
            <w:pPr>
              <w:jc w:val="both"/>
              <w:rPr>
                <w:rFonts w:ascii="Times New Roman" w:eastAsia="Calibri" w:hAnsi="Times New Roman" w:cs="Times New Roman"/>
                <w:b/>
                <w:bCs/>
                <w:noProof/>
                <w:sz w:val="24"/>
                <w:szCs w:val="24"/>
                <w:u w:val="single"/>
                <w:lang w:val="en-IE"/>
              </w:rPr>
            </w:pPr>
          </w:p>
        </w:tc>
        <w:tc>
          <w:tcPr>
            <w:tcW w:w="5939" w:type="dxa"/>
          </w:tcPr>
          <w:p w14:paraId="781C9D92" w14:textId="77777777" w:rsidR="00885201" w:rsidRPr="00226044" w:rsidRDefault="00235E69" w:rsidP="00B63C7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93829477"/>
                <w14:checkbox>
                  <w14:checked w14:val="1"/>
                  <w14:checkedState w14:val="2612" w14:font="MS Gothic"/>
                  <w14:uncheckedState w14:val="2610" w14:font="MS Gothic"/>
                </w14:checkbox>
              </w:sdtPr>
              <w:sdtEndPr/>
              <w:sdtContent>
                <w:r w:rsidR="00700EFA" w:rsidRPr="00226044">
                  <w:rPr>
                    <w:rFonts w:ascii="MS Gothic" w:eastAsia="MS Gothic" w:hAnsi="MS Gothic" w:cs="Times New Roman" w:hint="eastAsia"/>
                    <w:noProof/>
                    <w:color w:val="2B579A"/>
                    <w:sz w:val="20"/>
                    <w:szCs w:val="20"/>
                    <w:shd w:val="clear" w:color="auto" w:fill="E6E6E6"/>
                    <w:lang w:val="en-US"/>
                  </w:rPr>
                  <w:t>☒</w:t>
                </w:r>
              </w:sdtContent>
            </w:sdt>
            <w:r w:rsidR="00885201" w:rsidRPr="00226044">
              <w:rPr>
                <w:rFonts w:ascii="Times New Roman" w:eastAsia="Calibri" w:hAnsi="Times New Roman" w:cs="Times New Roman"/>
                <w:noProof/>
                <w:sz w:val="20"/>
                <w:szCs w:val="20"/>
                <w:lang w:val="en-US"/>
              </w:rPr>
              <w:t xml:space="preserve"> Component / Measure description</w:t>
            </w:r>
          </w:p>
          <w:p w14:paraId="7CD5DB7A" w14:textId="77777777" w:rsidR="00885201" w:rsidRPr="00226044" w:rsidRDefault="00235E69" w:rsidP="00B63C7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67150072"/>
                <w:placeholder>
                  <w:docPart w:val="87D0573F3713465DAE2E4D5EF1F9FAA6"/>
                </w:placeholder>
                <w14:checkbox>
                  <w14:checked w14:val="1"/>
                  <w14:checkedState w14:val="2612" w14:font="MS Gothic"/>
                  <w14:uncheckedState w14:val="2610" w14:font="MS Gothic"/>
                </w14:checkbox>
              </w:sdtPr>
              <w:sdtEndPr/>
              <w:sdtContent>
                <w:r w:rsidR="00700EFA" w:rsidRPr="00226044">
                  <w:rPr>
                    <w:rFonts w:ascii="MS Gothic" w:eastAsia="MS Gothic" w:hAnsi="MS Gothic" w:cs="Times New Roman" w:hint="eastAsia"/>
                    <w:noProof/>
                    <w:color w:val="2B579A"/>
                    <w:sz w:val="20"/>
                    <w:szCs w:val="20"/>
                    <w:shd w:val="clear" w:color="auto" w:fill="E6E6E6"/>
                    <w:lang w:val="en-US"/>
                  </w:rPr>
                  <w:t>☒</w:t>
                </w:r>
              </w:sdtContent>
            </w:sdt>
            <w:r w:rsidR="00885201" w:rsidRPr="00226044">
              <w:rPr>
                <w:rFonts w:ascii="Times New Roman" w:eastAsia="Calibri" w:hAnsi="Times New Roman" w:cs="Times New Roman"/>
                <w:noProof/>
                <w:sz w:val="20"/>
                <w:szCs w:val="20"/>
                <w:lang w:val="en-US"/>
              </w:rPr>
              <w:t>Milestones and targets</w:t>
            </w:r>
          </w:p>
          <w:p w14:paraId="3351D7D3" w14:textId="77777777" w:rsidR="00885201" w:rsidRPr="00226044" w:rsidRDefault="00235E69" w:rsidP="00B63C7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5613236"/>
                <w14:checkbox>
                  <w14:checked w14:val="0"/>
                  <w14:checkedState w14:val="2612" w14:font="MS Gothic"/>
                  <w14:uncheckedState w14:val="2610" w14:font="MS Gothic"/>
                </w14:checkbox>
              </w:sdtPr>
              <w:sdtEndPr/>
              <w:sdtContent>
                <w:r w:rsidR="00885201" w:rsidRPr="00226044">
                  <w:rPr>
                    <w:rFonts w:ascii="Segoe UI Symbol" w:eastAsia="Calibri" w:hAnsi="Segoe UI Symbol" w:cs="Segoe UI Symbol"/>
                    <w:noProof/>
                    <w:color w:val="2B579A"/>
                    <w:sz w:val="20"/>
                    <w:szCs w:val="20"/>
                    <w:shd w:val="clear" w:color="auto" w:fill="E6E6E6"/>
                    <w:lang w:val="en-US"/>
                  </w:rPr>
                  <w:t>☐</w:t>
                </w:r>
              </w:sdtContent>
            </w:sdt>
            <w:r w:rsidR="00885201" w:rsidRPr="00226044">
              <w:rPr>
                <w:rFonts w:ascii="Times New Roman" w:eastAsia="Calibri" w:hAnsi="Times New Roman" w:cs="Times New Roman"/>
                <w:noProof/>
                <w:sz w:val="20"/>
                <w:szCs w:val="20"/>
                <w:lang w:val="en-US"/>
              </w:rPr>
              <w:t xml:space="preserve"> Estimated cost</w:t>
            </w:r>
          </w:p>
          <w:p w14:paraId="65D180E8" w14:textId="77777777" w:rsidR="00885201" w:rsidRPr="00226044" w:rsidRDefault="00235E69" w:rsidP="00B63C7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32532008"/>
                <w14:checkbox>
                  <w14:checked w14:val="0"/>
                  <w14:checkedState w14:val="2612" w14:font="MS Gothic"/>
                  <w14:uncheckedState w14:val="2610" w14:font="MS Gothic"/>
                </w14:checkbox>
              </w:sdtPr>
              <w:sdtEndPr/>
              <w:sdtContent>
                <w:r w:rsidR="00885201" w:rsidRPr="00226044">
                  <w:rPr>
                    <w:rFonts w:ascii="Segoe UI Symbol" w:eastAsia="Calibri" w:hAnsi="Segoe UI Symbol" w:cs="Segoe UI Symbol"/>
                    <w:noProof/>
                    <w:color w:val="2B579A"/>
                    <w:sz w:val="20"/>
                    <w:szCs w:val="20"/>
                    <w:shd w:val="clear" w:color="auto" w:fill="E6E6E6"/>
                    <w:lang w:val="en-US"/>
                  </w:rPr>
                  <w:t>☐</w:t>
                </w:r>
              </w:sdtContent>
            </w:sdt>
            <w:r w:rsidR="00885201" w:rsidRPr="00226044">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314B3A85" w14:textId="77777777" w:rsidR="00885201" w:rsidRPr="00226044" w:rsidRDefault="00235E69" w:rsidP="00B63C77">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695728318"/>
                <w14:checkbox>
                  <w14:checked w14:val="0"/>
                  <w14:checkedState w14:val="2612" w14:font="MS Gothic"/>
                  <w14:uncheckedState w14:val="2610" w14:font="MS Gothic"/>
                </w14:checkbox>
              </w:sdtPr>
              <w:sdtEndPr/>
              <w:sdtContent>
                <w:r w:rsidR="00885201" w:rsidRPr="00226044">
                  <w:rPr>
                    <w:rFonts w:ascii="Segoe UI Symbol" w:eastAsia="Calibri" w:hAnsi="Segoe UI Symbol" w:cs="Segoe UI Symbol"/>
                    <w:noProof/>
                    <w:color w:val="2B579A"/>
                    <w:sz w:val="20"/>
                    <w:szCs w:val="20"/>
                    <w:shd w:val="clear" w:color="auto" w:fill="E6E6E6"/>
                    <w:lang w:val="en-US"/>
                  </w:rPr>
                  <w:t>☐</w:t>
                </w:r>
              </w:sdtContent>
            </w:sdt>
            <w:r w:rsidR="00885201" w:rsidRPr="00226044">
              <w:rPr>
                <w:rFonts w:ascii="Times New Roman" w:eastAsia="Calibri" w:hAnsi="Times New Roman" w:cs="Times New Roman"/>
                <w:noProof/>
                <w:sz w:val="20"/>
                <w:szCs w:val="20"/>
                <w:lang w:val="en-US"/>
              </w:rPr>
              <w:t xml:space="preserve"> DNSH self-assessment</w:t>
            </w:r>
          </w:p>
        </w:tc>
      </w:tr>
    </w:tbl>
    <w:p w14:paraId="556BDAC6" w14:textId="77777777" w:rsidR="00885201" w:rsidRPr="00226044" w:rsidRDefault="00885201" w:rsidP="00885201"/>
    <w:tbl>
      <w:tblPr>
        <w:tblStyle w:val="Mkatabulky"/>
        <w:tblW w:w="0" w:type="auto"/>
        <w:tblLook w:val="04A0" w:firstRow="1" w:lastRow="0" w:firstColumn="1" w:lastColumn="0" w:noHBand="0" w:noVBand="1"/>
      </w:tblPr>
      <w:tblGrid>
        <w:gridCol w:w="2235"/>
        <w:gridCol w:w="3260"/>
        <w:gridCol w:w="3747"/>
      </w:tblGrid>
      <w:tr w:rsidR="00885201" w:rsidRPr="00226044" w14:paraId="234537DC" w14:textId="77777777" w:rsidTr="0B163A4A">
        <w:tc>
          <w:tcPr>
            <w:tcW w:w="9242" w:type="dxa"/>
            <w:gridSpan w:val="3"/>
            <w:shd w:val="clear" w:color="auto" w:fill="1F3864"/>
          </w:tcPr>
          <w:p w14:paraId="25B4C70E" w14:textId="77777777" w:rsidR="00885201" w:rsidRPr="00226044" w:rsidRDefault="006B1AE1" w:rsidP="00B63C77">
            <w:pPr>
              <w:jc w:val="center"/>
              <w:rPr>
                <w:rFonts w:ascii="Times New Roman" w:eastAsia="Calibri" w:hAnsi="Times New Roman" w:cs="Times New Roman"/>
                <w:b/>
                <w:bCs/>
                <w:noProof/>
                <w:sz w:val="20"/>
                <w:szCs w:val="20"/>
                <w:lang w:val="en-IE"/>
              </w:rPr>
            </w:pPr>
            <w:r w:rsidRPr="00226044">
              <w:rPr>
                <w:rFonts w:ascii="Times New Roman" w:eastAsia="Calibri" w:hAnsi="Times New Roman" w:cs="Times New Roman"/>
                <w:b/>
                <w:bCs/>
                <w:noProof/>
                <w:sz w:val="20"/>
                <w:szCs w:val="20"/>
                <w:lang w:val="en-IE"/>
              </w:rPr>
              <w:t>Investment 2:Tutoring of pupils</w:t>
            </w:r>
            <w:r w:rsidR="00700EFA" w:rsidRPr="00226044">
              <w:rPr>
                <w:rFonts w:ascii="Times New Roman" w:eastAsia="Calibri" w:hAnsi="Times New Roman" w:cs="Times New Roman"/>
                <w:b/>
                <w:bCs/>
                <w:noProof/>
                <w:sz w:val="20"/>
                <w:szCs w:val="20"/>
                <w:lang w:val="en-IE"/>
              </w:rPr>
              <w:t xml:space="preserve"> – Target 183</w:t>
            </w:r>
          </w:p>
        </w:tc>
      </w:tr>
      <w:tr w:rsidR="00885201" w:rsidRPr="00226044" w14:paraId="1675A3D1" w14:textId="77777777" w:rsidTr="0B163A4A">
        <w:tc>
          <w:tcPr>
            <w:tcW w:w="9242" w:type="dxa"/>
            <w:gridSpan w:val="3"/>
            <w:shd w:val="clear" w:color="auto" w:fill="auto"/>
          </w:tcPr>
          <w:p w14:paraId="317CA93F" w14:textId="77777777" w:rsidR="00885201" w:rsidRPr="00226044" w:rsidRDefault="00885201" w:rsidP="00B63C77">
            <w:pPr>
              <w:jc w:val="both"/>
              <w:rPr>
                <w:rFonts w:ascii="Times New Roman" w:eastAsia="Calibri" w:hAnsi="Times New Roman" w:cs="Times New Roman"/>
                <w:i/>
                <w:iCs/>
                <w:noProof/>
                <w:sz w:val="20"/>
                <w:szCs w:val="20"/>
                <w:lang w:val="en-IE"/>
              </w:rPr>
            </w:pPr>
            <w:r w:rsidRPr="00226044">
              <w:rPr>
                <w:rFonts w:ascii="Times New Roman" w:eastAsia="Calibri" w:hAnsi="Times New Roman" w:cs="Times New Roman"/>
                <w:i/>
                <w:iCs/>
                <w:noProof/>
                <w:sz w:val="20"/>
                <w:szCs w:val="20"/>
                <w:lang w:val="en-IE"/>
              </w:rPr>
              <w:t>Description and justification of the change</w:t>
            </w:r>
          </w:p>
        </w:tc>
      </w:tr>
      <w:tr w:rsidR="00885201" w:rsidRPr="00226044" w14:paraId="7676D7E0" w14:textId="77777777" w:rsidTr="0B163A4A">
        <w:tc>
          <w:tcPr>
            <w:tcW w:w="2235" w:type="dxa"/>
            <w:shd w:val="clear" w:color="auto" w:fill="00B0F0"/>
          </w:tcPr>
          <w:p w14:paraId="3A1A38CE" w14:textId="77777777" w:rsidR="00885201" w:rsidRPr="00226044" w:rsidRDefault="00885201" w:rsidP="00B63C77">
            <w:pPr>
              <w:jc w:val="center"/>
              <w:rPr>
                <w:rFonts w:ascii="Times New Roman" w:eastAsia="Calibri" w:hAnsi="Times New Roman" w:cs="Times New Roman"/>
                <w:b/>
                <w:bCs/>
                <w:noProof/>
                <w:color w:val="FFFFFF"/>
                <w:sz w:val="20"/>
                <w:szCs w:val="20"/>
                <w:lang w:val="en-IE"/>
              </w:rPr>
            </w:pPr>
            <w:r w:rsidRPr="00226044">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1B02134D" w14:textId="77777777" w:rsidR="00885201" w:rsidRPr="00226044" w:rsidRDefault="00885201" w:rsidP="00B63C77">
            <w:pPr>
              <w:jc w:val="center"/>
              <w:rPr>
                <w:rFonts w:ascii="Times New Roman" w:eastAsia="Calibri" w:hAnsi="Times New Roman" w:cs="Times New Roman"/>
                <w:b/>
                <w:bCs/>
                <w:noProof/>
                <w:color w:val="FFFFFF"/>
                <w:sz w:val="20"/>
                <w:szCs w:val="20"/>
                <w:lang w:val="en-IE"/>
              </w:rPr>
            </w:pPr>
            <w:r w:rsidRPr="00226044">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39AB29FE" w14:textId="77777777" w:rsidR="00885201" w:rsidRPr="00226044" w:rsidRDefault="00885201" w:rsidP="00B63C77">
            <w:pPr>
              <w:jc w:val="center"/>
              <w:rPr>
                <w:rFonts w:ascii="Times New Roman" w:eastAsia="Calibri" w:hAnsi="Times New Roman" w:cs="Times New Roman"/>
                <w:b/>
                <w:bCs/>
                <w:noProof/>
                <w:color w:val="FFFFFF"/>
                <w:sz w:val="20"/>
                <w:szCs w:val="20"/>
                <w:lang w:val="en-IE"/>
              </w:rPr>
            </w:pPr>
            <w:r w:rsidRPr="00226044">
              <w:rPr>
                <w:rFonts w:ascii="Times New Roman" w:eastAsia="Calibri" w:hAnsi="Times New Roman" w:cs="Times New Roman"/>
                <w:b/>
                <w:bCs/>
                <w:noProof/>
                <w:color w:val="FFFFFF"/>
                <w:sz w:val="20"/>
                <w:szCs w:val="20"/>
                <w:lang w:val="en-IE"/>
              </w:rPr>
              <w:t>Amended version</w:t>
            </w:r>
          </w:p>
        </w:tc>
      </w:tr>
      <w:tr w:rsidR="00885201" w:rsidRPr="00226044" w14:paraId="4490E870" w14:textId="77777777" w:rsidTr="0B163A4A">
        <w:tc>
          <w:tcPr>
            <w:tcW w:w="2235" w:type="dxa"/>
          </w:tcPr>
          <w:p w14:paraId="4844AE13" w14:textId="77777777" w:rsidR="00885201" w:rsidRPr="00226044" w:rsidRDefault="00885201" w:rsidP="00B63C77">
            <w:pPr>
              <w:jc w:val="both"/>
              <w:rPr>
                <w:rFonts w:ascii="Times New Roman" w:eastAsia="Calibri" w:hAnsi="Times New Roman" w:cs="Times New Roman"/>
                <w:b/>
                <w:bCs/>
                <w:i/>
                <w:iCs/>
                <w:noProof/>
                <w:sz w:val="20"/>
                <w:szCs w:val="20"/>
                <w:lang w:val="en-IE"/>
              </w:rPr>
            </w:pPr>
            <w:r w:rsidRPr="00226044">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DD6F8EE" w14:textId="77777777" w:rsidR="00885201" w:rsidRPr="00226044" w:rsidRDefault="00267D55" w:rsidP="00B63C77">
            <w:pPr>
              <w:jc w:val="both"/>
              <w:rPr>
                <w:rFonts w:ascii="Times New Roman" w:eastAsia="Calibri" w:hAnsi="Times New Roman" w:cs="Times New Roman"/>
                <w:noProof/>
                <w:sz w:val="20"/>
                <w:szCs w:val="20"/>
                <w:lang w:val="en-IE"/>
              </w:rPr>
            </w:pPr>
            <w:r w:rsidRPr="00226044">
              <w:rPr>
                <w:rFonts w:eastAsia="Times New Roman"/>
                <w:noProof/>
                <w:szCs w:val="24"/>
                <w:lang w:eastAsia="cs-CZ"/>
              </w:rPr>
              <w:t xml:space="preserve">The investment aims at providing catch-up classes for pupils with a disadvantaged socio-economic background, whose educational outcomes deteriorated due to the prolonged school lockdown. Based on reports by the Czech School Inspection, it is estimated that 500 000 pupils lag behind and need tutoring due to insufficient participation in online learning during the ten-month school lockdown. The investment shall thus prevent further widening of inequalities between pupils and schools driven by social or other disadvantages. The support to pupils at risk of failure shall be temporary, limited to the recovery phase following return of pupils to full-time education. It shall help restore the learning habits and acquire the knowledge prescribed by the curricula in mathematics, the Czech and foreign languages. </w:t>
            </w:r>
          </w:p>
        </w:tc>
        <w:tc>
          <w:tcPr>
            <w:tcW w:w="3747" w:type="dxa"/>
          </w:tcPr>
          <w:p w14:paraId="0B1876C4" w14:textId="77777777" w:rsidR="00885201" w:rsidRPr="00226044" w:rsidRDefault="00267D55" w:rsidP="00B63C77">
            <w:pPr>
              <w:jc w:val="both"/>
              <w:rPr>
                <w:rFonts w:ascii="Times New Roman" w:eastAsia="Calibri" w:hAnsi="Times New Roman" w:cs="Times New Roman"/>
                <w:noProof/>
                <w:sz w:val="20"/>
                <w:szCs w:val="20"/>
                <w:lang w:val="en-IE"/>
              </w:rPr>
            </w:pPr>
            <w:r w:rsidRPr="00226044">
              <w:rPr>
                <w:rFonts w:eastAsia="Times New Roman"/>
                <w:noProof/>
                <w:szCs w:val="24"/>
                <w:lang w:eastAsia="cs-CZ"/>
              </w:rPr>
              <w:t xml:space="preserve">The investment aims at providing catch-up classes for pupils with a disadvantaged socio-economic background, whose educational outcomes deteriorated due to the prolonged school lockdown. Based on reports by the Czech School Inspection, it is estimated that 50 000 pupils lag behind and need tutoring due to insufficient participation in online learning during the ten-month school lockdown. The investment shall thus prevent further widening of inequalities between pupils and schools driven by social or other disadvantages. The support to pupils at risk of failure shall be temporary, limited to the recovery phase following return of pupils to full-time education. It shall help restore the learning habits and acquire the knowledge prescribed by the curricula in mathematics, the Czech and foreign languages. </w:t>
            </w:r>
          </w:p>
        </w:tc>
      </w:tr>
      <w:tr w:rsidR="00885201" w:rsidRPr="00226044" w14:paraId="145055D4" w14:textId="77777777" w:rsidTr="0B163A4A">
        <w:tc>
          <w:tcPr>
            <w:tcW w:w="2235" w:type="dxa"/>
          </w:tcPr>
          <w:p w14:paraId="0631E31D" w14:textId="77777777" w:rsidR="00885201" w:rsidRPr="00226044" w:rsidRDefault="00885201" w:rsidP="00B63C77">
            <w:pPr>
              <w:jc w:val="both"/>
              <w:rPr>
                <w:rFonts w:ascii="Times New Roman" w:eastAsia="Calibri" w:hAnsi="Times New Roman" w:cs="Times New Roman"/>
                <w:b/>
                <w:bCs/>
                <w:i/>
                <w:iCs/>
                <w:noProof/>
                <w:sz w:val="20"/>
                <w:szCs w:val="20"/>
                <w:lang w:val="en-IE"/>
              </w:rPr>
            </w:pPr>
            <w:r w:rsidRPr="00226044">
              <w:rPr>
                <w:rFonts w:ascii="Times New Roman" w:eastAsia="Calibri" w:hAnsi="Times New Roman" w:cs="Times New Roman"/>
                <w:b/>
                <w:bCs/>
                <w:i/>
                <w:iCs/>
                <w:noProof/>
                <w:sz w:val="20"/>
                <w:szCs w:val="20"/>
                <w:lang w:val="en-IE"/>
              </w:rPr>
              <w:t xml:space="preserve">Milestones and targets </w:t>
            </w:r>
          </w:p>
        </w:tc>
        <w:tc>
          <w:tcPr>
            <w:tcW w:w="3260" w:type="dxa"/>
          </w:tcPr>
          <w:p w14:paraId="42E27B85" w14:textId="77777777" w:rsidR="00700EFA" w:rsidRPr="00226044" w:rsidRDefault="00700EFA" w:rsidP="00B63C77">
            <w:pPr>
              <w:jc w:val="both"/>
              <w:rPr>
                <w:rFonts w:ascii="Times New Roman" w:eastAsia="Calibri" w:hAnsi="Times New Roman" w:cs="Times New Roman"/>
                <w:noProof/>
                <w:sz w:val="20"/>
                <w:szCs w:val="20"/>
                <w:lang w:val="en-IE"/>
              </w:rPr>
            </w:pPr>
            <w:r w:rsidRPr="00226044">
              <w:rPr>
                <w:rFonts w:cstheme="minorHAnsi"/>
                <w:sz w:val="20"/>
                <w:szCs w:val="20"/>
                <w:lang w:val="en-IE"/>
              </w:rPr>
              <w:t>Number of pupils who received tutoring</w:t>
            </w:r>
          </w:p>
          <w:p w14:paraId="05A968B3" w14:textId="77777777" w:rsidR="00700EFA" w:rsidRPr="00226044" w:rsidRDefault="00700EFA" w:rsidP="00B63C77">
            <w:pPr>
              <w:jc w:val="both"/>
              <w:rPr>
                <w:rFonts w:ascii="Times New Roman" w:eastAsia="Calibri" w:hAnsi="Times New Roman" w:cs="Times New Roman"/>
                <w:noProof/>
                <w:sz w:val="20"/>
                <w:szCs w:val="20"/>
                <w:lang w:val="en-IE"/>
              </w:rPr>
            </w:pPr>
          </w:p>
          <w:p w14:paraId="4F22442A" w14:textId="77777777" w:rsidR="00267D55" w:rsidRPr="00226044" w:rsidRDefault="00267D55"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US"/>
              </w:rPr>
              <w:t xml:space="preserve">Tutoring shall be provided to at least 500 000 pupils at risk of school failure. Tutoring shall help pupils restore learning habits and acquire the </w:t>
            </w:r>
            <w:r w:rsidRPr="00226044">
              <w:rPr>
                <w:rFonts w:ascii="Times New Roman" w:eastAsia="Calibri" w:hAnsi="Times New Roman" w:cs="Times New Roman"/>
                <w:noProof/>
                <w:sz w:val="20"/>
                <w:szCs w:val="20"/>
                <w:lang w:val="en-US"/>
              </w:rPr>
              <w:lastRenderedPageBreak/>
              <w:t>knowledge prescribed by the curricula in mathematics, the Czech and foreign language</w:t>
            </w:r>
          </w:p>
          <w:p w14:paraId="709DCE61" w14:textId="77777777" w:rsidR="00700EFA" w:rsidRPr="00226044" w:rsidRDefault="00700EFA" w:rsidP="00B63C77">
            <w:pPr>
              <w:jc w:val="both"/>
              <w:rPr>
                <w:rFonts w:ascii="Times New Roman" w:eastAsia="Calibri" w:hAnsi="Times New Roman" w:cs="Times New Roman"/>
                <w:noProof/>
                <w:sz w:val="20"/>
                <w:szCs w:val="20"/>
                <w:lang w:val="en-IE"/>
              </w:rPr>
            </w:pPr>
          </w:p>
          <w:p w14:paraId="7103583F" w14:textId="77777777" w:rsidR="00885201" w:rsidRPr="00226044" w:rsidRDefault="00DA790E"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T183</w:t>
            </w:r>
          </w:p>
          <w:p w14:paraId="285D5037" w14:textId="77777777" w:rsidR="00700EFA" w:rsidRPr="00226044" w:rsidRDefault="00700EFA"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Q4/2023</w:t>
            </w:r>
          </w:p>
        </w:tc>
        <w:tc>
          <w:tcPr>
            <w:tcW w:w="3747" w:type="dxa"/>
          </w:tcPr>
          <w:p w14:paraId="1EDB140A" w14:textId="77777777" w:rsidR="00700EFA" w:rsidRPr="00226044" w:rsidRDefault="00700EFA" w:rsidP="00700EFA">
            <w:pPr>
              <w:jc w:val="both"/>
              <w:rPr>
                <w:rFonts w:ascii="Times New Roman" w:eastAsia="Calibri" w:hAnsi="Times New Roman" w:cs="Times New Roman"/>
                <w:noProof/>
                <w:sz w:val="20"/>
                <w:szCs w:val="20"/>
                <w:lang w:val="en-IE"/>
              </w:rPr>
            </w:pPr>
            <w:r w:rsidRPr="00226044">
              <w:rPr>
                <w:rFonts w:cstheme="minorHAnsi"/>
                <w:sz w:val="20"/>
                <w:szCs w:val="20"/>
                <w:lang w:val="en-IE"/>
              </w:rPr>
              <w:lastRenderedPageBreak/>
              <w:t xml:space="preserve">Number of </w:t>
            </w:r>
            <w:r w:rsidRPr="00226044">
              <w:rPr>
                <w:rFonts w:cstheme="minorHAnsi"/>
                <w:strike/>
                <w:sz w:val="20"/>
                <w:szCs w:val="20"/>
                <w:lang w:val="en-IE"/>
              </w:rPr>
              <w:t>pupils who received tutoring</w:t>
            </w:r>
          </w:p>
          <w:p w14:paraId="559C971A" w14:textId="77777777" w:rsidR="00700EFA" w:rsidRPr="00226044" w:rsidRDefault="00700EFA" w:rsidP="00700EFA">
            <w:pPr>
              <w:jc w:val="both"/>
              <w:rPr>
                <w:sz w:val="20"/>
                <w:szCs w:val="20"/>
                <w:lang w:val="en-IE"/>
              </w:rPr>
            </w:pPr>
            <w:r w:rsidRPr="00226044">
              <w:rPr>
                <w:rFonts w:cstheme="minorHAnsi"/>
                <w:i/>
                <w:iCs/>
                <w:color w:val="2196FF" w:themeColor="text2" w:themeTint="99"/>
                <w:sz w:val="20"/>
                <w:szCs w:val="20"/>
                <w:lang w:val="en-IE"/>
              </w:rPr>
              <w:t>individual enrolments for tutoring courses by pupils at risk of school failure.</w:t>
            </w:r>
            <w:r w:rsidRPr="00226044">
              <w:rPr>
                <w:rFonts w:eastAsia="Calibri"/>
                <w:i/>
                <w:iCs/>
                <w:color w:val="1F497D"/>
                <w:lang w:val="en-IE"/>
              </w:rPr>
              <w:t xml:space="preserve"> </w:t>
            </w:r>
            <w:r w:rsidRPr="00226044">
              <w:rPr>
                <w:rFonts w:eastAsia="Calibri"/>
                <w:sz w:val="20"/>
                <w:szCs w:val="20"/>
                <w:lang w:val="en-IE"/>
              </w:rPr>
              <w:t xml:space="preserve"> </w:t>
            </w:r>
          </w:p>
          <w:p w14:paraId="735DA79E" w14:textId="77777777" w:rsidR="00885201" w:rsidRPr="00226044" w:rsidRDefault="00885201" w:rsidP="00B63C77">
            <w:pPr>
              <w:jc w:val="both"/>
              <w:rPr>
                <w:rFonts w:ascii="Times New Roman" w:eastAsia="Calibri" w:hAnsi="Times New Roman" w:cs="Times New Roman"/>
                <w:noProof/>
                <w:sz w:val="20"/>
                <w:szCs w:val="20"/>
                <w:lang w:val="en-IE"/>
              </w:rPr>
            </w:pPr>
          </w:p>
          <w:p w14:paraId="6AF45D2B" w14:textId="1370E78F" w:rsidR="00267D55" w:rsidRPr="00226044" w:rsidRDefault="00267D55" w:rsidP="00267D55">
            <w:pPr>
              <w:jc w:val="both"/>
              <w:rPr>
                <w:rFonts w:ascii="Times New Roman" w:eastAsia="Calibri" w:hAnsi="Times New Roman" w:cs="Times New Roman"/>
                <w:noProof/>
                <w:sz w:val="20"/>
                <w:szCs w:val="20"/>
                <w:lang w:val="en-US"/>
              </w:rPr>
            </w:pPr>
            <w:r w:rsidRPr="00226044">
              <w:rPr>
                <w:rFonts w:ascii="Times New Roman" w:eastAsia="Calibri" w:hAnsi="Times New Roman" w:cs="Times New Roman"/>
                <w:noProof/>
                <w:sz w:val="20"/>
                <w:szCs w:val="20"/>
                <w:lang w:val="en-US"/>
              </w:rPr>
              <w:t xml:space="preserve">Tutoring shall be provided </w:t>
            </w:r>
            <w:r w:rsidRPr="00226044">
              <w:rPr>
                <w:rFonts w:ascii="Times New Roman" w:eastAsia="Calibri" w:hAnsi="Times New Roman" w:cs="Times New Roman"/>
                <w:strike/>
                <w:noProof/>
                <w:sz w:val="20"/>
                <w:szCs w:val="20"/>
                <w:lang w:val="en-US"/>
              </w:rPr>
              <w:t>to</w:t>
            </w:r>
            <w:r w:rsidRPr="00226044">
              <w:rPr>
                <w:rFonts w:ascii="Times New Roman" w:eastAsia="Calibri" w:hAnsi="Times New Roman" w:cs="Times New Roman"/>
                <w:noProof/>
                <w:sz w:val="20"/>
                <w:szCs w:val="20"/>
                <w:lang w:val="en-US"/>
              </w:rPr>
              <w:t xml:space="preserve"> </w:t>
            </w:r>
            <w:r w:rsidRPr="00226044">
              <w:rPr>
                <w:rFonts w:ascii="Times New Roman" w:eastAsia="Calibri" w:hAnsi="Times New Roman" w:cs="Times New Roman"/>
                <w:noProof/>
                <w:color w:val="1682C2" w:themeColor="accent5" w:themeShade="80"/>
                <w:sz w:val="20"/>
                <w:szCs w:val="20"/>
                <w:lang w:val="en-US"/>
              </w:rPr>
              <w:t>via</w:t>
            </w:r>
            <w:r w:rsidRPr="00226044">
              <w:rPr>
                <w:rFonts w:ascii="Times New Roman" w:eastAsia="Calibri" w:hAnsi="Times New Roman" w:cs="Times New Roman"/>
                <w:noProof/>
                <w:sz w:val="20"/>
                <w:szCs w:val="20"/>
                <w:lang w:val="en-US"/>
              </w:rPr>
              <w:t xml:space="preserve"> at least 500 000 </w:t>
            </w:r>
            <w:r w:rsidRPr="00226044">
              <w:rPr>
                <w:rFonts w:ascii="Times New Roman" w:eastAsia="Calibri" w:hAnsi="Times New Roman" w:cs="Times New Roman"/>
                <w:noProof/>
                <w:color w:val="1682C2" w:themeColor="accent5" w:themeShade="80"/>
                <w:sz w:val="20"/>
                <w:szCs w:val="20"/>
                <w:lang w:val="en-US"/>
              </w:rPr>
              <w:t>individual enrolments for tutoring courses by</w:t>
            </w:r>
            <w:r w:rsidRPr="00226044">
              <w:rPr>
                <w:rFonts w:ascii="Times New Roman" w:eastAsia="Calibri" w:hAnsi="Times New Roman" w:cs="Times New Roman"/>
                <w:noProof/>
                <w:sz w:val="20"/>
                <w:szCs w:val="20"/>
                <w:lang w:val="en-US"/>
              </w:rPr>
              <w:t xml:space="preserve"> pupils</w:t>
            </w:r>
            <w:r w:rsidR="00EB5BB5" w:rsidRPr="00226044">
              <w:rPr>
                <w:rFonts w:ascii="Times New Roman" w:eastAsia="Calibri" w:hAnsi="Times New Roman" w:cs="Times New Roman"/>
                <w:noProof/>
                <w:sz w:val="20"/>
                <w:szCs w:val="20"/>
                <w:lang w:val="en-US"/>
              </w:rPr>
              <w:t xml:space="preserve">. Tutoring is expected to </w:t>
            </w:r>
            <w:r w:rsidR="00EB5BB5" w:rsidRPr="00226044">
              <w:rPr>
                <w:rFonts w:ascii="Times New Roman" w:eastAsia="Calibri" w:hAnsi="Times New Roman" w:cs="Times New Roman"/>
                <w:noProof/>
                <w:sz w:val="20"/>
                <w:szCs w:val="20"/>
                <w:lang w:val="en-US"/>
              </w:rPr>
              <w:lastRenderedPageBreak/>
              <w:t xml:space="preserve">help pupils </w:t>
            </w:r>
            <w:r w:rsidRPr="00226044">
              <w:rPr>
                <w:rFonts w:ascii="Times New Roman" w:eastAsia="Calibri" w:hAnsi="Times New Roman" w:cs="Times New Roman"/>
                <w:noProof/>
                <w:sz w:val="20"/>
                <w:szCs w:val="20"/>
                <w:lang w:val="en-US"/>
              </w:rPr>
              <w:t xml:space="preserve">at risk of school failure </w:t>
            </w:r>
            <w:r w:rsidR="00EB5BB5" w:rsidRPr="00226044">
              <w:rPr>
                <w:rFonts w:ascii="Times New Roman" w:eastAsia="Calibri" w:hAnsi="Times New Roman" w:cs="Times New Roman"/>
                <w:noProof/>
                <w:sz w:val="20"/>
                <w:szCs w:val="20"/>
                <w:lang w:val="en-US"/>
              </w:rPr>
              <w:t xml:space="preserve"> to </w:t>
            </w:r>
            <w:r w:rsidRPr="00226044">
              <w:rPr>
                <w:rFonts w:ascii="Times New Roman" w:eastAsia="Calibri" w:hAnsi="Times New Roman" w:cs="Times New Roman"/>
                <w:noProof/>
                <w:sz w:val="20"/>
                <w:szCs w:val="20"/>
                <w:lang w:val="en-US"/>
              </w:rPr>
              <w:t>restore learning habits and acquire the knowledge prescribed by the curricula in</w:t>
            </w:r>
            <w:r w:rsidR="00EB5BB5" w:rsidRPr="00226044">
              <w:rPr>
                <w:rFonts w:ascii="Times New Roman" w:eastAsia="Calibri" w:hAnsi="Times New Roman" w:cs="Times New Roman"/>
                <w:noProof/>
                <w:sz w:val="20"/>
                <w:szCs w:val="20"/>
                <w:lang w:val="en-US"/>
              </w:rPr>
              <w:t xml:space="preserve"> for example</w:t>
            </w:r>
            <w:r w:rsidRPr="00226044">
              <w:rPr>
                <w:rFonts w:ascii="Times New Roman" w:eastAsia="Calibri" w:hAnsi="Times New Roman" w:cs="Times New Roman"/>
                <w:noProof/>
                <w:sz w:val="20"/>
                <w:szCs w:val="20"/>
                <w:lang w:val="en-US"/>
              </w:rPr>
              <w:t xml:space="preserve"> mathematics, the Czech </w:t>
            </w:r>
            <w:r w:rsidR="00EB5BB5" w:rsidRPr="00226044">
              <w:rPr>
                <w:rFonts w:ascii="Times New Roman" w:eastAsia="Calibri" w:hAnsi="Times New Roman" w:cs="Times New Roman"/>
                <w:noProof/>
                <w:sz w:val="20"/>
                <w:szCs w:val="20"/>
                <w:lang w:val="en-US"/>
              </w:rPr>
              <w:t xml:space="preserve">language </w:t>
            </w:r>
            <w:r w:rsidRPr="00226044">
              <w:rPr>
                <w:rFonts w:ascii="Times New Roman" w:eastAsia="Calibri" w:hAnsi="Times New Roman" w:cs="Times New Roman"/>
                <w:noProof/>
                <w:sz w:val="20"/>
                <w:szCs w:val="20"/>
                <w:lang w:val="en-US"/>
              </w:rPr>
              <w:t>and foreign language.</w:t>
            </w:r>
          </w:p>
          <w:p w14:paraId="3BA735BB" w14:textId="77777777" w:rsidR="00267D55" w:rsidRPr="00226044" w:rsidRDefault="00267D55" w:rsidP="00B63C77">
            <w:pPr>
              <w:jc w:val="both"/>
              <w:rPr>
                <w:rFonts w:ascii="Times New Roman" w:eastAsia="Calibri" w:hAnsi="Times New Roman" w:cs="Times New Roman"/>
                <w:noProof/>
                <w:sz w:val="20"/>
                <w:szCs w:val="20"/>
                <w:lang w:val="en-IE"/>
              </w:rPr>
            </w:pPr>
          </w:p>
          <w:p w14:paraId="18C50B32" w14:textId="77777777" w:rsidR="00700EFA" w:rsidRPr="00226044" w:rsidRDefault="00700EFA" w:rsidP="00700EFA">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T183</w:t>
            </w:r>
          </w:p>
          <w:p w14:paraId="5A4B42D9" w14:textId="77777777" w:rsidR="00700EFA" w:rsidRPr="00226044" w:rsidRDefault="00700EFA" w:rsidP="00700EFA">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Q4/2023</w:t>
            </w:r>
          </w:p>
        </w:tc>
      </w:tr>
      <w:tr w:rsidR="00885201" w:rsidRPr="00226044" w14:paraId="1939EF1A" w14:textId="77777777" w:rsidTr="0B163A4A">
        <w:tc>
          <w:tcPr>
            <w:tcW w:w="2235" w:type="dxa"/>
          </w:tcPr>
          <w:p w14:paraId="68F95512" w14:textId="77777777" w:rsidR="00885201" w:rsidRPr="00226044" w:rsidRDefault="00885201" w:rsidP="00B63C77">
            <w:pPr>
              <w:jc w:val="both"/>
              <w:rPr>
                <w:rFonts w:ascii="Times New Roman" w:eastAsia="Calibri" w:hAnsi="Times New Roman" w:cs="Times New Roman"/>
                <w:b/>
                <w:bCs/>
                <w:i/>
                <w:iCs/>
                <w:noProof/>
                <w:sz w:val="20"/>
                <w:szCs w:val="20"/>
                <w:lang w:val="en-IE"/>
              </w:rPr>
            </w:pPr>
            <w:r w:rsidRPr="00226044">
              <w:rPr>
                <w:rFonts w:ascii="Times New Roman" w:eastAsia="Calibri" w:hAnsi="Times New Roman" w:cs="Times New Roman"/>
                <w:b/>
                <w:bCs/>
                <w:i/>
                <w:iCs/>
                <w:noProof/>
                <w:sz w:val="20"/>
                <w:szCs w:val="20"/>
                <w:lang w:val="en-IE"/>
              </w:rPr>
              <w:lastRenderedPageBreak/>
              <w:t>Estimated cost</w:t>
            </w:r>
          </w:p>
        </w:tc>
        <w:tc>
          <w:tcPr>
            <w:tcW w:w="3260" w:type="dxa"/>
          </w:tcPr>
          <w:p w14:paraId="40417013" w14:textId="77777777" w:rsidR="00885201" w:rsidRPr="00226044" w:rsidRDefault="00700EFA"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CZK 1 bil.</w:t>
            </w:r>
          </w:p>
        </w:tc>
        <w:tc>
          <w:tcPr>
            <w:tcW w:w="3747" w:type="dxa"/>
          </w:tcPr>
          <w:p w14:paraId="29756F42" w14:textId="77777777" w:rsidR="00885201" w:rsidRPr="00226044" w:rsidRDefault="00700EFA"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No change</w:t>
            </w:r>
          </w:p>
        </w:tc>
      </w:tr>
      <w:tr w:rsidR="00885201" w:rsidRPr="00226044" w14:paraId="09658C48" w14:textId="77777777" w:rsidTr="0B163A4A">
        <w:tc>
          <w:tcPr>
            <w:tcW w:w="2235" w:type="dxa"/>
          </w:tcPr>
          <w:p w14:paraId="5E966DCB" w14:textId="77777777" w:rsidR="00885201" w:rsidRPr="00226044" w:rsidRDefault="00885201" w:rsidP="00B63C77">
            <w:pPr>
              <w:jc w:val="both"/>
              <w:rPr>
                <w:rFonts w:ascii="Times New Roman" w:eastAsia="Calibri" w:hAnsi="Times New Roman" w:cs="Times New Roman"/>
                <w:b/>
                <w:bCs/>
                <w:i/>
                <w:iCs/>
                <w:noProof/>
                <w:sz w:val="20"/>
                <w:szCs w:val="20"/>
                <w:lang w:val="en-IE"/>
              </w:rPr>
            </w:pPr>
            <w:r w:rsidRPr="00226044">
              <w:rPr>
                <w:rFonts w:ascii="Times New Roman" w:eastAsia="Calibri" w:hAnsi="Times New Roman" w:cs="Times New Roman"/>
                <w:b/>
                <w:bCs/>
                <w:i/>
                <w:iCs/>
                <w:noProof/>
                <w:sz w:val="20"/>
                <w:szCs w:val="20"/>
                <w:lang w:val="en-IE"/>
              </w:rPr>
              <w:t>Green and digital tagging</w:t>
            </w:r>
          </w:p>
        </w:tc>
        <w:tc>
          <w:tcPr>
            <w:tcW w:w="3260" w:type="dxa"/>
          </w:tcPr>
          <w:p w14:paraId="4BFEEB2C" w14:textId="77777777" w:rsidR="00885201" w:rsidRPr="00226044" w:rsidRDefault="00700EFA"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N/A</w:t>
            </w:r>
          </w:p>
        </w:tc>
        <w:tc>
          <w:tcPr>
            <w:tcW w:w="3747" w:type="dxa"/>
          </w:tcPr>
          <w:p w14:paraId="0D90DC71" w14:textId="77777777" w:rsidR="00885201" w:rsidRPr="00226044" w:rsidRDefault="00700EFA"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N/A</w:t>
            </w:r>
          </w:p>
        </w:tc>
      </w:tr>
      <w:tr w:rsidR="00885201" w:rsidRPr="00226044" w14:paraId="1E1CBED8" w14:textId="77777777" w:rsidTr="0B163A4A">
        <w:tc>
          <w:tcPr>
            <w:tcW w:w="2235" w:type="dxa"/>
          </w:tcPr>
          <w:p w14:paraId="17C36699" w14:textId="77777777" w:rsidR="00885201" w:rsidRPr="00226044" w:rsidRDefault="00885201" w:rsidP="00B63C77">
            <w:pPr>
              <w:jc w:val="both"/>
              <w:rPr>
                <w:rFonts w:ascii="Times New Roman" w:eastAsia="Calibri" w:hAnsi="Times New Roman" w:cs="Times New Roman"/>
                <w:b/>
                <w:bCs/>
                <w:i/>
                <w:iCs/>
                <w:noProof/>
                <w:sz w:val="20"/>
                <w:szCs w:val="20"/>
                <w:lang w:val="en-IE"/>
              </w:rPr>
            </w:pPr>
            <w:r w:rsidRPr="00226044">
              <w:rPr>
                <w:rFonts w:ascii="Times New Roman" w:eastAsia="Calibri" w:hAnsi="Times New Roman" w:cs="Times New Roman"/>
                <w:b/>
                <w:bCs/>
                <w:i/>
                <w:iCs/>
                <w:noProof/>
                <w:sz w:val="20"/>
                <w:szCs w:val="20"/>
                <w:lang w:val="en-IE"/>
              </w:rPr>
              <w:t>DNSH self-assessment</w:t>
            </w:r>
          </w:p>
        </w:tc>
        <w:tc>
          <w:tcPr>
            <w:tcW w:w="3260" w:type="dxa"/>
          </w:tcPr>
          <w:p w14:paraId="3E43B727" w14:textId="77777777" w:rsidR="00885201" w:rsidRPr="00226044" w:rsidRDefault="00700EFA"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No change</w:t>
            </w:r>
          </w:p>
        </w:tc>
        <w:tc>
          <w:tcPr>
            <w:tcW w:w="3747" w:type="dxa"/>
          </w:tcPr>
          <w:p w14:paraId="46D61627" w14:textId="77777777" w:rsidR="00885201" w:rsidRPr="00226044" w:rsidRDefault="00700EFA" w:rsidP="00B63C77">
            <w:pPr>
              <w:jc w:val="both"/>
              <w:rPr>
                <w:rFonts w:ascii="Times New Roman" w:eastAsia="Calibri" w:hAnsi="Times New Roman" w:cs="Times New Roman"/>
                <w:noProof/>
                <w:sz w:val="20"/>
                <w:szCs w:val="20"/>
                <w:lang w:val="en-IE"/>
              </w:rPr>
            </w:pPr>
            <w:r w:rsidRPr="00226044">
              <w:rPr>
                <w:rFonts w:ascii="Times New Roman" w:eastAsia="Calibri" w:hAnsi="Times New Roman" w:cs="Times New Roman"/>
                <w:noProof/>
                <w:sz w:val="20"/>
                <w:szCs w:val="20"/>
                <w:lang w:val="en-IE"/>
              </w:rPr>
              <w:t>No change</w:t>
            </w:r>
          </w:p>
        </w:tc>
      </w:tr>
    </w:tbl>
    <w:p w14:paraId="4FD234CB" w14:textId="77777777" w:rsidR="00885201" w:rsidRPr="00226044" w:rsidRDefault="00885201" w:rsidP="00885201"/>
    <w:p w14:paraId="4E401ECB" w14:textId="77777777" w:rsidR="00885201" w:rsidRPr="00226044" w:rsidRDefault="00700EFA" w:rsidP="00885201">
      <w:pPr>
        <w:rPr>
          <w:rFonts w:cstheme="minorHAnsi"/>
          <w:b/>
          <w:bCs/>
          <w:i/>
          <w:iCs/>
          <w:sz w:val="20"/>
          <w:szCs w:val="20"/>
          <w:lang w:val="en-IE"/>
        </w:rPr>
      </w:pPr>
      <w:r w:rsidRPr="00226044">
        <w:rPr>
          <w:rFonts w:cstheme="minorHAnsi"/>
          <w:b/>
          <w:bCs/>
          <w:i/>
          <w:iCs/>
          <w:sz w:val="20"/>
          <w:szCs w:val="20"/>
          <w:lang w:val="en-IE"/>
        </w:rPr>
        <w:t>Subject of the change</w:t>
      </w:r>
    </w:p>
    <w:p w14:paraId="0CEA43CA" w14:textId="77777777" w:rsidR="00700EFA" w:rsidRPr="00226044" w:rsidRDefault="00700EFA" w:rsidP="00700EFA">
      <w:pPr>
        <w:spacing w:line="240" w:lineRule="auto"/>
        <w:jc w:val="both"/>
        <w:rPr>
          <w:rFonts w:cstheme="minorHAnsi"/>
          <w:i/>
          <w:iCs/>
          <w:sz w:val="20"/>
          <w:szCs w:val="20"/>
          <w:u w:val="single"/>
          <w:lang w:val="en-IE"/>
        </w:rPr>
      </w:pPr>
      <w:r w:rsidRPr="00226044">
        <w:rPr>
          <w:rFonts w:cstheme="minorHAnsi"/>
          <w:i/>
          <w:iCs/>
          <w:sz w:val="20"/>
          <w:szCs w:val="20"/>
          <w:u w:val="single"/>
          <w:lang w:val="en-IE"/>
        </w:rPr>
        <w:t xml:space="preserve">Change of milestone and goal </w:t>
      </w:r>
    </w:p>
    <w:p w14:paraId="12376165" w14:textId="77777777" w:rsidR="00700EFA" w:rsidRPr="00226044" w:rsidRDefault="00700EFA" w:rsidP="00700EFA">
      <w:pPr>
        <w:spacing w:line="240" w:lineRule="auto"/>
        <w:jc w:val="both"/>
        <w:rPr>
          <w:rFonts w:cstheme="minorHAnsi"/>
          <w:i/>
          <w:iCs/>
          <w:sz w:val="20"/>
          <w:szCs w:val="20"/>
          <w:lang w:val="en-IE"/>
        </w:rPr>
      </w:pPr>
      <w:r w:rsidRPr="00226044">
        <w:rPr>
          <w:rFonts w:cstheme="minorHAnsi"/>
          <w:i/>
          <w:iCs/>
          <w:sz w:val="20"/>
          <w:szCs w:val="20"/>
          <w:lang w:val="en-IE"/>
        </w:rPr>
        <w:t xml:space="preserve">Original value of indicator was incorrectly stated at level of 500 000 unique pupils. Correct value should be 500 000 individual enrolments for tutoring courses by pupils at risk of school failure.   </w:t>
      </w:r>
    </w:p>
    <w:p w14:paraId="71A01E54" w14:textId="77777777" w:rsidR="00700EFA" w:rsidRPr="00226044" w:rsidRDefault="00700EFA" w:rsidP="00700EFA">
      <w:pPr>
        <w:spacing w:line="240" w:lineRule="auto"/>
        <w:jc w:val="both"/>
        <w:rPr>
          <w:rFonts w:cstheme="minorHAnsi"/>
          <w:i/>
          <w:iCs/>
          <w:sz w:val="20"/>
          <w:szCs w:val="20"/>
          <w:lang w:val="en-IE"/>
        </w:rPr>
      </w:pPr>
      <w:r w:rsidRPr="00226044">
        <w:rPr>
          <w:rFonts w:cstheme="minorHAnsi"/>
          <w:i/>
          <w:iCs/>
          <w:sz w:val="20"/>
          <w:szCs w:val="20"/>
          <w:lang w:val="en-IE"/>
        </w:rPr>
        <w:t>Although the schools were allocated financial resources based on the expected needs of the pupils of the given school. Schools could provide individual support, which means that one pupil can receive tutoring in several units, even repeatedly in individual semesters as well as in consecutive semesters. Schools therefore report to the Ministry of Education, youth and Sport the number of tutored pupils (due to the possibility of repetition, however, these are not individual participants) and at the same time "pupil hours", i.e. the number of tutored hours per pupil.</w:t>
      </w:r>
    </w:p>
    <w:p w14:paraId="26B87706" w14:textId="77777777" w:rsidR="00700EFA" w:rsidRPr="00226044" w:rsidRDefault="00700EFA" w:rsidP="00700EFA">
      <w:pPr>
        <w:spacing w:line="240" w:lineRule="auto"/>
        <w:jc w:val="both"/>
        <w:rPr>
          <w:rFonts w:cstheme="minorHAnsi"/>
          <w:i/>
          <w:iCs/>
          <w:sz w:val="20"/>
          <w:szCs w:val="20"/>
          <w:lang w:val="en-IE"/>
        </w:rPr>
      </w:pPr>
      <w:r w:rsidRPr="00226044">
        <w:rPr>
          <w:rFonts w:cstheme="minorHAnsi"/>
          <w:i/>
          <w:iCs/>
          <w:sz w:val="20"/>
          <w:szCs w:val="20"/>
          <w:lang w:val="en-IE"/>
        </w:rPr>
        <w:t xml:space="preserve">It is therefore proposed to correct units of measurement of the milestone of 500,000 to individual enrolments for tutoring courses by pupils at risk of school failure.   </w:t>
      </w:r>
    </w:p>
    <w:p w14:paraId="0DBAFA6C" w14:textId="77777777" w:rsidR="00700EFA" w:rsidRPr="00226044" w:rsidRDefault="00700EFA" w:rsidP="00700EFA">
      <w:pPr>
        <w:spacing w:line="240" w:lineRule="auto"/>
        <w:jc w:val="both"/>
        <w:rPr>
          <w:rFonts w:cstheme="minorHAnsi"/>
          <w:i/>
          <w:iCs/>
          <w:sz w:val="20"/>
          <w:szCs w:val="20"/>
          <w:lang w:val="en-IE"/>
        </w:rPr>
      </w:pPr>
      <w:r w:rsidRPr="00226044">
        <w:rPr>
          <w:rFonts w:cstheme="minorHAnsi"/>
          <w:i/>
          <w:iCs/>
          <w:sz w:val="20"/>
          <w:szCs w:val="20"/>
          <w:lang w:val="en-IE"/>
        </w:rPr>
        <w:t>It is verifiable figure that is provided by schools, which at the same time enables effective, individually targeted help for individual pupils. </w:t>
      </w:r>
    </w:p>
    <w:p w14:paraId="5925C186" w14:textId="77777777" w:rsidR="00700EFA" w:rsidRPr="00226044" w:rsidRDefault="00700EFA" w:rsidP="0B163A4A">
      <w:pPr>
        <w:spacing w:line="240" w:lineRule="auto"/>
        <w:jc w:val="both"/>
        <w:rPr>
          <w:i/>
          <w:iCs/>
          <w:sz w:val="20"/>
          <w:szCs w:val="20"/>
          <w:u w:val="single"/>
          <w:lang w:val="en-IE"/>
        </w:rPr>
      </w:pPr>
      <w:r w:rsidRPr="00226044">
        <w:rPr>
          <w:i/>
          <w:iCs/>
          <w:sz w:val="20"/>
          <w:szCs w:val="20"/>
          <w:u w:val="single"/>
          <w:lang w:val="en-IE"/>
        </w:rPr>
        <w:t>Change of the text of the description of the activity preceding the table with milestones and goals.</w:t>
      </w:r>
    </w:p>
    <w:p w14:paraId="0FBAAEA1" w14:textId="77777777" w:rsidR="00EB5BB5" w:rsidRPr="00226044" w:rsidRDefault="00EB5BB5" w:rsidP="00EB5BB5">
      <w:pPr>
        <w:pStyle w:val="xmsonormal"/>
        <w:outlineLvl w:val="0"/>
        <w:rPr>
          <w:lang w:val="en-US"/>
        </w:rPr>
      </w:pPr>
      <w:r w:rsidRPr="00226044">
        <w:rPr>
          <w:i/>
          <w:iCs/>
          <w:lang w:val="en-GB"/>
        </w:rPr>
        <w:t xml:space="preserve">From: “The investment </w:t>
      </w:r>
      <w:r w:rsidRPr="00226044">
        <w:rPr>
          <w:b/>
          <w:bCs/>
          <w:i/>
          <w:iCs/>
          <w:lang w:val="en-GB"/>
        </w:rPr>
        <w:t>shall</w:t>
      </w:r>
      <w:r w:rsidRPr="00226044">
        <w:rPr>
          <w:i/>
          <w:iCs/>
          <w:lang w:val="en-GB"/>
        </w:rPr>
        <w:t xml:space="preserve"> thus prevent further widening of inequalities between pupils and schools driven by social or other disadvantages.”</w:t>
      </w:r>
    </w:p>
    <w:p w14:paraId="07CA1F19" w14:textId="77777777" w:rsidR="00EB5BB5" w:rsidRPr="00226044" w:rsidRDefault="00EB5BB5" w:rsidP="0B163A4A">
      <w:pPr>
        <w:pStyle w:val="xmsonormal"/>
        <w:rPr>
          <w:i/>
          <w:iCs/>
          <w:lang w:val="en-GB"/>
        </w:rPr>
      </w:pPr>
      <w:r w:rsidRPr="00226044">
        <w:rPr>
          <w:i/>
          <w:iCs/>
          <w:lang w:val="en-GB"/>
        </w:rPr>
        <w:t xml:space="preserve">To: “The investment </w:t>
      </w:r>
      <w:r w:rsidRPr="00226044">
        <w:rPr>
          <w:b/>
          <w:bCs/>
          <w:i/>
          <w:iCs/>
          <w:lang w:val="en-GB"/>
        </w:rPr>
        <w:t>is expected to</w:t>
      </w:r>
      <w:r w:rsidRPr="00226044">
        <w:rPr>
          <w:i/>
          <w:iCs/>
          <w:lang w:val="en-GB"/>
        </w:rPr>
        <w:t xml:space="preserve"> thus prevent further widening of inequalities between pupils and schools driven by social or other disadvantages.”</w:t>
      </w:r>
    </w:p>
    <w:p w14:paraId="02666587" w14:textId="77777777" w:rsidR="00EB5BB5" w:rsidRPr="00226044" w:rsidRDefault="00EB5BB5" w:rsidP="0B163A4A">
      <w:pPr>
        <w:pStyle w:val="xmsonormal"/>
        <w:rPr>
          <w:i/>
          <w:iCs/>
          <w:lang w:val="en-GB"/>
        </w:rPr>
      </w:pPr>
    </w:p>
    <w:p w14:paraId="42BE0CA4" w14:textId="77777777" w:rsidR="00EB5BB5" w:rsidRPr="00226044" w:rsidRDefault="00EB5BB5" w:rsidP="0B163A4A">
      <w:pPr>
        <w:pStyle w:val="xmsonormal"/>
        <w:rPr>
          <w:i/>
          <w:iCs/>
          <w:color w:val="1F497D"/>
          <w:lang w:val="en-IE"/>
        </w:rPr>
      </w:pPr>
      <w:r w:rsidRPr="00226044">
        <w:rPr>
          <w:i/>
          <w:iCs/>
          <w:color w:val="1F497D"/>
          <w:lang w:val="en-IE"/>
        </w:rPr>
        <w:t xml:space="preserve">We request the </w:t>
      </w:r>
      <w:r w:rsidRPr="00226044">
        <w:rPr>
          <w:b/>
          <w:bCs/>
          <w:i/>
          <w:iCs/>
          <w:color w:val="1F497D"/>
          <w:lang w:val="en-IE"/>
        </w:rPr>
        <w:t>change of the formulation of this target</w:t>
      </w:r>
      <w:r w:rsidRPr="00226044">
        <w:rPr>
          <w:i/>
          <w:iCs/>
          <w:color w:val="1F497D"/>
          <w:lang w:val="en-IE"/>
        </w:rPr>
        <w:t xml:space="preserve"> because, based on newly available information, the administrative costs linked to centrally enforcing and proving the requirements in this measure have turned to outweigh the benefits. This is particularly the case when compared to the alternative, better solution of letting schools independently chose who should be tutored. The newly available information includes: </w:t>
      </w:r>
    </w:p>
    <w:p w14:paraId="37631168" w14:textId="77777777" w:rsidR="00EB5BB5" w:rsidRPr="00226044" w:rsidRDefault="00EB5BB5" w:rsidP="0B163A4A">
      <w:pPr>
        <w:pStyle w:val="xmsonormal"/>
        <w:rPr>
          <w:i/>
          <w:iCs/>
          <w:color w:val="1F497D"/>
          <w:lang w:val="en-IE"/>
        </w:rPr>
      </w:pPr>
      <w:r w:rsidRPr="00226044">
        <w:rPr>
          <w:i/>
          <w:iCs/>
          <w:color w:val="1F497D"/>
          <w:lang w:val="en-IE"/>
        </w:rPr>
        <w:t xml:space="preserve">i) increased cost estimates on gathering the relevant data from individual schools; </w:t>
      </w:r>
    </w:p>
    <w:p w14:paraId="3E4FA4BD" w14:textId="77777777" w:rsidR="00EB5BB5" w:rsidRPr="00226044" w:rsidRDefault="00EB5BB5" w:rsidP="0B163A4A">
      <w:pPr>
        <w:pStyle w:val="xmsonormal"/>
        <w:rPr>
          <w:i/>
          <w:iCs/>
          <w:color w:val="1F497D"/>
          <w:lang w:val="en-IE"/>
        </w:rPr>
      </w:pPr>
      <w:r w:rsidRPr="00226044">
        <w:rPr>
          <w:i/>
          <w:iCs/>
          <w:color w:val="1F497D"/>
          <w:lang w:val="en-IE"/>
        </w:rPr>
        <w:t>ii) the increased saliency of the professional (and to some extent even political) issue of excessive administrative burden for headmasters and teachers, as illustrated for example in study from 2021 “</w:t>
      </w:r>
      <w:proofErr w:type="spellStart"/>
      <w:r w:rsidRPr="00226044">
        <w:rPr>
          <w:i/>
          <w:iCs/>
          <w:lang w:val="en-US"/>
        </w:rPr>
        <w:t>Jak</w:t>
      </w:r>
      <w:proofErr w:type="spellEnd"/>
      <w:r w:rsidRPr="00226044">
        <w:rPr>
          <w:i/>
          <w:iCs/>
          <w:lang w:val="en-US"/>
        </w:rPr>
        <w:t xml:space="preserve"> </w:t>
      </w:r>
      <w:proofErr w:type="spellStart"/>
      <w:r w:rsidRPr="00226044">
        <w:rPr>
          <w:i/>
          <w:iCs/>
          <w:lang w:val="en-US"/>
        </w:rPr>
        <w:t>zlepšovat</w:t>
      </w:r>
      <w:proofErr w:type="spellEnd"/>
      <w:r w:rsidRPr="00226044">
        <w:rPr>
          <w:i/>
          <w:iCs/>
          <w:lang w:val="en-US"/>
        </w:rPr>
        <w:t xml:space="preserve"> </w:t>
      </w:r>
      <w:proofErr w:type="spellStart"/>
      <w:r w:rsidRPr="00226044">
        <w:rPr>
          <w:i/>
          <w:iCs/>
          <w:lang w:val="en-US"/>
        </w:rPr>
        <w:t>učení</w:t>
      </w:r>
      <w:proofErr w:type="spellEnd"/>
      <w:r w:rsidRPr="00226044">
        <w:rPr>
          <w:i/>
          <w:iCs/>
          <w:lang w:val="en-US"/>
        </w:rPr>
        <w:t>, wellbeing a </w:t>
      </w:r>
      <w:proofErr w:type="spellStart"/>
      <w:r w:rsidRPr="00226044">
        <w:rPr>
          <w:i/>
          <w:iCs/>
          <w:lang w:val="en-US"/>
        </w:rPr>
        <w:t>rovné</w:t>
      </w:r>
      <w:proofErr w:type="spellEnd"/>
      <w:r w:rsidRPr="00226044">
        <w:rPr>
          <w:i/>
          <w:iCs/>
          <w:lang w:val="en-US"/>
        </w:rPr>
        <w:t xml:space="preserve"> </w:t>
      </w:r>
      <w:proofErr w:type="spellStart"/>
      <w:r w:rsidRPr="00226044">
        <w:rPr>
          <w:i/>
          <w:iCs/>
          <w:lang w:val="en-US"/>
        </w:rPr>
        <w:t>šance</w:t>
      </w:r>
      <w:proofErr w:type="spellEnd"/>
      <w:r w:rsidRPr="00226044">
        <w:rPr>
          <w:i/>
          <w:iCs/>
          <w:lang w:val="en-US"/>
        </w:rPr>
        <w:t xml:space="preserve"> </w:t>
      </w:r>
      <w:proofErr w:type="spellStart"/>
      <w:r w:rsidRPr="00226044">
        <w:rPr>
          <w:i/>
          <w:iCs/>
          <w:lang w:val="en-US"/>
        </w:rPr>
        <w:t>žáků</w:t>
      </w:r>
      <w:proofErr w:type="spellEnd"/>
      <w:r w:rsidRPr="00226044">
        <w:rPr>
          <w:i/>
          <w:iCs/>
          <w:lang w:val="en-US"/>
        </w:rPr>
        <w:t xml:space="preserve"> v ČR </w:t>
      </w:r>
      <w:proofErr w:type="spellStart"/>
      <w:r w:rsidRPr="00226044">
        <w:rPr>
          <w:i/>
          <w:iCs/>
          <w:lang w:val="en-US"/>
        </w:rPr>
        <w:t>prostřednictvím</w:t>
      </w:r>
      <w:proofErr w:type="spellEnd"/>
      <w:r w:rsidRPr="00226044">
        <w:rPr>
          <w:i/>
          <w:iCs/>
          <w:lang w:val="en-US"/>
        </w:rPr>
        <w:t xml:space="preserve"> </w:t>
      </w:r>
      <w:proofErr w:type="spellStart"/>
      <w:r w:rsidRPr="00226044">
        <w:rPr>
          <w:i/>
          <w:iCs/>
          <w:lang w:val="en-US"/>
        </w:rPr>
        <w:t>středního</w:t>
      </w:r>
      <w:proofErr w:type="spellEnd"/>
      <w:r w:rsidRPr="00226044">
        <w:rPr>
          <w:i/>
          <w:iCs/>
          <w:lang w:val="en-US"/>
        </w:rPr>
        <w:t xml:space="preserve"> </w:t>
      </w:r>
      <w:proofErr w:type="spellStart"/>
      <w:r w:rsidRPr="00226044">
        <w:rPr>
          <w:i/>
          <w:iCs/>
          <w:lang w:val="en-US"/>
        </w:rPr>
        <w:t>článku</w:t>
      </w:r>
      <w:proofErr w:type="spellEnd"/>
      <w:r w:rsidRPr="00226044">
        <w:rPr>
          <w:i/>
          <w:iCs/>
          <w:lang w:val="en-US"/>
        </w:rPr>
        <w:t xml:space="preserve"> a </w:t>
      </w:r>
      <w:proofErr w:type="spellStart"/>
      <w:r w:rsidRPr="00226044">
        <w:rPr>
          <w:i/>
          <w:iCs/>
          <w:lang w:val="en-US"/>
        </w:rPr>
        <w:t>dalších</w:t>
      </w:r>
      <w:proofErr w:type="spellEnd"/>
      <w:r w:rsidRPr="00226044">
        <w:rPr>
          <w:i/>
          <w:iCs/>
          <w:lang w:val="en-US"/>
        </w:rPr>
        <w:t xml:space="preserve"> </w:t>
      </w:r>
      <w:proofErr w:type="spellStart"/>
      <w:r w:rsidRPr="00226044">
        <w:rPr>
          <w:i/>
          <w:iCs/>
          <w:lang w:val="en-US"/>
        </w:rPr>
        <w:t>opatření</w:t>
      </w:r>
      <w:proofErr w:type="spellEnd"/>
      <w:r w:rsidRPr="00226044">
        <w:rPr>
          <w:i/>
          <w:iCs/>
          <w:lang w:val="en-US"/>
        </w:rPr>
        <w:t>” according to which the largest problem of the Czech school leadership consists headmasters’ being overburdened by administrative and formal tasks (</w:t>
      </w:r>
      <w:hyperlink r:id="rId10" w:history="1">
        <w:r w:rsidRPr="00226044">
          <w:rPr>
            <w:rStyle w:val="Hypertextovodkaz"/>
            <w:i/>
            <w:iCs/>
            <w:lang w:val="en-US"/>
          </w:rPr>
          <w:t>https://partnerstvi2030.cz/wp-content/uploads/Zaverecna_publikace_Partnerstvi_1rok_2021_modra.pdf</w:t>
        </w:r>
      </w:hyperlink>
      <w:r w:rsidRPr="00226044">
        <w:rPr>
          <w:i/>
          <w:iCs/>
          <w:lang w:val="en-US"/>
        </w:rPr>
        <w:t>, p. 35)</w:t>
      </w:r>
      <w:r w:rsidRPr="00226044">
        <w:rPr>
          <w:i/>
          <w:iCs/>
          <w:color w:val="1F497D"/>
          <w:lang w:val="en-IE"/>
        </w:rPr>
        <w:t xml:space="preserve">; </w:t>
      </w:r>
    </w:p>
    <w:p w14:paraId="0A28D8A1" w14:textId="402CAD2F" w:rsidR="00EB5BB5" w:rsidRPr="00226044" w:rsidRDefault="00EB5BB5" w:rsidP="0B163A4A">
      <w:pPr>
        <w:pStyle w:val="xmsonormal"/>
        <w:rPr>
          <w:i/>
          <w:iCs/>
          <w:lang w:val="en-US"/>
        </w:rPr>
      </w:pPr>
      <w:r w:rsidRPr="00226044">
        <w:rPr>
          <w:i/>
          <w:iCs/>
          <w:color w:val="1F497D"/>
          <w:lang w:val="en-IE"/>
        </w:rPr>
        <w:t xml:space="preserve">iii) new information on the lack of staff on both the side of schools and the ministry, linked to the tight CZ labour market and difficulties in hiring. </w:t>
      </w:r>
    </w:p>
    <w:p w14:paraId="5674721B" w14:textId="77777777" w:rsidR="00EB5BB5" w:rsidRPr="00226044" w:rsidRDefault="00EB5BB5" w:rsidP="0B163A4A">
      <w:pPr>
        <w:pStyle w:val="xmsonormal"/>
        <w:rPr>
          <w:i/>
          <w:iCs/>
          <w:lang w:val="en-US"/>
        </w:rPr>
      </w:pPr>
    </w:p>
    <w:p w14:paraId="5C0B5A93" w14:textId="77777777" w:rsidR="00EB5BB5" w:rsidRPr="00226044" w:rsidRDefault="00EB5BB5" w:rsidP="0B163A4A">
      <w:pPr>
        <w:pStyle w:val="xmsonormal"/>
        <w:rPr>
          <w:i/>
          <w:iCs/>
          <w:lang w:val="en-US"/>
        </w:rPr>
      </w:pPr>
      <w:r w:rsidRPr="00226044">
        <w:rPr>
          <w:i/>
          <w:iCs/>
          <w:color w:val="1F497D"/>
          <w:lang w:val="en-IE"/>
        </w:rPr>
        <w:t>(We also note that the costs of providing this detailed information was not part of the original costing, i.e. there are no funds to be used for the collection of this evidence.)</w:t>
      </w:r>
    </w:p>
    <w:p w14:paraId="3F5B220F" w14:textId="77777777" w:rsidR="00EB5BB5" w:rsidRPr="00226044" w:rsidRDefault="00EB5BB5" w:rsidP="00EB5BB5">
      <w:pPr>
        <w:pStyle w:val="xmsonormal"/>
        <w:rPr>
          <w:lang w:val="en-US"/>
        </w:rPr>
      </w:pPr>
    </w:p>
    <w:p w14:paraId="3EF8F302" w14:textId="77777777" w:rsidR="00EB5BB5" w:rsidRPr="00226044" w:rsidRDefault="00EB5BB5" w:rsidP="00700EFA">
      <w:pPr>
        <w:spacing w:line="240" w:lineRule="auto"/>
        <w:jc w:val="both"/>
        <w:rPr>
          <w:rFonts w:cstheme="minorHAnsi"/>
          <w:i/>
          <w:iCs/>
          <w:sz w:val="20"/>
          <w:szCs w:val="20"/>
          <w:u w:val="single"/>
          <w:lang w:val="en-IE"/>
        </w:rPr>
      </w:pPr>
    </w:p>
    <w:p w14:paraId="187E05AD" w14:textId="77777777" w:rsidR="00700EFA" w:rsidRPr="00226044" w:rsidRDefault="00700EFA" w:rsidP="00700EFA">
      <w:pPr>
        <w:spacing w:line="240" w:lineRule="auto"/>
        <w:jc w:val="both"/>
        <w:rPr>
          <w:rFonts w:cstheme="minorHAnsi"/>
          <w:b/>
          <w:i/>
          <w:iCs/>
          <w:sz w:val="20"/>
          <w:szCs w:val="20"/>
          <w:lang w:val="en-IE"/>
        </w:rPr>
      </w:pPr>
      <w:r w:rsidRPr="00226044">
        <w:rPr>
          <w:rFonts w:cstheme="minorHAnsi"/>
          <w:b/>
          <w:i/>
          <w:iCs/>
          <w:sz w:val="20"/>
          <w:szCs w:val="20"/>
          <w:lang w:val="en-IE"/>
        </w:rPr>
        <w:t xml:space="preserve">Investment 2: Tutoring of pupils </w:t>
      </w:r>
    </w:p>
    <w:p w14:paraId="35AC8914" w14:textId="77777777" w:rsidR="00700EFA" w:rsidRPr="00226044" w:rsidRDefault="00700EFA" w:rsidP="00700EFA">
      <w:pPr>
        <w:spacing w:line="240" w:lineRule="auto"/>
        <w:jc w:val="both"/>
        <w:rPr>
          <w:rFonts w:cstheme="minorHAnsi"/>
          <w:i/>
          <w:iCs/>
          <w:sz w:val="20"/>
          <w:szCs w:val="20"/>
          <w:lang w:val="en-IE"/>
        </w:rPr>
      </w:pPr>
      <w:r w:rsidRPr="00226044">
        <w:rPr>
          <w:rFonts w:cstheme="minorHAnsi"/>
          <w:i/>
          <w:iCs/>
          <w:sz w:val="20"/>
          <w:szCs w:val="20"/>
          <w:lang w:val="en-IE"/>
        </w:rPr>
        <w:t xml:space="preserve">In the text number of 500 000 should be changed for 50 000, as the 500 000 is clear clerical error. Report of the Czech School Inspection states number 54 500 pupil who had fallen behind and </w:t>
      </w:r>
      <w:proofErr w:type="gramStart"/>
      <w:r w:rsidRPr="00226044">
        <w:rPr>
          <w:rFonts w:cstheme="minorHAnsi"/>
          <w:i/>
          <w:iCs/>
          <w:sz w:val="20"/>
          <w:szCs w:val="20"/>
          <w:lang w:val="en-IE"/>
        </w:rPr>
        <w:t>are in need of</w:t>
      </w:r>
      <w:proofErr w:type="gramEnd"/>
      <w:r w:rsidRPr="00226044">
        <w:rPr>
          <w:rFonts w:cstheme="minorHAnsi"/>
          <w:i/>
          <w:iCs/>
          <w:sz w:val="20"/>
          <w:szCs w:val="20"/>
          <w:lang w:val="en-IE"/>
        </w:rPr>
        <w:t xml:space="preserve"> intensive tutoring and repeated support. </w:t>
      </w:r>
    </w:p>
    <w:p w14:paraId="371385D4" w14:textId="77777777" w:rsidR="00700EFA" w:rsidRPr="00226044" w:rsidRDefault="00700EFA" w:rsidP="00885201">
      <w:pPr>
        <w:rPr>
          <w:rFonts w:cstheme="minorHAnsi"/>
          <w:b/>
          <w:bCs/>
          <w:i/>
          <w:iCs/>
          <w:sz w:val="20"/>
          <w:szCs w:val="20"/>
          <w:lang w:val="en-IE"/>
        </w:rPr>
      </w:pPr>
      <w:r w:rsidRPr="00226044">
        <w:rPr>
          <w:rFonts w:cstheme="minorHAnsi"/>
          <w:b/>
          <w:bCs/>
          <w:i/>
          <w:iCs/>
          <w:sz w:val="20"/>
          <w:szCs w:val="20"/>
          <w:lang w:val="en-IE"/>
        </w:rPr>
        <w:t>Objective facts why the milestones and targets could not be met:</w:t>
      </w:r>
    </w:p>
    <w:p w14:paraId="0301ED63" w14:textId="77777777" w:rsidR="00700EFA" w:rsidRPr="00226044" w:rsidRDefault="00700EFA" w:rsidP="00700EFA">
      <w:pPr>
        <w:jc w:val="both"/>
        <w:rPr>
          <w:rFonts w:cstheme="minorHAnsi"/>
          <w:i/>
          <w:iCs/>
          <w:sz w:val="20"/>
          <w:szCs w:val="20"/>
          <w:lang w:val="en-IE"/>
        </w:rPr>
      </w:pPr>
      <w:r w:rsidRPr="00226044">
        <w:rPr>
          <w:rFonts w:cstheme="minorHAnsi"/>
          <w:i/>
          <w:iCs/>
          <w:sz w:val="20"/>
          <w:szCs w:val="20"/>
          <w:lang w:val="en-IE"/>
        </w:rPr>
        <w:t>Milestone calculation and verification for component 3.2.2 Tutoring</w:t>
      </w:r>
    </w:p>
    <w:p w14:paraId="7BFC9A7F" w14:textId="77777777" w:rsidR="00700EFA" w:rsidRPr="00226044" w:rsidRDefault="00700EFA" w:rsidP="00700EFA">
      <w:pPr>
        <w:jc w:val="both"/>
        <w:rPr>
          <w:rFonts w:cstheme="minorHAnsi"/>
          <w:i/>
          <w:iCs/>
          <w:sz w:val="20"/>
          <w:szCs w:val="20"/>
          <w:lang w:val="en-IE"/>
        </w:rPr>
      </w:pPr>
      <w:r w:rsidRPr="00226044">
        <w:rPr>
          <w:rFonts w:cstheme="minorHAnsi"/>
          <w:i/>
          <w:iCs/>
          <w:sz w:val="20"/>
          <w:szCs w:val="20"/>
          <w:lang w:val="en-IE"/>
        </w:rPr>
        <w:t>Although the schools were allocated financial resources based on the expected needs of the pupils of the given school. The calculation mechanism recalculated the expected number of required pupils into tutoring units, but it is, of course, a mechanism. However, schools could provide individual support, which means that one pupil can receive tutoring in several units, even repeatedly in individual semesters. Schools therefore report to the Ministry of Education, youth and Sport the number of tutored pupils (due to the possibility of repetition, however, these are not individual participants) and at the same time "pupil hours", i.e. the number of tutored hours per pupil.</w:t>
      </w:r>
    </w:p>
    <w:p w14:paraId="24BFE86F" w14:textId="77777777" w:rsidR="00700EFA" w:rsidRPr="00226044" w:rsidRDefault="00700EFA" w:rsidP="00700EFA">
      <w:pPr>
        <w:jc w:val="both"/>
        <w:rPr>
          <w:rFonts w:cstheme="minorHAnsi"/>
          <w:i/>
          <w:iCs/>
          <w:sz w:val="20"/>
          <w:szCs w:val="20"/>
          <w:lang w:val="en-IE"/>
        </w:rPr>
      </w:pPr>
      <w:r w:rsidRPr="00226044">
        <w:rPr>
          <w:rFonts w:cstheme="minorHAnsi"/>
          <w:i/>
          <w:iCs/>
          <w:sz w:val="20"/>
          <w:szCs w:val="20"/>
          <w:lang w:val="en-IE"/>
        </w:rPr>
        <w:t xml:space="preserve">It is therefore proposed to express the milestone of 500,000 pupils in units of individual enrolments for tutoring   and then to check the fulfilment of the milestone through the number of those. </w:t>
      </w:r>
    </w:p>
    <w:p w14:paraId="7144C343" w14:textId="77777777" w:rsidR="00700EFA" w:rsidRDefault="00700EFA" w:rsidP="00700EFA">
      <w:r w:rsidRPr="00226044">
        <w:rPr>
          <w:rFonts w:cstheme="minorHAnsi"/>
          <w:i/>
          <w:iCs/>
          <w:sz w:val="20"/>
          <w:szCs w:val="20"/>
          <w:lang w:val="en-IE"/>
        </w:rPr>
        <w:t>Enrolments as a unit are recorded at the level of individual schools and subsequently reported by the schools. It is therefore a verifiable figure which at the same time enables effective, individually targeted help for individual pupils.</w:t>
      </w:r>
    </w:p>
    <w:p w14:paraId="7603D27B" w14:textId="77777777" w:rsidR="00885201" w:rsidRDefault="00885201" w:rsidP="00605759"/>
    <w:p w14:paraId="0BAE9D51" w14:textId="77777777" w:rsidR="00885201" w:rsidRDefault="00885201" w:rsidP="00605759"/>
    <w:sectPr w:rsidR="00885201" w:rsidSect="00CC5E40">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C9C35" w14:textId="77777777" w:rsidR="00126F81" w:rsidRDefault="00126F81" w:rsidP="00677FE0">
      <w:pPr>
        <w:spacing w:after="0" w:line="240" w:lineRule="auto"/>
      </w:pPr>
      <w:r>
        <w:separator/>
      </w:r>
    </w:p>
  </w:endnote>
  <w:endnote w:type="continuationSeparator" w:id="0">
    <w:p w14:paraId="2D1F5572" w14:textId="77777777" w:rsidR="00126F81" w:rsidRDefault="00126F81" w:rsidP="00677FE0">
      <w:pPr>
        <w:spacing w:after="0" w:line="240" w:lineRule="auto"/>
      </w:pPr>
      <w:r>
        <w:continuationSeparator/>
      </w:r>
    </w:p>
  </w:endnote>
  <w:endnote w:type="continuationNotice" w:id="1">
    <w:p w14:paraId="5DD1618E" w14:textId="77777777" w:rsidR="00126F81" w:rsidRDefault="00126F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A9C17" w14:textId="77777777" w:rsidR="00677FE0" w:rsidRDefault="00677F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79ED7" w14:textId="77777777" w:rsidR="00677FE0" w:rsidRDefault="00677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99CD6" w14:textId="77777777"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37AB72" w14:textId="77777777" w:rsidR="00126F81" w:rsidRDefault="00126F81" w:rsidP="00677FE0">
      <w:pPr>
        <w:spacing w:after="0" w:line="240" w:lineRule="auto"/>
      </w:pPr>
      <w:r>
        <w:separator/>
      </w:r>
    </w:p>
  </w:footnote>
  <w:footnote w:type="continuationSeparator" w:id="0">
    <w:p w14:paraId="6CB7280F" w14:textId="77777777" w:rsidR="00126F81" w:rsidRDefault="00126F81" w:rsidP="00677FE0">
      <w:pPr>
        <w:spacing w:after="0" w:line="240" w:lineRule="auto"/>
      </w:pPr>
      <w:r>
        <w:continuationSeparator/>
      </w:r>
    </w:p>
  </w:footnote>
  <w:footnote w:type="continuationNotice" w:id="1">
    <w:p w14:paraId="1B1334E0" w14:textId="77777777" w:rsidR="00126F81" w:rsidRDefault="00126F8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BB4BE" w14:textId="77777777" w:rsidR="00677FE0" w:rsidRDefault="00677F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6B6FF" w14:textId="77777777" w:rsidR="00677FE0" w:rsidRDefault="00677F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B54BA" w14:textId="77777777" w:rsidR="00677FE0" w:rsidRDefault="00677F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abstractNum w:abstractNumId="34" w15:restartNumberingAfterBreak="0">
    <w:nsid w:val="6F625F53"/>
    <w:multiLevelType w:val="hybridMultilevel"/>
    <w:tmpl w:val="6DEED732"/>
    <w:lvl w:ilvl="0" w:tplc="FFFFFFFF">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 w:numId="37">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3D"/>
    <w:rsid w:val="00015306"/>
    <w:rsid w:val="0002674B"/>
    <w:rsid w:val="0004162E"/>
    <w:rsid w:val="0004786B"/>
    <w:rsid w:val="0005777C"/>
    <w:rsid w:val="00063405"/>
    <w:rsid w:val="000809B9"/>
    <w:rsid w:val="0008121F"/>
    <w:rsid w:val="00083533"/>
    <w:rsid w:val="00084F1A"/>
    <w:rsid w:val="00090B40"/>
    <w:rsid w:val="00095A0A"/>
    <w:rsid w:val="000B1B3D"/>
    <w:rsid w:val="000C4CAF"/>
    <w:rsid w:val="000D2E67"/>
    <w:rsid w:val="000E1539"/>
    <w:rsid w:val="00121485"/>
    <w:rsid w:val="001268B0"/>
    <w:rsid w:val="00126F81"/>
    <w:rsid w:val="0018051B"/>
    <w:rsid w:val="001916E8"/>
    <w:rsid w:val="001B1E4A"/>
    <w:rsid w:val="001D27C0"/>
    <w:rsid w:val="001E74C3"/>
    <w:rsid w:val="001E7A2B"/>
    <w:rsid w:val="001F6937"/>
    <w:rsid w:val="00220DE3"/>
    <w:rsid w:val="00226044"/>
    <w:rsid w:val="00235E69"/>
    <w:rsid w:val="00250E76"/>
    <w:rsid w:val="0025290D"/>
    <w:rsid w:val="00260372"/>
    <w:rsid w:val="00262DAF"/>
    <w:rsid w:val="00267D55"/>
    <w:rsid w:val="00285AED"/>
    <w:rsid w:val="002B2D9F"/>
    <w:rsid w:val="002C7E0F"/>
    <w:rsid w:val="002E2442"/>
    <w:rsid w:val="002F0E8C"/>
    <w:rsid w:val="0030347C"/>
    <w:rsid w:val="00310FA0"/>
    <w:rsid w:val="00320481"/>
    <w:rsid w:val="003250CB"/>
    <w:rsid w:val="00334A86"/>
    <w:rsid w:val="00347CEB"/>
    <w:rsid w:val="0035048C"/>
    <w:rsid w:val="00363201"/>
    <w:rsid w:val="00382054"/>
    <w:rsid w:val="0039063C"/>
    <w:rsid w:val="003A46A8"/>
    <w:rsid w:val="003A51AA"/>
    <w:rsid w:val="003B565A"/>
    <w:rsid w:val="003B63FB"/>
    <w:rsid w:val="003D00A1"/>
    <w:rsid w:val="0041427F"/>
    <w:rsid w:val="00425C3D"/>
    <w:rsid w:val="004309BD"/>
    <w:rsid w:val="00430D23"/>
    <w:rsid w:val="004509E5"/>
    <w:rsid w:val="00486FB9"/>
    <w:rsid w:val="00487553"/>
    <w:rsid w:val="004C212A"/>
    <w:rsid w:val="004E3A77"/>
    <w:rsid w:val="00500232"/>
    <w:rsid w:val="00504668"/>
    <w:rsid w:val="00504856"/>
    <w:rsid w:val="00541939"/>
    <w:rsid w:val="005455E1"/>
    <w:rsid w:val="005502BD"/>
    <w:rsid w:val="00556787"/>
    <w:rsid w:val="00582276"/>
    <w:rsid w:val="005B1BAF"/>
    <w:rsid w:val="005C2560"/>
    <w:rsid w:val="005F7585"/>
    <w:rsid w:val="00605759"/>
    <w:rsid w:val="00650C6C"/>
    <w:rsid w:val="00652FE6"/>
    <w:rsid w:val="0066424A"/>
    <w:rsid w:val="00667898"/>
    <w:rsid w:val="00677FE0"/>
    <w:rsid w:val="006A667A"/>
    <w:rsid w:val="006B1AE1"/>
    <w:rsid w:val="006D04EF"/>
    <w:rsid w:val="006E2FB0"/>
    <w:rsid w:val="006E5720"/>
    <w:rsid w:val="006F0858"/>
    <w:rsid w:val="00700EFA"/>
    <w:rsid w:val="007102D2"/>
    <w:rsid w:val="00713948"/>
    <w:rsid w:val="00725028"/>
    <w:rsid w:val="00753A27"/>
    <w:rsid w:val="0079342A"/>
    <w:rsid w:val="007B4949"/>
    <w:rsid w:val="007F0BC6"/>
    <w:rsid w:val="0082696A"/>
    <w:rsid w:val="00831374"/>
    <w:rsid w:val="00857580"/>
    <w:rsid w:val="00865238"/>
    <w:rsid w:val="008667BF"/>
    <w:rsid w:val="0088258B"/>
    <w:rsid w:val="00885201"/>
    <w:rsid w:val="00895645"/>
    <w:rsid w:val="008A7851"/>
    <w:rsid w:val="008C3782"/>
    <w:rsid w:val="008D4A32"/>
    <w:rsid w:val="008D593A"/>
    <w:rsid w:val="008E6BB8"/>
    <w:rsid w:val="008E7760"/>
    <w:rsid w:val="00922001"/>
    <w:rsid w:val="00922C17"/>
    <w:rsid w:val="00942DDD"/>
    <w:rsid w:val="009516A8"/>
    <w:rsid w:val="0097705C"/>
    <w:rsid w:val="009808C1"/>
    <w:rsid w:val="009F393D"/>
    <w:rsid w:val="009F5770"/>
    <w:rsid w:val="009F7547"/>
    <w:rsid w:val="009F7F46"/>
    <w:rsid w:val="00A000BF"/>
    <w:rsid w:val="00A0587E"/>
    <w:rsid w:val="00A275BC"/>
    <w:rsid w:val="00A40B50"/>
    <w:rsid w:val="00A42C45"/>
    <w:rsid w:val="00A464B4"/>
    <w:rsid w:val="00A63D6B"/>
    <w:rsid w:val="00A84B52"/>
    <w:rsid w:val="00A8660F"/>
    <w:rsid w:val="00A9028B"/>
    <w:rsid w:val="00A95C48"/>
    <w:rsid w:val="00A97FC8"/>
    <w:rsid w:val="00AA7056"/>
    <w:rsid w:val="00AB31C6"/>
    <w:rsid w:val="00AB523B"/>
    <w:rsid w:val="00AD7E40"/>
    <w:rsid w:val="00B1477A"/>
    <w:rsid w:val="00B20993"/>
    <w:rsid w:val="00B4172F"/>
    <w:rsid w:val="00B42E96"/>
    <w:rsid w:val="00B50EE6"/>
    <w:rsid w:val="00B52185"/>
    <w:rsid w:val="00B63C77"/>
    <w:rsid w:val="00B77F4E"/>
    <w:rsid w:val="00B9753A"/>
    <w:rsid w:val="00BB479C"/>
    <w:rsid w:val="00BC4720"/>
    <w:rsid w:val="00BD75A2"/>
    <w:rsid w:val="00BD77F1"/>
    <w:rsid w:val="00C00BB4"/>
    <w:rsid w:val="00C04CD4"/>
    <w:rsid w:val="00C050CF"/>
    <w:rsid w:val="00C2017A"/>
    <w:rsid w:val="00C2026B"/>
    <w:rsid w:val="00C20470"/>
    <w:rsid w:val="00C34B2F"/>
    <w:rsid w:val="00C4641B"/>
    <w:rsid w:val="00C6690E"/>
    <w:rsid w:val="00C703C5"/>
    <w:rsid w:val="00C754A7"/>
    <w:rsid w:val="00C805F2"/>
    <w:rsid w:val="00C96EFE"/>
    <w:rsid w:val="00CC282F"/>
    <w:rsid w:val="00CC5E40"/>
    <w:rsid w:val="00CF1213"/>
    <w:rsid w:val="00D1569F"/>
    <w:rsid w:val="00D20B1E"/>
    <w:rsid w:val="00D22462"/>
    <w:rsid w:val="00D230AC"/>
    <w:rsid w:val="00D32489"/>
    <w:rsid w:val="00D3349E"/>
    <w:rsid w:val="00D56946"/>
    <w:rsid w:val="00D73CB8"/>
    <w:rsid w:val="00D86827"/>
    <w:rsid w:val="00D91875"/>
    <w:rsid w:val="00DA6B22"/>
    <w:rsid w:val="00DA7591"/>
    <w:rsid w:val="00DA790E"/>
    <w:rsid w:val="00DE3375"/>
    <w:rsid w:val="00E32798"/>
    <w:rsid w:val="00E33CC8"/>
    <w:rsid w:val="00E51C91"/>
    <w:rsid w:val="00E667C1"/>
    <w:rsid w:val="00EA3168"/>
    <w:rsid w:val="00EB5BB5"/>
    <w:rsid w:val="00EC3F88"/>
    <w:rsid w:val="00ED36D8"/>
    <w:rsid w:val="00EE6BD7"/>
    <w:rsid w:val="00F0689D"/>
    <w:rsid w:val="00F80058"/>
    <w:rsid w:val="00FB01B5"/>
    <w:rsid w:val="02F5DA5E"/>
    <w:rsid w:val="081487E7"/>
    <w:rsid w:val="0A2107C3"/>
    <w:rsid w:val="0B163A4A"/>
    <w:rsid w:val="0F242FA1"/>
    <w:rsid w:val="0F512E1E"/>
    <w:rsid w:val="10E4A0C4"/>
    <w:rsid w:val="148258EB"/>
    <w:rsid w:val="18BE96D9"/>
    <w:rsid w:val="1A859EE7"/>
    <w:rsid w:val="1C695468"/>
    <w:rsid w:val="28AB00A5"/>
    <w:rsid w:val="29C68673"/>
    <w:rsid w:val="2A368CCE"/>
    <w:rsid w:val="33528869"/>
    <w:rsid w:val="37826989"/>
    <w:rsid w:val="3A383AC7"/>
    <w:rsid w:val="3A70E6FF"/>
    <w:rsid w:val="477CD8CE"/>
    <w:rsid w:val="499B59C3"/>
    <w:rsid w:val="4CD95D34"/>
    <w:rsid w:val="4CD960E8"/>
    <w:rsid w:val="4F4B9A07"/>
    <w:rsid w:val="50CF67E8"/>
    <w:rsid w:val="54092AE1"/>
    <w:rsid w:val="5731DC51"/>
    <w:rsid w:val="5D25F6E2"/>
    <w:rsid w:val="5D2E518B"/>
    <w:rsid w:val="5F31059C"/>
    <w:rsid w:val="61C1950F"/>
    <w:rsid w:val="64682D8D"/>
    <w:rsid w:val="65C16EF3"/>
    <w:rsid w:val="6739D110"/>
    <w:rsid w:val="6755A719"/>
    <w:rsid w:val="70C37876"/>
    <w:rsid w:val="72665119"/>
    <w:rsid w:val="7CD055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114B8"/>
  <w15:chartTrackingRefBased/>
  <w15:docId w15:val="{FBACA34E-F005-4BCF-99B6-027B15BD7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35048C"/>
  </w:style>
  <w:style w:type="character" w:customStyle="1" w:styleId="eop">
    <w:name w:val="eop"/>
    <w:basedOn w:val="Standardnpsmoodstavce"/>
    <w:rsid w:val="0035048C"/>
  </w:style>
  <w:style w:type="table" w:styleId="Prosttabulka1">
    <w:name w:val="Plain Table 1"/>
    <w:basedOn w:val="Normlntabulka"/>
    <w:uiPriority w:val="41"/>
    <w:rsid w:val="0035048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Odkaznakoment">
    <w:name w:val="annotation reference"/>
    <w:basedOn w:val="Standardnpsmoodstavce"/>
    <w:uiPriority w:val="99"/>
    <w:semiHidden/>
    <w:unhideWhenUsed/>
    <w:rsid w:val="00267D55"/>
    <w:rPr>
      <w:sz w:val="16"/>
      <w:szCs w:val="16"/>
    </w:rPr>
  </w:style>
  <w:style w:type="paragraph" w:styleId="Textkomente">
    <w:name w:val="annotation text"/>
    <w:basedOn w:val="Normln"/>
    <w:link w:val="TextkomenteChar"/>
    <w:uiPriority w:val="99"/>
    <w:unhideWhenUsed/>
    <w:rsid w:val="00267D55"/>
    <w:pPr>
      <w:spacing w:line="240" w:lineRule="auto"/>
    </w:pPr>
    <w:rPr>
      <w:sz w:val="20"/>
      <w:szCs w:val="20"/>
    </w:rPr>
  </w:style>
  <w:style w:type="character" w:customStyle="1" w:styleId="TextkomenteChar">
    <w:name w:val="Text komentáře Char"/>
    <w:basedOn w:val="Standardnpsmoodstavce"/>
    <w:link w:val="Textkomente"/>
    <w:uiPriority w:val="99"/>
    <w:rsid w:val="00267D55"/>
    <w:rPr>
      <w:sz w:val="20"/>
      <w:szCs w:val="20"/>
      <w:lang w:val="en-GB"/>
    </w:rPr>
  </w:style>
  <w:style w:type="paragraph" w:styleId="Pedmtkomente">
    <w:name w:val="annotation subject"/>
    <w:basedOn w:val="Textkomente"/>
    <w:next w:val="Textkomente"/>
    <w:link w:val="PedmtkomenteChar"/>
    <w:uiPriority w:val="99"/>
    <w:semiHidden/>
    <w:unhideWhenUsed/>
    <w:rsid w:val="00267D55"/>
    <w:rPr>
      <w:b/>
      <w:bCs/>
    </w:rPr>
  </w:style>
  <w:style w:type="character" w:customStyle="1" w:styleId="PedmtkomenteChar">
    <w:name w:val="Předmět komentáře Char"/>
    <w:basedOn w:val="TextkomenteChar"/>
    <w:link w:val="Pedmtkomente"/>
    <w:uiPriority w:val="99"/>
    <w:semiHidden/>
    <w:rsid w:val="00267D55"/>
    <w:rPr>
      <w:b/>
      <w:bCs/>
      <w:sz w:val="20"/>
      <w:szCs w:val="20"/>
      <w:lang w:val="en-GB"/>
    </w:rPr>
  </w:style>
  <w:style w:type="paragraph" w:styleId="Textbubliny">
    <w:name w:val="Balloon Text"/>
    <w:basedOn w:val="Normln"/>
    <w:link w:val="TextbublinyChar"/>
    <w:uiPriority w:val="99"/>
    <w:semiHidden/>
    <w:unhideWhenUsed/>
    <w:rsid w:val="00267D5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7D55"/>
    <w:rPr>
      <w:rFonts w:ascii="Segoe UI" w:hAnsi="Segoe UI" w:cs="Segoe UI"/>
      <w:sz w:val="18"/>
      <w:szCs w:val="18"/>
      <w:lang w:val="en-GB"/>
    </w:rPr>
  </w:style>
  <w:style w:type="paragraph" w:customStyle="1" w:styleId="paragraph">
    <w:name w:val="paragraph"/>
    <w:basedOn w:val="Normln"/>
    <w:rsid w:val="004309BD"/>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styleId="Revize">
    <w:name w:val="Revision"/>
    <w:hidden/>
    <w:uiPriority w:val="99"/>
    <w:semiHidden/>
    <w:rsid w:val="001E7A2B"/>
    <w:pPr>
      <w:spacing w:after="0" w:line="240" w:lineRule="auto"/>
    </w:pPr>
    <w:rPr>
      <w:lang w:val="en-GB"/>
    </w:rPr>
  </w:style>
  <w:style w:type="paragraph" w:customStyle="1" w:styleId="xmsonormal">
    <w:name w:val="x_msonormal"/>
    <w:basedOn w:val="Normln"/>
    <w:rsid w:val="00EB5BB5"/>
    <w:pPr>
      <w:spacing w:after="0" w:line="240" w:lineRule="auto"/>
    </w:pPr>
    <w:rPr>
      <w:rFonts w:ascii="Calibri" w:hAnsi="Calibri" w:cs="Calibri"/>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836274">
      <w:bodyDiv w:val="1"/>
      <w:marLeft w:val="0"/>
      <w:marRight w:val="0"/>
      <w:marTop w:val="0"/>
      <w:marBottom w:val="0"/>
      <w:divBdr>
        <w:top w:val="none" w:sz="0" w:space="0" w:color="auto"/>
        <w:left w:val="none" w:sz="0" w:space="0" w:color="auto"/>
        <w:bottom w:val="none" w:sz="0" w:space="0" w:color="auto"/>
        <w:right w:val="none" w:sz="0" w:space="0" w:color="auto"/>
      </w:divBdr>
    </w:div>
    <w:div w:id="570241574">
      <w:bodyDiv w:val="1"/>
      <w:marLeft w:val="0"/>
      <w:marRight w:val="0"/>
      <w:marTop w:val="0"/>
      <w:marBottom w:val="0"/>
      <w:divBdr>
        <w:top w:val="none" w:sz="0" w:space="0" w:color="auto"/>
        <w:left w:val="none" w:sz="0" w:space="0" w:color="auto"/>
        <w:bottom w:val="none" w:sz="0" w:space="0" w:color="auto"/>
        <w:right w:val="none" w:sz="0" w:space="0" w:color="auto"/>
      </w:divBdr>
    </w:div>
    <w:div w:id="618100368">
      <w:bodyDiv w:val="1"/>
      <w:marLeft w:val="0"/>
      <w:marRight w:val="0"/>
      <w:marTop w:val="0"/>
      <w:marBottom w:val="0"/>
      <w:divBdr>
        <w:top w:val="none" w:sz="0" w:space="0" w:color="auto"/>
        <w:left w:val="none" w:sz="0" w:space="0" w:color="auto"/>
        <w:bottom w:val="none" w:sz="0" w:space="0" w:color="auto"/>
        <w:right w:val="none" w:sz="0" w:space="0" w:color="auto"/>
      </w:divBdr>
    </w:div>
    <w:div w:id="1090388035">
      <w:bodyDiv w:val="1"/>
      <w:marLeft w:val="0"/>
      <w:marRight w:val="0"/>
      <w:marTop w:val="0"/>
      <w:marBottom w:val="0"/>
      <w:divBdr>
        <w:top w:val="none" w:sz="0" w:space="0" w:color="auto"/>
        <w:left w:val="none" w:sz="0" w:space="0" w:color="auto"/>
        <w:bottom w:val="none" w:sz="0" w:space="0" w:color="auto"/>
        <w:right w:val="none" w:sz="0" w:space="0" w:color="auto"/>
      </w:divBdr>
    </w:div>
    <w:div w:id="168848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partnerstvi2030.cz/wp-content/uploads/Zaverecna_publikace_Partnerstvi_1rok_2021_modra.pdf"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276D3C" w:rsidRDefault="00276D3C"/>
      </w:docPartBody>
    </w:docPart>
    <w:docPart>
      <w:docPartPr>
        <w:name w:val="87D0573F3713465DAE2E4D5EF1F9FAA6"/>
        <w:category>
          <w:name w:val="Obecné"/>
          <w:gallery w:val="placeholder"/>
        </w:category>
        <w:types>
          <w:type w:val="bbPlcHdr"/>
        </w:types>
        <w:behaviors>
          <w:behavior w:val="content"/>
        </w:behaviors>
        <w:guid w:val="{1E2C2201-9931-49F8-8B53-FF0F598E6B9D}"/>
      </w:docPartPr>
      <w:docPartBody>
        <w:p w:rsidR="009F594A" w:rsidRDefault="009F594A"/>
      </w:docPartBody>
    </w:docPart>
    <w:docPart>
      <w:docPartPr>
        <w:name w:val="D5316DC1476C4905B970FFE1DE688C58"/>
        <w:category>
          <w:name w:val="Obecné"/>
          <w:gallery w:val="placeholder"/>
        </w:category>
        <w:types>
          <w:type w:val="bbPlcHdr"/>
        </w:types>
        <w:behaviors>
          <w:behavior w:val="content"/>
        </w:behaviors>
        <w:guid w:val="{E1C9950F-3C70-43A5-831D-40E5E14515BE}"/>
      </w:docPartPr>
      <w:docPartBody>
        <w:p w:rsidR="00FA13FC" w:rsidRDefault="00FA13FC"/>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D3C"/>
    <w:rsid w:val="00255B43"/>
    <w:rsid w:val="00276D3C"/>
    <w:rsid w:val="00623A66"/>
    <w:rsid w:val="00972708"/>
    <w:rsid w:val="009F594A"/>
    <w:rsid w:val="00C52BCC"/>
    <w:rsid w:val="00D601DC"/>
    <w:rsid w:val="00E50F1F"/>
    <w:rsid w:val="00FA13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4346392-9490-4ec2-979c-afa8507021a9" xsi:nil="true"/>
    <lcf76f155ced4ddcb4097134ff3c332f xmlns="11544cef-d40f-40e0-9fb2-ea3e47b346f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F1DF87-A340-4B77-8B98-65CC2F869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058C97-0D30-4B48-B488-06C60B84F98C}">
  <ds:schemaRefs>
    <ds:schemaRef ds:uri="http://purl.org/dc/elements/1.1/"/>
    <ds:schemaRef ds:uri="http://schemas.microsoft.com/office/2006/metadata/properties"/>
    <ds:schemaRef ds:uri="http://purl.org/dc/terms/"/>
    <ds:schemaRef ds:uri="http://schemas.microsoft.com/office/infopath/2007/PartnerControls"/>
    <ds:schemaRef ds:uri="http://purl.org/dc/dcmitype/"/>
    <ds:schemaRef ds:uri="http://schemas.microsoft.com/office/2006/documentManagement/types"/>
    <ds:schemaRef ds:uri="b369455b-8bcd-442a-8e4a-7fb1f898df6a"/>
    <ds:schemaRef ds:uri="http://schemas.openxmlformats.org/package/2006/metadata/core-properties"/>
    <ds:schemaRef ds:uri="37cc4df5-14fa-4bec-9694-125ae10ef75d"/>
    <ds:schemaRef ds:uri="http://www.w3.org/XML/1998/namespace"/>
    <ds:schemaRef ds:uri="b4346392-9490-4ec2-979c-afa8507021a9"/>
    <ds:schemaRef ds:uri="11544cef-d40f-40e0-9fb2-ea3e47b346f0"/>
  </ds:schemaRefs>
</ds:datastoreItem>
</file>

<file path=customXml/itemProps3.xml><?xml version="1.0" encoding="utf-8"?>
<ds:datastoreItem xmlns:ds="http://schemas.openxmlformats.org/officeDocument/2006/customXml" ds:itemID="{411F4119-4627-4E2C-BD44-6187D6A038A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2E1CC0F6.dotm</Template>
  <TotalTime>2</TotalTime>
  <Pages>5</Pages>
  <Words>2002</Words>
  <Characters>11815</Characters>
  <Application>Microsoft Office Word</Application>
  <DocSecurity>0</DocSecurity>
  <Lines>98</Lines>
  <Paragraphs>27</Paragraphs>
  <ScaleCrop>false</ScaleCrop>
  <Company>Ministerstvo průmyslu a obchodu</Company>
  <LinksUpToDate>false</LinksUpToDate>
  <CharactersWithSpaces>13790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5</cp:revision>
  <dcterms:created xsi:type="dcterms:W3CDTF">2023-08-22T11:18:00Z</dcterms:created>
  <dcterms:modified xsi:type="dcterms:W3CDTF">2023-11-22T07:21:00Z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