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A94CB6" w14:textId="738EFE20" w:rsidR="002C20CF" w:rsidRPr="002D279B" w:rsidRDefault="00A96F1C" w:rsidP="688BC03A">
      <w:pPr>
        <w:pStyle w:val="K-Nadpis1"/>
        <w:spacing w:before="0" w:after="200" w:line="240" w:lineRule="auto"/>
        <w:rPr>
          <w:rFonts w:asciiTheme="minorHAnsi" w:eastAsiaTheme="minorEastAsia" w:hAnsiTheme="minorHAnsi" w:cstheme="minorBidi"/>
          <w:sz w:val="22"/>
          <w:szCs w:val="22"/>
        </w:rPr>
      </w:pPr>
      <w:bookmarkStart w:id="0" w:name="_GoBack"/>
      <w:bookmarkEnd w:id="0"/>
      <w:r w:rsidRPr="688BC03A">
        <w:rPr>
          <w:rFonts w:asciiTheme="minorHAnsi" w:eastAsiaTheme="minorEastAsia" w:hAnsiTheme="minorHAnsi" w:cstheme="minorBidi"/>
          <w:sz w:val="22"/>
          <w:szCs w:val="22"/>
        </w:rPr>
        <w:t>7.1</w:t>
      </w:r>
      <w:r w:rsidR="004829E1" w:rsidRPr="688BC03A">
        <w:rPr>
          <w:rFonts w:asciiTheme="minorHAnsi" w:eastAsiaTheme="minorEastAsia" w:hAnsiTheme="minorHAnsi" w:cstheme="minorBidi"/>
          <w:sz w:val="22"/>
          <w:szCs w:val="22"/>
        </w:rPr>
        <w:t xml:space="preserve"> </w:t>
      </w:r>
      <w:r w:rsidR="00C4514A" w:rsidRPr="688BC03A">
        <w:rPr>
          <w:rFonts w:asciiTheme="minorHAnsi" w:eastAsiaTheme="minorEastAsia" w:hAnsiTheme="minorHAnsi" w:cstheme="minorBidi"/>
          <w:sz w:val="22"/>
          <w:szCs w:val="22"/>
        </w:rPr>
        <w:t xml:space="preserve">Posílení </w:t>
      </w:r>
      <w:r w:rsidR="004A23BD" w:rsidRPr="688BC03A">
        <w:rPr>
          <w:rFonts w:asciiTheme="minorHAnsi" w:eastAsiaTheme="minorEastAsia" w:hAnsiTheme="minorHAnsi" w:cstheme="minorBidi"/>
          <w:sz w:val="22"/>
          <w:szCs w:val="22"/>
        </w:rPr>
        <w:t xml:space="preserve">distribučních </w:t>
      </w:r>
      <w:r w:rsidR="00C4514A" w:rsidRPr="688BC03A">
        <w:rPr>
          <w:rFonts w:asciiTheme="minorHAnsi" w:eastAsiaTheme="minorEastAsia" w:hAnsiTheme="minorHAnsi" w:cstheme="minorBidi"/>
          <w:sz w:val="22"/>
          <w:szCs w:val="22"/>
        </w:rPr>
        <w:t xml:space="preserve">sítí </w:t>
      </w:r>
      <w:r w:rsidR="004A23BD" w:rsidRPr="688BC03A">
        <w:rPr>
          <w:rFonts w:asciiTheme="minorHAnsi" w:eastAsiaTheme="minorEastAsia" w:hAnsiTheme="minorHAnsi" w:cstheme="minorBidi"/>
          <w:sz w:val="22"/>
          <w:szCs w:val="22"/>
        </w:rPr>
        <w:t xml:space="preserve">a navýšení jejich připojitelného výkonu </w:t>
      </w:r>
      <w:r w:rsidR="00C4514A" w:rsidRPr="688BC03A">
        <w:rPr>
          <w:rFonts w:asciiTheme="minorHAnsi" w:eastAsiaTheme="minorEastAsia" w:hAnsiTheme="minorHAnsi" w:cstheme="minorBidi"/>
          <w:sz w:val="22"/>
          <w:szCs w:val="22"/>
        </w:rPr>
        <w:t>v souvislosti s rozvojem obnovitelných zdrojů v</w:t>
      </w:r>
      <w:r w:rsidR="004A23BD" w:rsidRPr="688BC03A">
        <w:rPr>
          <w:rFonts w:asciiTheme="minorHAnsi" w:eastAsiaTheme="minorEastAsia" w:hAnsiTheme="minorHAnsi" w:cstheme="minorBidi"/>
          <w:sz w:val="22"/>
          <w:szCs w:val="22"/>
        </w:rPr>
        <w:t> </w:t>
      </w:r>
      <w:r w:rsidR="00C4514A" w:rsidRPr="688BC03A">
        <w:rPr>
          <w:rFonts w:asciiTheme="minorHAnsi" w:eastAsiaTheme="minorEastAsia" w:hAnsiTheme="minorHAnsi" w:cstheme="minorBidi"/>
          <w:sz w:val="22"/>
          <w:szCs w:val="22"/>
        </w:rPr>
        <w:t>ČR</w:t>
      </w:r>
      <w:r w:rsidR="004A23BD" w:rsidRPr="688BC03A">
        <w:rPr>
          <w:rFonts w:asciiTheme="minorHAnsi" w:eastAsiaTheme="minorEastAsia" w:hAnsiTheme="minorHAnsi" w:cstheme="minorBidi"/>
          <w:sz w:val="22"/>
          <w:szCs w:val="22"/>
        </w:rPr>
        <w:t xml:space="preserve"> </w:t>
      </w:r>
      <w:r w:rsidR="005E3F60" w:rsidRPr="688BC03A">
        <w:rPr>
          <w:rFonts w:asciiTheme="minorHAnsi" w:eastAsiaTheme="minorEastAsia" w:hAnsiTheme="minorHAnsi" w:cstheme="minorBidi"/>
          <w:sz w:val="22"/>
          <w:szCs w:val="22"/>
        </w:rPr>
        <w:t>a další rozvoj fotovoltaických zdrojů</w:t>
      </w:r>
    </w:p>
    <w:p w14:paraId="6EF0DCC6" w14:textId="77777777" w:rsidR="002C20CF" w:rsidRPr="002D279B" w:rsidRDefault="6149D8CA" w:rsidP="003C2D9B">
      <w:pPr>
        <w:pStyle w:val="K-Nadpis2"/>
        <w:rPr>
          <w:sz w:val="22"/>
          <w:szCs w:val="22"/>
        </w:rPr>
      </w:pPr>
      <w:r w:rsidRPr="002D279B">
        <w:rPr>
          <w:sz w:val="22"/>
          <w:szCs w:val="22"/>
        </w:rPr>
        <w:t>Popis</w:t>
      </w:r>
      <w:r w:rsidR="2306B366" w:rsidRPr="002D279B">
        <w:rPr>
          <w:sz w:val="22"/>
          <w:szCs w:val="22"/>
        </w:rPr>
        <w:t xml:space="preserve"> </w:t>
      </w:r>
      <w:r w:rsidRPr="002D279B">
        <w:rPr>
          <w:sz w:val="22"/>
          <w:szCs w:val="22"/>
        </w:rPr>
        <w:t>komponenty</w:t>
      </w:r>
    </w:p>
    <w:tbl>
      <w:tblPr>
        <w:tblStyle w:val="Mkatabulky"/>
        <w:tblW w:w="9629" w:type="dxa"/>
        <w:tblLayout w:type="fixed"/>
        <w:tblLook w:val="04A0" w:firstRow="1" w:lastRow="0" w:firstColumn="1" w:lastColumn="0" w:noHBand="0" w:noVBand="1"/>
      </w:tblPr>
      <w:tblGrid>
        <w:gridCol w:w="9629"/>
      </w:tblGrid>
      <w:tr w:rsidR="66062307" w:rsidRPr="002D279B" w14:paraId="727B8E4C" w14:textId="77777777" w:rsidTr="634182B2">
        <w:tc>
          <w:tcPr>
            <w:tcW w:w="9629" w:type="dxa"/>
            <w:tcBorders>
              <w:top w:val="single" w:sz="8" w:space="0" w:color="auto"/>
              <w:left w:val="single" w:sz="8" w:space="0" w:color="auto"/>
              <w:bottom w:val="single" w:sz="8" w:space="0" w:color="auto"/>
              <w:right w:val="single" w:sz="8" w:space="0" w:color="auto"/>
            </w:tcBorders>
          </w:tcPr>
          <w:p w14:paraId="29528AA6" w14:textId="77777777" w:rsidR="205FD1D0" w:rsidRPr="002D279B" w:rsidRDefault="00C4514A" w:rsidP="569F9CD4">
            <w:pPr>
              <w:spacing w:line="240" w:lineRule="auto"/>
              <w:jc w:val="both"/>
              <w:rPr>
                <w:rStyle w:val="K-TabulkaChar"/>
                <w:rFonts w:asciiTheme="minorHAnsi" w:eastAsiaTheme="minorEastAsia" w:hAnsiTheme="minorHAnsi" w:cstheme="minorHAnsi"/>
                <w:sz w:val="22"/>
                <w:szCs w:val="22"/>
              </w:rPr>
            </w:pPr>
            <w:r w:rsidRPr="002D279B">
              <w:rPr>
                <w:rStyle w:val="K-TabulkaChar"/>
                <w:rFonts w:asciiTheme="minorHAnsi" w:eastAsiaTheme="minorEastAsia" w:hAnsiTheme="minorHAnsi" w:cstheme="minorHAnsi"/>
                <w:sz w:val="22"/>
                <w:szCs w:val="22"/>
              </w:rPr>
              <w:t xml:space="preserve">Název komponenty: </w:t>
            </w:r>
            <w:r w:rsidRPr="002D279B">
              <w:rPr>
                <w:rStyle w:val="K-TabulkaChar"/>
                <w:rFonts w:asciiTheme="minorHAnsi" w:eastAsiaTheme="minorEastAsia" w:hAnsiTheme="minorHAnsi" w:cstheme="minorHAnsi"/>
                <w:b w:val="0"/>
                <w:sz w:val="22"/>
                <w:szCs w:val="22"/>
              </w:rPr>
              <w:t xml:space="preserve">Posílení </w:t>
            </w:r>
            <w:r w:rsidR="00B67952" w:rsidRPr="002D279B">
              <w:rPr>
                <w:rStyle w:val="K-TabulkaChar"/>
                <w:rFonts w:asciiTheme="minorHAnsi" w:eastAsiaTheme="minorEastAsia" w:hAnsiTheme="minorHAnsi" w:cstheme="minorHAnsi"/>
                <w:b w:val="0"/>
                <w:sz w:val="22"/>
                <w:szCs w:val="22"/>
              </w:rPr>
              <w:t xml:space="preserve">distribučních </w:t>
            </w:r>
            <w:r w:rsidRPr="002D279B">
              <w:rPr>
                <w:rStyle w:val="K-TabulkaChar"/>
                <w:rFonts w:asciiTheme="minorHAnsi" w:eastAsiaTheme="minorEastAsia" w:hAnsiTheme="minorHAnsi" w:cstheme="minorHAnsi"/>
                <w:b w:val="0"/>
                <w:sz w:val="22"/>
                <w:szCs w:val="22"/>
              </w:rPr>
              <w:t xml:space="preserve">sítí </w:t>
            </w:r>
            <w:r w:rsidR="00B67952" w:rsidRPr="002D279B">
              <w:rPr>
                <w:rStyle w:val="K-TabulkaChar"/>
                <w:rFonts w:asciiTheme="minorHAnsi" w:eastAsiaTheme="minorEastAsia" w:hAnsiTheme="minorHAnsi" w:cstheme="minorHAnsi"/>
                <w:b w:val="0"/>
                <w:sz w:val="22"/>
                <w:szCs w:val="22"/>
              </w:rPr>
              <w:t xml:space="preserve">a navýšení jejich připojitelného výkonu </w:t>
            </w:r>
            <w:r w:rsidRPr="002D279B">
              <w:rPr>
                <w:rStyle w:val="K-TabulkaChar"/>
                <w:rFonts w:asciiTheme="minorHAnsi" w:eastAsiaTheme="minorEastAsia" w:hAnsiTheme="minorHAnsi" w:cstheme="minorHAnsi"/>
                <w:b w:val="0"/>
                <w:sz w:val="22"/>
                <w:szCs w:val="22"/>
              </w:rPr>
              <w:t>v souvislosti s rozvojem obnovitelných zdrojů v</w:t>
            </w:r>
            <w:r w:rsidR="003E4869" w:rsidRPr="002D279B">
              <w:rPr>
                <w:rStyle w:val="K-TabulkaChar"/>
                <w:rFonts w:asciiTheme="minorHAnsi" w:eastAsiaTheme="minorEastAsia" w:hAnsiTheme="minorHAnsi" w:cstheme="minorHAnsi"/>
                <w:b w:val="0"/>
                <w:sz w:val="22"/>
                <w:szCs w:val="22"/>
              </w:rPr>
              <w:t> </w:t>
            </w:r>
            <w:r w:rsidRPr="002D279B">
              <w:rPr>
                <w:rStyle w:val="K-TabulkaChar"/>
                <w:rFonts w:asciiTheme="minorHAnsi" w:eastAsiaTheme="minorEastAsia" w:hAnsiTheme="minorHAnsi" w:cstheme="minorHAnsi"/>
                <w:b w:val="0"/>
                <w:sz w:val="22"/>
                <w:szCs w:val="22"/>
              </w:rPr>
              <w:t>ČR</w:t>
            </w:r>
            <w:r w:rsidR="003E4869" w:rsidRPr="002D279B">
              <w:rPr>
                <w:rStyle w:val="K-TabulkaChar"/>
                <w:rFonts w:asciiTheme="minorHAnsi" w:eastAsiaTheme="minorEastAsia" w:hAnsiTheme="minorHAnsi" w:cstheme="minorHAnsi"/>
                <w:b w:val="0"/>
                <w:sz w:val="22"/>
                <w:szCs w:val="22"/>
              </w:rPr>
              <w:t>, a další rozvoj fotovoltaických zdrojů</w:t>
            </w:r>
            <w:r w:rsidR="00FA04CF" w:rsidRPr="002D279B">
              <w:rPr>
                <w:rStyle w:val="K-TabulkaChar"/>
                <w:rFonts w:asciiTheme="minorHAnsi" w:eastAsiaTheme="minorEastAsia" w:hAnsiTheme="minorHAnsi" w:cstheme="minorHAnsi"/>
                <w:b w:val="0"/>
                <w:sz w:val="22"/>
                <w:szCs w:val="22"/>
              </w:rPr>
              <w:t>.</w:t>
            </w:r>
          </w:p>
          <w:p w14:paraId="5E9DB960" w14:textId="77777777" w:rsidR="66062307" w:rsidRPr="002D279B" w:rsidRDefault="66062307" w:rsidP="569F9CD4">
            <w:pPr>
              <w:pStyle w:val="Default"/>
              <w:spacing w:after="120"/>
              <w:jc w:val="both"/>
              <w:rPr>
                <w:rStyle w:val="K-TextChar"/>
                <w:rFonts w:asciiTheme="minorHAnsi" w:eastAsiaTheme="minorEastAsia" w:hAnsiTheme="minorHAnsi" w:cstheme="minorHAnsi"/>
                <w:sz w:val="22"/>
                <w:szCs w:val="22"/>
              </w:rPr>
            </w:pPr>
            <w:r w:rsidRPr="002D279B">
              <w:rPr>
                <w:rFonts w:asciiTheme="minorHAnsi" w:eastAsiaTheme="minorEastAsia" w:hAnsiTheme="minorHAnsi" w:cstheme="minorHAnsi"/>
                <w:b/>
                <w:bCs/>
                <w:color w:val="000000" w:themeColor="text1"/>
                <w:sz w:val="22"/>
                <w:szCs w:val="22"/>
              </w:rPr>
              <w:t xml:space="preserve">Oblast politiky: </w:t>
            </w:r>
            <w:r w:rsidR="751B02B8" w:rsidRPr="002D279B">
              <w:rPr>
                <w:rStyle w:val="K-TextChar"/>
                <w:rFonts w:asciiTheme="minorHAnsi" w:eastAsiaTheme="minorEastAsia" w:hAnsiTheme="minorHAnsi" w:cstheme="minorHAnsi"/>
                <w:sz w:val="22"/>
                <w:szCs w:val="22"/>
              </w:rPr>
              <w:t>energetická politika, klimatická politika, podpora obnovitelných zdrojů energie</w:t>
            </w:r>
            <w:r w:rsidR="00644ACC" w:rsidRPr="002D279B">
              <w:rPr>
                <w:rStyle w:val="K-TextChar"/>
                <w:rFonts w:asciiTheme="minorHAnsi" w:eastAsiaTheme="minorEastAsia" w:hAnsiTheme="minorHAnsi" w:cstheme="minorHAnsi"/>
                <w:sz w:val="22"/>
                <w:szCs w:val="22"/>
              </w:rPr>
              <w:t>, decentraliz</w:t>
            </w:r>
            <w:r w:rsidR="00C53A93" w:rsidRPr="002D279B">
              <w:rPr>
                <w:rStyle w:val="K-TextChar"/>
                <w:rFonts w:asciiTheme="minorHAnsi" w:eastAsiaTheme="minorEastAsia" w:hAnsiTheme="minorHAnsi" w:cstheme="minorHAnsi"/>
                <w:sz w:val="22"/>
                <w:szCs w:val="22"/>
              </w:rPr>
              <w:t>a</w:t>
            </w:r>
            <w:r w:rsidR="00644ACC" w:rsidRPr="002D279B">
              <w:rPr>
                <w:rStyle w:val="K-TextChar"/>
                <w:rFonts w:asciiTheme="minorHAnsi" w:eastAsiaTheme="minorEastAsia" w:hAnsiTheme="minorHAnsi" w:cstheme="minorHAnsi"/>
                <w:sz w:val="22"/>
                <w:szCs w:val="22"/>
              </w:rPr>
              <w:t>c</w:t>
            </w:r>
            <w:r w:rsidR="00C53A93" w:rsidRPr="002D279B">
              <w:rPr>
                <w:rStyle w:val="K-TextChar"/>
                <w:rFonts w:asciiTheme="minorHAnsi" w:eastAsiaTheme="minorEastAsia" w:hAnsiTheme="minorHAnsi" w:cstheme="minorHAnsi"/>
                <w:sz w:val="22"/>
                <w:szCs w:val="22"/>
              </w:rPr>
              <w:t>e</w:t>
            </w:r>
            <w:r w:rsidR="00644ACC" w:rsidRPr="002D279B">
              <w:rPr>
                <w:rStyle w:val="K-TextChar"/>
                <w:rFonts w:asciiTheme="minorHAnsi" w:eastAsiaTheme="minorEastAsia" w:hAnsiTheme="minorHAnsi" w:cstheme="minorHAnsi"/>
                <w:sz w:val="22"/>
                <w:szCs w:val="22"/>
              </w:rPr>
              <w:t xml:space="preserve"> a </w:t>
            </w:r>
            <w:r w:rsidR="00C53A93" w:rsidRPr="002D279B">
              <w:rPr>
                <w:rStyle w:val="K-TextChar"/>
                <w:rFonts w:asciiTheme="minorHAnsi" w:eastAsiaTheme="minorEastAsia" w:hAnsiTheme="minorHAnsi" w:cstheme="minorHAnsi"/>
                <w:sz w:val="22"/>
                <w:szCs w:val="22"/>
              </w:rPr>
              <w:t>digitalizace</w:t>
            </w:r>
            <w:r w:rsidR="00644ACC" w:rsidRPr="002D279B">
              <w:rPr>
                <w:rStyle w:val="K-TextChar"/>
                <w:rFonts w:asciiTheme="minorHAnsi" w:eastAsiaTheme="minorEastAsia" w:hAnsiTheme="minorHAnsi" w:cstheme="minorHAnsi"/>
                <w:sz w:val="22"/>
                <w:szCs w:val="22"/>
              </w:rPr>
              <w:t xml:space="preserve"> energetiky</w:t>
            </w:r>
          </w:p>
          <w:p w14:paraId="63DD851E" w14:textId="77777777" w:rsidR="66062307" w:rsidRPr="002D279B" w:rsidRDefault="66062307" w:rsidP="569F9CD4">
            <w:pPr>
              <w:spacing w:line="240" w:lineRule="auto"/>
              <w:jc w:val="both"/>
              <w:rPr>
                <w:rFonts w:eastAsiaTheme="minorEastAsia" w:cstheme="minorHAnsi"/>
                <w:b/>
                <w:bCs/>
              </w:rPr>
            </w:pPr>
            <w:r w:rsidRPr="002D279B">
              <w:rPr>
                <w:rFonts w:eastAsiaTheme="minorEastAsia" w:cstheme="minorHAnsi"/>
                <w:b/>
                <w:bCs/>
              </w:rPr>
              <w:t>Cíl:</w:t>
            </w:r>
          </w:p>
          <w:p w14:paraId="4448C9A8" w14:textId="77777777" w:rsidR="00C4514A" w:rsidRPr="002D279B" w:rsidRDefault="006D61DA" w:rsidP="006D61DA">
            <w:pPr>
              <w:spacing w:line="240" w:lineRule="auto"/>
              <w:jc w:val="both"/>
              <w:rPr>
                <w:rFonts w:eastAsiaTheme="minorEastAsia" w:cstheme="minorHAnsi"/>
                <w:bCs/>
              </w:rPr>
            </w:pPr>
            <w:r w:rsidRPr="002D279B">
              <w:rPr>
                <w:rFonts w:eastAsiaTheme="minorEastAsia" w:cstheme="minorHAnsi"/>
                <w:bCs/>
              </w:rPr>
              <w:t xml:space="preserve">V souvislosti s rapidním rozvojem decentralizovaných zdrojů </w:t>
            </w:r>
            <w:r w:rsidR="00576F7C" w:rsidRPr="002D279B">
              <w:rPr>
                <w:rFonts w:eastAsiaTheme="minorEastAsia" w:cstheme="minorHAnsi"/>
                <w:bCs/>
              </w:rPr>
              <w:t>v České republice a poptávky po připojitelnosti nových dobíjecích stanic pro elektrom</w:t>
            </w:r>
            <w:r w:rsidR="009935D0" w:rsidRPr="002D279B">
              <w:rPr>
                <w:rFonts w:eastAsiaTheme="minorEastAsia" w:cstheme="minorHAnsi"/>
                <w:bCs/>
              </w:rPr>
              <w:t>obily</w:t>
            </w:r>
            <w:r w:rsidR="00576F7C" w:rsidRPr="002D279B">
              <w:rPr>
                <w:rFonts w:eastAsiaTheme="minorEastAsia" w:cstheme="minorHAnsi"/>
                <w:bCs/>
              </w:rPr>
              <w:t xml:space="preserve"> </w:t>
            </w:r>
            <w:r w:rsidRPr="002D279B">
              <w:rPr>
                <w:rFonts w:eastAsiaTheme="minorEastAsia" w:cstheme="minorHAnsi"/>
                <w:bCs/>
              </w:rPr>
              <w:t xml:space="preserve">dochází na straně provozovatelů sítí </w:t>
            </w:r>
            <w:r w:rsidR="00B67952" w:rsidRPr="002D279B">
              <w:rPr>
                <w:rFonts w:eastAsiaTheme="minorEastAsia" w:cstheme="minorHAnsi"/>
                <w:bCs/>
              </w:rPr>
              <w:t>(</w:t>
            </w:r>
            <w:r w:rsidRPr="002D279B">
              <w:rPr>
                <w:rFonts w:eastAsiaTheme="minorEastAsia" w:cstheme="minorHAnsi"/>
                <w:bCs/>
              </w:rPr>
              <w:t>distribučních soustav) k aktivitám směřujícím k posílení sítí za účelem</w:t>
            </w:r>
            <w:r w:rsidR="00A90CF7" w:rsidRPr="002D279B">
              <w:rPr>
                <w:rFonts w:eastAsiaTheme="minorEastAsia" w:cstheme="minorHAnsi"/>
                <w:bCs/>
              </w:rPr>
              <w:t xml:space="preserve"> vzniku nových dobíjecích stanic pro elektromobily a</w:t>
            </w:r>
            <w:r w:rsidRPr="002D279B">
              <w:rPr>
                <w:rFonts w:eastAsiaTheme="minorEastAsia" w:cstheme="minorHAnsi"/>
                <w:bCs/>
              </w:rPr>
              <w:t xml:space="preserve"> připojování výroben obnovitelných zdrojů energie (dále jen „OZE“). </w:t>
            </w:r>
            <w:r w:rsidR="00B67952" w:rsidRPr="002D279B">
              <w:rPr>
                <w:rFonts w:eastAsiaTheme="minorEastAsia" w:cstheme="minorHAnsi"/>
                <w:bCs/>
              </w:rPr>
              <w:t xml:space="preserve">Množství připojovaných nových zdrojů OZE, resp. žádostí o jejich připojení do distribučních soustav exponenciálně přibývá především v souvislosti s turbulentními změnami cen energií v roce 2022 a pokračující energetickou cenovou krizí, která negativně dopadá na výrobní podniky. Tento rozvoj OZE na úrovni jednotlivých podnikatelských subjektů je správný, nicméně některé části distribučních soustav s tímto překotným rozvojem narazily na svůj technický a technologický strop a bez okamžitého posílení není možné další rozvoj OZE bezpečně zajistit. </w:t>
            </w:r>
          </w:p>
          <w:p w14:paraId="376D123D" w14:textId="77777777" w:rsidR="006D61DA" w:rsidRPr="002D279B" w:rsidRDefault="006D61DA" w:rsidP="006D61DA">
            <w:pPr>
              <w:spacing w:line="240" w:lineRule="auto"/>
              <w:jc w:val="both"/>
              <w:rPr>
                <w:rFonts w:eastAsiaTheme="minorEastAsia" w:cstheme="minorHAnsi"/>
                <w:bCs/>
              </w:rPr>
            </w:pPr>
            <w:r w:rsidRPr="002D279B">
              <w:rPr>
                <w:rFonts w:eastAsiaTheme="minorEastAsia" w:cstheme="minorHAnsi"/>
                <w:bCs/>
              </w:rPr>
              <w:t xml:space="preserve">Cílem je tedy zajistit dostatečný </w:t>
            </w:r>
            <w:r w:rsidR="00B67952" w:rsidRPr="002D279B">
              <w:rPr>
                <w:rFonts w:eastAsiaTheme="minorEastAsia" w:cstheme="minorHAnsi"/>
                <w:bCs/>
              </w:rPr>
              <w:t xml:space="preserve">a rychlý </w:t>
            </w:r>
            <w:r w:rsidRPr="002D279B">
              <w:rPr>
                <w:rFonts w:eastAsiaTheme="minorEastAsia" w:cstheme="minorHAnsi"/>
                <w:bCs/>
              </w:rPr>
              <w:t>rozvoj distribučních sítí umožňující bezpečný provoz elektrizační soustavy při uspokojení vysokých nároků na připojování obnovitelných zdrojů energie</w:t>
            </w:r>
            <w:r w:rsidR="00576F7C" w:rsidRPr="002D279B">
              <w:rPr>
                <w:rFonts w:eastAsiaTheme="minorEastAsia" w:cstheme="minorHAnsi"/>
                <w:bCs/>
              </w:rPr>
              <w:t xml:space="preserve"> a zajištění distribuce energie pro nová dobíjecí zařízení.</w:t>
            </w:r>
            <w:r w:rsidR="003E4869" w:rsidRPr="002D279B">
              <w:rPr>
                <w:rFonts w:eastAsiaTheme="minorEastAsia" w:cstheme="minorHAnsi"/>
                <w:bCs/>
              </w:rPr>
              <w:t xml:space="preserve"> V návaznosti na tyto skutečnosti pak může být souběžně podpořeno posílení rozvoje fotovoltaických zdrojů.</w:t>
            </w:r>
          </w:p>
          <w:p w14:paraId="6E6190B0" w14:textId="77777777" w:rsidR="66062307" w:rsidRPr="002D279B" w:rsidRDefault="66062307" w:rsidP="569F9CD4">
            <w:pPr>
              <w:spacing w:line="240" w:lineRule="auto"/>
              <w:jc w:val="both"/>
              <w:rPr>
                <w:rFonts w:eastAsiaTheme="minorEastAsia" w:cstheme="minorHAnsi"/>
                <w:b/>
                <w:bCs/>
              </w:rPr>
            </w:pPr>
            <w:r w:rsidRPr="002D279B">
              <w:rPr>
                <w:rFonts w:eastAsiaTheme="minorEastAsia" w:cstheme="minorHAnsi"/>
                <w:b/>
                <w:bCs/>
              </w:rPr>
              <w:t xml:space="preserve">Reformy a investice: </w:t>
            </w:r>
          </w:p>
          <w:p w14:paraId="2FF8AAAC" w14:textId="77777777" w:rsidR="00EC5DE9" w:rsidRPr="002D279B" w:rsidRDefault="00EC5DE9" w:rsidP="00EC5DE9">
            <w:pPr>
              <w:pStyle w:val="K-TextInfo"/>
              <w:rPr>
                <w:rFonts w:asciiTheme="minorHAnsi" w:eastAsiaTheme="minorEastAsia" w:hAnsiTheme="minorHAnsi" w:cstheme="minorHAnsi"/>
                <w:i w:val="0"/>
                <w:iCs w:val="0"/>
                <w:color w:val="auto"/>
                <w:sz w:val="22"/>
                <w:szCs w:val="22"/>
              </w:rPr>
            </w:pPr>
            <w:r w:rsidRPr="002D279B">
              <w:rPr>
                <w:rFonts w:asciiTheme="minorHAnsi" w:eastAsiaTheme="minorEastAsia" w:hAnsiTheme="minorHAnsi" w:cstheme="minorHAnsi"/>
                <w:i w:val="0"/>
                <w:iCs w:val="0"/>
                <w:color w:val="auto"/>
                <w:sz w:val="22"/>
                <w:szCs w:val="22"/>
              </w:rPr>
              <w:t xml:space="preserve">Mezi podporované investice budou patřit tyto prvky: výstavba, posílení, rekonstrukce a modernizace distribučních soustav včetně související infrastruktury na území České republiky v místech, kde stávající přenosové schopnosti sítě omezují možnosti připojení nových OZE. Aktivity mohou být zaměřeny na </w:t>
            </w:r>
            <w:r w:rsidR="00CC3D2F" w:rsidRPr="002D279B">
              <w:rPr>
                <w:rFonts w:asciiTheme="minorHAnsi" w:eastAsiaTheme="minorEastAsia" w:hAnsiTheme="minorHAnsi" w:cstheme="minorHAnsi"/>
                <w:i w:val="0"/>
                <w:iCs w:val="0"/>
                <w:color w:val="auto"/>
                <w:sz w:val="22"/>
                <w:szCs w:val="22"/>
              </w:rPr>
              <w:t xml:space="preserve">výstavbu nebo </w:t>
            </w:r>
            <w:r w:rsidRPr="002D279B">
              <w:rPr>
                <w:rFonts w:asciiTheme="minorHAnsi" w:eastAsiaTheme="minorEastAsia" w:hAnsiTheme="minorHAnsi" w:cstheme="minorHAnsi"/>
                <w:i w:val="0"/>
                <w:iCs w:val="0"/>
                <w:color w:val="auto"/>
                <w:sz w:val="22"/>
                <w:szCs w:val="22"/>
              </w:rPr>
              <w:t xml:space="preserve">úpravy rozvodných </w:t>
            </w:r>
            <w:r w:rsidR="00CC3D2F" w:rsidRPr="002D279B">
              <w:rPr>
                <w:rFonts w:asciiTheme="minorHAnsi" w:eastAsiaTheme="minorEastAsia" w:hAnsiTheme="minorHAnsi" w:cstheme="minorHAnsi"/>
                <w:i w:val="0"/>
                <w:iCs w:val="0"/>
                <w:color w:val="auto"/>
                <w:sz w:val="22"/>
                <w:szCs w:val="22"/>
              </w:rPr>
              <w:t xml:space="preserve">či transformačních </w:t>
            </w:r>
            <w:r w:rsidRPr="002D279B">
              <w:rPr>
                <w:rFonts w:asciiTheme="minorHAnsi" w:eastAsiaTheme="minorEastAsia" w:hAnsiTheme="minorHAnsi" w:cstheme="minorHAnsi"/>
                <w:i w:val="0"/>
                <w:iCs w:val="0"/>
                <w:color w:val="auto"/>
                <w:sz w:val="22"/>
                <w:szCs w:val="22"/>
              </w:rPr>
              <w:t>stanic, nebo na posilování vedení</w:t>
            </w:r>
            <w:r w:rsidR="00B67952" w:rsidRPr="002D279B">
              <w:rPr>
                <w:rFonts w:asciiTheme="minorHAnsi" w:eastAsiaTheme="minorEastAsia" w:hAnsiTheme="minorHAnsi" w:cstheme="minorHAnsi"/>
                <w:i w:val="0"/>
                <w:iCs w:val="0"/>
                <w:color w:val="auto"/>
                <w:sz w:val="22"/>
                <w:szCs w:val="22"/>
              </w:rPr>
              <w:t xml:space="preserve"> s cílem zajistiti navýšení připojitelného výkonu OZE</w:t>
            </w:r>
            <w:r w:rsidR="00576F7C" w:rsidRPr="002D279B">
              <w:rPr>
                <w:rFonts w:asciiTheme="minorHAnsi" w:eastAsiaTheme="minorEastAsia" w:hAnsiTheme="minorHAnsi" w:cstheme="minorHAnsi"/>
                <w:i w:val="0"/>
                <w:iCs w:val="0"/>
                <w:color w:val="auto"/>
                <w:sz w:val="22"/>
                <w:szCs w:val="22"/>
              </w:rPr>
              <w:t xml:space="preserve"> a bezpečného rozvoje dobíjecích stanic pro vozidla s nulovými emisemi</w:t>
            </w:r>
            <w:r w:rsidR="00B67952" w:rsidRPr="002D279B">
              <w:rPr>
                <w:rFonts w:asciiTheme="minorHAnsi" w:eastAsiaTheme="minorEastAsia" w:hAnsiTheme="minorHAnsi" w:cstheme="minorHAnsi"/>
                <w:i w:val="0"/>
                <w:iCs w:val="0"/>
                <w:color w:val="auto"/>
                <w:sz w:val="22"/>
                <w:szCs w:val="22"/>
              </w:rPr>
              <w:t>.</w:t>
            </w:r>
            <w:r w:rsidR="003E4869" w:rsidRPr="002D279B">
              <w:rPr>
                <w:rFonts w:asciiTheme="minorHAnsi" w:eastAsiaTheme="minorEastAsia" w:hAnsiTheme="minorHAnsi" w:cstheme="minorHAnsi"/>
                <w:i w:val="0"/>
                <w:iCs w:val="0"/>
                <w:color w:val="auto"/>
                <w:sz w:val="22"/>
                <w:szCs w:val="22"/>
              </w:rPr>
              <w:t xml:space="preserve"> V návaznosti na tyto skutečnosti pak může být souběžně podpořeno posílení rozvoje fotovoltaických zdrojů.</w:t>
            </w:r>
          </w:p>
          <w:p w14:paraId="46EEFADD" w14:textId="77777777" w:rsidR="66062307" w:rsidRPr="002D279B" w:rsidRDefault="66062307" w:rsidP="569F9CD4">
            <w:pPr>
              <w:spacing w:after="0" w:line="240" w:lineRule="auto"/>
              <w:jc w:val="both"/>
              <w:rPr>
                <w:rFonts w:eastAsiaTheme="minorEastAsia" w:cstheme="minorHAnsi"/>
                <w:b/>
                <w:bCs/>
              </w:rPr>
            </w:pPr>
            <w:r w:rsidRPr="002D279B">
              <w:rPr>
                <w:rFonts w:eastAsiaTheme="minorEastAsia" w:cstheme="minorHAnsi"/>
                <w:b/>
                <w:bCs/>
              </w:rPr>
              <w:t xml:space="preserve">Odhadované náklady: </w:t>
            </w:r>
          </w:p>
          <w:p w14:paraId="591AC16E" w14:textId="409FE4B3" w:rsidR="37865E57" w:rsidRPr="002D279B" w:rsidRDefault="3C257CB7" w:rsidP="71C589F3">
            <w:pPr>
              <w:pStyle w:val="Default"/>
              <w:spacing w:before="120" w:after="120"/>
              <w:jc w:val="both"/>
              <w:rPr>
                <w:rStyle w:val="K-TextChar"/>
                <w:rFonts w:asciiTheme="minorHAnsi" w:eastAsiaTheme="minorEastAsia" w:hAnsiTheme="minorHAnsi" w:cstheme="minorBidi"/>
                <w:b/>
                <w:bCs/>
                <w:sz w:val="22"/>
                <w:szCs w:val="22"/>
              </w:rPr>
            </w:pPr>
            <w:r w:rsidRPr="634182B2">
              <w:rPr>
                <w:rStyle w:val="K-TextChar"/>
                <w:rFonts w:asciiTheme="minorHAnsi" w:eastAsiaTheme="minorEastAsia" w:hAnsiTheme="minorHAnsi" w:cstheme="minorBidi"/>
                <w:b/>
                <w:bCs/>
                <w:sz w:val="22"/>
                <w:szCs w:val="22"/>
              </w:rPr>
              <w:t>1</w:t>
            </w:r>
            <w:r w:rsidR="6279E530" w:rsidRPr="634182B2">
              <w:rPr>
                <w:rStyle w:val="K-TextChar"/>
                <w:rFonts w:asciiTheme="minorHAnsi" w:eastAsiaTheme="minorEastAsia" w:hAnsiTheme="minorHAnsi" w:cstheme="minorBidi"/>
                <w:b/>
                <w:bCs/>
                <w:sz w:val="22"/>
                <w:szCs w:val="22"/>
              </w:rPr>
              <w:t>5,5</w:t>
            </w:r>
            <w:r w:rsidR="3E0D1916" w:rsidRPr="634182B2">
              <w:rPr>
                <w:rStyle w:val="K-TextChar"/>
                <w:rFonts w:asciiTheme="minorHAnsi" w:eastAsiaTheme="minorEastAsia" w:hAnsiTheme="minorHAnsi" w:cstheme="minorBidi"/>
                <w:b/>
                <w:bCs/>
                <w:sz w:val="22"/>
                <w:szCs w:val="22"/>
              </w:rPr>
              <w:t>8</w:t>
            </w:r>
            <w:r w:rsidR="009935D0" w:rsidRPr="634182B2">
              <w:rPr>
                <w:rStyle w:val="K-TextChar"/>
                <w:rFonts w:asciiTheme="minorHAnsi" w:eastAsiaTheme="minorEastAsia" w:hAnsiTheme="minorHAnsi" w:cstheme="minorBidi"/>
                <w:b/>
                <w:bCs/>
                <w:sz w:val="22"/>
                <w:szCs w:val="22"/>
              </w:rPr>
              <w:t xml:space="preserve"> </w:t>
            </w:r>
            <w:r w:rsidR="006D61DA" w:rsidRPr="634182B2">
              <w:rPr>
                <w:rStyle w:val="K-TextChar"/>
                <w:rFonts w:asciiTheme="minorHAnsi" w:eastAsiaTheme="minorEastAsia" w:hAnsiTheme="minorHAnsi" w:cstheme="minorBidi"/>
                <w:b/>
                <w:bCs/>
                <w:sz w:val="22"/>
                <w:szCs w:val="22"/>
              </w:rPr>
              <w:t xml:space="preserve"> mld. Kč </w:t>
            </w:r>
          </w:p>
        </w:tc>
      </w:tr>
    </w:tbl>
    <w:p w14:paraId="090EE4B0" w14:textId="77777777" w:rsidR="0015052B" w:rsidRPr="002D279B" w:rsidRDefault="4D7B98E9" w:rsidP="003C2D9B">
      <w:pPr>
        <w:pStyle w:val="K-Nadpis3"/>
        <w:spacing w:before="200" w:after="200"/>
        <w:rPr>
          <w:rFonts w:asciiTheme="minorHAnsi" w:eastAsiaTheme="minorEastAsia" w:hAnsiTheme="minorHAnsi" w:cstheme="minorHAnsi"/>
          <w:sz w:val="22"/>
          <w:szCs w:val="22"/>
        </w:rPr>
      </w:pPr>
      <w:r w:rsidRPr="002D279B">
        <w:rPr>
          <w:rFonts w:asciiTheme="minorHAnsi" w:eastAsiaTheme="minorEastAsia" w:hAnsiTheme="minorHAnsi" w:cstheme="minorHAnsi"/>
          <w:sz w:val="22"/>
          <w:szCs w:val="22"/>
        </w:rPr>
        <w:t>Detail</w:t>
      </w:r>
      <w:r w:rsidR="4B9AE8CC" w:rsidRPr="002D279B">
        <w:rPr>
          <w:rFonts w:asciiTheme="minorHAnsi" w:eastAsiaTheme="minorEastAsia" w:hAnsiTheme="minorHAnsi" w:cstheme="minorHAnsi"/>
          <w:sz w:val="22"/>
          <w:szCs w:val="22"/>
        </w:rPr>
        <w:t xml:space="preserve"> komponenty</w:t>
      </w:r>
    </w:p>
    <w:p w14:paraId="1B67D6C8" w14:textId="77777777" w:rsidR="002C20CF" w:rsidRPr="002D279B" w:rsidRDefault="6149D8CA" w:rsidP="003C2D9B">
      <w:pPr>
        <w:pStyle w:val="K-Nadpis2"/>
        <w:rPr>
          <w:sz w:val="22"/>
          <w:szCs w:val="22"/>
        </w:rPr>
      </w:pPr>
      <w:r w:rsidRPr="002D279B">
        <w:rPr>
          <w:sz w:val="22"/>
          <w:szCs w:val="22"/>
        </w:rPr>
        <w:t>Hlavní výzvy a cíle</w:t>
      </w:r>
    </w:p>
    <w:p w14:paraId="79A77BE3" w14:textId="77777777" w:rsidR="002C20CF" w:rsidRPr="002D279B" w:rsidRDefault="6149D8CA" w:rsidP="00C4514A">
      <w:pPr>
        <w:pStyle w:val="Default"/>
        <w:numPr>
          <w:ilvl w:val="0"/>
          <w:numId w:val="20"/>
        </w:numPr>
        <w:spacing w:after="120"/>
        <w:ind w:left="360"/>
        <w:jc w:val="both"/>
        <w:rPr>
          <w:rFonts w:asciiTheme="minorHAnsi" w:eastAsiaTheme="minorEastAsia" w:hAnsiTheme="minorHAnsi" w:cstheme="minorHAnsi"/>
          <w:b/>
          <w:bCs/>
          <w:sz w:val="22"/>
          <w:szCs w:val="22"/>
        </w:rPr>
      </w:pPr>
      <w:r w:rsidRPr="002D279B">
        <w:rPr>
          <w:rStyle w:val="K-Nadpis3Char"/>
          <w:rFonts w:asciiTheme="minorHAnsi" w:eastAsiaTheme="minorEastAsia" w:hAnsiTheme="minorHAnsi" w:cstheme="minorHAnsi"/>
          <w:sz w:val="22"/>
          <w:szCs w:val="22"/>
        </w:rPr>
        <w:t>Hlavní výzvy</w:t>
      </w:r>
    </w:p>
    <w:p w14:paraId="2948AD60" w14:textId="77777777" w:rsidR="00C4514A" w:rsidRPr="002D279B" w:rsidRDefault="006D61DA" w:rsidP="00C4514A">
      <w:pPr>
        <w:pStyle w:val="K-Nadpis3"/>
        <w:rPr>
          <w:rFonts w:asciiTheme="minorHAnsi" w:eastAsiaTheme="minorEastAsia" w:hAnsiTheme="minorHAnsi" w:cstheme="minorHAnsi"/>
          <w:b w:val="0"/>
          <w:sz w:val="22"/>
          <w:szCs w:val="22"/>
        </w:rPr>
      </w:pPr>
      <w:r w:rsidRPr="002D279B">
        <w:rPr>
          <w:rFonts w:asciiTheme="minorHAnsi" w:eastAsiaTheme="minorEastAsia" w:hAnsiTheme="minorHAnsi" w:cstheme="minorHAnsi"/>
          <w:b w:val="0"/>
          <w:sz w:val="22"/>
          <w:szCs w:val="22"/>
        </w:rPr>
        <w:t xml:space="preserve">S nárůstem spotřeby energie a s připojováním nových decentralizovaných zdrojů energie (OZE) úzce souvisí i potřeba zvýšení transformačního výkonu distribuční soustavy. Úroveň kvality v distribučních soustavách je určena ukazateli nepřetržitosti: (1) průměrný počet přerušení distribuce elektřiny u zákazníků v hodnoceném období (SAIFI) a (2) průměrná souhrnná doba trvání přerušení distribuce elektřiny u zákazníků v hodnoceném období (SAIDI). V roce 2019 dosáhl ukazatel SAIFI počtu 2,32 přerušení za rok a ukazatel SAIDI délky přerušení 288,73 min. za rok. S ohledem na vývoj v posledních 10 letech (průměr SAIFI 2,43, průměr SAIDI 302,7) jde o hodnoty nadprůměrně dobré. Je ovšem potřeba vzít v potaz, že vývoj v jednotlivých letech je značně kolísavý, </w:t>
      </w:r>
      <w:r w:rsidRPr="002D279B">
        <w:rPr>
          <w:rFonts w:asciiTheme="minorHAnsi" w:eastAsiaTheme="minorEastAsia" w:hAnsiTheme="minorHAnsi" w:cstheme="minorHAnsi"/>
          <w:b w:val="0"/>
          <w:sz w:val="22"/>
          <w:szCs w:val="22"/>
        </w:rPr>
        <w:lastRenderedPageBreak/>
        <w:t>neboť v roce 2017 byly hodnoty SAIFI 2,76 a SAIDI 431,45. To potvrzuje latentně přetrvávající a v čase se měnící zátěž pro distribuci elektrické energie.</w:t>
      </w:r>
    </w:p>
    <w:p w14:paraId="643003BB" w14:textId="77777777" w:rsidR="002C20CF" w:rsidRPr="002D279B" w:rsidRDefault="6149D8CA" w:rsidP="00C4514A">
      <w:pPr>
        <w:pStyle w:val="K-Nadpis3"/>
        <w:numPr>
          <w:ilvl w:val="0"/>
          <w:numId w:val="20"/>
        </w:numPr>
        <w:ind w:left="360"/>
        <w:rPr>
          <w:rFonts w:asciiTheme="minorHAnsi" w:eastAsiaTheme="minorEastAsia" w:hAnsiTheme="minorHAnsi" w:cstheme="minorHAnsi"/>
          <w:sz w:val="22"/>
          <w:szCs w:val="22"/>
        </w:rPr>
      </w:pPr>
      <w:r w:rsidRPr="002D279B">
        <w:rPr>
          <w:rFonts w:asciiTheme="minorHAnsi" w:eastAsiaTheme="minorEastAsia" w:hAnsiTheme="minorHAnsi" w:cstheme="minorHAnsi"/>
          <w:sz w:val="22"/>
          <w:szCs w:val="22"/>
        </w:rPr>
        <w:t>Cíle</w:t>
      </w:r>
    </w:p>
    <w:p w14:paraId="210BFE31" w14:textId="77777777" w:rsidR="00C4514A" w:rsidRPr="002D279B" w:rsidRDefault="00EC5DE9" w:rsidP="00C4514A">
      <w:pPr>
        <w:pStyle w:val="K-Nadpis3"/>
        <w:rPr>
          <w:rFonts w:asciiTheme="minorHAnsi" w:eastAsiaTheme="minorEastAsia" w:hAnsiTheme="minorHAnsi" w:cstheme="minorHAnsi"/>
          <w:b w:val="0"/>
          <w:sz w:val="22"/>
          <w:szCs w:val="22"/>
        </w:rPr>
      </w:pPr>
      <w:r w:rsidRPr="002D279B">
        <w:rPr>
          <w:rFonts w:asciiTheme="minorHAnsi" w:eastAsiaTheme="minorEastAsia" w:hAnsiTheme="minorHAnsi" w:cstheme="minorHAnsi"/>
          <w:b w:val="0"/>
          <w:sz w:val="22"/>
          <w:szCs w:val="22"/>
        </w:rPr>
        <w:t>Cílem je zajistit dostatečný rozvoj distribučních sítí umožňující bezpečný provoz elektrizační soustavy při uspokojení vysokých nároků na připojování obnovitelných zdrojů energie</w:t>
      </w:r>
      <w:r w:rsidR="00576F7C" w:rsidRPr="002D279B">
        <w:rPr>
          <w:rFonts w:asciiTheme="minorHAnsi" w:eastAsiaTheme="minorEastAsia" w:hAnsiTheme="minorHAnsi" w:cstheme="minorHAnsi"/>
          <w:b w:val="0"/>
          <w:sz w:val="22"/>
          <w:szCs w:val="22"/>
        </w:rPr>
        <w:t>, zajištění vyšších kapacit pro dobíjení vozidel s nulovými emisemi</w:t>
      </w:r>
      <w:r w:rsidR="00B67952" w:rsidRPr="002D279B">
        <w:rPr>
          <w:rFonts w:asciiTheme="minorHAnsi" w:eastAsiaTheme="minorEastAsia" w:hAnsiTheme="minorHAnsi" w:cstheme="minorHAnsi"/>
          <w:b w:val="0"/>
          <w:sz w:val="22"/>
          <w:szCs w:val="22"/>
        </w:rPr>
        <w:t xml:space="preserve"> a navýšení připojitelného výkonu OZE.</w:t>
      </w:r>
      <w:r w:rsidR="003E4869" w:rsidRPr="002D279B">
        <w:rPr>
          <w:rFonts w:asciiTheme="minorHAnsi" w:eastAsiaTheme="minorEastAsia" w:hAnsiTheme="minorHAnsi" w:cstheme="minorHAnsi"/>
          <w:b w:val="0"/>
          <w:sz w:val="22"/>
          <w:szCs w:val="22"/>
        </w:rPr>
        <w:t xml:space="preserve"> V návaznosti na tyto skutečnosti pak může být souběžně podpořeno posílení rozvoje fotovoltaických zdrojů.</w:t>
      </w:r>
    </w:p>
    <w:p w14:paraId="64236ECC" w14:textId="77777777" w:rsidR="007A2737" w:rsidRPr="002D279B" w:rsidRDefault="23D5AF74" w:rsidP="00C4514A">
      <w:pPr>
        <w:pStyle w:val="K-Nadpis3"/>
        <w:numPr>
          <w:ilvl w:val="0"/>
          <w:numId w:val="20"/>
        </w:numPr>
        <w:ind w:left="360"/>
        <w:rPr>
          <w:rFonts w:asciiTheme="minorHAnsi" w:eastAsiaTheme="minorEastAsia" w:hAnsiTheme="minorHAnsi" w:cstheme="minorHAnsi"/>
          <w:sz w:val="22"/>
          <w:szCs w:val="22"/>
        </w:rPr>
      </w:pPr>
      <w:r w:rsidRPr="002D279B">
        <w:rPr>
          <w:rFonts w:asciiTheme="minorHAnsi" w:eastAsiaTheme="minorEastAsia" w:hAnsiTheme="minorHAnsi" w:cstheme="minorHAnsi"/>
          <w:sz w:val="22"/>
          <w:szCs w:val="22"/>
        </w:rPr>
        <w:t>Národní strategický kontext</w:t>
      </w:r>
    </w:p>
    <w:p w14:paraId="3E5E6F83" w14:textId="77777777" w:rsidR="008F5987" w:rsidRPr="002D279B" w:rsidRDefault="73B6A5BD" w:rsidP="569F9CD4">
      <w:pPr>
        <w:pStyle w:val="K-TextInfo"/>
        <w:rPr>
          <w:rFonts w:asciiTheme="minorHAnsi" w:eastAsiaTheme="minorEastAsia" w:hAnsiTheme="minorHAnsi" w:cstheme="minorHAnsi"/>
          <w:i w:val="0"/>
          <w:iCs w:val="0"/>
          <w:color w:val="auto"/>
          <w:sz w:val="22"/>
          <w:szCs w:val="22"/>
        </w:rPr>
      </w:pPr>
      <w:r w:rsidRPr="002D279B">
        <w:rPr>
          <w:rFonts w:asciiTheme="minorHAnsi" w:eastAsiaTheme="minorEastAsia" w:hAnsiTheme="minorHAnsi" w:cstheme="minorHAnsi"/>
          <w:i w:val="0"/>
          <w:iCs w:val="0"/>
          <w:color w:val="auto"/>
          <w:sz w:val="22"/>
          <w:szCs w:val="22"/>
        </w:rPr>
        <w:t>Národní strategie</w:t>
      </w:r>
    </w:p>
    <w:p w14:paraId="47E8C18B" w14:textId="77777777" w:rsidR="00E31020" w:rsidRPr="002D279B" w:rsidRDefault="008E2A30" w:rsidP="569F9CD4">
      <w:pPr>
        <w:pStyle w:val="K-TextInfo"/>
        <w:rPr>
          <w:rFonts w:asciiTheme="minorHAnsi" w:eastAsiaTheme="minorEastAsia" w:hAnsiTheme="minorHAnsi" w:cstheme="minorHAnsi"/>
          <w:i w:val="0"/>
          <w:iCs w:val="0"/>
          <w:color w:val="auto"/>
          <w:sz w:val="22"/>
          <w:szCs w:val="22"/>
        </w:rPr>
      </w:pPr>
      <w:r w:rsidRPr="002D279B">
        <w:rPr>
          <w:rFonts w:asciiTheme="minorHAnsi" w:eastAsiaTheme="minorEastAsia" w:hAnsiTheme="minorHAnsi" w:cstheme="minorHAnsi"/>
          <w:i w:val="0"/>
          <w:iCs w:val="0"/>
          <w:color w:val="auto"/>
          <w:sz w:val="22"/>
          <w:szCs w:val="22"/>
        </w:rPr>
        <w:t>Státní energetická koncepce z roku 2015 ne</w:t>
      </w:r>
      <w:r w:rsidR="00EE0043" w:rsidRPr="002D279B">
        <w:rPr>
          <w:rFonts w:asciiTheme="minorHAnsi" w:eastAsiaTheme="minorEastAsia" w:hAnsiTheme="minorHAnsi" w:cstheme="minorHAnsi"/>
          <w:i w:val="0"/>
          <w:iCs w:val="0"/>
          <w:color w:val="auto"/>
          <w:sz w:val="22"/>
          <w:szCs w:val="22"/>
        </w:rPr>
        <w:t>reflekt</w:t>
      </w:r>
      <w:r w:rsidR="00035AB3" w:rsidRPr="002D279B">
        <w:rPr>
          <w:rFonts w:asciiTheme="minorHAnsi" w:eastAsiaTheme="minorEastAsia" w:hAnsiTheme="minorHAnsi" w:cstheme="minorHAnsi"/>
          <w:i w:val="0"/>
          <w:iCs w:val="0"/>
          <w:color w:val="auto"/>
          <w:sz w:val="22"/>
          <w:szCs w:val="22"/>
        </w:rPr>
        <w:t xml:space="preserve">uje </w:t>
      </w:r>
      <w:r w:rsidR="001E1753" w:rsidRPr="002D279B">
        <w:rPr>
          <w:rFonts w:asciiTheme="minorHAnsi" w:eastAsiaTheme="minorEastAsia" w:hAnsiTheme="minorHAnsi" w:cstheme="minorHAnsi"/>
          <w:i w:val="0"/>
          <w:iCs w:val="0"/>
          <w:color w:val="auto"/>
          <w:sz w:val="22"/>
          <w:szCs w:val="22"/>
        </w:rPr>
        <w:t xml:space="preserve">aktuální požadavky </w:t>
      </w:r>
      <w:r w:rsidR="006A41E3" w:rsidRPr="002D279B">
        <w:rPr>
          <w:rFonts w:asciiTheme="minorHAnsi" w:eastAsiaTheme="minorEastAsia" w:hAnsiTheme="minorHAnsi" w:cstheme="minorHAnsi"/>
          <w:i w:val="0"/>
          <w:iCs w:val="0"/>
          <w:color w:val="auto"/>
          <w:sz w:val="22"/>
          <w:szCs w:val="22"/>
        </w:rPr>
        <w:t>EU na pravidla vnitřního trhu (z roku 2019)</w:t>
      </w:r>
      <w:r w:rsidR="00822CE2" w:rsidRPr="002D279B">
        <w:rPr>
          <w:rFonts w:asciiTheme="minorHAnsi" w:eastAsiaTheme="minorEastAsia" w:hAnsiTheme="minorHAnsi" w:cstheme="minorHAnsi"/>
          <w:i w:val="0"/>
          <w:iCs w:val="0"/>
          <w:color w:val="auto"/>
          <w:sz w:val="22"/>
          <w:szCs w:val="22"/>
        </w:rPr>
        <w:t>, ani nyní nevyhnuteln</w:t>
      </w:r>
      <w:r w:rsidR="002E3C57" w:rsidRPr="002D279B">
        <w:rPr>
          <w:rFonts w:asciiTheme="minorHAnsi" w:eastAsiaTheme="minorEastAsia" w:hAnsiTheme="minorHAnsi" w:cstheme="minorHAnsi"/>
          <w:i w:val="0"/>
          <w:iCs w:val="0"/>
          <w:color w:val="auto"/>
          <w:sz w:val="22"/>
          <w:szCs w:val="22"/>
        </w:rPr>
        <w:t xml:space="preserve">ý požadavek na </w:t>
      </w:r>
      <w:r w:rsidR="007B09BD" w:rsidRPr="002D279B">
        <w:rPr>
          <w:rFonts w:asciiTheme="minorHAnsi" w:eastAsiaTheme="minorEastAsia" w:hAnsiTheme="minorHAnsi" w:cstheme="minorHAnsi"/>
          <w:i w:val="0"/>
          <w:iCs w:val="0"/>
          <w:color w:val="auto"/>
          <w:sz w:val="22"/>
          <w:szCs w:val="22"/>
        </w:rPr>
        <w:t>urychlený rozvoj OZE</w:t>
      </w:r>
      <w:r w:rsidR="00822CE2" w:rsidRPr="002D279B">
        <w:rPr>
          <w:rFonts w:asciiTheme="minorHAnsi" w:eastAsiaTheme="minorEastAsia" w:hAnsiTheme="minorHAnsi" w:cstheme="minorHAnsi"/>
          <w:i w:val="0"/>
          <w:iCs w:val="0"/>
          <w:color w:val="auto"/>
          <w:sz w:val="22"/>
          <w:szCs w:val="22"/>
        </w:rPr>
        <w:t xml:space="preserve">. </w:t>
      </w:r>
      <w:r w:rsidR="73B6A5BD" w:rsidRPr="002D279B">
        <w:rPr>
          <w:rFonts w:asciiTheme="minorHAnsi" w:eastAsiaTheme="minorEastAsia" w:hAnsiTheme="minorHAnsi" w:cstheme="minorHAnsi"/>
          <w:i w:val="0"/>
          <w:iCs w:val="0"/>
          <w:color w:val="auto"/>
          <w:sz w:val="22"/>
          <w:szCs w:val="22"/>
        </w:rPr>
        <w:t xml:space="preserve">Národní strategie </w:t>
      </w:r>
      <w:r w:rsidR="00AB0546" w:rsidRPr="002D279B">
        <w:rPr>
          <w:rFonts w:asciiTheme="minorHAnsi" w:eastAsiaTheme="minorEastAsia" w:hAnsiTheme="minorHAnsi" w:cstheme="minorHAnsi"/>
          <w:i w:val="0"/>
          <w:iCs w:val="0"/>
          <w:color w:val="auto"/>
          <w:sz w:val="22"/>
          <w:szCs w:val="22"/>
        </w:rPr>
        <w:t xml:space="preserve">využívání nových technologií </w:t>
      </w:r>
      <w:r w:rsidR="009A7466" w:rsidRPr="002D279B">
        <w:rPr>
          <w:rFonts w:asciiTheme="minorHAnsi" w:eastAsiaTheme="minorEastAsia" w:hAnsiTheme="minorHAnsi" w:cstheme="minorHAnsi"/>
          <w:i w:val="0"/>
          <w:iCs w:val="0"/>
          <w:color w:val="auto"/>
          <w:sz w:val="22"/>
          <w:szCs w:val="22"/>
        </w:rPr>
        <w:t xml:space="preserve">v energetice </w:t>
      </w:r>
      <w:r w:rsidR="73B6A5BD" w:rsidRPr="002D279B">
        <w:rPr>
          <w:rFonts w:asciiTheme="minorHAnsi" w:eastAsiaTheme="minorEastAsia" w:hAnsiTheme="minorHAnsi" w:cstheme="minorHAnsi"/>
          <w:i w:val="0"/>
          <w:iCs w:val="0"/>
          <w:color w:val="auto"/>
          <w:sz w:val="22"/>
          <w:szCs w:val="22"/>
        </w:rPr>
        <w:t xml:space="preserve">je detailně popsána v rámci </w:t>
      </w:r>
      <w:r w:rsidR="00AC4F48" w:rsidRPr="002D279B">
        <w:rPr>
          <w:rFonts w:asciiTheme="minorHAnsi" w:eastAsiaTheme="minorEastAsia" w:hAnsiTheme="minorHAnsi" w:cstheme="minorHAnsi"/>
          <w:i w:val="0"/>
          <w:iCs w:val="0"/>
          <w:color w:val="auto"/>
          <w:sz w:val="22"/>
          <w:szCs w:val="22"/>
        </w:rPr>
        <w:t>NAP SG</w:t>
      </w:r>
      <w:r w:rsidR="00F35AF5" w:rsidRPr="002D279B">
        <w:rPr>
          <w:rFonts w:asciiTheme="minorHAnsi" w:eastAsiaTheme="minorEastAsia" w:hAnsiTheme="minorHAnsi" w:cstheme="minorHAnsi"/>
          <w:i w:val="0"/>
          <w:iCs w:val="0"/>
          <w:color w:val="auto"/>
          <w:sz w:val="22"/>
          <w:szCs w:val="22"/>
        </w:rPr>
        <w:t xml:space="preserve">, který je jediným strategickým dokumentem, který se </w:t>
      </w:r>
      <w:r w:rsidR="005253F1" w:rsidRPr="002D279B">
        <w:rPr>
          <w:rFonts w:asciiTheme="minorHAnsi" w:eastAsiaTheme="minorEastAsia" w:hAnsiTheme="minorHAnsi" w:cstheme="minorHAnsi"/>
          <w:i w:val="0"/>
          <w:iCs w:val="0"/>
          <w:color w:val="auto"/>
          <w:sz w:val="22"/>
          <w:szCs w:val="22"/>
        </w:rPr>
        <w:t xml:space="preserve">komplexně </w:t>
      </w:r>
      <w:r w:rsidR="00F35AF5" w:rsidRPr="002D279B">
        <w:rPr>
          <w:rFonts w:asciiTheme="minorHAnsi" w:eastAsiaTheme="minorEastAsia" w:hAnsiTheme="minorHAnsi" w:cstheme="minorHAnsi"/>
          <w:i w:val="0"/>
          <w:iCs w:val="0"/>
          <w:color w:val="auto"/>
          <w:sz w:val="22"/>
          <w:szCs w:val="22"/>
        </w:rPr>
        <w:t xml:space="preserve">zabýval implementací </w:t>
      </w:r>
      <w:r w:rsidR="005253F1" w:rsidRPr="002D279B">
        <w:rPr>
          <w:rFonts w:asciiTheme="minorHAnsi" w:eastAsiaTheme="minorEastAsia" w:hAnsiTheme="minorHAnsi" w:cstheme="minorHAnsi"/>
          <w:i w:val="0"/>
          <w:iCs w:val="0"/>
          <w:color w:val="auto"/>
          <w:sz w:val="22"/>
          <w:szCs w:val="22"/>
        </w:rPr>
        <w:t>decentrálně orientované energetiky</w:t>
      </w:r>
      <w:r w:rsidR="00713464" w:rsidRPr="002D279B">
        <w:rPr>
          <w:rFonts w:asciiTheme="minorHAnsi" w:eastAsiaTheme="minorEastAsia" w:hAnsiTheme="minorHAnsi" w:cstheme="minorHAnsi"/>
          <w:i w:val="0"/>
          <w:iCs w:val="0"/>
          <w:color w:val="auto"/>
          <w:sz w:val="22"/>
          <w:szCs w:val="22"/>
        </w:rPr>
        <w:t xml:space="preserve"> v ČR</w:t>
      </w:r>
      <w:r w:rsidR="73B6A5BD" w:rsidRPr="002D279B">
        <w:rPr>
          <w:rFonts w:asciiTheme="minorHAnsi" w:eastAsiaTheme="minorEastAsia" w:hAnsiTheme="minorHAnsi" w:cstheme="minorHAnsi"/>
          <w:i w:val="0"/>
          <w:iCs w:val="0"/>
          <w:color w:val="auto"/>
          <w:sz w:val="22"/>
          <w:szCs w:val="22"/>
        </w:rPr>
        <w:t>.</w:t>
      </w:r>
    </w:p>
    <w:p w14:paraId="4755B9E0" w14:textId="77777777" w:rsidR="00815814" w:rsidRPr="002D279B" w:rsidRDefault="00815814" w:rsidP="00567238">
      <w:pPr>
        <w:pStyle w:val="K-TextInfo"/>
        <w:rPr>
          <w:rFonts w:asciiTheme="minorHAnsi" w:eastAsiaTheme="minorEastAsia" w:hAnsiTheme="minorHAnsi" w:cstheme="minorHAnsi"/>
          <w:b/>
          <w:bCs/>
          <w:i w:val="0"/>
          <w:iCs w:val="0"/>
          <w:color w:val="auto"/>
          <w:sz w:val="22"/>
          <w:szCs w:val="22"/>
        </w:rPr>
      </w:pPr>
      <w:r w:rsidRPr="002D279B">
        <w:rPr>
          <w:rFonts w:asciiTheme="minorHAnsi" w:eastAsiaTheme="minorEastAsia" w:hAnsiTheme="minorHAnsi" w:cstheme="minorHAnsi"/>
          <w:b/>
          <w:bCs/>
          <w:i w:val="0"/>
          <w:iCs w:val="0"/>
          <w:color w:val="auto"/>
          <w:sz w:val="22"/>
          <w:szCs w:val="22"/>
        </w:rPr>
        <w:t>Národní akční plán pro chytré sítě</w:t>
      </w:r>
    </w:p>
    <w:p w14:paraId="3EC8B20C" w14:textId="77777777" w:rsidR="00815814" w:rsidRPr="002D279B" w:rsidRDefault="00F453CA" w:rsidP="00567238">
      <w:pPr>
        <w:pStyle w:val="K-TextInfo"/>
        <w:rPr>
          <w:rFonts w:asciiTheme="minorHAnsi" w:eastAsiaTheme="minorEastAsia" w:hAnsiTheme="minorHAnsi" w:cstheme="minorHAnsi"/>
          <w:i w:val="0"/>
          <w:iCs w:val="0"/>
          <w:color w:val="auto"/>
          <w:sz w:val="22"/>
          <w:szCs w:val="22"/>
        </w:rPr>
      </w:pPr>
      <w:r w:rsidRPr="002D279B">
        <w:rPr>
          <w:rFonts w:asciiTheme="minorHAnsi" w:eastAsiaTheme="minorEastAsia" w:hAnsiTheme="minorHAnsi" w:cstheme="minorHAnsi"/>
          <w:i w:val="0"/>
          <w:iCs w:val="0"/>
          <w:color w:val="auto"/>
          <w:sz w:val="22"/>
          <w:szCs w:val="22"/>
        </w:rPr>
        <w:t>NAP SG je k</w:t>
      </w:r>
      <w:r w:rsidR="00815814" w:rsidRPr="002D279B">
        <w:rPr>
          <w:rFonts w:asciiTheme="minorHAnsi" w:eastAsiaTheme="minorEastAsia" w:hAnsiTheme="minorHAnsi" w:cstheme="minorHAnsi"/>
          <w:i w:val="0"/>
          <w:iCs w:val="0"/>
          <w:color w:val="auto"/>
          <w:sz w:val="22"/>
          <w:szCs w:val="22"/>
        </w:rPr>
        <w:t>líčovým strategickým a plánovacím dokumentem, který obsahuje opatření ke zvýšení flexibility energetického systému, který zpracovává Ministerstvo průmyslu a obchodu na základě úkolu formulovaného ve Státní energetické koncepci ČR z roku 2015. Národní akční plán pro chytré sítě (NAP SG) byl schválen vládou ČR</w:t>
      </w:r>
      <w:r w:rsidR="00DC44E2" w:rsidRPr="002D279B">
        <w:rPr>
          <w:rFonts w:asciiTheme="minorHAnsi" w:eastAsiaTheme="minorEastAsia" w:hAnsiTheme="minorHAnsi" w:cstheme="minorHAnsi"/>
          <w:i w:val="0"/>
          <w:iCs w:val="0"/>
          <w:color w:val="auto"/>
          <w:sz w:val="22"/>
          <w:szCs w:val="22"/>
        </w:rPr>
        <w:t xml:space="preserve"> </w:t>
      </w:r>
      <w:r w:rsidR="00815814" w:rsidRPr="002D279B">
        <w:rPr>
          <w:rFonts w:asciiTheme="minorHAnsi" w:eastAsiaTheme="minorEastAsia" w:hAnsiTheme="minorHAnsi" w:cstheme="minorHAnsi"/>
          <w:i w:val="0"/>
          <w:iCs w:val="0"/>
          <w:color w:val="auto"/>
          <w:sz w:val="22"/>
          <w:szCs w:val="22"/>
        </w:rPr>
        <w:t xml:space="preserve">v březnu 2015, a to usnesením vlády ČR č. 149 ze 4. března 2015. </w:t>
      </w:r>
      <w:r w:rsidR="00815814" w:rsidRPr="002D279B">
        <w:rPr>
          <w:rFonts w:asciiTheme="minorHAnsi" w:eastAsiaTheme="minorEastAsia" w:hAnsiTheme="minorHAnsi" w:cstheme="minorHAnsi"/>
          <w:i w:val="0"/>
          <w:color w:val="auto"/>
          <w:sz w:val="22"/>
          <w:szCs w:val="22"/>
        </w:rPr>
        <w:t>Dne 16 září 2019 pak byla vládou ČR schválena Aktualizace NAP SG, respektive Národní akční plán pro chytré sítě 2019-2030 (NAP SG 2019-2030)</w:t>
      </w:r>
      <w:r w:rsidR="00815814" w:rsidRPr="002D279B">
        <w:rPr>
          <w:rFonts w:asciiTheme="minorHAnsi" w:eastAsiaTheme="minorEastAsia" w:hAnsiTheme="minorHAnsi" w:cstheme="minorHAnsi"/>
          <w:i w:val="0"/>
          <w:iCs w:val="0"/>
          <w:color w:val="auto"/>
          <w:sz w:val="22"/>
          <w:szCs w:val="22"/>
          <w:vertAlign w:val="superscript"/>
        </w:rPr>
        <w:footnoteReference w:id="2"/>
      </w:r>
      <w:r w:rsidR="00815814" w:rsidRPr="002D279B">
        <w:rPr>
          <w:rFonts w:asciiTheme="minorHAnsi" w:eastAsiaTheme="minorEastAsia" w:hAnsiTheme="minorHAnsi" w:cstheme="minorHAnsi"/>
          <w:i w:val="0"/>
          <w:iCs w:val="0"/>
          <w:color w:val="auto"/>
          <w:sz w:val="22"/>
          <w:szCs w:val="22"/>
        </w:rPr>
        <w:t xml:space="preserve">. </w:t>
      </w:r>
    </w:p>
    <w:p w14:paraId="346350E0" w14:textId="77777777" w:rsidR="00815814" w:rsidRPr="002D279B" w:rsidRDefault="00815814" w:rsidP="00567238">
      <w:pPr>
        <w:pStyle w:val="K-TextInfo"/>
        <w:rPr>
          <w:rFonts w:asciiTheme="minorHAnsi" w:eastAsiaTheme="minorEastAsia" w:hAnsiTheme="minorHAnsi" w:cstheme="minorHAnsi"/>
          <w:i w:val="0"/>
          <w:iCs w:val="0"/>
          <w:color w:val="auto"/>
          <w:sz w:val="22"/>
          <w:szCs w:val="22"/>
        </w:rPr>
      </w:pPr>
      <w:r w:rsidRPr="002D279B">
        <w:rPr>
          <w:rFonts w:asciiTheme="minorHAnsi" w:eastAsiaTheme="minorEastAsia" w:hAnsiTheme="minorHAnsi" w:cstheme="minorHAnsi"/>
          <w:i w:val="0"/>
          <w:iCs w:val="0"/>
          <w:color w:val="auto"/>
          <w:sz w:val="22"/>
          <w:szCs w:val="22"/>
        </w:rPr>
        <w:t>Za relevantní oblasti, které spadají do působnosti Aktualizovaného NAP SG</w:t>
      </w:r>
      <w:r w:rsidR="0020468E" w:rsidRPr="002D279B">
        <w:rPr>
          <w:rFonts w:asciiTheme="minorHAnsi" w:eastAsiaTheme="minorEastAsia" w:hAnsiTheme="minorHAnsi" w:cstheme="minorHAnsi"/>
          <w:i w:val="0"/>
          <w:iCs w:val="0"/>
          <w:color w:val="auto"/>
          <w:sz w:val="22"/>
          <w:szCs w:val="22"/>
        </w:rPr>
        <w:t>,</w:t>
      </w:r>
      <w:r w:rsidRPr="002D279B">
        <w:rPr>
          <w:rFonts w:asciiTheme="minorHAnsi" w:eastAsiaTheme="minorEastAsia" w:hAnsiTheme="minorHAnsi" w:cstheme="minorHAnsi"/>
          <w:i w:val="0"/>
          <w:iCs w:val="0"/>
          <w:color w:val="auto"/>
          <w:sz w:val="22"/>
          <w:szCs w:val="22"/>
        </w:rPr>
        <w:t xml:space="preserve"> byly identifikovány následující oblasti:</w:t>
      </w:r>
    </w:p>
    <w:p w14:paraId="61226509" w14:textId="77777777" w:rsidR="00815814" w:rsidRPr="002D279B" w:rsidRDefault="00815814" w:rsidP="00801641">
      <w:pPr>
        <w:pStyle w:val="Default"/>
        <w:numPr>
          <w:ilvl w:val="0"/>
          <w:numId w:val="14"/>
        </w:numPr>
        <w:spacing w:after="30"/>
        <w:rPr>
          <w:rFonts w:asciiTheme="minorHAnsi" w:hAnsiTheme="minorHAnsi" w:cstheme="minorHAnsi"/>
          <w:sz w:val="22"/>
          <w:szCs w:val="22"/>
        </w:rPr>
      </w:pPr>
      <w:r w:rsidRPr="002D279B">
        <w:rPr>
          <w:rFonts w:asciiTheme="minorHAnsi" w:hAnsiTheme="minorHAnsi" w:cstheme="minorHAnsi"/>
          <w:sz w:val="22"/>
          <w:szCs w:val="22"/>
        </w:rPr>
        <w:t>Legislativa (legislativa EU – síťová nařízení, zimní legislativní balíček, nové technologie);</w:t>
      </w:r>
    </w:p>
    <w:p w14:paraId="7F8AE4EE" w14:textId="77777777" w:rsidR="00815814" w:rsidRPr="002D279B" w:rsidRDefault="00815814" w:rsidP="00801641">
      <w:pPr>
        <w:pStyle w:val="Default"/>
        <w:numPr>
          <w:ilvl w:val="0"/>
          <w:numId w:val="14"/>
        </w:numPr>
        <w:spacing w:after="30"/>
        <w:rPr>
          <w:rFonts w:asciiTheme="minorHAnsi" w:hAnsiTheme="minorHAnsi" w:cstheme="minorHAnsi"/>
          <w:sz w:val="22"/>
          <w:szCs w:val="22"/>
        </w:rPr>
      </w:pPr>
      <w:r w:rsidRPr="002D279B">
        <w:rPr>
          <w:rFonts w:asciiTheme="minorHAnsi" w:hAnsiTheme="minorHAnsi" w:cstheme="minorHAnsi"/>
          <w:sz w:val="22"/>
          <w:szCs w:val="22"/>
        </w:rPr>
        <w:t>Využití agregace, flexibility pro elektrizační soustavy (decentralizované zdroje energie, spotřeba);</w:t>
      </w:r>
    </w:p>
    <w:p w14:paraId="0E7D766D" w14:textId="77777777" w:rsidR="00815814" w:rsidRPr="002D279B" w:rsidRDefault="00815814" w:rsidP="00801641">
      <w:pPr>
        <w:pStyle w:val="Default"/>
        <w:numPr>
          <w:ilvl w:val="0"/>
          <w:numId w:val="14"/>
        </w:numPr>
        <w:spacing w:after="30"/>
        <w:rPr>
          <w:rFonts w:asciiTheme="minorHAnsi" w:hAnsiTheme="minorHAnsi" w:cstheme="minorHAnsi"/>
          <w:sz w:val="22"/>
          <w:szCs w:val="22"/>
        </w:rPr>
      </w:pPr>
      <w:r w:rsidRPr="002D279B">
        <w:rPr>
          <w:rFonts w:asciiTheme="minorHAnsi" w:hAnsiTheme="minorHAnsi" w:cstheme="minorHAnsi"/>
          <w:sz w:val="22"/>
          <w:szCs w:val="22"/>
        </w:rPr>
        <w:t>Elektromobilita (integrace a využití pro provoz elektrizační soustavy);</w:t>
      </w:r>
    </w:p>
    <w:p w14:paraId="7E34DFBA" w14:textId="77777777" w:rsidR="00815814" w:rsidRPr="002D279B" w:rsidRDefault="00815814" w:rsidP="00801641">
      <w:pPr>
        <w:pStyle w:val="Default"/>
        <w:numPr>
          <w:ilvl w:val="0"/>
          <w:numId w:val="14"/>
        </w:numPr>
        <w:spacing w:after="30"/>
        <w:rPr>
          <w:rFonts w:asciiTheme="minorHAnsi" w:hAnsiTheme="minorHAnsi" w:cstheme="minorHAnsi"/>
          <w:sz w:val="22"/>
          <w:szCs w:val="22"/>
        </w:rPr>
      </w:pPr>
      <w:r w:rsidRPr="002D279B">
        <w:rPr>
          <w:rFonts w:asciiTheme="minorHAnsi" w:hAnsiTheme="minorHAnsi" w:cstheme="minorHAnsi"/>
          <w:sz w:val="22"/>
          <w:szCs w:val="22"/>
        </w:rPr>
        <w:t>Digitalizace a její využití (automatizace, komunikace);</w:t>
      </w:r>
    </w:p>
    <w:p w14:paraId="4D77E23F" w14:textId="77777777" w:rsidR="00815814" w:rsidRPr="002D279B" w:rsidRDefault="00815814" w:rsidP="00801641">
      <w:pPr>
        <w:pStyle w:val="Default"/>
        <w:numPr>
          <w:ilvl w:val="0"/>
          <w:numId w:val="14"/>
        </w:numPr>
        <w:spacing w:after="30"/>
        <w:rPr>
          <w:rFonts w:asciiTheme="minorHAnsi" w:hAnsiTheme="minorHAnsi" w:cstheme="minorHAnsi"/>
          <w:sz w:val="22"/>
          <w:szCs w:val="22"/>
        </w:rPr>
      </w:pPr>
      <w:r w:rsidRPr="002D279B">
        <w:rPr>
          <w:rFonts w:asciiTheme="minorHAnsi" w:hAnsiTheme="minorHAnsi" w:cstheme="minorHAnsi"/>
          <w:sz w:val="22"/>
          <w:szCs w:val="22"/>
        </w:rPr>
        <w:t>Decentralizované zdroje energie (integrace a využití pro provoz elektrizační soustavy);</w:t>
      </w:r>
    </w:p>
    <w:p w14:paraId="0B2F7883" w14:textId="77777777" w:rsidR="00815814" w:rsidRPr="002D279B" w:rsidRDefault="00815814" w:rsidP="00801641">
      <w:pPr>
        <w:pStyle w:val="Default"/>
        <w:numPr>
          <w:ilvl w:val="0"/>
          <w:numId w:val="14"/>
        </w:numPr>
        <w:spacing w:after="30"/>
        <w:rPr>
          <w:rFonts w:asciiTheme="minorHAnsi" w:hAnsiTheme="minorHAnsi" w:cstheme="minorHAnsi"/>
          <w:sz w:val="22"/>
          <w:szCs w:val="22"/>
        </w:rPr>
      </w:pPr>
      <w:r w:rsidRPr="002D279B">
        <w:rPr>
          <w:rFonts w:asciiTheme="minorHAnsi" w:hAnsiTheme="minorHAnsi" w:cstheme="minorHAnsi"/>
          <w:sz w:val="22"/>
          <w:szCs w:val="22"/>
        </w:rPr>
        <w:t>Dispečerské řízení (včetně provozního měření);</w:t>
      </w:r>
    </w:p>
    <w:p w14:paraId="372EE31A" w14:textId="77777777" w:rsidR="00815814" w:rsidRPr="002D279B" w:rsidRDefault="00815814" w:rsidP="00801641">
      <w:pPr>
        <w:pStyle w:val="Default"/>
        <w:numPr>
          <w:ilvl w:val="0"/>
          <w:numId w:val="14"/>
        </w:numPr>
        <w:spacing w:after="30"/>
        <w:rPr>
          <w:rFonts w:asciiTheme="minorHAnsi" w:hAnsiTheme="minorHAnsi" w:cstheme="minorHAnsi"/>
          <w:sz w:val="22"/>
          <w:szCs w:val="22"/>
        </w:rPr>
      </w:pPr>
      <w:r w:rsidRPr="002D279B">
        <w:rPr>
          <w:rFonts w:asciiTheme="minorHAnsi" w:hAnsiTheme="minorHAnsi" w:cstheme="minorHAnsi"/>
          <w:sz w:val="22"/>
          <w:szCs w:val="22"/>
        </w:rPr>
        <w:t>Akumulace (integrace a využití pro provoz elektrizační soustavy);</w:t>
      </w:r>
    </w:p>
    <w:p w14:paraId="1CCB280D" w14:textId="77777777" w:rsidR="00815814" w:rsidRPr="002D279B" w:rsidRDefault="00815814" w:rsidP="00801641">
      <w:pPr>
        <w:pStyle w:val="Default"/>
        <w:numPr>
          <w:ilvl w:val="0"/>
          <w:numId w:val="14"/>
        </w:numPr>
        <w:spacing w:after="120"/>
        <w:ind w:left="714" w:hanging="357"/>
        <w:rPr>
          <w:rFonts w:asciiTheme="minorHAnsi" w:hAnsiTheme="minorHAnsi" w:cstheme="minorHAnsi"/>
          <w:sz w:val="22"/>
          <w:szCs w:val="22"/>
        </w:rPr>
      </w:pPr>
      <w:r w:rsidRPr="002D279B">
        <w:rPr>
          <w:rFonts w:asciiTheme="minorHAnsi" w:hAnsiTheme="minorHAnsi" w:cstheme="minorHAnsi"/>
          <w:sz w:val="22"/>
          <w:szCs w:val="22"/>
        </w:rPr>
        <w:t>Inteligentní měření (AMM).</w:t>
      </w:r>
    </w:p>
    <w:p w14:paraId="38CC38C4" w14:textId="77777777" w:rsidR="000B5735" w:rsidRPr="002D279B" w:rsidRDefault="00815814" w:rsidP="00666611">
      <w:pPr>
        <w:pStyle w:val="K-TextInfo"/>
        <w:rPr>
          <w:rFonts w:asciiTheme="minorHAnsi" w:eastAsiaTheme="minorEastAsia" w:hAnsiTheme="minorHAnsi" w:cstheme="minorHAnsi"/>
          <w:i w:val="0"/>
          <w:iCs w:val="0"/>
          <w:color w:val="auto"/>
          <w:sz w:val="22"/>
          <w:szCs w:val="22"/>
        </w:rPr>
      </w:pPr>
      <w:r w:rsidRPr="002D279B">
        <w:rPr>
          <w:rFonts w:asciiTheme="minorHAnsi" w:eastAsiaTheme="minorEastAsia" w:hAnsiTheme="minorHAnsi" w:cstheme="minorHAnsi"/>
          <w:i w:val="0"/>
          <w:iCs w:val="0"/>
          <w:color w:val="auto"/>
          <w:sz w:val="22"/>
          <w:szCs w:val="22"/>
        </w:rPr>
        <w:fldChar w:fldCharType="begin"/>
      </w:r>
      <w:r w:rsidRPr="002D279B">
        <w:rPr>
          <w:rFonts w:asciiTheme="minorHAnsi" w:eastAsiaTheme="minorEastAsia" w:hAnsiTheme="minorHAnsi" w:cstheme="minorHAnsi"/>
          <w:i w:val="0"/>
          <w:iCs w:val="0"/>
          <w:color w:val="auto"/>
          <w:sz w:val="22"/>
          <w:szCs w:val="22"/>
        </w:rPr>
        <w:instrText xml:space="preserve"> REF _Ref22633122 \h  \* MERGEFORMAT </w:instrText>
      </w:r>
      <w:r w:rsidRPr="002D279B">
        <w:rPr>
          <w:rFonts w:asciiTheme="minorHAnsi" w:eastAsiaTheme="minorEastAsia" w:hAnsiTheme="minorHAnsi" w:cstheme="minorHAnsi"/>
          <w:i w:val="0"/>
          <w:iCs w:val="0"/>
          <w:color w:val="auto"/>
          <w:sz w:val="22"/>
          <w:szCs w:val="22"/>
        </w:rPr>
      </w:r>
      <w:r w:rsidRPr="002D279B">
        <w:rPr>
          <w:rFonts w:asciiTheme="minorHAnsi" w:eastAsiaTheme="minorEastAsia" w:hAnsiTheme="minorHAnsi" w:cstheme="minorHAnsi"/>
          <w:i w:val="0"/>
          <w:iCs w:val="0"/>
          <w:color w:val="auto"/>
          <w:sz w:val="22"/>
          <w:szCs w:val="22"/>
        </w:rPr>
        <w:fldChar w:fldCharType="separate"/>
      </w:r>
      <w:r w:rsidR="007E70A1" w:rsidRPr="002D279B">
        <w:rPr>
          <w:rFonts w:asciiTheme="minorHAnsi" w:eastAsiaTheme="minorEastAsia" w:hAnsiTheme="minorHAnsi" w:cstheme="minorHAnsi"/>
          <w:i w:val="0"/>
          <w:iCs w:val="0"/>
          <w:color w:val="auto"/>
          <w:sz w:val="22"/>
          <w:szCs w:val="22"/>
        </w:rPr>
        <w:t>Tabulka č.</w:t>
      </w:r>
      <w:r w:rsidRPr="002D279B">
        <w:rPr>
          <w:rFonts w:asciiTheme="minorHAnsi" w:eastAsiaTheme="minorEastAsia" w:hAnsiTheme="minorHAnsi" w:cstheme="minorHAnsi"/>
          <w:i w:val="0"/>
          <w:iCs w:val="0"/>
          <w:color w:val="auto"/>
          <w:sz w:val="22"/>
          <w:szCs w:val="22"/>
        </w:rPr>
        <w:fldChar w:fldCharType="end"/>
      </w:r>
      <w:r w:rsidR="00817217" w:rsidRPr="002D279B">
        <w:rPr>
          <w:rFonts w:asciiTheme="minorHAnsi" w:eastAsiaTheme="minorEastAsia" w:hAnsiTheme="minorHAnsi" w:cstheme="minorHAnsi"/>
          <w:i w:val="0"/>
          <w:iCs w:val="0"/>
          <w:color w:val="auto"/>
          <w:sz w:val="22"/>
          <w:szCs w:val="22"/>
        </w:rPr>
        <w:t>1</w:t>
      </w:r>
      <w:r w:rsidRPr="002D279B">
        <w:rPr>
          <w:rFonts w:asciiTheme="minorHAnsi" w:eastAsiaTheme="minorEastAsia" w:hAnsiTheme="minorHAnsi" w:cstheme="minorHAnsi"/>
          <w:i w:val="0"/>
          <w:iCs w:val="0"/>
          <w:color w:val="auto"/>
          <w:sz w:val="22"/>
          <w:szCs w:val="22"/>
        </w:rPr>
        <w:t xml:space="preserve"> uvádí přehled celkem 20 projektů (opatření/úkolů), které byly sch</w:t>
      </w:r>
      <w:r w:rsidR="002E10A5" w:rsidRPr="002D279B">
        <w:rPr>
          <w:rFonts w:asciiTheme="minorHAnsi" w:eastAsiaTheme="minorEastAsia" w:hAnsiTheme="minorHAnsi" w:cstheme="minorHAnsi"/>
          <w:i w:val="0"/>
          <w:iCs w:val="0"/>
          <w:color w:val="auto"/>
          <w:sz w:val="22"/>
          <w:szCs w:val="22"/>
        </w:rPr>
        <w:t>v</w:t>
      </w:r>
      <w:r w:rsidRPr="002D279B">
        <w:rPr>
          <w:rFonts w:asciiTheme="minorHAnsi" w:eastAsiaTheme="minorEastAsia" w:hAnsiTheme="minorHAnsi" w:cstheme="minorHAnsi"/>
          <w:i w:val="0"/>
          <w:iCs w:val="0"/>
          <w:color w:val="auto"/>
          <w:sz w:val="22"/>
          <w:szCs w:val="22"/>
        </w:rPr>
        <w:t xml:space="preserve">áleny v rámci NAP SG 2019-2030, a to v členění na tři hlavní oblasti. </w:t>
      </w:r>
      <w:r w:rsidR="003667FD" w:rsidRPr="002D279B">
        <w:rPr>
          <w:rFonts w:asciiTheme="minorHAnsi" w:eastAsiaTheme="minorEastAsia" w:hAnsiTheme="minorHAnsi" w:cstheme="minorHAnsi"/>
          <w:i w:val="0"/>
          <w:iCs w:val="0"/>
          <w:color w:val="auto"/>
          <w:sz w:val="22"/>
          <w:szCs w:val="22"/>
        </w:rPr>
        <w:t>Mezi uvedenými projekt</w:t>
      </w:r>
      <w:r w:rsidR="00E30803" w:rsidRPr="002D279B">
        <w:rPr>
          <w:rFonts w:asciiTheme="minorHAnsi" w:eastAsiaTheme="minorEastAsia" w:hAnsiTheme="minorHAnsi" w:cstheme="minorHAnsi"/>
          <w:i w:val="0"/>
          <w:iCs w:val="0"/>
          <w:color w:val="auto"/>
          <w:sz w:val="22"/>
          <w:szCs w:val="22"/>
        </w:rPr>
        <w:t xml:space="preserve">y jsou mimo jiné zahrnuty </w:t>
      </w:r>
      <w:r w:rsidR="008A05D8" w:rsidRPr="002D279B">
        <w:rPr>
          <w:rFonts w:asciiTheme="minorHAnsi" w:eastAsiaTheme="minorEastAsia" w:hAnsiTheme="minorHAnsi" w:cstheme="minorHAnsi"/>
          <w:i w:val="0"/>
          <w:iCs w:val="0"/>
          <w:color w:val="auto"/>
          <w:sz w:val="22"/>
          <w:szCs w:val="22"/>
        </w:rPr>
        <w:t>technický a energetický DataHub</w:t>
      </w:r>
      <w:r w:rsidR="00D41496" w:rsidRPr="002D279B">
        <w:rPr>
          <w:rFonts w:asciiTheme="minorHAnsi" w:eastAsiaTheme="minorEastAsia" w:hAnsiTheme="minorHAnsi" w:cstheme="minorHAnsi"/>
          <w:i w:val="0"/>
          <w:iCs w:val="0"/>
          <w:color w:val="auto"/>
          <w:sz w:val="22"/>
          <w:szCs w:val="22"/>
        </w:rPr>
        <w:t xml:space="preserve">, což jsou oblasti, které by měly být pokryty právě činnosti </w:t>
      </w:r>
      <w:r w:rsidR="000B5735" w:rsidRPr="002D279B">
        <w:rPr>
          <w:rFonts w:asciiTheme="minorHAnsi" w:eastAsiaTheme="minorEastAsia" w:hAnsiTheme="minorHAnsi" w:cstheme="minorHAnsi"/>
          <w:i w:val="0"/>
          <w:iCs w:val="0"/>
          <w:color w:val="auto"/>
          <w:sz w:val="22"/>
          <w:szCs w:val="22"/>
        </w:rPr>
        <w:t>Elektroenergetického datového centra.</w:t>
      </w:r>
      <w:r w:rsidR="000D2A5B" w:rsidRPr="002D279B">
        <w:rPr>
          <w:rFonts w:asciiTheme="minorHAnsi" w:eastAsiaTheme="minorEastAsia" w:hAnsiTheme="minorHAnsi" w:cstheme="minorHAnsi"/>
          <w:i w:val="0"/>
          <w:iCs w:val="0"/>
          <w:color w:val="auto"/>
          <w:sz w:val="22"/>
          <w:szCs w:val="22"/>
        </w:rPr>
        <w:t xml:space="preserve"> EDC </w:t>
      </w:r>
      <w:r w:rsidR="005A4223" w:rsidRPr="002D279B">
        <w:rPr>
          <w:rFonts w:asciiTheme="minorHAnsi" w:eastAsiaTheme="minorEastAsia" w:hAnsiTheme="minorHAnsi" w:cstheme="minorHAnsi"/>
          <w:i w:val="0"/>
          <w:iCs w:val="0"/>
          <w:color w:val="auto"/>
          <w:sz w:val="22"/>
          <w:szCs w:val="22"/>
        </w:rPr>
        <w:t>by</w:t>
      </w:r>
      <w:r w:rsidR="000D2A5B" w:rsidRPr="002D279B">
        <w:rPr>
          <w:rFonts w:asciiTheme="minorHAnsi" w:eastAsiaTheme="minorEastAsia" w:hAnsiTheme="minorHAnsi" w:cstheme="minorHAnsi"/>
          <w:i w:val="0"/>
          <w:iCs w:val="0"/>
          <w:color w:val="auto"/>
          <w:sz w:val="22"/>
          <w:szCs w:val="22"/>
        </w:rPr>
        <w:t xml:space="preserve"> ovšem </w:t>
      </w:r>
      <w:r w:rsidR="005A4223" w:rsidRPr="002D279B">
        <w:rPr>
          <w:rFonts w:asciiTheme="minorHAnsi" w:eastAsiaTheme="minorEastAsia" w:hAnsiTheme="minorHAnsi" w:cstheme="minorHAnsi"/>
          <w:i w:val="0"/>
          <w:iCs w:val="0"/>
          <w:color w:val="auto"/>
          <w:sz w:val="22"/>
          <w:szCs w:val="22"/>
        </w:rPr>
        <w:t>mělo</w:t>
      </w:r>
      <w:r w:rsidR="000D2A5B" w:rsidRPr="002D279B">
        <w:rPr>
          <w:rFonts w:asciiTheme="minorHAnsi" w:eastAsiaTheme="minorEastAsia" w:hAnsiTheme="minorHAnsi" w:cstheme="minorHAnsi"/>
          <w:i w:val="0"/>
          <w:iCs w:val="0"/>
          <w:color w:val="auto"/>
          <w:sz w:val="22"/>
          <w:szCs w:val="22"/>
        </w:rPr>
        <w:t xml:space="preserve"> procesně </w:t>
      </w:r>
      <w:r w:rsidR="00F600F9" w:rsidRPr="002D279B">
        <w:rPr>
          <w:rFonts w:asciiTheme="minorHAnsi" w:eastAsiaTheme="minorEastAsia" w:hAnsiTheme="minorHAnsi" w:cstheme="minorHAnsi"/>
          <w:i w:val="0"/>
          <w:iCs w:val="0"/>
          <w:color w:val="auto"/>
          <w:sz w:val="22"/>
          <w:szCs w:val="22"/>
        </w:rPr>
        <w:t xml:space="preserve">podporovat většinu oblastí </w:t>
      </w:r>
      <w:r w:rsidR="00B5415C" w:rsidRPr="002D279B">
        <w:rPr>
          <w:rFonts w:asciiTheme="minorHAnsi" w:eastAsiaTheme="minorEastAsia" w:hAnsiTheme="minorHAnsi" w:cstheme="minorHAnsi"/>
          <w:i w:val="0"/>
          <w:iCs w:val="0"/>
          <w:color w:val="auto"/>
          <w:sz w:val="22"/>
          <w:szCs w:val="22"/>
        </w:rPr>
        <w:t>implementovaných projekty NAP SG.</w:t>
      </w:r>
    </w:p>
    <w:p w14:paraId="0DAA79F8" w14:textId="77777777" w:rsidR="00815814" w:rsidRPr="002D279B" w:rsidRDefault="00815814" w:rsidP="00815814">
      <w:pPr>
        <w:pStyle w:val="Titulek"/>
        <w:keepNext/>
        <w:rPr>
          <w:rFonts w:cstheme="minorHAnsi"/>
          <w:b/>
          <w:i w:val="0"/>
          <w:iCs w:val="0"/>
          <w:color w:val="000000" w:themeColor="text1"/>
          <w:sz w:val="22"/>
          <w:szCs w:val="22"/>
        </w:rPr>
      </w:pPr>
      <w:bookmarkStart w:id="1" w:name="_Ref22633122"/>
      <w:bookmarkStart w:id="2" w:name="_Toc29897948"/>
      <w:r w:rsidRPr="002D279B">
        <w:rPr>
          <w:rFonts w:cstheme="minorHAnsi"/>
          <w:b/>
          <w:i w:val="0"/>
          <w:iCs w:val="0"/>
          <w:color w:val="000000" w:themeColor="text1"/>
          <w:sz w:val="22"/>
          <w:szCs w:val="22"/>
        </w:rPr>
        <w:t>Tabulka č.</w:t>
      </w:r>
      <w:bookmarkEnd w:id="1"/>
      <w:r w:rsidR="00A2216C" w:rsidRPr="002D279B">
        <w:rPr>
          <w:rFonts w:cstheme="minorHAnsi"/>
          <w:b/>
          <w:i w:val="0"/>
          <w:iCs w:val="0"/>
          <w:color w:val="000000" w:themeColor="text1"/>
          <w:sz w:val="22"/>
          <w:szCs w:val="22"/>
        </w:rPr>
        <w:t xml:space="preserve"> </w:t>
      </w:r>
      <w:r w:rsidR="00817217" w:rsidRPr="002D279B">
        <w:rPr>
          <w:rFonts w:cstheme="minorHAnsi"/>
          <w:b/>
          <w:i w:val="0"/>
          <w:iCs w:val="0"/>
          <w:color w:val="000000" w:themeColor="text1"/>
          <w:sz w:val="22"/>
          <w:szCs w:val="22"/>
        </w:rPr>
        <w:t>1</w:t>
      </w:r>
      <w:r w:rsidRPr="002D279B">
        <w:rPr>
          <w:rFonts w:cstheme="minorHAnsi"/>
          <w:b/>
          <w:i w:val="0"/>
          <w:iCs w:val="0"/>
          <w:color w:val="000000" w:themeColor="text1"/>
          <w:sz w:val="22"/>
          <w:szCs w:val="22"/>
        </w:rPr>
        <w:t xml:space="preserve">: </w:t>
      </w:r>
      <w:r w:rsidRPr="002D279B">
        <w:rPr>
          <w:rFonts w:cstheme="minorHAnsi"/>
          <w:i w:val="0"/>
          <w:iCs w:val="0"/>
          <w:color w:val="000000" w:themeColor="text1"/>
          <w:sz w:val="22"/>
          <w:szCs w:val="22"/>
        </w:rPr>
        <w:t>Přehled opatření NAP SG 2019-2030 dle jednotlivých oblastí</w:t>
      </w:r>
      <w:bookmarkEnd w:id="2"/>
    </w:p>
    <w:tbl>
      <w:tblPr>
        <w:tblStyle w:val="Mkatabulky"/>
        <w:tblW w:w="9766"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4519"/>
        <w:gridCol w:w="5247"/>
      </w:tblGrid>
      <w:tr w:rsidR="00815814" w:rsidRPr="002D279B" w14:paraId="74132A5C" w14:textId="77777777" w:rsidTr="00FD2899">
        <w:tc>
          <w:tcPr>
            <w:tcW w:w="4519" w:type="dxa"/>
            <w:tcBorders>
              <w:top w:val="single" w:sz="12" w:space="0" w:color="auto"/>
              <w:bottom w:val="single" w:sz="12" w:space="0" w:color="auto"/>
            </w:tcBorders>
            <w:shd w:val="clear" w:color="auto" w:fill="F2F2F2" w:themeFill="background1" w:themeFillShade="F2"/>
          </w:tcPr>
          <w:p w14:paraId="6015CC80" w14:textId="77777777" w:rsidR="00815814" w:rsidRPr="002D279B" w:rsidRDefault="00815814" w:rsidP="00EF7665">
            <w:pPr>
              <w:pStyle w:val="Odstavecseseznamem"/>
              <w:spacing w:before="60" w:after="60" w:line="276" w:lineRule="auto"/>
              <w:ind w:left="0"/>
              <w:contextualSpacing w:val="0"/>
              <w:jc w:val="center"/>
              <w:rPr>
                <w:rFonts w:cstheme="minorHAnsi"/>
                <w:b/>
                <w:noProof/>
              </w:rPr>
            </w:pPr>
            <w:r w:rsidRPr="002D279B">
              <w:rPr>
                <w:rFonts w:cstheme="minorHAnsi"/>
                <w:b/>
                <w:noProof/>
              </w:rPr>
              <w:t>Oblasti/programy</w:t>
            </w:r>
          </w:p>
        </w:tc>
        <w:tc>
          <w:tcPr>
            <w:tcW w:w="5247" w:type="dxa"/>
            <w:tcBorders>
              <w:top w:val="single" w:sz="12" w:space="0" w:color="auto"/>
              <w:bottom w:val="single" w:sz="12" w:space="0" w:color="auto"/>
            </w:tcBorders>
            <w:shd w:val="clear" w:color="auto" w:fill="F2F2F2" w:themeFill="background1" w:themeFillShade="F2"/>
          </w:tcPr>
          <w:p w14:paraId="3F532730" w14:textId="77777777" w:rsidR="00815814" w:rsidRPr="002D279B" w:rsidRDefault="00815814" w:rsidP="00EF7665">
            <w:pPr>
              <w:pStyle w:val="Odstavecseseznamem"/>
              <w:spacing w:before="60" w:after="60" w:line="276" w:lineRule="auto"/>
              <w:ind w:left="0"/>
              <w:contextualSpacing w:val="0"/>
              <w:jc w:val="center"/>
              <w:rPr>
                <w:rFonts w:cstheme="minorHAnsi"/>
                <w:b/>
                <w:noProof/>
              </w:rPr>
            </w:pPr>
            <w:r w:rsidRPr="002D279B">
              <w:rPr>
                <w:rFonts w:cstheme="minorHAnsi"/>
                <w:b/>
                <w:noProof/>
              </w:rPr>
              <w:t>Projekty (opatření/úkoly)</w:t>
            </w:r>
          </w:p>
        </w:tc>
      </w:tr>
      <w:tr w:rsidR="00815814" w:rsidRPr="002D279B" w14:paraId="2116D29F" w14:textId="77777777" w:rsidTr="00FD2899">
        <w:tc>
          <w:tcPr>
            <w:tcW w:w="4519" w:type="dxa"/>
            <w:vMerge w:val="restart"/>
            <w:tcBorders>
              <w:top w:val="single" w:sz="12" w:space="0" w:color="auto"/>
            </w:tcBorders>
            <w:vAlign w:val="center"/>
          </w:tcPr>
          <w:p w14:paraId="1E4D0808" w14:textId="77777777" w:rsidR="00815814" w:rsidRPr="002D279B" w:rsidRDefault="00815814" w:rsidP="00EF7665">
            <w:pPr>
              <w:pStyle w:val="Odstavecseseznamem"/>
              <w:spacing w:after="120" w:line="276" w:lineRule="auto"/>
              <w:ind w:left="0"/>
              <w:contextualSpacing w:val="0"/>
              <w:rPr>
                <w:rFonts w:cstheme="minorHAnsi"/>
                <w:noProof/>
              </w:rPr>
            </w:pPr>
            <w:r w:rsidRPr="002D279B">
              <w:rPr>
                <w:rFonts w:cstheme="minorHAnsi"/>
                <w:noProof/>
              </w:rPr>
              <w:t>I - Legislativa, tarifní systém, regulace</w:t>
            </w:r>
          </w:p>
        </w:tc>
        <w:tc>
          <w:tcPr>
            <w:tcW w:w="5247" w:type="dxa"/>
            <w:tcBorders>
              <w:top w:val="single" w:sz="12" w:space="0" w:color="auto"/>
            </w:tcBorders>
          </w:tcPr>
          <w:p w14:paraId="0C39D115" w14:textId="77777777" w:rsidR="00815814" w:rsidRPr="002D279B" w:rsidRDefault="00815814" w:rsidP="00EF7665">
            <w:pPr>
              <w:pStyle w:val="Odstavecseseznamem"/>
              <w:spacing w:after="120" w:line="276" w:lineRule="auto"/>
              <w:ind w:left="0"/>
              <w:contextualSpacing w:val="0"/>
              <w:jc w:val="both"/>
              <w:rPr>
                <w:rFonts w:cstheme="minorHAnsi"/>
                <w:noProof/>
              </w:rPr>
            </w:pPr>
            <w:r w:rsidRPr="002D279B">
              <w:rPr>
                <w:rFonts w:cstheme="minorHAnsi"/>
                <w:noProof/>
              </w:rPr>
              <w:t>Legislativní podpora (podpůný projekt)</w:t>
            </w:r>
          </w:p>
        </w:tc>
      </w:tr>
      <w:tr w:rsidR="00815814" w:rsidRPr="002D279B" w14:paraId="796D83FC" w14:textId="77777777" w:rsidTr="00FD2899">
        <w:tc>
          <w:tcPr>
            <w:tcW w:w="4519" w:type="dxa"/>
            <w:vMerge/>
          </w:tcPr>
          <w:p w14:paraId="039AD5E3" w14:textId="77777777" w:rsidR="00815814" w:rsidRPr="002D279B" w:rsidRDefault="00815814" w:rsidP="00EF7665">
            <w:pPr>
              <w:pStyle w:val="Odstavecseseznamem"/>
              <w:spacing w:after="120" w:line="276" w:lineRule="auto"/>
              <w:ind w:left="0"/>
              <w:contextualSpacing w:val="0"/>
              <w:jc w:val="both"/>
              <w:rPr>
                <w:rFonts w:cstheme="minorHAnsi"/>
              </w:rPr>
            </w:pPr>
          </w:p>
        </w:tc>
        <w:tc>
          <w:tcPr>
            <w:tcW w:w="5247" w:type="dxa"/>
          </w:tcPr>
          <w:p w14:paraId="660C1AD0" w14:textId="77777777" w:rsidR="00815814" w:rsidRPr="002D279B" w:rsidRDefault="00815814" w:rsidP="00EF7665">
            <w:pPr>
              <w:pStyle w:val="Odstavecseseznamem"/>
              <w:spacing w:after="120" w:line="276" w:lineRule="auto"/>
              <w:ind w:left="0"/>
              <w:contextualSpacing w:val="0"/>
              <w:jc w:val="both"/>
              <w:rPr>
                <w:rFonts w:cstheme="minorHAnsi"/>
              </w:rPr>
            </w:pPr>
            <w:r w:rsidRPr="002D279B">
              <w:rPr>
                <w:rFonts w:cstheme="minorHAnsi"/>
              </w:rPr>
              <w:t>Monitoring a implementace nařízení EC (síťové kodexy) (realizační projekt)</w:t>
            </w:r>
          </w:p>
        </w:tc>
      </w:tr>
      <w:tr w:rsidR="00815814" w:rsidRPr="002D279B" w14:paraId="22986A7F" w14:textId="77777777" w:rsidTr="00FD2899">
        <w:tc>
          <w:tcPr>
            <w:tcW w:w="4519" w:type="dxa"/>
            <w:vMerge/>
          </w:tcPr>
          <w:p w14:paraId="796D665C" w14:textId="77777777" w:rsidR="00815814" w:rsidRPr="002D279B" w:rsidRDefault="00815814" w:rsidP="00EF7665">
            <w:pPr>
              <w:pStyle w:val="Odstavecseseznamem"/>
              <w:spacing w:after="120" w:line="276" w:lineRule="auto"/>
              <w:ind w:left="0"/>
              <w:contextualSpacing w:val="0"/>
              <w:jc w:val="both"/>
              <w:rPr>
                <w:rFonts w:cstheme="minorHAnsi"/>
              </w:rPr>
            </w:pPr>
          </w:p>
        </w:tc>
        <w:tc>
          <w:tcPr>
            <w:tcW w:w="5247" w:type="dxa"/>
          </w:tcPr>
          <w:p w14:paraId="74FCD586" w14:textId="77777777" w:rsidR="00815814" w:rsidRPr="002D279B" w:rsidRDefault="00815814" w:rsidP="00EF7665">
            <w:pPr>
              <w:pStyle w:val="Odstavecseseznamem"/>
              <w:spacing w:after="120" w:line="276" w:lineRule="auto"/>
              <w:ind w:left="0"/>
              <w:contextualSpacing w:val="0"/>
              <w:jc w:val="both"/>
              <w:rPr>
                <w:rFonts w:cstheme="minorHAnsi"/>
              </w:rPr>
            </w:pPr>
            <w:r w:rsidRPr="002D279B">
              <w:rPr>
                <w:rFonts w:cstheme="minorHAnsi"/>
              </w:rPr>
              <w:t>Zavedení patnáctiminutového intervalu vyhodnocování odchylek (realizační projekt)</w:t>
            </w:r>
          </w:p>
        </w:tc>
      </w:tr>
      <w:tr w:rsidR="00815814" w:rsidRPr="002D279B" w14:paraId="597CE415" w14:textId="77777777" w:rsidTr="00FD2899">
        <w:tc>
          <w:tcPr>
            <w:tcW w:w="4519" w:type="dxa"/>
            <w:vMerge w:val="restart"/>
            <w:vAlign w:val="center"/>
          </w:tcPr>
          <w:p w14:paraId="4C3A4481" w14:textId="77777777" w:rsidR="00815814" w:rsidRPr="002D279B" w:rsidRDefault="00815814" w:rsidP="00EF7665">
            <w:pPr>
              <w:pStyle w:val="Odstavecseseznamem"/>
              <w:spacing w:after="120" w:line="276" w:lineRule="auto"/>
              <w:ind w:left="0"/>
              <w:contextualSpacing w:val="0"/>
              <w:rPr>
                <w:rFonts w:cstheme="minorHAnsi"/>
                <w:noProof/>
              </w:rPr>
            </w:pPr>
            <w:r w:rsidRPr="002D279B">
              <w:rPr>
                <w:rFonts w:cstheme="minorHAnsi"/>
                <w:noProof/>
              </w:rPr>
              <w:t>II – Využití nových technologií v provozu ES ČR</w:t>
            </w:r>
          </w:p>
        </w:tc>
        <w:tc>
          <w:tcPr>
            <w:tcW w:w="5247" w:type="dxa"/>
          </w:tcPr>
          <w:p w14:paraId="7262F5CE" w14:textId="77777777" w:rsidR="00815814" w:rsidRPr="002D279B" w:rsidRDefault="00815814" w:rsidP="00EF7665">
            <w:pPr>
              <w:pStyle w:val="Odstavecseseznamem"/>
              <w:spacing w:after="120" w:line="276" w:lineRule="auto"/>
              <w:ind w:left="0"/>
              <w:contextualSpacing w:val="0"/>
              <w:jc w:val="both"/>
              <w:rPr>
                <w:rFonts w:cstheme="minorHAnsi"/>
                <w:noProof/>
              </w:rPr>
            </w:pPr>
            <w:r w:rsidRPr="002D279B">
              <w:rPr>
                <w:rFonts w:cstheme="minorHAnsi"/>
                <w:noProof/>
              </w:rPr>
              <w:t>Osazení měření kvality elektřiny (realizační projekt)</w:t>
            </w:r>
          </w:p>
        </w:tc>
      </w:tr>
      <w:tr w:rsidR="00815814" w:rsidRPr="002D279B" w14:paraId="6542C0A2" w14:textId="77777777" w:rsidTr="00FD2899">
        <w:tc>
          <w:tcPr>
            <w:tcW w:w="4519" w:type="dxa"/>
            <w:vMerge/>
          </w:tcPr>
          <w:p w14:paraId="2746EA66" w14:textId="77777777" w:rsidR="00815814" w:rsidRPr="002D279B" w:rsidRDefault="00815814" w:rsidP="00EF7665">
            <w:pPr>
              <w:pStyle w:val="Odstavecseseznamem"/>
              <w:spacing w:after="120" w:line="276" w:lineRule="auto"/>
              <w:ind w:left="0"/>
              <w:contextualSpacing w:val="0"/>
              <w:jc w:val="both"/>
              <w:rPr>
                <w:rFonts w:cstheme="minorHAnsi"/>
              </w:rPr>
            </w:pPr>
          </w:p>
        </w:tc>
        <w:tc>
          <w:tcPr>
            <w:tcW w:w="5247" w:type="dxa"/>
          </w:tcPr>
          <w:p w14:paraId="669B0CB1" w14:textId="77777777" w:rsidR="00815814" w:rsidRPr="002D279B" w:rsidRDefault="00815814" w:rsidP="00EF7665">
            <w:pPr>
              <w:pStyle w:val="Odstavecseseznamem"/>
              <w:spacing w:after="120" w:line="276" w:lineRule="auto"/>
              <w:ind w:left="0"/>
              <w:contextualSpacing w:val="0"/>
              <w:jc w:val="both"/>
              <w:rPr>
                <w:rFonts w:cstheme="minorHAnsi"/>
              </w:rPr>
            </w:pPr>
            <w:r w:rsidRPr="002D279B">
              <w:rPr>
                <w:rFonts w:cstheme="minorHAnsi"/>
              </w:rPr>
              <w:t>Frekvenční odlehčování (realizační projekt)</w:t>
            </w:r>
          </w:p>
        </w:tc>
      </w:tr>
      <w:tr w:rsidR="00815814" w:rsidRPr="002D279B" w14:paraId="7B05D477" w14:textId="77777777" w:rsidTr="00FD2899">
        <w:tc>
          <w:tcPr>
            <w:tcW w:w="4519" w:type="dxa"/>
            <w:vMerge/>
          </w:tcPr>
          <w:p w14:paraId="4CE4FAFD" w14:textId="77777777" w:rsidR="00815814" w:rsidRPr="002D279B" w:rsidRDefault="00815814" w:rsidP="00EF7665">
            <w:pPr>
              <w:pStyle w:val="Odstavecseseznamem"/>
              <w:spacing w:after="120" w:line="276" w:lineRule="auto"/>
              <w:ind w:left="0"/>
              <w:contextualSpacing w:val="0"/>
              <w:jc w:val="both"/>
              <w:rPr>
                <w:rFonts w:cstheme="minorHAnsi"/>
              </w:rPr>
            </w:pPr>
          </w:p>
        </w:tc>
        <w:tc>
          <w:tcPr>
            <w:tcW w:w="5247" w:type="dxa"/>
          </w:tcPr>
          <w:p w14:paraId="077DAA95" w14:textId="77777777" w:rsidR="00815814" w:rsidRPr="002D279B" w:rsidRDefault="00815814" w:rsidP="00EF7665">
            <w:pPr>
              <w:pStyle w:val="Odstavecseseznamem"/>
              <w:spacing w:after="120" w:line="276" w:lineRule="auto"/>
              <w:ind w:left="0"/>
              <w:contextualSpacing w:val="0"/>
              <w:jc w:val="both"/>
              <w:rPr>
                <w:rFonts w:cstheme="minorHAnsi"/>
              </w:rPr>
            </w:pPr>
            <w:r w:rsidRPr="002D279B">
              <w:rPr>
                <w:rFonts w:cstheme="minorHAnsi"/>
              </w:rPr>
              <w:t>Flexibilita bateriových systémů (0,5 MW a výše) pro poskytování bilančních a ostatních podpůrných služeb (pilotní projekt)</w:t>
            </w:r>
          </w:p>
        </w:tc>
      </w:tr>
      <w:tr w:rsidR="00815814" w:rsidRPr="002D279B" w14:paraId="0FC890E7" w14:textId="77777777" w:rsidTr="00FD2899">
        <w:tc>
          <w:tcPr>
            <w:tcW w:w="4519" w:type="dxa"/>
            <w:vMerge/>
          </w:tcPr>
          <w:p w14:paraId="29B4DE3B" w14:textId="77777777" w:rsidR="00815814" w:rsidRPr="002D279B" w:rsidRDefault="00815814" w:rsidP="00EF7665">
            <w:pPr>
              <w:pStyle w:val="Odstavecseseznamem"/>
              <w:spacing w:after="120" w:line="276" w:lineRule="auto"/>
              <w:ind w:left="0"/>
              <w:contextualSpacing w:val="0"/>
              <w:jc w:val="both"/>
              <w:rPr>
                <w:rFonts w:cstheme="minorHAnsi"/>
              </w:rPr>
            </w:pPr>
          </w:p>
        </w:tc>
        <w:tc>
          <w:tcPr>
            <w:tcW w:w="5247" w:type="dxa"/>
          </w:tcPr>
          <w:p w14:paraId="1ABE40CC" w14:textId="77777777" w:rsidR="00815814" w:rsidRPr="002D279B" w:rsidRDefault="00815814" w:rsidP="00EF7665">
            <w:pPr>
              <w:pStyle w:val="Odstavecseseznamem"/>
              <w:spacing w:after="120" w:line="276" w:lineRule="auto"/>
              <w:ind w:left="0"/>
              <w:contextualSpacing w:val="0"/>
              <w:jc w:val="both"/>
              <w:rPr>
                <w:rFonts w:cstheme="minorHAnsi"/>
              </w:rPr>
            </w:pPr>
            <w:r w:rsidRPr="002D279B">
              <w:rPr>
                <w:rFonts w:cstheme="minorHAnsi"/>
              </w:rPr>
              <w:t>Flexibilita DECE (0,5 MW a výše) pro poskytování bilančních a ostatních podpůrných služeb (pilotní projekt)</w:t>
            </w:r>
          </w:p>
        </w:tc>
      </w:tr>
      <w:tr w:rsidR="00815814" w:rsidRPr="002D279B" w14:paraId="621A5625" w14:textId="77777777" w:rsidTr="00FD2899">
        <w:tc>
          <w:tcPr>
            <w:tcW w:w="4519" w:type="dxa"/>
            <w:vMerge/>
          </w:tcPr>
          <w:p w14:paraId="1C6BA9A3" w14:textId="77777777" w:rsidR="00815814" w:rsidRPr="002D279B" w:rsidRDefault="00815814" w:rsidP="00EF7665">
            <w:pPr>
              <w:pStyle w:val="Odstavecseseznamem"/>
              <w:spacing w:after="120" w:line="276" w:lineRule="auto"/>
              <w:ind w:left="0"/>
              <w:contextualSpacing w:val="0"/>
              <w:jc w:val="both"/>
              <w:rPr>
                <w:rFonts w:cstheme="minorHAnsi"/>
              </w:rPr>
            </w:pPr>
          </w:p>
        </w:tc>
        <w:tc>
          <w:tcPr>
            <w:tcW w:w="5247" w:type="dxa"/>
          </w:tcPr>
          <w:p w14:paraId="6957A323" w14:textId="77777777" w:rsidR="00815814" w:rsidRPr="002D279B" w:rsidRDefault="00815814" w:rsidP="00EF7665">
            <w:pPr>
              <w:pStyle w:val="Odstavecseseznamem"/>
              <w:spacing w:after="120" w:line="276" w:lineRule="auto"/>
              <w:ind w:left="0"/>
              <w:contextualSpacing w:val="0"/>
              <w:jc w:val="both"/>
              <w:rPr>
                <w:rFonts w:cstheme="minorHAnsi"/>
              </w:rPr>
            </w:pPr>
            <w:r w:rsidRPr="002D279B">
              <w:rPr>
                <w:rFonts w:cstheme="minorHAnsi"/>
              </w:rPr>
              <w:t>Flexibilita velkých spotřebitelů (zapojených do 110 KV) pro poskytování bilančních a ostatních podpůrných služeb (pilotní projekt)</w:t>
            </w:r>
          </w:p>
        </w:tc>
      </w:tr>
      <w:tr w:rsidR="00815814" w:rsidRPr="002D279B" w14:paraId="2B1D4B38" w14:textId="77777777" w:rsidTr="00FD2899">
        <w:tc>
          <w:tcPr>
            <w:tcW w:w="4519" w:type="dxa"/>
            <w:vMerge/>
          </w:tcPr>
          <w:p w14:paraId="2767C0E1" w14:textId="77777777" w:rsidR="00815814" w:rsidRPr="002D279B" w:rsidRDefault="00815814" w:rsidP="00EF7665">
            <w:pPr>
              <w:pStyle w:val="Odstavecseseznamem"/>
              <w:spacing w:after="120" w:line="276" w:lineRule="auto"/>
              <w:ind w:left="0"/>
              <w:contextualSpacing w:val="0"/>
              <w:jc w:val="both"/>
              <w:rPr>
                <w:rFonts w:cstheme="minorHAnsi"/>
              </w:rPr>
            </w:pPr>
          </w:p>
        </w:tc>
        <w:tc>
          <w:tcPr>
            <w:tcW w:w="5247" w:type="dxa"/>
          </w:tcPr>
          <w:p w14:paraId="525F3FBE" w14:textId="77777777" w:rsidR="00815814" w:rsidRPr="002D279B" w:rsidRDefault="00815814" w:rsidP="00EF7665">
            <w:pPr>
              <w:pStyle w:val="Odstavecseseznamem"/>
              <w:spacing w:after="120" w:line="276" w:lineRule="auto"/>
              <w:ind w:left="0"/>
              <w:contextualSpacing w:val="0"/>
              <w:jc w:val="both"/>
              <w:rPr>
                <w:rFonts w:cstheme="minorHAnsi"/>
              </w:rPr>
            </w:pPr>
            <w:r w:rsidRPr="002D279B">
              <w:rPr>
                <w:rFonts w:cstheme="minorHAnsi"/>
              </w:rPr>
              <w:t>Agregace poskytovatelů flexibility na straně spotřeby (včetně prosumers) zapojených do vn a nn pro poskytování bilančních a ostatních podpůrných služeb (pilotní projekt)</w:t>
            </w:r>
          </w:p>
        </w:tc>
      </w:tr>
      <w:tr w:rsidR="00815814" w:rsidRPr="002D279B" w14:paraId="6CF03AB4" w14:textId="77777777" w:rsidTr="00FD2899">
        <w:tc>
          <w:tcPr>
            <w:tcW w:w="4519" w:type="dxa"/>
            <w:vMerge/>
          </w:tcPr>
          <w:p w14:paraId="1DDB6C1A" w14:textId="77777777" w:rsidR="00815814" w:rsidRPr="002D279B" w:rsidRDefault="00815814" w:rsidP="00EF7665">
            <w:pPr>
              <w:pStyle w:val="Odstavecseseznamem"/>
              <w:spacing w:after="120" w:line="276" w:lineRule="auto"/>
              <w:ind w:left="0"/>
              <w:contextualSpacing w:val="0"/>
              <w:jc w:val="both"/>
              <w:rPr>
                <w:rFonts w:cstheme="minorHAnsi"/>
              </w:rPr>
            </w:pPr>
          </w:p>
        </w:tc>
        <w:tc>
          <w:tcPr>
            <w:tcW w:w="5247" w:type="dxa"/>
          </w:tcPr>
          <w:p w14:paraId="05CEE33C" w14:textId="77777777" w:rsidR="00815814" w:rsidRPr="002D279B" w:rsidRDefault="00815814" w:rsidP="00EF7665">
            <w:pPr>
              <w:pStyle w:val="Odstavecseseznamem"/>
              <w:spacing w:after="120" w:line="276" w:lineRule="auto"/>
              <w:ind w:left="0"/>
              <w:contextualSpacing w:val="0"/>
              <w:jc w:val="both"/>
              <w:rPr>
                <w:rFonts w:cstheme="minorHAnsi"/>
              </w:rPr>
            </w:pPr>
            <w:r w:rsidRPr="002D279B">
              <w:rPr>
                <w:rFonts w:cstheme="minorHAnsi"/>
              </w:rPr>
              <w:t>Akumulace, využití akumulace jako součásti instalace FVE v sítích nn (podpů</w:t>
            </w:r>
            <w:r w:rsidR="003704EF" w:rsidRPr="002D279B">
              <w:rPr>
                <w:rFonts w:cstheme="minorHAnsi"/>
              </w:rPr>
              <w:t>r</w:t>
            </w:r>
            <w:r w:rsidRPr="002D279B">
              <w:rPr>
                <w:rFonts w:cstheme="minorHAnsi"/>
              </w:rPr>
              <w:t>ný projekt)</w:t>
            </w:r>
          </w:p>
        </w:tc>
      </w:tr>
      <w:tr w:rsidR="00815814" w:rsidRPr="002D279B" w14:paraId="3B5BC6D9" w14:textId="77777777" w:rsidTr="00FD2899">
        <w:tc>
          <w:tcPr>
            <w:tcW w:w="4519" w:type="dxa"/>
            <w:vMerge/>
          </w:tcPr>
          <w:p w14:paraId="5708F749" w14:textId="77777777" w:rsidR="00815814" w:rsidRPr="002D279B" w:rsidRDefault="00815814" w:rsidP="00EF7665">
            <w:pPr>
              <w:pStyle w:val="Odstavecseseznamem"/>
              <w:spacing w:after="120" w:line="276" w:lineRule="auto"/>
              <w:ind w:left="0"/>
              <w:contextualSpacing w:val="0"/>
              <w:jc w:val="both"/>
              <w:rPr>
                <w:rFonts w:cstheme="minorHAnsi"/>
              </w:rPr>
            </w:pPr>
          </w:p>
        </w:tc>
        <w:tc>
          <w:tcPr>
            <w:tcW w:w="5247" w:type="dxa"/>
          </w:tcPr>
          <w:p w14:paraId="0E039AF1" w14:textId="77777777" w:rsidR="00815814" w:rsidRPr="002D279B" w:rsidRDefault="00815814" w:rsidP="00EF7665">
            <w:pPr>
              <w:pStyle w:val="Odstavecseseznamem"/>
              <w:spacing w:after="120" w:line="276" w:lineRule="auto"/>
              <w:ind w:left="0"/>
              <w:contextualSpacing w:val="0"/>
              <w:jc w:val="both"/>
              <w:rPr>
                <w:rFonts w:cstheme="minorHAnsi"/>
              </w:rPr>
            </w:pPr>
            <w:r w:rsidRPr="002D279B">
              <w:rPr>
                <w:rFonts w:cstheme="minorHAnsi"/>
              </w:rPr>
              <w:t xml:space="preserve">Technický </w:t>
            </w:r>
            <w:r w:rsidR="00C4514A" w:rsidRPr="002D279B">
              <w:rPr>
                <w:rFonts w:cstheme="minorHAnsi"/>
              </w:rPr>
              <w:t>DataHUB – Digitalizace</w:t>
            </w:r>
            <w:r w:rsidRPr="002D279B">
              <w:rPr>
                <w:rFonts w:cstheme="minorHAnsi"/>
              </w:rPr>
              <w:t xml:space="preserve"> provozu ES ČR v budoucích podmínkách (realizační projekt)</w:t>
            </w:r>
          </w:p>
        </w:tc>
      </w:tr>
      <w:tr w:rsidR="00815814" w:rsidRPr="002D279B" w14:paraId="6A4E7D13" w14:textId="77777777" w:rsidTr="00FD2899">
        <w:tc>
          <w:tcPr>
            <w:tcW w:w="4519" w:type="dxa"/>
            <w:vMerge/>
          </w:tcPr>
          <w:p w14:paraId="4AE84E9E" w14:textId="77777777" w:rsidR="00815814" w:rsidRPr="002D279B" w:rsidRDefault="00815814" w:rsidP="00EF7665">
            <w:pPr>
              <w:pStyle w:val="Odstavecseseznamem"/>
              <w:spacing w:after="120" w:line="276" w:lineRule="auto"/>
              <w:ind w:left="0"/>
              <w:contextualSpacing w:val="0"/>
              <w:jc w:val="both"/>
              <w:rPr>
                <w:rFonts w:cstheme="minorHAnsi"/>
              </w:rPr>
            </w:pPr>
          </w:p>
        </w:tc>
        <w:tc>
          <w:tcPr>
            <w:tcW w:w="5247" w:type="dxa"/>
          </w:tcPr>
          <w:p w14:paraId="4D1CF0CB" w14:textId="77777777" w:rsidR="00815814" w:rsidRPr="002D279B" w:rsidRDefault="00815814" w:rsidP="00EF7665">
            <w:pPr>
              <w:pStyle w:val="Odstavecseseznamem"/>
              <w:spacing w:after="120" w:line="276" w:lineRule="auto"/>
              <w:ind w:left="0"/>
              <w:contextualSpacing w:val="0"/>
              <w:jc w:val="both"/>
              <w:rPr>
                <w:rFonts w:cstheme="minorHAnsi"/>
              </w:rPr>
            </w:pPr>
            <w:r w:rsidRPr="002D279B">
              <w:rPr>
                <w:rFonts w:cstheme="minorHAnsi"/>
              </w:rPr>
              <w:t>Management Q (realizační projekt)</w:t>
            </w:r>
          </w:p>
        </w:tc>
      </w:tr>
      <w:tr w:rsidR="00815814" w:rsidRPr="002D279B" w14:paraId="72040BCE" w14:textId="77777777" w:rsidTr="00FD2899">
        <w:tc>
          <w:tcPr>
            <w:tcW w:w="4519" w:type="dxa"/>
            <w:vMerge w:val="restart"/>
            <w:vAlign w:val="center"/>
          </w:tcPr>
          <w:p w14:paraId="6021403B" w14:textId="77777777" w:rsidR="00815814" w:rsidRPr="002D279B" w:rsidRDefault="00815814" w:rsidP="00EF7665">
            <w:pPr>
              <w:pStyle w:val="Odstavecseseznamem"/>
              <w:spacing w:after="120" w:line="276" w:lineRule="auto"/>
              <w:ind w:left="0"/>
              <w:contextualSpacing w:val="0"/>
              <w:rPr>
                <w:rFonts w:cstheme="minorHAnsi"/>
                <w:noProof/>
              </w:rPr>
            </w:pPr>
            <w:r w:rsidRPr="002D279B">
              <w:rPr>
                <w:rFonts w:cstheme="minorHAnsi"/>
                <w:noProof/>
              </w:rPr>
              <w:t>III – Integrace nových technologií do ES</w:t>
            </w:r>
          </w:p>
        </w:tc>
        <w:tc>
          <w:tcPr>
            <w:tcW w:w="5247" w:type="dxa"/>
          </w:tcPr>
          <w:p w14:paraId="76A9FAB6" w14:textId="77777777" w:rsidR="00815814" w:rsidRPr="002D279B" w:rsidRDefault="00815814" w:rsidP="00EF7665">
            <w:pPr>
              <w:pStyle w:val="Odstavecseseznamem"/>
              <w:spacing w:after="120" w:line="276" w:lineRule="auto"/>
              <w:ind w:left="0"/>
              <w:contextualSpacing w:val="0"/>
              <w:jc w:val="both"/>
              <w:rPr>
                <w:rFonts w:cstheme="minorHAnsi"/>
                <w:noProof/>
              </w:rPr>
            </w:pPr>
            <w:r w:rsidRPr="002D279B">
              <w:rPr>
                <w:rFonts w:cstheme="minorHAnsi"/>
                <w:noProof/>
              </w:rPr>
              <w:t>Implementace inteligentního měření (realizační projekt)</w:t>
            </w:r>
          </w:p>
        </w:tc>
      </w:tr>
      <w:tr w:rsidR="00815814" w:rsidRPr="002D279B" w14:paraId="00125337" w14:textId="77777777" w:rsidTr="00FD2899">
        <w:tc>
          <w:tcPr>
            <w:tcW w:w="4519" w:type="dxa"/>
            <w:vMerge/>
          </w:tcPr>
          <w:p w14:paraId="2045C910" w14:textId="77777777" w:rsidR="00815814" w:rsidRPr="002D279B" w:rsidRDefault="00815814" w:rsidP="00EF7665">
            <w:pPr>
              <w:pStyle w:val="Odstavecseseznamem"/>
              <w:spacing w:after="120" w:line="276" w:lineRule="auto"/>
              <w:ind w:left="0"/>
              <w:contextualSpacing w:val="0"/>
              <w:jc w:val="both"/>
              <w:rPr>
                <w:rFonts w:cstheme="minorHAnsi"/>
              </w:rPr>
            </w:pPr>
          </w:p>
        </w:tc>
        <w:tc>
          <w:tcPr>
            <w:tcW w:w="5247" w:type="dxa"/>
          </w:tcPr>
          <w:p w14:paraId="303F1B98" w14:textId="77777777" w:rsidR="00815814" w:rsidRPr="002D279B" w:rsidRDefault="00815814" w:rsidP="00EF7665">
            <w:pPr>
              <w:pStyle w:val="Odstavecseseznamem"/>
              <w:spacing w:after="120" w:line="276" w:lineRule="auto"/>
              <w:ind w:left="0"/>
              <w:contextualSpacing w:val="0"/>
              <w:jc w:val="both"/>
              <w:rPr>
                <w:rFonts w:cstheme="minorHAnsi"/>
              </w:rPr>
            </w:pPr>
            <w:r w:rsidRPr="002D279B">
              <w:rPr>
                <w:rFonts w:cstheme="minorHAnsi"/>
              </w:rPr>
              <w:t>Implementace chytrých stanic na hladině vn (dálkové ovládání, monitoring, signalizace) (realizační projekt)</w:t>
            </w:r>
          </w:p>
        </w:tc>
      </w:tr>
      <w:tr w:rsidR="00815814" w:rsidRPr="002D279B" w14:paraId="58AD9377" w14:textId="77777777" w:rsidTr="00FD2899">
        <w:tc>
          <w:tcPr>
            <w:tcW w:w="4519" w:type="dxa"/>
            <w:vMerge/>
          </w:tcPr>
          <w:p w14:paraId="5A0F12E9" w14:textId="77777777" w:rsidR="00815814" w:rsidRPr="002D279B" w:rsidRDefault="00815814" w:rsidP="00EF7665">
            <w:pPr>
              <w:pStyle w:val="Odstavecseseznamem"/>
              <w:spacing w:after="120" w:line="276" w:lineRule="auto"/>
              <w:ind w:left="0"/>
              <w:contextualSpacing w:val="0"/>
              <w:jc w:val="both"/>
              <w:rPr>
                <w:rFonts w:cstheme="minorHAnsi"/>
              </w:rPr>
            </w:pPr>
          </w:p>
        </w:tc>
        <w:tc>
          <w:tcPr>
            <w:tcW w:w="5247" w:type="dxa"/>
          </w:tcPr>
          <w:p w14:paraId="0F555BC0" w14:textId="77777777" w:rsidR="00815814" w:rsidRPr="002D279B" w:rsidRDefault="00815814" w:rsidP="00EF7665">
            <w:pPr>
              <w:pStyle w:val="Odstavecseseznamem"/>
              <w:spacing w:after="120" w:line="276" w:lineRule="auto"/>
              <w:ind w:left="0"/>
              <w:contextualSpacing w:val="0"/>
              <w:jc w:val="both"/>
              <w:rPr>
                <w:rFonts w:cstheme="minorHAnsi"/>
              </w:rPr>
            </w:pPr>
            <w:r w:rsidRPr="002D279B">
              <w:rPr>
                <w:rFonts w:cstheme="minorHAnsi"/>
              </w:rPr>
              <w:t>Implementace dálkově ovládaných spínacích prvků (DOP) na venkovním vedení vn (realizační projekt)</w:t>
            </w:r>
          </w:p>
        </w:tc>
      </w:tr>
      <w:tr w:rsidR="00815814" w:rsidRPr="002D279B" w14:paraId="12833327" w14:textId="77777777" w:rsidTr="00FD2899">
        <w:tc>
          <w:tcPr>
            <w:tcW w:w="4519" w:type="dxa"/>
            <w:vMerge/>
          </w:tcPr>
          <w:p w14:paraId="15FF1759" w14:textId="77777777" w:rsidR="00815814" w:rsidRPr="002D279B" w:rsidRDefault="00815814" w:rsidP="00EF7665">
            <w:pPr>
              <w:pStyle w:val="Odstavecseseznamem"/>
              <w:spacing w:after="120" w:line="276" w:lineRule="auto"/>
              <w:ind w:left="0"/>
              <w:contextualSpacing w:val="0"/>
              <w:jc w:val="both"/>
              <w:rPr>
                <w:rFonts w:cstheme="minorHAnsi"/>
              </w:rPr>
            </w:pPr>
          </w:p>
        </w:tc>
        <w:tc>
          <w:tcPr>
            <w:tcW w:w="5247" w:type="dxa"/>
          </w:tcPr>
          <w:p w14:paraId="762F6002" w14:textId="77777777" w:rsidR="00815814" w:rsidRPr="002D279B" w:rsidRDefault="00815814" w:rsidP="00EF7665">
            <w:pPr>
              <w:pStyle w:val="Odstavecseseznamem"/>
              <w:spacing w:after="120" w:line="276" w:lineRule="auto"/>
              <w:ind w:left="0"/>
              <w:contextualSpacing w:val="0"/>
              <w:jc w:val="both"/>
              <w:rPr>
                <w:rFonts w:cstheme="minorHAnsi"/>
              </w:rPr>
            </w:pPr>
            <w:r w:rsidRPr="002D279B">
              <w:rPr>
                <w:rFonts w:cstheme="minorHAnsi"/>
              </w:rPr>
              <w:t>Automatizace sítí nn (ASDŘ) (podpů</w:t>
            </w:r>
            <w:r w:rsidR="003704EF" w:rsidRPr="002D279B">
              <w:rPr>
                <w:rFonts w:cstheme="minorHAnsi"/>
              </w:rPr>
              <w:t>r</w:t>
            </w:r>
            <w:r w:rsidRPr="002D279B">
              <w:rPr>
                <w:rFonts w:cstheme="minorHAnsi"/>
              </w:rPr>
              <w:t>ný projekt)</w:t>
            </w:r>
          </w:p>
        </w:tc>
      </w:tr>
      <w:tr w:rsidR="00815814" w:rsidRPr="002D279B" w14:paraId="4C4BE0DC" w14:textId="77777777" w:rsidTr="00FD2899">
        <w:tc>
          <w:tcPr>
            <w:tcW w:w="4519" w:type="dxa"/>
            <w:vMerge/>
          </w:tcPr>
          <w:p w14:paraId="4E4E0D8C" w14:textId="77777777" w:rsidR="00815814" w:rsidRPr="002D279B" w:rsidRDefault="00815814" w:rsidP="00EF7665">
            <w:pPr>
              <w:pStyle w:val="Odstavecseseznamem"/>
              <w:spacing w:after="120" w:line="276" w:lineRule="auto"/>
              <w:ind w:left="0"/>
              <w:contextualSpacing w:val="0"/>
              <w:jc w:val="both"/>
              <w:rPr>
                <w:rFonts w:cstheme="minorHAnsi"/>
              </w:rPr>
            </w:pPr>
          </w:p>
        </w:tc>
        <w:tc>
          <w:tcPr>
            <w:tcW w:w="5247" w:type="dxa"/>
          </w:tcPr>
          <w:p w14:paraId="236A9E69" w14:textId="77777777" w:rsidR="00815814" w:rsidRPr="002D279B" w:rsidRDefault="00815814" w:rsidP="00EF7665">
            <w:pPr>
              <w:pStyle w:val="Odstavecseseznamem"/>
              <w:spacing w:after="120" w:line="276" w:lineRule="auto"/>
              <w:ind w:left="0"/>
              <w:contextualSpacing w:val="0"/>
              <w:jc w:val="both"/>
              <w:rPr>
                <w:rFonts w:cstheme="minorHAnsi"/>
              </w:rPr>
            </w:pPr>
            <w:r w:rsidRPr="002D279B">
              <w:rPr>
                <w:rFonts w:cstheme="minorHAnsi"/>
              </w:rPr>
              <w:t>Integrace elektromobility do DS (pilotní a podpůrný projekt)</w:t>
            </w:r>
          </w:p>
        </w:tc>
      </w:tr>
      <w:tr w:rsidR="00815814" w:rsidRPr="002D279B" w14:paraId="07509E20" w14:textId="77777777" w:rsidTr="00FD2899">
        <w:tc>
          <w:tcPr>
            <w:tcW w:w="4519" w:type="dxa"/>
            <w:vMerge/>
          </w:tcPr>
          <w:p w14:paraId="15FE330A" w14:textId="77777777" w:rsidR="00815814" w:rsidRPr="002D279B" w:rsidRDefault="00815814" w:rsidP="00EF7665">
            <w:pPr>
              <w:pStyle w:val="Odstavecseseznamem"/>
              <w:spacing w:after="120" w:line="276" w:lineRule="auto"/>
              <w:ind w:left="0"/>
              <w:contextualSpacing w:val="0"/>
              <w:jc w:val="both"/>
              <w:rPr>
                <w:rFonts w:cstheme="minorHAnsi"/>
              </w:rPr>
            </w:pPr>
          </w:p>
        </w:tc>
        <w:tc>
          <w:tcPr>
            <w:tcW w:w="5247" w:type="dxa"/>
          </w:tcPr>
          <w:p w14:paraId="53F8B550" w14:textId="77777777" w:rsidR="00815814" w:rsidRPr="002D279B" w:rsidRDefault="00815814" w:rsidP="00EF7665">
            <w:pPr>
              <w:pStyle w:val="Odstavecseseznamem"/>
              <w:spacing w:after="120" w:line="276" w:lineRule="auto"/>
              <w:ind w:left="0"/>
              <w:contextualSpacing w:val="0"/>
              <w:jc w:val="both"/>
              <w:rPr>
                <w:rFonts w:cstheme="minorHAnsi"/>
              </w:rPr>
            </w:pPr>
            <w:r w:rsidRPr="002D279B">
              <w:rPr>
                <w:rFonts w:cstheme="minorHAnsi"/>
              </w:rPr>
              <w:t>Rozvoj a výstavba optické telekomunikační infrastruktury (realizační projekt)</w:t>
            </w:r>
          </w:p>
        </w:tc>
      </w:tr>
      <w:tr w:rsidR="00815814" w:rsidRPr="002D279B" w14:paraId="0A8FABF2" w14:textId="77777777" w:rsidTr="00FD2899">
        <w:tc>
          <w:tcPr>
            <w:tcW w:w="4519" w:type="dxa"/>
            <w:vMerge/>
          </w:tcPr>
          <w:p w14:paraId="3ACEDFDB" w14:textId="77777777" w:rsidR="00815814" w:rsidRPr="002D279B" w:rsidRDefault="00815814" w:rsidP="00EF7665">
            <w:pPr>
              <w:pStyle w:val="Odstavecseseznamem"/>
              <w:spacing w:after="120" w:line="276" w:lineRule="auto"/>
              <w:ind w:left="0"/>
              <w:contextualSpacing w:val="0"/>
              <w:jc w:val="both"/>
              <w:rPr>
                <w:rFonts w:cstheme="minorHAnsi"/>
              </w:rPr>
            </w:pPr>
          </w:p>
        </w:tc>
        <w:tc>
          <w:tcPr>
            <w:tcW w:w="5247" w:type="dxa"/>
          </w:tcPr>
          <w:p w14:paraId="2D6EB12C" w14:textId="77777777" w:rsidR="00815814" w:rsidRPr="002D279B" w:rsidRDefault="00815814" w:rsidP="00EF7665">
            <w:pPr>
              <w:pStyle w:val="Odstavecseseznamem"/>
              <w:spacing w:after="120" w:line="276" w:lineRule="auto"/>
              <w:ind w:left="0"/>
              <w:contextualSpacing w:val="0"/>
              <w:jc w:val="both"/>
              <w:rPr>
                <w:rFonts w:cstheme="minorHAnsi"/>
              </w:rPr>
            </w:pPr>
            <w:r w:rsidRPr="002D279B">
              <w:rPr>
                <w:rFonts w:cstheme="minorHAnsi"/>
              </w:rPr>
              <w:t>Energetický DataHUB – část obchod (realizační projekt)</w:t>
            </w:r>
          </w:p>
        </w:tc>
      </w:tr>
      <w:tr w:rsidR="00815814" w:rsidRPr="002D279B" w14:paraId="44DADAA0" w14:textId="77777777" w:rsidTr="00FD2899">
        <w:tc>
          <w:tcPr>
            <w:tcW w:w="4519" w:type="dxa"/>
            <w:vMerge/>
          </w:tcPr>
          <w:p w14:paraId="44C416EA" w14:textId="77777777" w:rsidR="00815814" w:rsidRPr="002D279B" w:rsidRDefault="00815814" w:rsidP="00EF7665">
            <w:pPr>
              <w:pStyle w:val="Odstavecseseznamem"/>
              <w:spacing w:after="120" w:line="276" w:lineRule="auto"/>
              <w:ind w:left="0"/>
              <w:contextualSpacing w:val="0"/>
              <w:jc w:val="both"/>
              <w:rPr>
                <w:rFonts w:cstheme="minorHAnsi"/>
              </w:rPr>
            </w:pPr>
          </w:p>
        </w:tc>
        <w:tc>
          <w:tcPr>
            <w:tcW w:w="5247" w:type="dxa"/>
          </w:tcPr>
          <w:p w14:paraId="31AFEB19" w14:textId="77777777" w:rsidR="00815814" w:rsidRPr="002D279B" w:rsidRDefault="00815814" w:rsidP="00EF7665">
            <w:pPr>
              <w:pStyle w:val="Odstavecseseznamem"/>
              <w:spacing w:after="120" w:line="276" w:lineRule="auto"/>
              <w:ind w:left="0"/>
              <w:contextualSpacing w:val="0"/>
              <w:jc w:val="both"/>
              <w:rPr>
                <w:rFonts w:cstheme="minorHAnsi"/>
                <w:noProof/>
              </w:rPr>
            </w:pPr>
            <w:r w:rsidRPr="002D279B">
              <w:rPr>
                <w:rFonts w:cstheme="minorHAnsi"/>
              </w:rPr>
              <w:t>Využití technologie Power to X pro akumulaci přebytků elektřiny z OZE (</w:t>
            </w:r>
            <w:r w:rsidR="006D61DA" w:rsidRPr="002D279B">
              <w:rPr>
                <w:rFonts w:cstheme="minorHAnsi"/>
              </w:rPr>
              <w:t>podpůrný</w:t>
            </w:r>
            <w:r w:rsidRPr="002D279B">
              <w:rPr>
                <w:rFonts w:cstheme="minorHAnsi"/>
              </w:rPr>
              <w:t xml:space="preserve"> projekt)</w:t>
            </w:r>
          </w:p>
        </w:tc>
      </w:tr>
    </w:tbl>
    <w:p w14:paraId="1B01FCFA" w14:textId="77777777" w:rsidR="002C20CF" w:rsidRPr="002D279B" w:rsidRDefault="2306B366" w:rsidP="003C2D9B">
      <w:pPr>
        <w:pStyle w:val="K-Nadpis2"/>
        <w:rPr>
          <w:sz w:val="22"/>
          <w:szCs w:val="22"/>
        </w:rPr>
      </w:pPr>
      <w:r w:rsidRPr="002D279B">
        <w:rPr>
          <w:sz w:val="22"/>
          <w:szCs w:val="22"/>
        </w:rPr>
        <w:lastRenderedPageBreak/>
        <w:t xml:space="preserve"> </w:t>
      </w:r>
      <w:r w:rsidR="16E0012A" w:rsidRPr="002D279B">
        <w:rPr>
          <w:sz w:val="22"/>
          <w:szCs w:val="22"/>
        </w:rPr>
        <w:t>Popis reforem</w:t>
      </w:r>
      <w:r w:rsidR="49A67FA7" w:rsidRPr="002D279B">
        <w:rPr>
          <w:sz w:val="22"/>
          <w:szCs w:val="22"/>
        </w:rPr>
        <w:t xml:space="preserve"> a investic</w:t>
      </w:r>
      <w:r w:rsidR="16E0012A" w:rsidRPr="002D279B">
        <w:rPr>
          <w:sz w:val="22"/>
          <w:szCs w:val="22"/>
        </w:rPr>
        <w:t xml:space="preserve"> k</w:t>
      </w:r>
      <w:r w:rsidRPr="002D279B">
        <w:rPr>
          <w:sz w:val="22"/>
          <w:szCs w:val="22"/>
        </w:rPr>
        <w:t>omponent</w:t>
      </w:r>
      <w:r w:rsidR="16E0012A" w:rsidRPr="002D279B">
        <w:rPr>
          <w:sz w:val="22"/>
          <w:szCs w:val="22"/>
        </w:rPr>
        <w:t>y</w:t>
      </w:r>
      <w:r w:rsidRPr="002D279B">
        <w:rPr>
          <w:sz w:val="22"/>
          <w:szCs w:val="22"/>
        </w:rPr>
        <w:t xml:space="preserve"> </w:t>
      </w:r>
    </w:p>
    <w:p w14:paraId="1E19F3EE" w14:textId="34AE50DF" w:rsidR="006D61DA" w:rsidRPr="002D279B" w:rsidRDefault="006D61DA" w:rsidP="0079695A">
      <w:pPr>
        <w:pStyle w:val="K-Nadpis3"/>
        <w:spacing w:before="200" w:after="200"/>
        <w:rPr>
          <w:rFonts w:asciiTheme="minorHAnsi" w:eastAsiaTheme="minorEastAsia" w:hAnsiTheme="minorHAnsi" w:cstheme="minorHAnsi"/>
          <w:sz w:val="22"/>
          <w:szCs w:val="22"/>
        </w:rPr>
      </w:pPr>
    </w:p>
    <w:tbl>
      <w:tblPr>
        <w:tblW w:w="962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2405"/>
        <w:gridCol w:w="7223"/>
      </w:tblGrid>
      <w:tr w:rsidR="00834AEB" w:rsidRPr="002D279B" w14:paraId="2F8F81E7" w14:textId="77777777" w:rsidTr="404444EF">
        <w:tc>
          <w:tcPr>
            <w:tcW w:w="2405" w:type="dxa"/>
          </w:tcPr>
          <w:p w14:paraId="64AFB917" w14:textId="77777777" w:rsidR="00834AEB" w:rsidRPr="002D279B" w:rsidRDefault="00834AEB" w:rsidP="004E64F5">
            <w:pPr>
              <w:pBdr>
                <w:top w:val="nil"/>
                <w:left w:val="nil"/>
                <w:bottom w:val="nil"/>
                <w:right w:val="nil"/>
                <w:between w:val="nil"/>
              </w:pBdr>
              <w:spacing w:after="0" w:line="240" w:lineRule="auto"/>
              <w:rPr>
                <w:rFonts w:asciiTheme="majorHAnsi" w:eastAsia="Times New Roman" w:hAnsiTheme="majorHAnsi" w:cstheme="majorHAnsi"/>
                <w:color w:val="000000"/>
              </w:rPr>
            </w:pPr>
            <w:r w:rsidRPr="002D279B">
              <w:rPr>
                <w:rFonts w:asciiTheme="majorHAnsi" w:eastAsia="Times New Roman" w:hAnsiTheme="majorHAnsi" w:cstheme="majorHAnsi"/>
                <w:color w:val="000000"/>
              </w:rPr>
              <w:t>Reforma</w:t>
            </w:r>
          </w:p>
        </w:tc>
        <w:tc>
          <w:tcPr>
            <w:tcW w:w="7223" w:type="dxa"/>
          </w:tcPr>
          <w:p w14:paraId="445C9A12" w14:textId="6462761D" w:rsidR="00834AEB" w:rsidRPr="002D279B" w:rsidRDefault="3D02A815" w:rsidP="3F514EE9">
            <w:pPr>
              <w:pStyle w:val="K-Nadpis3"/>
              <w:spacing w:after="0"/>
              <w:rPr>
                <w:rFonts w:asciiTheme="majorHAnsi" w:eastAsiaTheme="minorEastAsia" w:hAnsiTheme="majorHAnsi" w:cstheme="majorBidi"/>
                <w:sz w:val="22"/>
                <w:szCs w:val="22"/>
              </w:rPr>
            </w:pPr>
            <w:r w:rsidRPr="3F514EE9">
              <w:rPr>
                <w:rFonts w:asciiTheme="majorHAnsi" w:eastAsiaTheme="minorEastAsia" w:hAnsiTheme="majorHAnsi" w:cstheme="majorBidi"/>
                <w:sz w:val="22"/>
                <w:szCs w:val="22"/>
              </w:rPr>
              <w:t>7.1.1</w:t>
            </w:r>
            <w:r w:rsidR="5A0BC080" w:rsidRPr="3F514EE9">
              <w:rPr>
                <w:rFonts w:asciiTheme="majorHAnsi" w:eastAsiaTheme="minorEastAsia" w:hAnsiTheme="majorHAnsi" w:cstheme="majorBidi"/>
                <w:sz w:val="22"/>
                <w:szCs w:val="22"/>
              </w:rPr>
              <w:t xml:space="preserve"> </w:t>
            </w:r>
            <w:r w:rsidR="11757464" w:rsidRPr="3F514EE9">
              <w:rPr>
                <w:rFonts w:asciiTheme="majorHAnsi" w:eastAsiaTheme="minorEastAsia" w:hAnsiTheme="majorHAnsi" w:cstheme="majorBidi"/>
                <w:sz w:val="22"/>
                <w:szCs w:val="22"/>
              </w:rPr>
              <w:t>Zjednodušení povolovacích postupů pro obnovitelné zdroje energie</w:t>
            </w:r>
          </w:p>
        </w:tc>
      </w:tr>
      <w:tr w:rsidR="00834AEB" w:rsidRPr="002D279B" w14:paraId="2FAC3507" w14:textId="77777777" w:rsidTr="404444EF">
        <w:tc>
          <w:tcPr>
            <w:tcW w:w="2405" w:type="dxa"/>
          </w:tcPr>
          <w:p w14:paraId="2F773AD5" w14:textId="77777777" w:rsidR="00834AEB" w:rsidRPr="002D279B" w:rsidRDefault="00834AEB" w:rsidP="004E64F5">
            <w:pPr>
              <w:pBdr>
                <w:top w:val="nil"/>
                <w:left w:val="nil"/>
                <w:bottom w:val="nil"/>
                <w:right w:val="nil"/>
                <w:between w:val="nil"/>
              </w:pBdr>
              <w:spacing w:after="0" w:line="240" w:lineRule="auto"/>
              <w:rPr>
                <w:rFonts w:asciiTheme="majorHAnsi" w:eastAsia="Times New Roman" w:hAnsiTheme="majorHAnsi" w:cstheme="majorHAnsi"/>
                <w:color w:val="000000"/>
              </w:rPr>
            </w:pPr>
            <w:r w:rsidRPr="002D279B">
              <w:rPr>
                <w:rFonts w:asciiTheme="majorHAnsi" w:eastAsia="Times New Roman" w:hAnsiTheme="majorHAnsi" w:cstheme="majorHAnsi"/>
                <w:color w:val="000000"/>
              </w:rPr>
              <w:t>Výzva</w:t>
            </w:r>
          </w:p>
        </w:tc>
        <w:tc>
          <w:tcPr>
            <w:tcW w:w="7223" w:type="dxa"/>
          </w:tcPr>
          <w:p w14:paraId="3D4CC2D2" w14:textId="408E715A" w:rsidR="00834AEB" w:rsidRPr="002D279B" w:rsidRDefault="00834AEB" w:rsidP="3F514EE9">
            <w:pPr>
              <w:pBdr>
                <w:top w:val="nil"/>
                <w:left w:val="nil"/>
                <w:bottom w:val="nil"/>
                <w:right w:val="nil"/>
                <w:between w:val="nil"/>
              </w:pBdr>
              <w:spacing w:after="0" w:line="240" w:lineRule="auto"/>
              <w:jc w:val="both"/>
              <w:rPr>
                <w:rFonts w:asciiTheme="majorHAnsi" w:eastAsia="Times New Roman" w:hAnsiTheme="majorHAnsi" w:cstheme="majorBidi"/>
              </w:rPr>
            </w:pPr>
            <w:r w:rsidRPr="3F514EE9">
              <w:rPr>
                <w:rFonts w:asciiTheme="majorHAnsi" w:eastAsia="Times New Roman" w:hAnsiTheme="majorHAnsi" w:cstheme="majorBidi"/>
              </w:rPr>
              <w:t xml:space="preserve">Jednou z bariér rozvoje obnovitelných zdrojů energie v ČR je povinnost výrobce elektřiny, který vyrábí elektřinu ve zdroji s instalovaným výkonem nad 10kW, získat licenci na výrobu elektřiny od Energetického regulačního úřadu.  </w:t>
            </w:r>
          </w:p>
          <w:p w14:paraId="38B222E2" w14:textId="5BEC792E" w:rsidR="00834AEB" w:rsidRPr="002D279B" w:rsidRDefault="17842E4B" w:rsidP="3F514EE9">
            <w:pPr>
              <w:pBdr>
                <w:top w:val="nil"/>
                <w:left w:val="nil"/>
                <w:bottom w:val="nil"/>
                <w:right w:val="nil"/>
                <w:between w:val="nil"/>
              </w:pBdr>
              <w:spacing w:after="0" w:line="240" w:lineRule="auto"/>
              <w:jc w:val="both"/>
              <w:rPr>
                <w:rFonts w:asciiTheme="majorHAnsi" w:eastAsia="Times New Roman" w:hAnsiTheme="majorHAnsi" w:cstheme="majorBidi"/>
              </w:rPr>
            </w:pPr>
            <w:r w:rsidRPr="3F514EE9">
              <w:rPr>
                <w:rFonts w:asciiTheme="majorHAnsi" w:eastAsia="Times New Roman" w:hAnsiTheme="majorHAnsi" w:cstheme="majorBidi"/>
              </w:rPr>
              <w:t xml:space="preserve">Povolovací procesy staveb pro výrobu energie z obnovitelných zdrojů jsou jednou z bariér jejich rozvoje. Týká se to zejména zdrojů s nižším instalovaným výkonem, které jsou pořizovány domácnostmi nebo malými podniky s cílem zajistit si energii za dostupnou cenu a zvýšit energetickou bezpečnost. </w:t>
            </w:r>
          </w:p>
          <w:p w14:paraId="2B21969F" w14:textId="0841F272" w:rsidR="00834AEB" w:rsidRPr="002D279B" w:rsidRDefault="00834AEB" w:rsidP="3F514EE9">
            <w:pPr>
              <w:pBdr>
                <w:top w:val="nil"/>
                <w:left w:val="nil"/>
                <w:bottom w:val="nil"/>
                <w:right w:val="nil"/>
                <w:between w:val="nil"/>
              </w:pBdr>
              <w:spacing w:after="0" w:line="240" w:lineRule="auto"/>
              <w:jc w:val="both"/>
              <w:rPr>
                <w:rFonts w:asciiTheme="majorHAnsi" w:eastAsia="Times New Roman" w:hAnsiTheme="majorHAnsi" w:cstheme="majorBidi"/>
              </w:rPr>
            </w:pPr>
          </w:p>
          <w:p w14:paraId="4074E2FE" w14:textId="6544AE46" w:rsidR="00834AEB" w:rsidRPr="002D279B" w:rsidRDefault="17842E4B" w:rsidP="3F514EE9">
            <w:pPr>
              <w:pBdr>
                <w:top w:val="nil"/>
                <w:left w:val="nil"/>
                <w:bottom w:val="nil"/>
                <w:right w:val="nil"/>
                <w:between w:val="nil"/>
              </w:pBdr>
              <w:spacing w:after="0" w:line="240" w:lineRule="auto"/>
              <w:jc w:val="both"/>
              <w:rPr>
                <w:rFonts w:asciiTheme="majorHAnsi" w:eastAsia="Times New Roman" w:hAnsiTheme="majorHAnsi" w:cstheme="majorBidi"/>
              </w:rPr>
            </w:pPr>
            <w:r w:rsidRPr="3F514EE9">
              <w:rPr>
                <w:rFonts w:asciiTheme="majorHAnsi" w:eastAsia="Times New Roman" w:hAnsiTheme="majorHAnsi" w:cstheme="majorBidi"/>
              </w:rPr>
              <w:t>Tyto bariéry rozvoje OZE byly mj. identifikovány v pilotním projektu „Zjednodušení povolovacích postupů pro zavádění technologií OZE“ SMET (Single Market Enforcement Task Force) Evropské komise.</w:t>
            </w:r>
          </w:p>
          <w:p w14:paraId="60A2CF76" w14:textId="7F4E0275" w:rsidR="00834AEB" w:rsidRPr="002D279B" w:rsidRDefault="00834AEB" w:rsidP="3F514EE9">
            <w:pPr>
              <w:pBdr>
                <w:top w:val="nil"/>
                <w:left w:val="nil"/>
                <w:bottom w:val="nil"/>
                <w:right w:val="nil"/>
                <w:between w:val="nil"/>
              </w:pBdr>
              <w:spacing w:after="0" w:line="240" w:lineRule="auto"/>
              <w:jc w:val="both"/>
              <w:rPr>
                <w:rFonts w:asciiTheme="majorHAnsi" w:eastAsia="Times New Roman" w:hAnsiTheme="majorHAnsi" w:cstheme="majorBidi"/>
              </w:rPr>
            </w:pPr>
          </w:p>
          <w:p w14:paraId="0C18D4E6" w14:textId="1CBF21DA" w:rsidR="00834AEB" w:rsidRPr="002D279B" w:rsidRDefault="00834AEB" w:rsidP="3F514EE9">
            <w:pPr>
              <w:pBdr>
                <w:top w:val="nil"/>
                <w:left w:val="nil"/>
                <w:bottom w:val="nil"/>
                <w:right w:val="nil"/>
                <w:between w:val="nil"/>
              </w:pBdr>
              <w:spacing w:after="0" w:line="240" w:lineRule="auto"/>
              <w:jc w:val="both"/>
              <w:rPr>
                <w:rFonts w:asciiTheme="majorHAnsi" w:eastAsia="Times New Roman" w:hAnsiTheme="majorHAnsi" w:cstheme="majorBidi"/>
                <w:color w:val="000000"/>
              </w:rPr>
            </w:pPr>
          </w:p>
        </w:tc>
      </w:tr>
      <w:tr w:rsidR="00834AEB" w:rsidRPr="002D279B" w14:paraId="0A19199F" w14:textId="77777777" w:rsidTr="404444EF">
        <w:tc>
          <w:tcPr>
            <w:tcW w:w="2405" w:type="dxa"/>
          </w:tcPr>
          <w:p w14:paraId="7C7B0D3B" w14:textId="77777777" w:rsidR="00834AEB" w:rsidRPr="002D279B" w:rsidRDefault="00834AEB" w:rsidP="004E64F5">
            <w:pPr>
              <w:pBdr>
                <w:top w:val="nil"/>
                <w:left w:val="nil"/>
                <w:bottom w:val="nil"/>
                <w:right w:val="nil"/>
                <w:between w:val="nil"/>
              </w:pBdr>
              <w:spacing w:after="0" w:line="240" w:lineRule="auto"/>
              <w:rPr>
                <w:rFonts w:asciiTheme="majorHAnsi" w:eastAsia="Times New Roman" w:hAnsiTheme="majorHAnsi" w:cstheme="majorHAnsi"/>
                <w:color w:val="000000"/>
              </w:rPr>
            </w:pPr>
            <w:r w:rsidRPr="002D279B">
              <w:rPr>
                <w:rFonts w:asciiTheme="majorHAnsi" w:eastAsia="Times New Roman" w:hAnsiTheme="majorHAnsi" w:cstheme="majorHAnsi"/>
                <w:color w:val="000000"/>
              </w:rPr>
              <w:t>Cíl</w:t>
            </w:r>
          </w:p>
        </w:tc>
        <w:tc>
          <w:tcPr>
            <w:tcW w:w="7223" w:type="dxa"/>
          </w:tcPr>
          <w:p w14:paraId="21F31A5C" w14:textId="0D366386" w:rsidR="2EF3FDAD" w:rsidRDefault="2EF3FDAD" w:rsidP="3F514EE9">
            <w:pPr>
              <w:pBdr>
                <w:top w:val="nil"/>
                <w:left w:val="nil"/>
                <w:bottom w:val="nil"/>
                <w:right w:val="nil"/>
                <w:between w:val="nil"/>
              </w:pBdr>
              <w:spacing w:after="0" w:line="240" w:lineRule="auto"/>
              <w:jc w:val="both"/>
              <w:rPr>
                <w:rFonts w:asciiTheme="majorHAnsi" w:eastAsia="Times New Roman" w:hAnsiTheme="majorHAnsi" w:cstheme="majorBidi"/>
              </w:rPr>
            </w:pPr>
            <w:r w:rsidRPr="3F514EE9">
              <w:rPr>
                <w:rFonts w:asciiTheme="majorHAnsi" w:eastAsia="Times New Roman" w:hAnsiTheme="majorHAnsi" w:cstheme="majorBidi"/>
              </w:rPr>
              <w:t xml:space="preserve">Reforma zruší povinnost získat stavební povolení, licenci na výrobu elektřiny a územní rozhodnutí pro zařízení na výrobu elektřiny z obnovitelných zdrojů s celkovým instalovaným výkonem do 50 Kw a zruší povolení k připojení k síti pro zařízení do 10 kW. </w:t>
            </w:r>
          </w:p>
          <w:p w14:paraId="55D22B17" w14:textId="4E05E03B" w:rsidR="2EF3FDAD" w:rsidRDefault="2EF3FDAD" w:rsidP="3F514EE9">
            <w:pPr>
              <w:spacing w:after="0" w:line="240" w:lineRule="auto"/>
              <w:jc w:val="both"/>
            </w:pPr>
            <w:r w:rsidRPr="3F514EE9">
              <w:rPr>
                <w:rFonts w:asciiTheme="majorHAnsi" w:eastAsia="Times New Roman" w:hAnsiTheme="majorHAnsi" w:cstheme="majorBidi"/>
              </w:rPr>
              <w:t>Reforma zjednoduší povolovací řízení pro zařízení na výrobu energie z obnovitelných zdrojů s instalovaným výkonem nad 1 MW. Tato zařízení budou považována za zařízení ve veřejném zájmu a bude se na ně vztahovat přednostní režim, pokud jde o územní rozhodnutí a stavební povolení.</w:t>
            </w:r>
          </w:p>
          <w:p w14:paraId="74B9770D" w14:textId="314CE182" w:rsidR="00834AEB" w:rsidRPr="002D279B" w:rsidRDefault="00834AEB" w:rsidP="3F514EE9">
            <w:pPr>
              <w:pBdr>
                <w:top w:val="nil"/>
                <w:left w:val="nil"/>
                <w:bottom w:val="nil"/>
                <w:right w:val="nil"/>
                <w:between w:val="nil"/>
              </w:pBdr>
              <w:spacing w:after="0" w:line="240" w:lineRule="auto"/>
              <w:jc w:val="both"/>
              <w:rPr>
                <w:rFonts w:asciiTheme="majorHAnsi" w:eastAsia="Times New Roman" w:hAnsiTheme="majorHAnsi" w:cstheme="majorBidi"/>
                <w:color w:val="000000"/>
              </w:rPr>
            </w:pPr>
          </w:p>
        </w:tc>
      </w:tr>
      <w:tr w:rsidR="00834AEB" w:rsidRPr="002D279B" w14:paraId="2D1A626E" w14:textId="77777777" w:rsidTr="404444EF">
        <w:tc>
          <w:tcPr>
            <w:tcW w:w="2405" w:type="dxa"/>
          </w:tcPr>
          <w:p w14:paraId="7FF8B1D0" w14:textId="77777777" w:rsidR="00834AEB" w:rsidRPr="002D279B" w:rsidRDefault="00834AEB" w:rsidP="004E64F5">
            <w:pPr>
              <w:pBdr>
                <w:top w:val="nil"/>
                <w:left w:val="nil"/>
                <w:bottom w:val="nil"/>
                <w:right w:val="nil"/>
                <w:between w:val="nil"/>
              </w:pBdr>
              <w:spacing w:after="0" w:line="240" w:lineRule="auto"/>
              <w:rPr>
                <w:rFonts w:asciiTheme="majorHAnsi" w:eastAsia="Times New Roman" w:hAnsiTheme="majorHAnsi" w:cstheme="majorHAnsi"/>
                <w:color w:val="000000"/>
              </w:rPr>
            </w:pPr>
            <w:r w:rsidRPr="002D279B">
              <w:rPr>
                <w:rFonts w:asciiTheme="majorHAnsi" w:eastAsia="Times New Roman" w:hAnsiTheme="majorHAnsi" w:cstheme="majorHAnsi"/>
                <w:color w:val="000000"/>
              </w:rPr>
              <w:t>Název milníků (definování měřitelných výstupů a jejich popis)</w:t>
            </w:r>
          </w:p>
        </w:tc>
        <w:tc>
          <w:tcPr>
            <w:tcW w:w="7223" w:type="dxa"/>
          </w:tcPr>
          <w:p w14:paraId="02CA7C97" w14:textId="3F1B641F" w:rsidR="00834AEB" w:rsidRPr="002D279B" w:rsidRDefault="63D7DBC6" w:rsidP="404444EF">
            <w:pPr>
              <w:pBdr>
                <w:top w:val="nil"/>
                <w:left w:val="nil"/>
                <w:bottom w:val="nil"/>
                <w:right w:val="nil"/>
                <w:between w:val="nil"/>
              </w:pBdr>
              <w:spacing w:after="0" w:line="240" w:lineRule="auto"/>
              <w:jc w:val="both"/>
              <w:rPr>
                <w:rFonts w:asciiTheme="majorHAnsi" w:eastAsia="Times New Roman" w:hAnsiTheme="majorHAnsi" w:cstheme="majorBidi"/>
                <w:color w:val="000000"/>
              </w:rPr>
            </w:pPr>
            <w:r w:rsidRPr="404444EF">
              <w:rPr>
                <w:rFonts w:asciiTheme="majorHAnsi" w:eastAsia="Times New Roman" w:hAnsiTheme="majorHAnsi" w:cstheme="majorBidi"/>
              </w:rPr>
              <w:t xml:space="preserve">301: </w:t>
            </w:r>
            <w:r w:rsidR="5E73B8B0" w:rsidRPr="404444EF">
              <w:rPr>
                <w:rFonts w:asciiTheme="majorHAnsi" w:eastAsia="Times New Roman" w:hAnsiTheme="majorHAnsi" w:cstheme="majorBidi"/>
              </w:rPr>
              <w:t xml:space="preserve">Legislativní úpravy </w:t>
            </w:r>
            <w:r w:rsidR="14CCA292" w:rsidRPr="404444EF">
              <w:rPr>
                <w:rFonts w:asciiTheme="majorHAnsi" w:eastAsia="Times New Roman" w:hAnsiTheme="majorHAnsi" w:cstheme="majorBidi"/>
              </w:rPr>
              <w:t>LEX OZE I</w:t>
            </w:r>
            <w:r w:rsidR="329E3DC4" w:rsidRPr="404444EF">
              <w:rPr>
                <w:rFonts w:asciiTheme="majorHAnsi" w:eastAsia="Times New Roman" w:hAnsiTheme="majorHAnsi" w:cstheme="majorBidi"/>
              </w:rPr>
              <w:t xml:space="preserve"> a </w:t>
            </w:r>
            <w:r w:rsidR="14CCA292" w:rsidRPr="404444EF">
              <w:rPr>
                <w:rFonts w:asciiTheme="majorHAnsi" w:eastAsia="Times New Roman" w:hAnsiTheme="majorHAnsi" w:cstheme="majorBidi"/>
              </w:rPr>
              <w:t>Nový stavební zákon</w:t>
            </w:r>
          </w:p>
        </w:tc>
      </w:tr>
      <w:tr w:rsidR="00834AEB" w:rsidRPr="002D279B" w14:paraId="14CDC33D" w14:textId="77777777" w:rsidTr="404444EF">
        <w:tc>
          <w:tcPr>
            <w:tcW w:w="2405" w:type="dxa"/>
          </w:tcPr>
          <w:p w14:paraId="683EEAEE" w14:textId="77777777" w:rsidR="00834AEB" w:rsidRPr="002D279B" w:rsidRDefault="00834AEB" w:rsidP="004E64F5">
            <w:pPr>
              <w:pBdr>
                <w:top w:val="nil"/>
                <w:left w:val="nil"/>
                <w:bottom w:val="nil"/>
                <w:right w:val="nil"/>
                <w:between w:val="nil"/>
              </w:pBdr>
              <w:spacing w:after="0" w:line="240" w:lineRule="auto"/>
              <w:rPr>
                <w:rFonts w:asciiTheme="majorHAnsi" w:eastAsia="Times New Roman" w:hAnsiTheme="majorHAnsi" w:cstheme="majorHAnsi"/>
                <w:color w:val="000000"/>
              </w:rPr>
            </w:pPr>
            <w:r w:rsidRPr="002D279B">
              <w:rPr>
                <w:rFonts w:asciiTheme="majorHAnsi" w:eastAsia="Times New Roman" w:hAnsiTheme="majorHAnsi" w:cstheme="majorHAnsi"/>
                <w:color w:val="000000"/>
              </w:rPr>
              <w:t>Implementace (popis)</w:t>
            </w:r>
          </w:p>
        </w:tc>
        <w:tc>
          <w:tcPr>
            <w:tcW w:w="7223" w:type="dxa"/>
          </w:tcPr>
          <w:p w14:paraId="1A8C8227" w14:textId="77777777" w:rsidR="00834AEB" w:rsidRPr="002D279B" w:rsidRDefault="02844455" w:rsidP="3F514EE9">
            <w:pPr>
              <w:pBdr>
                <w:top w:val="nil"/>
                <w:left w:val="nil"/>
                <w:bottom w:val="nil"/>
                <w:right w:val="nil"/>
                <w:between w:val="nil"/>
              </w:pBdr>
              <w:spacing w:after="0" w:line="240" w:lineRule="auto"/>
              <w:jc w:val="both"/>
              <w:rPr>
                <w:rFonts w:asciiTheme="majorHAnsi" w:eastAsia="Times New Roman" w:hAnsiTheme="majorHAnsi" w:cstheme="majorBidi"/>
              </w:rPr>
            </w:pPr>
            <w:r w:rsidRPr="3F514EE9">
              <w:rPr>
                <w:rFonts w:asciiTheme="majorHAnsi" w:eastAsia="Times New Roman" w:hAnsiTheme="majorHAnsi" w:cstheme="majorBidi"/>
              </w:rPr>
              <w:t>Úprava energetického zákona (458/2000 Sb.), tzv. LEX OZE 1:</w:t>
            </w:r>
          </w:p>
          <w:p w14:paraId="15A2911B" w14:textId="207A1BD0" w:rsidR="00834AEB" w:rsidRPr="002D279B" w:rsidRDefault="02844455" w:rsidP="3F514EE9">
            <w:pPr>
              <w:pStyle w:val="Odstavecseseznamem"/>
              <w:numPr>
                <w:ilvl w:val="0"/>
                <w:numId w:val="22"/>
              </w:numPr>
              <w:pBdr>
                <w:top w:val="nil"/>
                <w:left w:val="nil"/>
                <w:bottom w:val="nil"/>
                <w:right w:val="nil"/>
                <w:between w:val="nil"/>
              </w:pBdr>
              <w:spacing w:after="0" w:line="240" w:lineRule="auto"/>
              <w:jc w:val="both"/>
              <w:rPr>
                <w:rFonts w:asciiTheme="majorHAnsi" w:eastAsia="Times New Roman" w:hAnsiTheme="majorHAnsi" w:cstheme="majorBidi"/>
              </w:rPr>
            </w:pPr>
            <w:r w:rsidRPr="3F514EE9">
              <w:rPr>
                <w:rFonts w:asciiTheme="majorHAnsi" w:eastAsia="Times New Roman" w:hAnsiTheme="majorHAnsi" w:cstheme="majorBidi"/>
              </w:rPr>
              <w:t>Výrobna elektřiny s instalovaným výkonem do 50 kW bez licence</w:t>
            </w:r>
          </w:p>
          <w:p w14:paraId="56FE1B52" w14:textId="77777777" w:rsidR="00834AEB" w:rsidRPr="002D279B" w:rsidRDefault="02844455" w:rsidP="3F514EE9">
            <w:pPr>
              <w:pStyle w:val="Odstavecseseznamem"/>
              <w:numPr>
                <w:ilvl w:val="0"/>
                <w:numId w:val="22"/>
              </w:numPr>
              <w:pBdr>
                <w:top w:val="nil"/>
                <w:left w:val="nil"/>
                <w:bottom w:val="nil"/>
                <w:right w:val="nil"/>
                <w:between w:val="nil"/>
              </w:pBdr>
              <w:spacing w:after="0" w:line="240" w:lineRule="auto"/>
              <w:jc w:val="both"/>
              <w:rPr>
                <w:rFonts w:asciiTheme="majorHAnsi" w:eastAsia="Times New Roman" w:hAnsiTheme="majorHAnsi" w:cstheme="majorBidi"/>
              </w:rPr>
            </w:pPr>
            <w:r w:rsidRPr="3F514EE9">
              <w:rPr>
                <w:rFonts w:asciiTheme="majorHAnsi" w:eastAsia="Times New Roman" w:hAnsiTheme="majorHAnsi" w:cstheme="majorBidi"/>
              </w:rPr>
              <w:t>výrobna elektřiny z obnovitelných zdrojů energie a nízkouhlíková výrobna elektřiny o celkovém instalovaném elektrickém výkonu 1 MW a více zřizována ve veřejném zájmu</w:t>
            </w:r>
          </w:p>
          <w:p w14:paraId="7DAD7CE5" w14:textId="77777777" w:rsidR="00834AEB" w:rsidRPr="002D279B" w:rsidRDefault="02844455" w:rsidP="3F514EE9">
            <w:pPr>
              <w:pBdr>
                <w:top w:val="nil"/>
                <w:left w:val="nil"/>
                <w:bottom w:val="nil"/>
                <w:right w:val="nil"/>
                <w:between w:val="nil"/>
              </w:pBdr>
              <w:spacing w:after="0" w:line="240" w:lineRule="auto"/>
              <w:jc w:val="both"/>
              <w:rPr>
                <w:rFonts w:asciiTheme="majorHAnsi" w:eastAsia="Times New Roman" w:hAnsiTheme="majorHAnsi" w:cstheme="majorBidi"/>
              </w:rPr>
            </w:pPr>
            <w:r w:rsidRPr="3F514EE9">
              <w:rPr>
                <w:rFonts w:asciiTheme="majorHAnsi" w:eastAsia="Times New Roman" w:hAnsiTheme="majorHAnsi" w:cstheme="majorBidi"/>
              </w:rPr>
              <w:t>Úprava stavebního zákona (183/2006 Sb.), tzv. LEX OZE 1</w:t>
            </w:r>
          </w:p>
          <w:p w14:paraId="0BAD90A1" w14:textId="77777777" w:rsidR="00834AEB" w:rsidRPr="002D279B" w:rsidRDefault="02844455" w:rsidP="3F514EE9">
            <w:pPr>
              <w:pStyle w:val="Odstavecseseznamem"/>
              <w:numPr>
                <w:ilvl w:val="0"/>
                <w:numId w:val="22"/>
              </w:numPr>
              <w:pBdr>
                <w:top w:val="nil"/>
                <w:left w:val="nil"/>
                <w:bottom w:val="nil"/>
                <w:right w:val="nil"/>
                <w:between w:val="nil"/>
              </w:pBdr>
              <w:spacing w:after="0" w:line="240" w:lineRule="auto"/>
              <w:jc w:val="both"/>
              <w:rPr>
                <w:rFonts w:asciiTheme="majorHAnsi" w:eastAsia="Times New Roman" w:hAnsiTheme="majorHAnsi" w:cstheme="majorBidi"/>
              </w:rPr>
            </w:pPr>
            <w:r w:rsidRPr="3F514EE9">
              <w:rPr>
                <w:rFonts w:asciiTheme="majorHAnsi" w:eastAsia="Times New Roman" w:hAnsiTheme="majorHAnsi" w:cstheme="majorBidi"/>
              </w:rPr>
              <w:t>OZE s celkovým instalovaným výkonem do 50 kW s výjimkou stavby vodního díla, pokud se nacházejí v zastavěném území nebo v zastavitelné ploše – nebude nutné vyžadovat rozhodnutí o umístění stavby ani územní souhlas.</w:t>
            </w:r>
          </w:p>
          <w:p w14:paraId="78126185" w14:textId="77777777" w:rsidR="00834AEB" w:rsidRPr="002D279B" w:rsidRDefault="02844455" w:rsidP="3F514EE9">
            <w:pPr>
              <w:pStyle w:val="Odstavecseseznamem"/>
              <w:numPr>
                <w:ilvl w:val="0"/>
                <w:numId w:val="22"/>
              </w:numPr>
              <w:pBdr>
                <w:top w:val="nil"/>
                <w:left w:val="nil"/>
                <w:bottom w:val="nil"/>
                <w:right w:val="nil"/>
                <w:between w:val="nil"/>
              </w:pBdr>
              <w:spacing w:after="0" w:line="240" w:lineRule="auto"/>
              <w:jc w:val="both"/>
              <w:rPr>
                <w:rFonts w:asciiTheme="majorHAnsi" w:eastAsia="Times New Roman" w:hAnsiTheme="majorHAnsi" w:cstheme="majorBidi"/>
              </w:rPr>
            </w:pPr>
            <w:r w:rsidRPr="3F514EE9">
              <w:rPr>
                <w:rFonts w:asciiTheme="majorHAnsi" w:eastAsia="Times New Roman" w:hAnsiTheme="majorHAnsi" w:cstheme="majorBidi"/>
              </w:rPr>
              <w:t>instalace OZE s celkovým instalovaným výkonem do 50 kW, která je součástí stavby – nebude nutné pro tyto stavební úpravy žádat o stavební povolení ani ohlášení stavebnímu úřadu.</w:t>
            </w:r>
          </w:p>
          <w:p w14:paraId="0587257B" w14:textId="77777777" w:rsidR="00834AEB" w:rsidRPr="002D279B" w:rsidRDefault="02844455" w:rsidP="3F514EE9">
            <w:pPr>
              <w:pStyle w:val="Odstavecseseznamem"/>
              <w:numPr>
                <w:ilvl w:val="0"/>
                <w:numId w:val="22"/>
              </w:numPr>
              <w:pBdr>
                <w:top w:val="nil"/>
                <w:left w:val="nil"/>
                <w:bottom w:val="nil"/>
                <w:right w:val="nil"/>
                <w:between w:val="nil"/>
              </w:pBdr>
              <w:spacing w:after="0" w:line="240" w:lineRule="auto"/>
              <w:jc w:val="both"/>
              <w:rPr>
                <w:rFonts w:asciiTheme="majorHAnsi" w:eastAsia="Times New Roman" w:hAnsiTheme="majorHAnsi" w:cstheme="majorBidi"/>
              </w:rPr>
            </w:pPr>
            <w:r w:rsidRPr="3F514EE9">
              <w:rPr>
                <w:rFonts w:asciiTheme="majorHAnsi" w:eastAsia="Times New Roman" w:hAnsiTheme="majorHAnsi" w:cstheme="majorBidi"/>
              </w:rPr>
              <w:t>přípojky k distribuční soustavě do 25 m bez stavebního povolení</w:t>
            </w:r>
          </w:p>
          <w:p w14:paraId="364DE7DB" w14:textId="77777777" w:rsidR="00834AEB" w:rsidRPr="002D279B" w:rsidRDefault="02844455" w:rsidP="3F514EE9">
            <w:pPr>
              <w:pStyle w:val="Odstavecseseznamem"/>
              <w:numPr>
                <w:ilvl w:val="0"/>
                <w:numId w:val="22"/>
              </w:numPr>
              <w:pBdr>
                <w:top w:val="nil"/>
                <w:left w:val="nil"/>
                <w:bottom w:val="nil"/>
                <w:right w:val="nil"/>
                <w:between w:val="nil"/>
              </w:pBdr>
              <w:spacing w:after="0" w:line="240" w:lineRule="auto"/>
              <w:jc w:val="both"/>
              <w:rPr>
                <w:rFonts w:asciiTheme="majorHAnsi" w:eastAsia="Times New Roman" w:hAnsiTheme="majorHAnsi" w:cstheme="majorBidi"/>
              </w:rPr>
            </w:pPr>
            <w:r w:rsidRPr="3F514EE9">
              <w:rPr>
                <w:rFonts w:asciiTheme="majorHAnsi" w:eastAsia="Times New Roman" w:hAnsiTheme="majorHAnsi" w:cstheme="majorBidi"/>
              </w:rPr>
              <w:t>rozšíření úkolů územního plánování – vymezování a vyhodnocování vhodných ploch pro OZE s ohledem na cíle energetické koncepce</w:t>
            </w:r>
          </w:p>
          <w:p w14:paraId="607EB8BC" w14:textId="486EB346" w:rsidR="00834AEB" w:rsidRPr="002D279B" w:rsidRDefault="02844455" w:rsidP="3F514EE9">
            <w:pPr>
              <w:pBdr>
                <w:top w:val="nil"/>
                <w:left w:val="nil"/>
                <w:bottom w:val="nil"/>
                <w:right w:val="nil"/>
                <w:between w:val="nil"/>
              </w:pBdr>
              <w:spacing w:after="0" w:line="240" w:lineRule="auto"/>
              <w:jc w:val="both"/>
              <w:rPr>
                <w:rFonts w:asciiTheme="majorHAnsi" w:eastAsia="Times New Roman" w:hAnsiTheme="majorHAnsi" w:cstheme="majorBidi"/>
              </w:rPr>
            </w:pPr>
            <w:r w:rsidRPr="3F514EE9">
              <w:rPr>
                <w:rFonts w:asciiTheme="majorHAnsi" w:eastAsia="Times New Roman" w:hAnsiTheme="majorHAnsi" w:cstheme="majorBidi"/>
              </w:rPr>
              <w:t>Nový stavební zákon 283/2021 Sb.ve znění zákona 152/2023 Sb.</w:t>
            </w:r>
          </w:p>
          <w:p w14:paraId="50C79C8E" w14:textId="01B40530" w:rsidR="00834AEB" w:rsidRPr="002D279B" w:rsidRDefault="00834AEB" w:rsidP="3F514EE9">
            <w:pPr>
              <w:pBdr>
                <w:top w:val="nil"/>
                <w:left w:val="nil"/>
                <w:bottom w:val="nil"/>
                <w:right w:val="nil"/>
                <w:between w:val="nil"/>
              </w:pBdr>
              <w:spacing w:after="0" w:line="240" w:lineRule="auto"/>
              <w:jc w:val="both"/>
              <w:rPr>
                <w:rFonts w:asciiTheme="majorHAnsi" w:eastAsia="Times New Roman" w:hAnsiTheme="majorHAnsi" w:cstheme="majorBidi"/>
              </w:rPr>
            </w:pPr>
          </w:p>
        </w:tc>
      </w:tr>
      <w:tr w:rsidR="00834AEB" w:rsidRPr="002D279B" w14:paraId="32FBCB27" w14:textId="77777777" w:rsidTr="404444EF">
        <w:trPr>
          <w:trHeight w:val="70"/>
        </w:trPr>
        <w:tc>
          <w:tcPr>
            <w:tcW w:w="2405" w:type="dxa"/>
          </w:tcPr>
          <w:p w14:paraId="34C7B1DC" w14:textId="77777777" w:rsidR="00834AEB" w:rsidRPr="002D279B" w:rsidRDefault="00834AEB" w:rsidP="004E64F5">
            <w:pPr>
              <w:pBdr>
                <w:top w:val="nil"/>
                <w:left w:val="nil"/>
                <w:bottom w:val="nil"/>
                <w:right w:val="nil"/>
                <w:between w:val="nil"/>
              </w:pBdr>
              <w:spacing w:after="0" w:line="240" w:lineRule="auto"/>
              <w:rPr>
                <w:rFonts w:asciiTheme="majorHAnsi" w:eastAsia="Times New Roman" w:hAnsiTheme="majorHAnsi" w:cstheme="majorHAnsi"/>
                <w:color w:val="000000"/>
              </w:rPr>
            </w:pPr>
            <w:r w:rsidRPr="002D279B">
              <w:rPr>
                <w:rFonts w:asciiTheme="majorHAnsi" w:eastAsia="Times New Roman" w:hAnsiTheme="majorHAnsi" w:cstheme="majorHAnsi"/>
                <w:color w:val="000000"/>
              </w:rPr>
              <w:t>Spolupráce a zapojení zúčastněných stran</w:t>
            </w:r>
          </w:p>
        </w:tc>
        <w:tc>
          <w:tcPr>
            <w:tcW w:w="7223" w:type="dxa"/>
          </w:tcPr>
          <w:p w14:paraId="6BFF0F53" w14:textId="44C7208F" w:rsidR="00834AEB" w:rsidRPr="002D279B" w:rsidRDefault="00834AEB" w:rsidP="404444EF">
            <w:pPr>
              <w:pBdr>
                <w:top w:val="nil"/>
                <w:left w:val="nil"/>
                <w:bottom w:val="nil"/>
                <w:right w:val="nil"/>
                <w:between w:val="nil"/>
              </w:pBdr>
              <w:spacing w:after="0" w:line="240" w:lineRule="auto"/>
              <w:jc w:val="both"/>
              <w:rPr>
                <w:rFonts w:asciiTheme="majorHAnsi" w:eastAsia="Times New Roman" w:hAnsiTheme="majorHAnsi" w:cstheme="majorBidi"/>
              </w:rPr>
            </w:pPr>
            <w:r w:rsidRPr="404444EF">
              <w:rPr>
                <w:rFonts w:asciiTheme="majorHAnsi" w:eastAsia="Times New Roman" w:hAnsiTheme="majorHAnsi" w:cstheme="majorBidi"/>
              </w:rPr>
              <w:t>Energetický regulační úřad, účastníci trhu s elektřinou, Komora obnovitelných zdrojů</w:t>
            </w:r>
            <w:r w:rsidR="4479603C" w:rsidRPr="404444EF">
              <w:rPr>
                <w:rFonts w:asciiTheme="majorHAnsi" w:eastAsia="Times New Roman" w:hAnsiTheme="majorHAnsi" w:cstheme="majorBidi"/>
              </w:rPr>
              <w:t>, Ministerstvo pro místní rozvoj</w:t>
            </w:r>
          </w:p>
        </w:tc>
      </w:tr>
      <w:tr w:rsidR="00834AEB" w:rsidRPr="002D279B" w14:paraId="1D6F92E3" w14:textId="77777777" w:rsidTr="404444EF">
        <w:tc>
          <w:tcPr>
            <w:tcW w:w="2405" w:type="dxa"/>
          </w:tcPr>
          <w:p w14:paraId="00AD7582" w14:textId="77777777" w:rsidR="00834AEB" w:rsidRPr="002D279B" w:rsidRDefault="00834AEB" w:rsidP="004E64F5">
            <w:pPr>
              <w:pBdr>
                <w:top w:val="nil"/>
                <w:left w:val="nil"/>
                <w:bottom w:val="nil"/>
                <w:right w:val="nil"/>
                <w:between w:val="nil"/>
              </w:pBdr>
              <w:spacing w:after="0" w:line="240" w:lineRule="auto"/>
              <w:rPr>
                <w:rFonts w:asciiTheme="majorHAnsi" w:eastAsia="Times New Roman" w:hAnsiTheme="majorHAnsi" w:cstheme="majorHAnsi"/>
                <w:color w:val="000000"/>
              </w:rPr>
            </w:pPr>
            <w:r w:rsidRPr="002D279B">
              <w:rPr>
                <w:rFonts w:asciiTheme="majorHAnsi" w:eastAsia="Times New Roman" w:hAnsiTheme="majorHAnsi" w:cstheme="majorHAnsi"/>
                <w:color w:val="000000"/>
              </w:rPr>
              <w:t>Překážky a rizika</w:t>
            </w:r>
          </w:p>
        </w:tc>
        <w:tc>
          <w:tcPr>
            <w:tcW w:w="7223" w:type="dxa"/>
          </w:tcPr>
          <w:p w14:paraId="1981A3A4" w14:textId="77777777" w:rsidR="00834AEB" w:rsidRPr="002D279B" w:rsidRDefault="00834AEB" w:rsidP="004E64F5">
            <w:pPr>
              <w:pBdr>
                <w:top w:val="nil"/>
                <w:left w:val="nil"/>
                <w:bottom w:val="nil"/>
                <w:right w:val="nil"/>
                <w:between w:val="nil"/>
              </w:pBdr>
              <w:spacing w:after="0" w:line="240" w:lineRule="auto"/>
              <w:jc w:val="both"/>
              <w:rPr>
                <w:rFonts w:asciiTheme="majorHAnsi" w:eastAsia="Times New Roman" w:hAnsiTheme="majorHAnsi" w:cstheme="majorHAnsi"/>
                <w:color w:val="000000"/>
              </w:rPr>
            </w:pPr>
            <w:r w:rsidRPr="002D279B">
              <w:rPr>
                <w:rFonts w:asciiTheme="majorHAnsi" w:eastAsia="Times New Roman" w:hAnsiTheme="majorHAnsi" w:cstheme="majorHAnsi"/>
                <w:color w:val="000000"/>
              </w:rPr>
              <w:t>Délka legislativního procesu</w:t>
            </w:r>
          </w:p>
        </w:tc>
      </w:tr>
      <w:tr w:rsidR="00834AEB" w:rsidRPr="002D279B" w14:paraId="4577387F" w14:textId="77777777" w:rsidTr="404444EF">
        <w:tc>
          <w:tcPr>
            <w:tcW w:w="2405" w:type="dxa"/>
          </w:tcPr>
          <w:p w14:paraId="5C62D84E" w14:textId="77777777" w:rsidR="00834AEB" w:rsidRPr="002D279B" w:rsidRDefault="00834AEB" w:rsidP="004E64F5">
            <w:pPr>
              <w:pBdr>
                <w:top w:val="nil"/>
                <w:left w:val="nil"/>
                <w:bottom w:val="nil"/>
                <w:right w:val="nil"/>
                <w:between w:val="nil"/>
              </w:pBdr>
              <w:spacing w:after="0" w:line="240" w:lineRule="auto"/>
              <w:rPr>
                <w:rFonts w:asciiTheme="majorHAnsi" w:eastAsia="Times New Roman" w:hAnsiTheme="majorHAnsi" w:cstheme="majorHAnsi"/>
                <w:color w:val="000000"/>
              </w:rPr>
            </w:pPr>
            <w:r w:rsidRPr="002D279B">
              <w:rPr>
                <w:rFonts w:asciiTheme="majorHAnsi" w:eastAsia="Times New Roman" w:hAnsiTheme="majorHAnsi" w:cstheme="majorHAnsi"/>
                <w:color w:val="000000"/>
              </w:rPr>
              <w:lastRenderedPageBreak/>
              <w:t>Cílové skupiny populace a ekonomické subjekty</w:t>
            </w:r>
          </w:p>
        </w:tc>
        <w:tc>
          <w:tcPr>
            <w:tcW w:w="7223" w:type="dxa"/>
          </w:tcPr>
          <w:p w14:paraId="5711159E" w14:textId="77777777" w:rsidR="00834AEB" w:rsidRPr="002D279B" w:rsidRDefault="00834AEB" w:rsidP="004E64F5">
            <w:pPr>
              <w:pBdr>
                <w:top w:val="nil"/>
                <w:left w:val="nil"/>
                <w:bottom w:val="nil"/>
                <w:right w:val="nil"/>
                <w:between w:val="nil"/>
              </w:pBdr>
              <w:spacing w:after="0" w:line="240" w:lineRule="auto"/>
              <w:jc w:val="both"/>
              <w:rPr>
                <w:rFonts w:asciiTheme="majorHAnsi" w:eastAsia="Times New Roman" w:hAnsiTheme="majorHAnsi" w:cstheme="majorHAnsi"/>
                <w:color w:val="000000"/>
              </w:rPr>
            </w:pPr>
            <w:r w:rsidRPr="002D279B">
              <w:rPr>
                <w:rFonts w:asciiTheme="majorHAnsi" w:eastAsia="Times New Roman" w:hAnsiTheme="majorHAnsi" w:cstheme="majorHAnsi"/>
                <w:color w:val="000000"/>
              </w:rPr>
              <w:t>Provozovatelé výroben elektřiny s instalovaným výkonem do 50 kW (zejména domácnosti a malé podniky, které vyrábějí elektřinu primárně pro vlastní spotřebu)</w:t>
            </w:r>
          </w:p>
        </w:tc>
      </w:tr>
      <w:tr w:rsidR="00834AEB" w:rsidRPr="002D279B" w14:paraId="1AE7A8CB" w14:textId="77777777" w:rsidTr="404444EF">
        <w:tc>
          <w:tcPr>
            <w:tcW w:w="2405" w:type="dxa"/>
          </w:tcPr>
          <w:p w14:paraId="09BF41C6" w14:textId="77777777" w:rsidR="00834AEB" w:rsidRPr="002D279B" w:rsidRDefault="00834AEB" w:rsidP="004E64F5">
            <w:pPr>
              <w:pBdr>
                <w:top w:val="nil"/>
                <w:left w:val="nil"/>
                <w:bottom w:val="nil"/>
                <w:right w:val="nil"/>
                <w:between w:val="nil"/>
              </w:pBdr>
              <w:spacing w:after="0" w:line="240" w:lineRule="auto"/>
              <w:rPr>
                <w:rFonts w:asciiTheme="majorHAnsi" w:eastAsia="Times New Roman" w:hAnsiTheme="majorHAnsi" w:cstheme="majorHAnsi"/>
                <w:color w:val="000000"/>
              </w:rPr>
            </w:pPr>
            <w:r w:rsidRPr="002D279B">
              <w:rPr>
                <w:rFonts w:asciiTheme="majorHAnsi" w:eastAsia="Times New Roman" w:hAnsiTheme="majorHAnsi" w:cstheme="majorHAnsi"/>
                <w:color w:val="000000"/>
              </w:rPr>
              <w:t>Souhrnné náklady realizace financované z RRF za celé období</w:t>
            </w:r>
          </w:p>
        </w:tc>
        <w:tc>
          <w:tcPr>
            <w:tcW w:w="7223" w:type="dxa"/>
          </w:tcPr>
          <w:p w14:paraId="094AF00C" w14:textId="77777777" w:rsidR="00834AEB" w:rsidRPr="002D279B" w:rsidRDefault="00834AEB" w:rsidP="004E64F5">
            <w:pPr>
              <w:pBdr>
                <w:top w:val="nil"/>
                <w:left w:val="nil"/>
                <w:bottom w:val="nil"/>
                <w:right w:val="nil"/>
                <w:between w:val="nil"/>
              </w:pBdr>
              <w:spacing w:after="0" w:line="240" w:lineRule="auto"/>
              <w:jc w:val="both"/>
              <w:rPr>
                <w:rFonts w:asciiTheme="majorHAnsi" w:eastAsia="Times New Roman" w:hAnsiTheme="majorHAnsi" w:cstheme="majorHAnsi"/>
              </w:rPr>
            </w:pPr>
            <w:r w:rsidRPr="002D279B">
              <w:rPr>
                <w:rFonts w:asciiTheme="majorHAnsi" w:eastAsia="Times New Roman" w:hAnsiTheme="majorHAnsi" w:cstheme="majorHAnsi"/>
              </w:rPr>
              <w:t xml:space="preserve">Jedná se o legislativní opatření bez dopadů do nákladů </w:t>
            </w:r>
          </w:p>
        </w:tc>
      </w:tr>
      <w:tr w:rsidR="00834AEB" w:rsidRPr="002D279B" w14:paraId="1D6F67B9" w14:textId="77777777" w:rsidTr="404444EF">
        <w:tc>
          <w:tcPr>
            <w:tcW w:w="2405" w:type="dxa"/>
          </w:tcPr>
          <w:p w14:paraId="44434292" w14:textId="77777777" w:rsidR="00834AEB" w:rsidRPr="002D279B" w:rsidRDefault="00834AEB" w:rsidP="004E64F5">
            <w:pPr>
              <w:pBdr>
                <w:top w:val="nil"/>
                <w:left w:val="nil"/>
                <w:bottom w:val="nil"/>
                <w:right w:val="nil"/>
                <w:between w:val="nil"/>
              </w:pBdr>
              <w:spacing w:after="0" w:line="240" w:lineRule="auto"/>
              <w:rPr>
                <w:rFonts w:asciiTheme="majorHAnsi" w:eastAsia="Times New Roman" w:hAnsiTheme="majorHAnsi" w:cstheme="majorHAnsi"/>
                <w:color w:val="000000"/>
              </w:rPr>
            </w:pPr>
            <w:r w:rsidRPr="002D279B">
              <w:rPr>
                <w:rFonts w:asciiTheme="majorHAnsi" w:eastAsia="Times New Roman" w:hAnsiTheme="majorHAnsi" w:cstheme="majorHAnsi"/>
                <w:color w:val="000000"/>
              </w:rPr>
              <w:t>Dodržování pravidel státní podpory</w:t>
            </w:r>
          </w:p>
        </w:tc>
        <w:tc>
          <w:tcPr>
            <w:tcW w:w="7223" w:type="dxa"/>
          </w:tcPr>
          <w:p w14:paraId="635DB82C" w14:textId="77777777" w:rsidR="00834AEB" w:rsidRPr="002D279B" w:rsidRDefault="00834AEB" w:rsidP="004E64F5">
            <w:pPr>
              <w:pBdr>
                <w:top w:val="nil"/>
                <w:left w:val="nil"/>
                <w:bottom w:val="nil"/>
                <w:right w:val="nil"/>
                <w:between w:val="nil"/>
              </w:pBdr>
              <w:spacing w:after="0" w:line="240" w:lineRule="auto"/>
              <w:jc w:val="both"/>
              <w:rPr>
                <w:rFonts w:asciiTheme="majorHAnsi" w:eastAsia="Times New Roman" w:hAnsiTheme="majorHAnsi" w:cstheme="majorHAnsi"/>
              </w:rPr>
            </w:pPr>
            <w:r w:rsidRPr="002D279B">
              <w:rPr>
                <w:rFonts w:asciiTheme="majorHAnsi" w:eastAsia="Times New Roman" w:hAnsiTheme="majorHAnsi" w:cstheme="majorHAnsi"/>
              </w:rPr>
              <w:t>Nerelevantní</w:t>
            </w:r>
          </w:p>
        </w:tc>
      </w:tr>
      <w:tr w:rsidR="00834AEB" w:rsidRPr="002D279B" w14:paraId="3BE085A0" w14:textId="77777777" w:rsidTr="404444EF">
        <w:tc>
          <w:tcPr>
            <w:tcW w:w="2405" w:type="dxa"/>
          </w:tcPr>
          <w:p w14:paraId="55EAE1B9" w14:textId="77777777" w:rsidR="00834AEB" w:rsidRPr="002D279B" w:rsidRDefault="00834AEB" w:rsidP="004E64F5">
            <w:pPr>
              <w:pBdr>
                <w:top w:val="nil"/>
                <w:left w:val="nil"/>
                <w:bottom w:val="nil"/>
                <w:right w:val="nil"/>
                <w:between w:val="nil"/>
              </w:pBdr>
              <w:spacing w:after="0" w:line="240" w:lineRule="auto"/>
              <w:rPr>
                <w:rFonts w:asciiTheme="majorHAnsi" w:eastAsia="Times New Roman" w:hAnsiTheme="majorHAnsi" w:cstheme="majorHAnsi"/>
                <w:color w:val="000000"/>
              </w:rPr>
            </w:pPr>
            <w:r w:rsidRPr="002D279B">
              <w:rPr>
                <w:rFonts w:asciiTheme="majorHAnsi" w:eastAsia="Times New Roman" w:hAnsiTheme="majorHAnsi" w:cstheme="majorHAnsi"/>
                <w:color w:val="000000"/>
              </w:rPr>
              <w:t>Doba implementace</w:t>
            </w:r>
          </w:p>
        </w:tc>
        <w:tc>
          <w:tcPr>
            <w:tcW w:w="7223" w:type="dxa"/>
          </w:tcPr>
          <w:p w14:paraId="43C08335" w14:textId="101FDCF5" w:rsidR="00834AEB" w:rsidRPr="002D279B" w:rsidRDefault="00834AEB" w:rsidP="404444EF">
            <w:pPr>
              <w:pBdr>
                <w:top w:val="nil"/>
                <w:left w:val="nil"/>
                <w:bottom w:val="nil"/>
                <w:right w:val="nil"/>
                <w:between w:val="nil"/>
              </w:pBdr>
              <w:spacing w:after="0" w:line="240" w:lineRule="auto"/>
              <w:jc w:val="both"/>
              <w:rPr>
                <w:rFonts w:asciiTheme="majorHAnsi" w:eastAsia="Times New Roman" w:hAnsiTheme="majorHAnsi" w:cstheme="majorBidi"/>
              </w:rPr>
            </w:pPr>
            <w:r w:rsidRPr="404444EF">
              <w:rPr>
                <w:rFonts w:asciiTheme="majorHAnsi" w:eastAsia="Times New Roman" w:hAnsiTheme="majorHAnsi" w:cstheme="majorBidi"/>
              </w:rPr>
              <w:t>Splněno – zákon č. 19/2023 Sb., kterým se mění zákon č. 458/2000 Sb., o podmínkách podnikání a o výkonu státní správy v energetických odvětvích a o změně některých zákonů (energetický zákon), ve znění pozdějších předpisů, a další související zákony nabyl účinnosti 24.1. 2023</w:t>
            </w:r>
          </w:p>
          <w:p w14:paraId="2B1D46D1" w14:textId="067A6CA6" w:rsidR="00834AEB" w:rsidRPr="002D279B" w:rsidRDefault="5C0A21A2" w:rsidP="404444EF">
            <w:pPr>
              <w:pBdr>
                <w:top w:val="nil"/>
                <w:left w:val="nil"/>
                <w:bottom w:val="nil"/>
                <w:right w:val="nil"/>
                <w:between w:val="nil"/>
              </w:pBdr>
              <w:spacing w:after="0" w:line="240" w:lineRule="auto"/>
              <w:jc w:val="both"/>
              <w:rPr>
                <w:rFonts w:asciiTheme="majorHAnsi" w:eastAsia="Times New Roman" w:hAnsiTheme="majorHAnsi" w:cstheme="majorBidi"/>
              </w:rPr>
            </w:pPr>
            <w:r w:rsidRPr="404444EF">
              <w:rPr>
                <w:rFonts w:asciiTheme="majorHAnsi" w:eastAsia="Times New Roman" w:hAnsiTheme="majorHAnsi" w:cstheme="majorBidi"/>
              </w:rPr>
              <w:t>Nový stavební zákon 283/2021 Sb.ve znění zákona 152/2023 Sb.: Q1/2024</w:t>
            </w:r>
          </w:p>
          <w:p w14:paraId="2EE254EB" w14:textId="29E16883" w:rsidR="00834AEB" w:rsidRPr="002D279B" w:rsidRDefault="00834AEB" w:rsidP="404444EF">
            <w:pPr>
              <w:pBdr>
                <w:top w:val="nil"/>
                <w:left w:val="nil"/>
                <w:bottom w:val="nil"/>
                <w:right w:val="nil"/>
                <w:between w:val="nil"/>
              </w:pBdr>
              <w:spacing w:after="0" w:line="240" w:lineRule="auto"/>
              <w:jc w:val="both"/>
              <w:rPr>
                <w:rFonts w:asciiTheme="majorHAnsi" w:eastAsia="Times New Roman" w:hAnsiTheme="majorHAnsi" w:cstheme="majorBidi"/>
              </w:rPr>
            </w:pPr>
          </w:p>
        </w:tc>
      </w:tr>
      <w:tr w:rsidR="3F514EE9" w14:paraId="2F772FE1" w14:textId="77777777" w:rsidTr="404444EF">
        <w:trPr>
          <w:trHeight w:val="300"/>
        </w:trPr>
        <w:tc>
          <w:tcPr>
            <w:tcW w:w="9628" w:type="dxa"/>
            <w:gridSpan w:val="2"/>
          </w:tcPr>
          <w:p w14:paraId="5E08DD73" w14:textId="08546F3F" w:rsidR="3F514EE9" w:rsidRDefault="3F514EE9" w:rsidP="3F514EE9">
            <w:pPr>
              <w:pBdr>
                <w:top w:val="nil"/>
                <w:left w:val="nil"/>
                <w:bottom w:val="nil"/>
                <w:right w:val="nil"/>
                <w:between w:val="nil"/>
              </w:pBdr>
              <w:spacing w:after="0" w:line="240" w:lineRule="auto"/>
              <w:rPr>
                <w:rFonts w:asciiTheme="majorHAnsi" w:eastAsia="Times New Roman" w:hAnsiTheme="majorHAnsi" w:cstheme="majorBidi"/>
              </w:rPr>
            </w:pPr>
          </w:p>
        </w:tc>
      </w:tr>
    </w:tbl>
    <w:p w14:paraId="2F732531" w14:textId="4FABF568" w:rsidR="00834AEB" w:rsidRPr="002D279B" w:rsidRDefault="00834AEB" w:rsidP="404444EF">
      <w:pPr>
        <w:pBdr>
          <w:top w:val="nil"/>
          <w:left w:val="nil"/>
          <w:bottom w:val="nil"/>
          <w:right w:val="nil"/>
          <w:between w:val="nil"/>
        </w:pBdr>
        <w:spacing w:before="200" w:after="200" w:line="240" w:lineRule="auto"/>
        <w:jc w:val="both"/>
        <w:rPr>
          <w:rFonts w:asciiTheme="majorHAnsi" w:eastAsia="Times New Roman" w:hAnsiTheme="majorHAnsi" w:cstheme="majorBidi"/>
          <w:b/>
          <w:bCs/>
          <w:color w:val="000000"/>
        </w:rPr>
      </w:pP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00" w:firstRow="0" w:lastRow="0" w:firstColumn="0" w:lastColumn="0" w:noHBand="0" w:noVBand="1"/>
      </w:tblPr>
      <w:tblGrid>
        <w:gridCol w:w="2405"/>
        <w:gridCol w:w="7223"/>
      </w:tblGrid>
      <w:tr w:rsidR="404444EF" w14:paraId="5D72DF57" w14:textId="77777777" w:rsidTr="404444EF">
        <w:trPr>
          <w:trHeight w:val="300"/>
        </w:trPr>
        <w:tc>
          <w:tcPr>
            <w:tcW w:w="2405" w:type="dxa"/>
          </w:tcPr>
          <w:p w14:paraId="7FD06C97" w14:textId="77777777" w:rsidR="404444EF" w:rsidRDefault="404444EF" w:rsidP="404444EF">
            <w:pPr>
              <w:pBdr>
                <w:top w:val="nil"/>
                <w:left w:val="nil"/>
                <w:bottom w:val="nil"/>
                <w:right w:val="nil"/>
                <w:between w:val="nil"/>
              </w:pBdr>
              <w:spacing w:after="0" w:line="240" w:lineRule="auto"/>
              <w:rPr>
                <w:rFonts w:asciiTheme="majorHAnsi" w:eastAsia="Times New Roman" w:hAnsiTheme="majorHAnsi" w:cstheme="majorBidi"/>
              </w:rPr>
            </w:pPr>
            <w:bookmarkStart w:id="3" w:name="_Hlk138406725"/>
            <w:r w:rsidRPr="404444EF">
              <w:rPr>
                <w:rFonts w:asciiTheme="majorHAnsi" w:eastAsia="Times New Roman" w:hAnsiTheme="majorHAnsi" w:cstheme="majorBidi"/>
              </w:rPr>
              <w:t>Reforma</w:t>
            </w:r>
          </w:p>
        </w:tc>
        <w:tc>
          <w:tcPr>
            <w:tcW w:w="7223" w:type="dxa"/>
          </w:tcPr>
          <w:p w14:paraId="349DF739" w14:textId="13CC844B" w:rsidR="404444EF" w:rsidRDefault="404444EF" w:rsidP="404444EF">
            <w:pPr>
              <w:pBdr>
                <w:top w:val="nil"/>
                <w:left w:val="nil"/>
                <w:bottom w:val="nil"/>
                <w:right w:val="nil"/>
                <w:between w:val="nil"/>
              </w:pBdr>
              <w:spacing w:after="0" w:line="240" w:lineRule="auto"/>
              <w:jc w:val="both"/>
              <w:rPr>
                <w:rStyle w:val="Znakapoznpodarou"/>
                <w:rFonts w:asciiTheme="majorHAnsi" w:eastAsia="Times New Roman" w:hAnsiTheme="majorHAnsi" w:cstheme="majorBidi"/>
                <w:b/>
                <w:bCs/>
              </w:rPr>
            </w:pPr>
            <w:r w:rsidRPr="404444EF">
              <w:rPr>
                <w:rFonts w:asciiTheme="majorHAnsi" w:eastAsia="Times New Roman" w:hAnsiTheme="majorHAnsi" w:cstheme="majorBidi"/>
                <w:b/>
                <w:bCs/>
              </w:rPr>
              <w:t>7.1.</w:t>
            </w:r>
            <w:r w:rsidR="537187C3" w:rsidRPr="404444EF">
              <w:rPr>
                <w:rFonts w:asciiTheme="majorHAnsi" w:eastAsia="Times New Roman" w:hAnsiTheme="majorHAnsi" w:cstheme="majorBidi"/>
                <w:b/>
                <w:bCs/>
              </w:rPr>
              <w:t>2</w:t>
            </w:r>
            <w:r w:rsidRPr="404444EF">
              <w:rPr>
                <w:rFonts w:asciiTheme="majorHAnsi" w:eastAsia="Times New Roman" w:hAnsiTheme="majorHAnsi" w:cstheme="majorBidi"/>
                <w:b/>
                <w:bCs/>
              </w:rPr>
              <w:t xml:space="preserve"> Urychlení a digitalizace povolovacích procesů pro OZE</w:t>
            </w:r>
          </w:p>
          <w:p w14:paraId="076900C6" w14:textId="77777777" w:rsidR="404444EF" w:rsidRDefault="404444EF" w:rsidP="404444EF">
            <w:pPr>
              <w:pBdr>
                <w:top w:val="nil"/>
                <w:left w:val="nil"/>
                <w:bottom w:val="nil"/>
                <w:right w:val="nil"/>
                <w:between w:val="nil"/>
              </w:pBdr>
              <w:spacing w:after="0" w:line="240" w:lineRule="auto"/>
              <w:jc w:val="both"/>
              <w:rPr>
                <w:rFonts w:asciiTheme="majorHAnsi" w:eastAsia="Times New Roman" w:hAnsiTheme="majorHAnsi" w:cstheme="majorBidi"/>
              </w:rPr>
            </w:pPr>
          </w:p>
        </w:tc>
      </w:tr>
      <w:tr w:rsidR="404444EF" w14:paraId="350F7F43" w14:textId="77777777" w:rsidTr="404444EF">
        <w:trPr>
          <w:trHeight w:val="300"/>
        </w:trPr>
        <w:tc>
          <w:tcPr>
            <w:tcW w:w="2405" w:type="dxa"/>
          </w:tcPr>
          <w:p w14:paraId="7B5AE75D" w14:textId="77777777" w:rsidR="404444EF" w:rsidRDefault="404444EF" w:rsidP="404444EF">
            <w:pPr>
              <w:pBdr>
                <w:top w:val="nil"/>
                <w:left w:val="nil"/>
                <w:bottom w:val="nil"/>
                <w:right w:val="nil"/>
                <w:between w:val="nil"/>
              </w:pBdr>
              <w:spacing w:after="0" w:line="240" w:lineRule="auto"/>
              <w:rPr>
                <w:rFonts w:asciiTheme="majorHAnsi" w:eastAsia="Times New Roman" w:hAnsiTheme="majorHAnsi" w:cstheme="majorBidi"/>
              </w:rPr>
            </w:pPr>
            <w:r w:rsidRPr="404444EF">
              <w:rPr>
                <w:rFonts w:asciiTheme="majorHAnsi" w:eastAsia="Times New Roman" w:hAnsiTheme="majorHAnsi" w:cstheme="majorBidi"/>
              </w:rPr>
              <w:t>Výzva</w:t>
            </w:r>
          </w:p>
        </w:tc>
        <w:tc>
          <w:tcPr>
            <w:tcW w:w="7223" w:type="dxa"/>
          </w:tcPr>
          <w:p w14:paraId="31F09C17" w14:textId="54BD5434" w:rsidR="404444EF" w:rsidRDefault="404444EF" w:rsidP="404444EF">
            <w:pPr>
              <w:pBdr>
                <w:top w:val="nil"/>
                <w:left w:val="nil"/>
                <w:bottom w:val="nil"/>
                <w:right w:val="nil"/>
                <w:between w:val="nil"/>
              </w:pBdr>
              <w:spacing w:after="0" w:line="240" w:lineRule="auto"/>
              <w:jc w:val="both"/>
              <w:rPr>
                <w:rFonts w:asciiTheme="majorHAnsi" w:eastAsia="Times New Roman" w:hAnsiTheme="majorHAnsi" w:cstheme="majorBidi"/>
              </w:rPr>
            </w:pPr>
            <w:r w:rsidRPr="404444EF">
              <w:rPr>
                <w:rFonts w:asciiTheme="majorHAnsi" w:eastAsia="Times New Roman" w:hAnsiTheme="majorHAnsi" w:cstheme="majorBidi"/>
              </w:rPr>
              <w:t xml:space="preserve">Povolovací procesy staveb pro výrobu energie z obnovitelných zdrojů jsou jednou z bariér jejich rozvoje. </w:t>
            </w:r>
          </w:p>
          <w:p w14:paraId="7CA0BF69" w14:textId="7E249659" w:rsidR="404444EF" w:rsidRDefault="404444EF" w:rsidP="404444EF">
            <w:pPr>
              <w:pBdr>
                <w:top w:val="nil"/>
                <w:left w:val="nil"/>
                <w:bottom w:val="nil"/>
                <w:right w:val="nil"/>
                <w:between w:val="nil"/>
              </w:pBdr>
              <w:spacing w:after="0" w:line="240" w:lineRule="auto"/>
              <w:jc w:val="both"/>
              <w:rPr>
                <w:rFonts w:asciiTheme="majorHAnsi" w:eastAsia="Times New Roman" w:hAnsiTheme="majorHAnsi" w:cstheme="majorBidi"/>
              </w:rPr>
            </w:pPr>
          </w:p>
        </w:tc>
      </w:tr>
      <w:tr w:rsidR="404444EF" w14:paraId="43DD9CF0" w14:textId="77777777" w:rsidTr="404444EF">
        <w:trPr>
          <w:trHeight w:val="300"/>
        </w:trPr>
        <w:tc>
          <w:tcPr>
            <w:tcW w:w="2405" w:type="dxa"/>
          </w:tcPr>
          <w:p w14:paraId="29919D21" w14:textId="77777777" w:rsidR="404444EF" w:rsidRDefault="404444EF" w:rsidP="404444EF">
            <w:pPr>
              <w:pBdr>
                <w:top w:val="nil"/>
                <w:left w:val="nil"/>
                <w:bottom w:val="nil"/>
                <w:right w:val="nil"/>
                <w:between w:val="nil"/>
              </w:pBdr>
              <w:spacing w:after="0" w:line="240" w:lineRule="auto"/>
              <w:rPr>
                <w:rFonts w:asciiTheme="majorHAnsi" w:eastAsia="Times New Roman" w:hAnsiTheme="majorHAnsi" w:cstheme="majorBidi"/>
              </w:rPr>
            </w:pPr>
            <w:r w:rsidRPr="404444EF">
              <w:rPr>
                <w:rFonts w:asciiTheme="majorHAnsi" w:eastAsia="Times New Roman" w:hAnsiTheme="majorHAnsi" w:cstheme="majorBidi"/>
              </w:rPr>
              <w:t>Cíl</w:t>
            </w:r>
          </w:p>
        </w:tc>
        <w:tc>
          <w:tcPr>
            <w:tcW w:w="7223" w:type="dxa"/>
          </w:tcPr>
          <w:p w14:paraId="2C941365" w14:textId="2869DF07" w:rsidR="0FDD391C" w:rsidRDefault="0FDD391C" w:rsidP="404444EF">
            <w:pPr>
              <w:pBdr>
                <w:top w:val="nil"/>
                <w:left w:val="nil"/>
                <w:bottom w:val="nil"/>
                <w:right w:val="nil"/>
                <w:between w:val="nil"/>
              </w:pBdr>
              <w:spacing w:after="0" w:line="240" w:lineRule="auto"/>
              <w:jc w:val="both"/>
              <w:rPr>
                <w:rFonts w:asciiTheme="majorHAnsi" w:eastAsia="Times New Roman" w:hAnsiTheme="majorHAnsi" w:cstheme="majorBidi"/>
              </w:rPr>
            </w:pPr>
            <w:r w:rsidRPr="404444EF">
              <w:rPr>
                <w:rFonts w:asciiTheme="majorHAnsi" w:eastAsia="Times New Roman" w:hAnsiTheme="majorHAnsi" w:cstheme="majorBidi"/>
              </w:rPr>
              <w:t xml:space="preserve">Reforma stanoví diferencované, závazné maximální lhůty pro všechny příslušné fáze postupu v závislosti na kapacitě zařízení na výrobu energie z obnovitelných zdrojů. Doba trvání celého procesu udělování povolení (včetně připojení k síti) nesmí překročit dva roky u zařízení s výkonem od 150 kW a jeden rok u zařízení s výkonem nižším než 150 kW. U solárních zařízení v umělých stavbách nesmí proces udělování povolení přesáhnout jeden měsíc. </w:t>
            </w:r>
          </w:p>
          <w:p w14:paraId="355C549F" w14:textId="4887B79C" w:rsidR="0FDD391C" w:rsidRDefault="0FDD391C" w:rsidP="404444EF">
            <w:pPr>
              <w:spacing w:after="0" w:line="240" w:lineRule="auto"/>
              <w:jc w:val="both"/>
            </w:pPr>
            <w:r w:rsidRPr="404444EF">
              <w:rPr>
                <w:rFonts w:asciiTheme="majorHAnsi" w:eastAsia="Times New Roman" w:hAnsiTheme="majorHAnsi" w:cstheme="majorBidi"/>
              </w:rPr>
              <w:t>V rámci reformy se zřídí digitální jednotné kontaktní místo, které bude žadatelům pomáhat v průběhu celého povolovacího řízení.  Reforma zajistí, aby jednotlivé fáze povolovacího řízení (např. stavební povolení, environmentální povolení, připojení k síti a udělování licencí) byly plně digitalizovány.</w:t>
            </w:r>
          </w:p>
          <w:p w14:paraId="3F8887DC" w14:textId="32D884AA" w:rsidR="404444EF" w:rsidRDefault="404444EF" w:rsidP="404444EF">
            <w:pPr>
              <w:spacing w:after="0" w:line="240" w:lineRule="auto"/>
              <w:jc w:val="both"/>
              <w:rPr>
                <w:rFonts w:asciiTheme="majorHAnsi" w:eastAsia="Times New Roman" w:hAnsiTheme="majorHAnsi" w:cstheme="majorBidi"/>
              </w:rPr>
            </w:pPr>
          </w:p>
        </w:tc>
      </w:tr>
      <w:tr w:rsidR="404444EF" w14:paraId="350CBAD7" w14:textId="77777777" w:rsidTr="404444EF">
        <w:trPr>
          <w:trHeight w:val="300"/>
        </w:trPr>
        <w:tc>
          <w:tcPr>
            <w:tcW w:w="2405" w:type="dxa"/>
          </w:tcPr>
          <w:p w14:paraId="615DE501" w14:textId="77777777" w:rsidR="404444EF" w:rsidRDefault="404444EF" w:rsidP="404444EF">
            <w:pPr>
              <w:pBdr>
                <w:top w:val="nil"/>
                <w:left w:val="nil"/>
                <w:bottom w:val="nil"/>
                <w:right w:val="nil"/>
                <w:between w:val="nil"/>
              </w:pBdr>
              <w:spacing w:after="0" w:line="240" w:lineRule="auto"/>
              <w:rPr>
                <w:rFonts w:asciiTheme="majorHAnsi" w:eastAsia="Times New Roman" w:hAnsiTheme="majorHAnsi" w:cstheme="majorBidi"/>
              </w:rPr>
            </w:pPr>
            <w:r w:rsidRPr="404444EF">
              <w:rPr>
                <w:rFonts w:asciiTheme="majorHAnsi" w:eastAsia="Times New Roman" w:hAnsiTheme="majorHAnsi" w:cstheme="majorBidi"/>
              </w:rPr>
              <w:t>Název milníků (definování měřitelných výstupů a jejich popis)</w:t>
            </w:r>
          </w:p>
        </w:tc>
        <w:tc>
          <w:tcPr>
            <w:tcW w:w="7223" w:type="dxa"/>
          </w:tcPr>
          <w:p w14:paraId="5A80F43D" w14:textId="77777777" w:rsidR="404444EF" w:rsidRDefault="404444EF" w:rsidP="404444EF">
            <w:pPr>
              <w:pBdr>
                <w:top w:val="nil"/>
                <w:left w:val="nil"/>
                <w:bottom w:val="nil"/>
                <w:right w:val="nil"/>
                <w:between w:val="nil"/>
              </w:pBdr>
              <w:spacing w:after="0" w:line="240" w:lineRule="auto"/>
              <w:jc w:val="both"/>
              <w:rPr>
                <w:rFonts w:asciiTheme="majorHAnsi" w:eastAsia="Times New Roman" w:hAnsiTheme="majorHAnsi" w:cstheme="majorBidi"/>
              </w:rPr>
            </w:pPr>
            <w:r w:rsidRPr="404444EF">
              <w:rPr>
                <w:rFonts w:asciiTheme="majorHAnsi" w:eastAsia="Times New Roman" w:hAnsiTheme="majorHAnsi" w:cstheme="majorBidi"/>
              </w:rPr>
              <w:t>Milník:</w:t>
            </w:r>
          </w:p>
          <w:p w14:paraId="12AFEE9F" w14:textId="15B53D05" w:rsidR="6F1FA286" w:rsidRDefault="6F1FA286" w:rsidP="404444EF">
            <w:pPr>
              <w:pBdr>
                <w:top w:val="nil"/>
                <w:left w:val="nil"/>
                <w:bottom w:val="nil"/>
                <w:right w:val="nil"/>
                <w:between w:val="nil"/>
              </w:pBdr>
              <w:spacing w:after="0" w:line="240" w:lineRule="auto"/>
              <w:jc w:val="both"/>
              <w:rPr>
                <w:rFonts w:asciiTheme="majorHAnsi" w:eastAsia="Times New Roman" w:hAnsiTheme="majorHAnsi" w:cstheme="majorBidi"/>
              </w:rPr>
            </w:pPr>
            <w:r w:rsidRPr="404444EF">
              <w:rPr>
                <w:rFonts w:asciiTheme="majorHAnsi" w:eastAsia="Times New Roman" w:hAnsiTheme="majorHAnsi" w:cstheme="majorBidi"/>
              </w:rPr>
              <w:t>302 (</w:t>
            </w:r>
            <w:r w:rsidR="0EDC0536" w:rsidRPr="404444EF">
              <w:rPr>
                <w:rFonts w:asciiTheme="majorHAnsi" w:eastAsia="Times New Roman" w:hAnsiTheme="majorHAnsi" w:cstheme="majorBidi"/>
              </w:rPr>
              <w:t>7.1.2.1</w:t>
            </w:r>
            <w:r w:rsidR="256AE6E4" w:rsidRPr="404444EF">
              <w:rPr>
                <w:rFonts w:asciiTheme="majorHAnsi" w:eastAsia="Times New Roman" w:hAnsiTheme="majorHAnsi" w:cstheme="majorBidi"/>
              </w:rPr>
              <w:t>)</w:t>
            </w:r>
          </w:p>
          <w:p w14:paraId="25AB5D7E" w14:textId="1EA7DFFE" w:rsidR="404444EF" w:rsidRDefault="404444EF" w:rsidP="404444EF">
            <w:pPr>
              <w:pStyle w:val="Odstavecseseznamem"/>
              <w:numPr>
                <w:ilvl w:val="0"/>
                <w:numId w:val="22"/>
              </w:numPr>
              <w:pBdr>
                <w:top w:val="nil"/>
                <w:left w:val="nil"/>
                <w:bottom w:val="nil"/>
                <w:right w:val="nil"/>
                <w:between w:val="nil"/>
              </w:pBdr>
              <w:spacing w:after="0" w:line="240" w:lineRule="auto"/>
              <w:jc w:val="both"/>
              <w:rPr>
                <w:rFonts w:asciiTheme="majorHAnsi" w:eastAsia="Times New Roman" w:hAnsiTheme="majorHAnsi" w:cstheme="majorBidi"/>
              </w:rPr>
            </w:pPr>
            <w:r w:rsidRPr="404444EF">
              <w:rPr>
                <w:rFonts w:asciiTheme="majorHAnsi" w:eastAsia="Times New Roman" w:hAnsiTheme="majorHAnsi" w:cstheme="majorBidi"/>
              </w:rPr>
              <w:t>stanovit závazné maximální lhůty: trvání povolovacího procesu (včetně připojení k síti) nesmí překročit 2 roky pro OZE s instalovaným výkonem nad 150 kW a 1 rok pro OZE s instalovaným výkonem do 150 kW. Pro fotovoltaické výrobny na umělých konstrukcích povolovací proces nepřekročí 1 měsíc.</w:t>
            </w:r>
          </w:p>
          <w:p w14:paraId="242A2876" w14:textId="03FB98B7" w:rsidR="404444EF" w:rsidRDefault="404444EF" w:rsidP="404444EF">
            <w:pPr>
              <w:pStyle w:val="Odstavecseseznamem"/>
              <w:numPr>
                <w:ilvl w:val="0"/>
                <w:numId w:val="22"/>
              </w:numPr>
              <w:pBdr>
                <w:top w:val="nil"/>
                <w:left w:val="nil"/>
                <w:bottom w:val="nil"/>
                <w:right w:val="nil"/>
                <w:between w:val="nil"/>
              </w:pBdr>
              <w:spacing w:after="0" w:line="240" w:lineRule="auto"/>
              <w:jc w:val="both"/>
              <w:rPr>
                <w:rFonts w:asciiTheme="majorHAnsi" w:eastAsia="Times New Roman" w:hAnsiTheme="majorHAnsi" w:cstheme="majorBidi"/>
              </w:rPr>
            </w:pPr>
            <w:r w:rsidRPr="404444EF">
              <w:rPr>
                <w:rFonts w:asciiTheme="majorHAnsi" w:eastAsia="Times New Roman" w:hAnsiTheme="majorHAnsi" w:cstheme="majorBidi"/>
              </w:rPr>
              <w:t>zavést monitoring ERÚ na délku povolovacích procesů</w:t>
            </w:r>
          </w:p>
          <w:p w14:paraId="77308098" w14:textId="77777777" w:rsidR="404444EF" w:rsidRDefault="404444EF" w:rsidP="404444EF">
            <w:pPr>
              <w:pBdr>
                <w:top w:val="nil"/>
                <w:left w:val="nil"/>
                <w:bottom w:val="nil"/>
                <w:right w:val="nil"/>
                <w:between w:val="nil"/>
              </w:pBdr>
              <w:spacing w:after="0" w:line="240" w:lineRule="auto"/>
              <w:jc w:val="both"/>
              <w:rPr>
                <w:rFonts w:asciiTheme="majorHAnsi" w:eastAsia="Times New Roman" w:hAnsiTheme="majorHAnsi" w:cstheme="majorBidi"/>
              </w:rPr>
            </w:pPr>
          </w:p>
          <w:p w14:paraId="2E632839" w14:textId="24D9E131" w:rsidR="506AB9D7" w:rsidRDefault="506AB9D7" w:rsidP="404444EF">
            <w:pPr>
              <w:pBdr>
                <w:top w:val="nil"/>
                <w:left w:val="nil"/>
                <w:bottom w:val="nil"/>
                <w:right w:val="nil"/>
                <w:between w:val="nil"/>
              </w:pBdr>
              <w:spacing w:after="0" w:line="240" w:lineRule="auto"/>
              <w:jc w:val="both"/>
              <w:rPr>
                <w:rFonts w:asciiTheme="majorHAnsi" w:eastAsia="Times New Roman" w:hAnsiTheme="majorHAnsi" w:cstheme="majorBidi"/>
              </w:rPr>
            </w:pPr>
            <w:r w:rsidRPr="404444EF">
              <w:rPr>
                <w:rFonts w:asciiTheme="majorHAnsi" w:eastAsia="Times New Roman" w:hAnsiTheme="majorHAnsi" w:cstheme="majorBidi"/>
              </w:rPr>
              <w:t>303 (</w:t>
            </w:r>
            <w:r w:rsidR="66D565E7" w:rsidRPr="404444EF">
              <w:rPr>
                <w:rFonts w:asciiTheme="majorHAnsi" w:eastAsia="Times New Roman" w:hAnsiTheme="majorHAnsi" w:cstheme="majorBidi"/>
              </w:rPr>
              <w:t>7.1.2.2</w:t>
            </w:r>
            <w:r w:rsidR="6B0540D4" w:rsidRPr="404444EF">
              <w:rPr>
                <w:rFonts w:asciiTheme="majorHAnsi" w:eastAsia="Times New Roman" w:hAnsiTheme="majorHAnsi" w:cstheme="majorBidi"/>
              </w:rPr>
              <w:t>)</w:t>
            </w:r>
            <w:r w:rsidR="66D565E7" w:rsidRPr="404444EF">
              <w:rPr>
                <w:rFonts w:asciiTheme="majorHAnsi" w:eastAsia="Times New Roman" w:hAnsiTheme="majorHAnsi" w:cstheme="majorBidi"/>
              </w:rPr>
              <w:t xml:space="preserve"> </w:t>
            </w:r>
          </w:p>
          <w:p w14:paraId="234F01DB" w14:textId="1EF4B723" w:rsidR="404444EF" w:rsidRDefault="404444EF" w:rsidP="404444EF">
            <w:pPr>
              <w:pBdr>
                <w:top w:val="nil"/>
                <w:left w:val="nil"/>
                <w:bottom w:val="nil"/>
                <w:right w:val="nil"/>
                <w:between w:val="nil"/>
              </w:pBdr>
              <w:spacing w:after="0" w:line="240" w:lineRule="auto"/>
              <w:jc w:val="both"/>
              <w:rPr>
                <w:rFonts w:asciiTheme="majorHAnsi" w:eastAsia="Times New Roman" w:hAnsiTheme="majorHAnsi" w:cstheme="majorBidi"/>
              </w:rPr>
            </w:pPr>
            <w:r w:rsidRPr="404444EF">
              <w:rPr>
                <w:rFonts w:asciiTheme="majorHAnsi" w:eastAsia="Times New Roman" w:hAnsiTheme="majorHAnsi" w:cstheme="majorBidi"/>
              </w:rPr>
              <w:t>digitální one stop shop</w:t>
            </w:r>
          </w:p>
          <w:p w14:paraId="5CBC6D18" w14:textId="75602FA9" w:rsidR="404444EF" w:rsidRDefault="404444EF" w:rsidP="404444EF">
            <w:pPr>
              <w:pBdr>
                <w:top w:val="nil"/>
                <w:left w:val="nil"/>
                <w:bottom w:val="nil"/>
                <w:right w:val="nil"/>
                <w:between w:val="nil"/>
              </w:pBdr>
              <w:spacing w:after="0" w:line="240" w:lineRule="auto"/>
              <w:jc w:val="both"/>
              <w:rPr>
                <w:rFonts w:asciiTheme="majorHAnsi" w:eastAsia="Times New Roman" w:hAnsiTheme="majorHAnsi" w:cstheme="majorBidi"/>
              </w:rPr>
            </w:pPr>
          </w:p>
          <w:p w14:paraId="1FAFA63D" w14:textId="21DBB515" w:rsidR="404444EF" w:rsidRDefault="404444EF" w:rsidP="404444EF">
            <w:pPr>
              <w:spacing w:after="0"/>
              <w:jc w:val="both"/>
            </w:pPr>
            <w:r w:rsidRPr="404444EF">
              <w:rPr>
                <w:rFonts w:ascii="Calibri" w:eastAsia="Calibri" w:hAnsi="Calibri" w:cs="Calibri"/>
              </w:rPr>
              <w:t>Funkcionality one stop shop jsou definovány následovně:</w:t>
            </w:r>
          </w:p>
          <w:p w14:paraId="63D0B0B9" w14:textId="67C21F08" w:rsidR="404444EF" w:rsidRDefault="404444EF" w:rsidP="404444EF">
            <w:pPr>
              <w:pStyle w:val="Odstavecseseznamem"/>
              <w:numPr>
                <w:ilvl w:val="0"/>
                <w:numId w:val="3"/>
              </w:numPr>
              <w:spacing w:after="0"/>
              <w:jc w:val="both"/>
              <w:rPr>
                <w:rFonts w:ascii="Calibri" w:eastAsia="Calibri" w:hAnsi="Calibri" w:cs="Calibri"/>
              </w:rPr>
            </w:pPr>
            <w:r w:rsidRPr="404444EF">
              <w:rPr>
                <w:rFonts w:ascii="Calibri" w:eastAsia="Calibri" w:hAnsi="Calibri" w:cs="Calibri"/>
              </w:rPr>
              <w:t xml:space="preserve">víceúrovňový přístup (např. úroveň back-office managementu, provozní úroveň back-office, přístup široké veřejnosti z front-office a úroveň front-office promotérů). Systém je vytvořen tak, aby umožňoval </w:t>
            </w:r>
            <w:r w:rsidRPr="404444EF">
              <w:rPr>
                <w:rFonts w:ascii="Calibri" w:eastAsia="Calibri" w:hAnsi="Calibri" w:cs="Calibri"/>
              </w:rPr>
              <w:lastRenderedPageBreak/>
              <w:t>různé přístupové body podle odpovědnosti každého z nich. Softwarové řešení, které bude podporovat integraci procesů na jednom webovém portálu (one stop shop). Přístup k řešení bude pomocí EID a bude založen na rolích. Backoffice bude řešena prostřednictvím více agendových informačních systémů (na základě agend).</w:t>
            </w:r>
          </w:p>
          <w:p w14:paraId="70B6F0BB" w14:textId="4CE0C090" w:rsidR="404444EF" w:rsidRDefault="404444EF" w:rsidP="404444EF">
            <w:pPr>
              <w:pStyle w:val="Odstavecseseznamem"/>
              <w:numPr>
                <w:ilvl w:val="0"/>
                <w:numId w:val="3"/>
              </w:numPr>
              <w:spacing w:after="0"/>
              <w:jc w:val="both"/>
              <w:rPr>
                <w:rFonts w:ascii="Calibri" w:eastAsia="Calibri" w:hAnsi="Calibri" w:cs="Calibri"/>
              </w:rPr>
            </w:pPr>
            <w:r w:rsidRPr="404444EF">
              <w:rPr>
                <w:rFonts w:ascii="Calibri" w:eastAsia="Calibri" w:hAnsi="Calibri" w:cs="Calibri"/>
              </w:rPr>
              <w:t>určitý stupeň interoperability s dalšími platformami (např.  provozovatelé sítí, platforma pro vydávání povolení v oblasti životního prostředí, licenční platforma a bankovní platební platformy). Řešení "one stop shop" bude určeno především veřejnosti, stavebníkům, navrhovatelům projektů a dalším zúčastněným stranám jako jedno místo, kde mohou komunikovat s vládou a dalšími odpovědnými agenturami a vyplnit potřebné formuláře popisující projekt. V backendu tohoto softwarového řešení budou distribuovány všechny potřebné údaje a formuláře napříč dalšími portály a platformami (agendové informační systémy).</w:t>
            </w:r>
          </w:p>
          <w:p w14:paraId="2D3B7B3D" w14:textId="328A4367" w:rsidR="404444EF" w:rsidRDefault="404444EF" w:rsidP="404444EF">
            <w:pPr>
              <w:pStyle w:val="Odstavecseseznamem"/>
              <w:numPr>
                <w:ilvl w:val="0"/>
                <w:numId w:val="3"/>
              </w:numPr>
              <w:spacing w:after="0"/>
              <w:jc w:val="both"/>
              <w:rPr>
                <w:rFonts w:ascii="Calibri" w:eastAsia="Calibri" w:hAnsi="Calibri" w:cs="Calibri"/>
              </w:rPr>
            </w:pPr>
            <w:r w:rsidRPr="404444EF">
              <w:rPr>
                <w:rFonts w:ascii="Calibri" w:eastAsia="Calibri" w:hAnsi="Calibri" w:cs="Calibri"/>
              </w:rPr>
              <w:t>data: budou shromažďovány všechny potřebné údaje o postupech pro účely auditu. Některá data budou veřejně přístupná jako otevřená data.</w:t>
            </w:r>
          </w:p>
          <w:p w14:paraId="15E7FB32" w14:textId="19067725" w:rsidR="404444EF" w:rsidRDefault="404444EF" w:rsidP="404444EF">
            <w:pPr>
              <w:pBdr>
                <w:top w:val="nil"/>
                <w:left w:val="nil"/>
                <w:bottom w:val="nil"/>
                <w:right w:val="nil"/>
                <w:between w:val="nil"/>
              </w:pBdr>
              <w:spacing w:after="0" w:line="240" w:lineRule="auto"/>
              <w:jc w:val="both"/>
              <w:rPr>
                <w:rFonts w:asciiTheme="majorHAnsi" w:eastAsia="Times New Roman" w:hAnsiTheme="majorHAnsi" w:cstheme="majorBidi"/>
              </w:rPr>
            </w:pPr>
          </w:p>
          <w:p w14:paraId="25E69076" w14:textId="77777777" w:rsidR="404444EF" w:rsidRDefault="404444EF" w:rsidP="404444EF">
            <w:pPr>
              <w:pBdr>
                <w:top w:val="nil"/>
                <w:left w:val="nil"/>
                <w:bottom w:val="nil"/>
                <w:right w:val="nil"/>
                <w:between w:val="nil"/>
              </w:pBdr>
              <w:spacing w:after="0" w:line="240" w:lineRule="auto"/>
              <w:jc w:val="both"/>
              <w:rPr>
                <w:rFonts w:asciiTheme="majorHAnsi" w:eastAsia="Times New Roman" w:hAnsiTheme="majorHAnsi" w:cstheme="majorBidi"/>
              </w:rPr>
            </w:pPr>
          </w:p>
        </w:tc>
      </w:tr>
      <w:tr w:rsidR="404444EF" w14:paraId="7BCF0362" w14:textId="77777777" w:rsidTr="404444EF">
        <w:trPr>
          <w:trHeight w:val="300"/>
        </w:trPr>
        <w:tc>
          <w:tcPr>
            <w:tcW w:w="2405" w:type="dxa"/>
          </w:tcPr>
          <w:p w14:paraId="5A9F1749" w14:textId="77777777" w:rsidR="404444EF" w:rsidRDefault="404444EF" w:rsidP="404444EF">
            <w:pPr>
              <w:pBdr>
                <w:top w:val="nil"/>
                <w:left w:val="nil"/>
                <w:bottom w:val="nil"/>
                <w:right w:val="nil"/>
                <w:between w:val="nil"/>
              </w:pBdr>
              <w:spacing w:after="0" w:line="240" w:lineRule="auto"/>
              <w:rPr>
                <w:rFonts w:asciiTheme="majorHAnsi" w:eastAsia="Times New Roman" w:hAnsiTheme="majorHAnsi" w:cstheme="majorBidi"/>
              </w:rPr>
            </w:pPr>
            <w:r w:rsidRPr="404444EF">
              <w:rPr>
                <w:rFonts w:asciiTheme="majorHAnsi" w:eastAsia="Times New Roman" w:hAnsiTheme="majorHAnsi" w:cstheme="majorBidi"/>
              </w:rPr>
              <w:lastRenderedPageBreak/>
              <w:t>Implementace (popis)</w:t>
            </w:r>
          </w:p>
        </w:tc>
        <w:tc>
          <w:tcPr>
            <w:tcW w:w="7223" w:type="dxa"/>
          </w:tcPr>
          <w:p w14:paraId="6C77F289" w14:textId="05D0FDC0" w:rsidR="404444EF" w:rsidRDefault="404444EF" w:rsidP="404444EF">
            <w:pPr>
              <w:spacing w:after="0"/>
              <w:jc w:val="both"/>
              <w:rPr>
                <w:rFonts w:ascii="Calibri" w:eastAsia="Calibri" w:hAnsi="Calibri" w:cs="Calibri"/>
                <w:color w:val="auto"/>
              </w:rPr>
            </w:pPr>
            <w:r w:rsidRPr="404444EF">
              <w:rPr>
                <w:rFonts w:ascii="Calibri" w:eastAsia="Calibri" w:hAnsi="Calibri" w:cs="Calibri"/>
                <w:color w:val="auto"/>
              </w:rPr>
              <w:t xml:space="preserve">Implementace bude prováděna v souladu s obecným právním nastavením v ČR, přičemž do implementace budou zapojeny odpovídající subjekty napříč státní/veřejnou správou. Pro urychlení a digitalizaci povolovaných procesů pro OZE je nutná úprava celkového nastavení povolovacího procesu vč. příslušných předpisů. </w:t>
            </w:r>
          </w:p>
        </w:tc>
      </w:tr>
      <w:tr w:rsidR="404444EF" w14:paraId="395E18B8" w14:textId="77777777" w:rsidTr="404444EF">
        <w:trPr>
          <w:trHeight w:val="70"/>
        </w:trPr>
        <w:tc>
          <w:tcPr>
            <w:tcW w:w="2405" w:type="dxa"/>
          </w:tcPr>
          <w:p w14:paraId="6FC4D60D" w14:textId="77777777" w:rsidR="404444EF" w:rsidRDefault="404444EF" w:rsidP="404444EF">
            <w:pPr>
              <w:pBdr>
                <w:top w:val="nil"/>
                <w:left w:val="nil"/>
                <w:bottom w:val="nil"/>
                <w:right w:val="nil"/>
                <w:between w:val="nil"/>
              </w:pBdr>
              <w:spacing w:after="0" w:line="240" w:lineRule="auto"/>
              <w:rPr>
                <w:rFonts w:asciiTheme="majorHAnsi" w:eastAsia="Times New Roman" w:hAnsiTheme="majorHAnsi" w:cstheme="majorBidi"/>
              </w:rPr>
            </w:pPr>
            <w:r w:rsidRPr="404444EF">
              <w:rPr>
                <w:rFonts w:asciiTheme="majorHAnsi" w:eastAsia="Times New Roman" w:hAnsiTheme="majorHAnsi" w:cstheme="majorBidi"/>
              </w:rPr>
              <w:t>Spolupráce a zapojení zúčastněných stran</w:t>
            </w:r>
          </w:p>
        </w:tc>
        <w:tc>
          <w:tcPr>
            <w:tcW w:w="7223" w:type="dxa"/>
          </w:tcPr>
          <w:p w14:paraId="748EE505" w14:textId="5E3EE5DB" w:rsidR="404444EF" w:rsidRDefault="404444EF" w:rsidP="404444EF">
            <w:pPr>
              <w:spacing w:after="0"/>
              <w:jc w:val="both"/>
              <w:rPr>
                <w:rFonts w:ascii="Calibri" w:eastAsia="Calibri" w:hAnsi="Calibri" w:cs="Calibri"/>
                <w:color w:val="auto"/>
              </w:rPr>
            </w:pPr>
            <w:r w:rsidRPr="404444EF">
              <w:rPr>
                <w:rFonts w:ascii="Calibri" w:eastAsia="Calibri" w:hAnsi="Calibri" w:cs="Calibri"/>
                <w:color w:val="auto"/>
              </w:rPr>
              <w:t>Hlavními zapojenými subjekty budou ústřední orgány státní správy, zejména pak Ministerstvo průmyslu a obchodu, Ministerstvo pro místní rozvoj, Ministerstvo životního prostředí a příslušné spolupracující úřady (ERU apod.).</w:t>
            </w:r>
          </w:p>
        </w:tc>
      </w:tr>
      <w:tr w:rsidR="404444EF" w14:paraId="4A0FBD11" w14:textId="77777777" w:rsidTr="404444EF">
        <w:trPr>
          <w:trHeight w:val="300"/>
        </w:trPr>
        <w:tc>
          <w:tcPr>
            <w:tcW w:w="2405" w:type="dxa"/>
          </w:tcPr>
          <w:p w14:paraId="47559647" w14:textId="77777777" w:rsidR="404444EF" w:rsidRDefault="404444EF" w:rsidP="404444EF">
            <w:pPr>
              <w:pBdr>
                <w:top w:val="nil"/>
                <w:left w:val="nil"/>
                <w:bottom w:val="nil"/>
                <w:right w:val="nil"/>
                <w:between w:val="nil"/>
              </w:pBdr>
              <w:spacing w:after="0" w:line="240" w:lineRule="auto"/>
              <w:rPr>
                <w:rFonts w:asciiTheme="majorHAnsi" w:eastAsia="Times New Roman" w:hAnsiTheme="majorHAnsi" w:cstheme="majorBidi"/>
              </w:rPr>
            </w:pPr>
            <w:r w:rsidRPr="404444EF">
              <w:rPr>
                <w:rFonts w:asciiTheme="majorHAnsi" w:eastAsia="Times New Roman" w:hAnsiTheme="majorHAnsi" w:cstheme="majorBidi"/>
              </w:rPr>
              <w:t>Překážky a rizika</w:t>
            </w:r>
          </w:p>
        </w:tc>
        <w:tc>
          <w:tcPr>
            <w:tcW w:w="7223" w:type="dxa"/>
          </w:tcPr>
          <w:p w14:paraId="16F38F02" w14:textId="4C9A73CC" w:rsidR="404444EF" w:rsidRDefault="404444EF" w:rsidP="404444EF">
            <w:pPr>
              <w:spacing w:after="0"/>
              <w:jc w:val="both"/>
              <w:rPr>
                <w:rFonts w:ascii="Calibri" w:eastAsia="Calibri" w:hAnsi="Calibri" w:cs="Calibri"/>
                <w:color w:val="auto"/>
              </w:rPr>
            </w:pPr>
            <w:r w:rsidRPr="404444EF">
              <w:rPr>
                <w:rFonts w:ascii="Calibri" w:eastAsia="Calibri" w:hAnsi="Calibri" w:cs="Calibri"/>
                <w:color w:val="auto"/>
              </w:rPr>
              <w:t xml:space="preserve">Hlavním rizikem a překážkou je potřebný čas na realizaci. Dále také politické vlivy, které mohou ovlivnit rozhodovací proces u nových předpisů. Dalším rizikem je rozsah této změny z důvodů návaznosti na celou řadu předpisů.  </w:t>
            </w:r>
          </w:p>
        </w:tc>
      </w:tr>
      <w:tr w:rsidR="404444EF" w14:paraId="37B6FA27" w14:textId="77777777" w:rsidTr="404444EF">
        <w:trPr>
          <w:trHeight w:val="300"/>
        </w:trPr>
        <w:tc>
          <w:tcPr>
            <w:tcW w:w="2405" w:type="dxa"/>
          </w:tcPr>
          <w:p w14:paraId="35E09F95" w14:textId="77777777" w:rsidR="404444EF" w:rsidRDefault="404444EF" w:rsidP="404444EF">
            <w:pPr>
              <w:pBdr>
                <w:top w:val="nil"/>
                <w:left w:val="nil"/>
                <w:bottom w:val="nil"/>
                <w:right w:val="nil"/>
                <w:between w:val="nil"/>
              </w:pBdr>
              <w:spacing w:after="0" w:line="240" w:lineRule="auto"/>
              <w:rPr>
                <w:rFonts w:asciiTheme="majorHAnsi" w:eastAsia="Times New Roman" w:hAnsiTheme="majorHAnsi" w:cstheme="majorBidi"/>
              </w:rPr>
            </w:pPr>
            <w:r w:rsidRPr="404444EF">
              <w:rPr>
                <w:rFonts w:asciiTheme="majorHAnsi" w:eastAsia="Times New Roman" w:hAnsiTheme="majorHAnsi" w:cstheme="majorBidi"/>
              </w:rPr>
              <w:t>Cílové skupiny populace a ekonomické subjekty</w:t>
            </w:r>
          </w:p>
        </w:tc>
        <w:tc>
          <w:tcPr>
            <w:tcW w:w="7223" w:type="dxa"/>
          </w:tcPr>
          <w:p w14:paraId="6452E671" w14:textId="4CDC4428" w:rsidR="404444EF" w:rsidRDefault="404444EF" w:rsidP="404444EF">
            <w:pPr>
              <w:spacing w:after="0"/>
              <w:jc w:val="both"/>
              <w:rPr>
                <w:rFonts w:ascii="Calibri" w:eastAsia="Calibri" w:hAnsi="Calibri" w:cs="Calibri"/>
                <w:color w:val="auto"/>
              </w:rPr>
            </w:pPr>
            <w:r w:rsidRPr="404444EF">
              <w:rPr>
                <w:rFonts w:ascii="Calibri" w:eastAsia="Calibri" w:hAnsi="Calibri" w:cs="Calibri"/>
                <w:color w:val="auto"/>
              </w:rPr>
              <w:t>Širší občanská i podnikatelská veřejnost, osoby zapojené do získávání povolovacích procesů</w:t>
            </w:r>
          </w:p>
        </w:tc>
      </w:tr>
      <w:tr w:rsidR="404444EF" w14:paraId="2620526C" w14:textId="77777777" w:rsidTr="404444EF">
        <w:trPr>
          <w:trHeight w:val="300"/>
        </w:trPr>
        <w:tc>
          <w:tcPr>
            <w:tcW w:w="2405" w:type="dxa"/>
          </w:tcPr>
          <w:p w14:paraId="66FA8640" w14:textId="77777777" w:rsidR="404444EF" w:rsidRDefault="404444EF" w:rsidP="404444EF">
            <w:pPr>
              <w:pBdr>
                <w:top w:val="nil"/>
                <w:left w:val="nil"/>
                <w:bottom w:val="nil"/>
                <w:right w:val="nil"/>
                <w:between w:val="nil"/>
              </w:pBdr>
              <w:spacing w:after="0" w:line="240" w:lineRule="auto"/>
              <w:rPr>
                <w:rFonts w:asciiTheme="majorHAnsi" w:eastAsia="Times New Roman" w:hAnsiTheme="majorHAnsi" w:cstheme="majorBidi"/>
              </w:rPr>
            </w:pPr>
            <w:r w:rsidRPr="404444EF">
              <w:rPr>
                <w:rFonts w:asciiTheme="majorHAnsi" w:eastAsia="Times New Roman" w:hAnsiTheme="majorHAnsi" w:cstheme="majorBidi"/>
              </w:rPr>
              <w:t>Souhrnné náklady realizace financované z RRF za celé období</w:t>
            </w:r>
          </w:p>
        </w:tc>
        <w:tc>
          <w:tcPr>
            <w:tcW w:w="7223" w:type="dxa"/>
          </w:tcPr>
          <w:p w14:paraId="10CD9264" w14:textId="600588D5" w:rsidR="36A057FA" w:rsidRDefault="36A057FA" w:rsidP="404444EF">
            <w:pPr>
              <w:spacing w:after="0"/>
              <w:jc w:val="both"/>
              <w:rPr>
                <w:rFonts w:ascii="Calibri" w:eastAsia="Calibri" w:hAnsi="Calibri" w:cs="Calibri"/>
                <w:color w:val="auto"/>
              </w:rPr>
            </w:pPr>
            <w:r w:rsidRPr="404444EF">
              <w:rPr>
                <w:rFonts w:ascii="Calibri" w:eastAsia="Calibri" w:hAnsi="Calibri" w:cs="Calibri"/>
                <w:color w:val="auto"/>
              </w:rPr>
              <w:t>Bez dopadů do nákladů v rámci RRF</w:t>
            </w:r>
          </w:p>
        </w:tc>
      </w:tr>
      <w:tr w:rsidR="404444EF" w14:paraId="2BBD08E0" w14:textId="77777777" w:rsidTr="404444EF">
        <w:trPr>
          <w:trHeight w:val="300"/>
        </w:trPr>
        <w:tc>
          <w:tcPr>
            <w:tcW w:w="2405" w:type="dxa"/>
          </w:tcPr>
          <w:p w14:paraId="017ED4EE" w14:textId="77777777" w:rsidR="404444EF" w:rsidRDefault="404444EF" w:rsidP="404444EF">
            <w:pPr>
              <w:pBdr>
                <w:top w:val="nil"/>
                <w:left w:val="nil"/>
                <w:bottom w:val="nil"/>
                <w:right w:val="nil"/>
                <w:between w:val="nil"/>
              </w:pBdr>
              <w:spacing w:after="0" w:line="240" w:lineRule="auto"/>
              <w:rPr>
                <w:rFonts w:asciiTheme="majorHAnsi" w:eastAsia="Times New Roman" w:hAnsiTheme="majorHAnsi" w:cstheme="majorBidi"/>
              </w:rPr>
            </w:pPr>
            <w:r w:rsidRPr="404444EF">
              <w:rPr>
                <w:rFonts w:asciiTheme="majorHAnsi" w:eastAsia="Times New Roman" w:hAnsiTheme="majorHAnsi" w:cstheme="majorBidi"/>
              </w:rPr>
              <w:t>Dodržování pravidel státní podpory</w:t>
            </w:r>
          </w:p>
        </w:tc>
        <w:tc>
          <w:tcPr>
            <w:tcW w:w="7223" w:type="dxa"/>
          </w:tcPr>
          <w:p w14:paraId="12B8C387" w14:textId="4E79EDBE" w:rsidR="404444EF" w:rsidRDefault="404444EF" w:rsidP="404444EF">
            <w:pPr>
              <w:spacing w:after="0"/>
              <w:jc w:val="both"/>
              <w:rPr>
                <w:rFonts w:ascii="Calibri" w:eastAsia="Calibri" w:hAnsi="Calibri" w:cs="Calibri"/>
                <w:color w:val="auto"/>
              </w:rPr>
            </w:pPr>
            <w:r w:rsidRPr="404444EF">
              <w:rPr>
                <w:rFonts w:ascii="Calibri" w:eastAsia="Calibri" w:hAnsi="Calibri" w:cs="Calibri"/>
                <w:color w:val="auto"/>
              </w:rPr>
              <w:t>Nerelevantní</w:t>
            </w:r>
          </w:p>
        </w:tc>
      </w:tr>
      <w:tr w:rsidR="404444EF" w14:paraId="28905F66" w14:textId="77777777" w:rsidTr="404444EF">
        <w:trPr>
          <w:trHeight w:val="300"/>
        </w:trPr>
        <w:tc>
          <w:tcPr>
            <w:tcW w:w="2405" w:type="dxa"/>
          </w:tcPr>
          <w:p w14:paraId="26DE3E1F" w14:textId="77777777" w:rsidR="404444EF" w:rsidRDefault="404444EF" w:rsidP="404444EF">
            <w:pPr>
              <w:pBdr>
                <w:top w:val="nil"/>
                <w:left w:val="nil"/>
                <w:bottom w:val="nil"/>
                <w:right w:val="nil"/>
                <w:between w:val="nil"/>
              </w:pBdr>
              <w:spacing w:after="0" w:line="240" w:lineRule="auto"/>
              <w:rPr>
                <w:rFonts w:asciiTheme="majorHAnsi" w:eastAsia="Times New Roman" w:hAnsiTheme="majorHAnsi" w:cstheme="majorBidi"/>
              </w:rPr>
            </w:pPr>
            <w:r w:rsidRPr="404444EF">
              <w:rPr>
                <w:rFonts w:asciiTheme="majorHAnsi" w:eastAsia="Times New Roman" w:hAnsiTheme="majorHAnsi" w:cstheme="majorBidi"/>
              </w:rPr>
              <w:t>Doba implementace</w:t>
            </w:r>
          </w:p>
        </w:tc>
        <w:tc>
          <w:tcPr>
            <w:tcW w:w="7223" w:type="dxa"/>
          </w:tcPr>
          <w:p w14:paraId="6094DD44" w14:textId="771A35FD" w:rsidR="3E20E0C9" w:rsidRDefault="3E20E0C9" w:rsidP="404444EF">
            <w:pPr>
              <w:spacing w:after="0"/>
              <w:jc w:val="both"/>
              <w:rPr>
                <w:color w:val="auto"/>
              </w:rPr>
            </w:pPr>
            <w:r w:rsidRPr="404444EF">
              <w:rPr>
                <w:color w:val="auto"/>
              </w:rPr>
              <w:t>302 (</w:t>
            </w:r>
            <w:r w:rsidR="404444EF" w:rsidRPr="404444EF">
              <w:rPr>
                <w:color w:val="auto"/>
              </w:rPr>
              <w:t>7.1.5.1</w:t>
            </w:r>
            <w:r w:rsidR="33A6EBFA" w:rsidRPr="404444EF">
              <w:rPr>
                <w:color w:val="auto"/>
              </w:rPr>
              <w:t>)</w:t>
            </w:r>
            <w:r w:rsidR="404444EF" w:rsidRPr="404444EF">
              <w:rPr>
                <w:color w:val="auto"/>
              </w:rPr>
              <w:t xml:space="preserve"> Q3/2024</w:t>
            </w:r>
          </w:p>
          <w:p w14:paraId="0C1E7302" w14:textId="318560DF" w:rsidR="404444EF" w:rsidRDefault="404444EF" w:rsidP="404444EF">
            <w:pPr>
              <w:spacing w:after="0"/>
              <w:jc w:val="both"/>
              <w:rPr>
                <w:color w:val="auto"/>
              </w:rPr>
            </w:pPr>
          </w:p>
          <w:p w14:paraId="1978426E" w14:textId="2DBFFA91" w:rsidR="33A6EBFA" w:rsidRDefault="33A6EBFA" w:rsidP="404444EF">
            <w:pPr>
              <w:spacing w:after="0"/>
              <w:jc w:val="both"/>
              <w:rPr>
                <w:rFonts w:ascii="Calibri" w:eastAsia="Calibri" w:hAnsi="Calibri" w:cs="Calibri"/>
              </w:rPr>
            </w:pPr>
            <w:r w:rsidRPr="404444EF">
              <w:rPr>
                <w:rFonts w:ascii="Calibri" w:eastAsia="Calibri" w:hAnsi="Calibri" w:cs="Calibri"/>
              </w:rPr>
              <w:t>303 (</w:t>
            </w:r>
            <w:r w:rsidR="404444EF" w:rsidRPr="404444EF">
              <w:rPr>
                <w:rFonts w:ascii="Calibri" w:eastAsia="Calibri" w:hAnsi="Calibri" w:cs="Calibri"/>
              </w:rPr>
              <w:t>7.1.5.2</w:t>
            </w:r>
            <w:r w:rsidR="550A638D" w:rsidRPr="404444EF">
              <w:rPr>
                <w:rFonts w:ascii="Calibri" w:eastAsia="Calibri" w:hAnsi="Calibri" w:cs="Calibri"/>
              </w:rPr>
              <w:t>)</w:t>
            </w:r>
            <w:r w:rsidR="404444EF" w:rsidRPr="404444EF">
              <w:rPr>
                <w:rFonts w:ascii="Calibri" w:eastAsia="Calibri" w:hAnsi="Calibri" w:cs="Calibri"/>
              </w:rPr>
              <w:t xml:space="preserve"> Q4/2024</w:t>
            </w:r>
          </w:p>
        </w:tc>
      </w:tr>
    </w:tbl>
    <w:p w14:paraId="4C844D7D" w14:textId="77777777" w:rsidR="00856FB9" w:rsidRPr="002D279B" w:rsidRDefault="00856FB9" w:rsidP="404444EF">
      <w:pPr>
        <w:pStyle w:val="K-TextInfo"/>
        <w:rPr>
          <w:rFonts w:asciiTheme="minorHAnsi" w:eastAsiaTheme="minorEastAsia" w:hAnsiTheme="minorHAnsi" w:cstheme="minorBidi"/>
          <w:i w:val="0"/>
          <w:iCs w:val="0"/>
          <w:color w:val="auto"/>
          <w:sz w:val="22"/>
          <w:szCs w:val="22"/>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3B66A2" w:rsidRPr="002D279B" w14:paraId="16598BCC" w14:textId="77777777" w:rsidTr="404444EF">
        <w:tc>
          <w:tcPr>
            <w:tcW w:w="2405" w:type="dxa"/>
          </w:tcPr>
          <w:bookmarkEnd w:id="3"/>
          <w:p w14:paraId="4A57261F" w14:textId="10081515" w:rsidR="003B66A2" w:rsidRPr="002D279B" w:rsidRDefault="003B66A2" w:rsidP="008B2F3A">
            <w:pPr>
              <w:pBdr>
                <w:top w:val="nil"/>
                <w:left w:val="nil"/>
                <w:bottom w:val="nil"/>
                <w:right w:val="nil"/>
                <w:between w:val="nil"/>
              </w:pBdr>
              <w:spacing w:after="0" w:line="240" w:lineRule="auto"/>
              <w:rPr>
                <w:rFonts w:asciiTheme="majorHAnsi" w:eastAsia="Times New Roman" w:hAnsiTheme="majorHAnsi" w:cstheme="majorHAnsi"/>
                <w:color w:val="000000"/>
              </w:rPr>
            </w:pPr>
            <w:r w:rsidRPr="002D279B">
              <w:rPr>
                <w:rFonts w:asciiTheme="majorHAnsi" w:eastAsia="Times New Roman" w:hAnsiTheme="majorHAnsi" w:cstheme="majorHAnsi"/>
                <w:color w:val="000000"/>
              </w:rPr>
              <w:t>Investice</w:t>
            </w:r>
            <w:r w:rsidR="008F1A0E" w:rsidRPr="002D279B">
              <w:rPr>
                <w:rFonts w:asciiTheme="majorHAnsi" w:eastAsia="Times New Roman" w:hAnsiTheme="majorHAnsi" w:cstheme="majorHAnsi"/>
                <w:color w:val="000000"/>
              </w:rPr>
              <w:t xml:space="preserve"> </w:t>
            </w:r>
          </w:p>
        </w:tc>
        <w:tc>
          <w:tcPr>
            <w:tcW w:w="7223" w:type="dxa"/>
          </w:tcPr>
          <w:p w14:paraId="0C5E3D12" w14:textId="3B5EFB46" w:rsidR="003B66A2" w:rsidRPr="002D279B" w:rsidRDefault="00723C11" w:rsidP="3F514EE9">
            <w:pPr>
              <w:pStyle w:val="K-Nadpis3"/>
              <w:spacing w:after="0"/>
              <w:rPr>
                <w:rFonts w:asciiTheme="majorHAnsi" w:eastAsia="Times New Roman" w:hAnsiTheme="majorHAnsi" w:cstheme="majorBidi"/>
                <w:sz w:val="22"/>
                <w:szCs w:val="22"/>
              </w:rPr>
            </w:pPr>
            <w:r w:rsidRPr="3F514EE9">
              <w:rPr>
                <w:rFonts w:asciiTheme="majorHAnsi" w:eastAsia="Times New Roman" w:hAnsiTheme="majorHAnsi" w:cstheme="majorBidi"/>
                <w:sz w:val="22"/>
                <w:szCs w:val="22"/>
              </w:rPr>
              <w:t xml:space="preserve">7.1.3 </w:t>
            </w:r>
            <w:r w:rsidR="008F1A0E" w:rsidRPr="3F514EE9">
              <w:rPr>
                <w:rFonts w:asciiTheme="majorHAnsi" w:eastAsia="Times New Roman" w:hAnsiTheme="majorHAnsi" w:cstheme="majorBidi"/>
                <w:sz w:val="22"/>
                <w:szCs w:val="22"/>
              </w:rPr>
              <w:t>Výstavba rekonstrukce a modernizace distribučních soustav</w:t>
            </w:r>
          </w:p>
        </w:tc>
      </w:tr>
      <w:tr w:rsidR="003B66A2" w:rsidRPr="002D279B" w14:paraId="4022ADF6" w14:textId="77777777" w:rsidTr="404444EF">
        <w:tc>
          <w:tcPr>
            <w:tcW w:w="2405" w:type="dxa"/>
          </w:tcPr>
          <w:p w14:paraId="0454C3B1" w14:textId="77777777" w:rsidR="003B66A2" w:rsidRPr="002D279B" w:rsidRDefault="003B66A2" w:rsidP="008B2F3A">
            <w:pPr>
              <w:pBdr>
                <w:top w:val="nil"/>
                <w:left w:val="nil"/>
                <w:bottom w:val="nil"/>
                <w:right w:val="nil"/>
                <w:between w:val="nil"/>
              </w:pBdr>
              <w:spacing w:after="0" w:line="240" w:lineRule="auto"/>
              <w:rPr>
                <w:rFonts w:asciiTheme="majorHAnsi" w:eastAsia="Times New Roman" w:hAnsiTheme="majorHAnsi" w:cstheme="majorHAnsi"/>
                <w:color w:val="000000"/>
              </w:rPr>
            </w:pPr>
            <w:r w:rsidRPr="002D279B">
              <w:rPr>
                <w:rFonts w:asciiTheme="majorHAnsi" w:eastAsia="Times New Roman" w:hAnsiTheme="majorHAnsi" w:cstheme="majorHAnsi"/>
                <w:color w:val="000000"/>
              </w:rPr>
              <w:lastRenderedPageBreak/>
              <w:t>Výzva</w:t>
            </w:r>
          </w:p>
        </w:tc>
        <w:tc>
          <w:tcPr>
            <w:tcW w:w="7223" w:type="dxa"/>
          </w:tcPr>
          <w:p w14:paraId="42E401B7" w14:textId="77777777" w:rsidR="003B66A2" w:rsidRPr="002D279B" w:rsidRDefault="008F1A0E" w:rsidP="008B2F3A">
            <w:pPr>
              <w:pBdr>
                <w:top w:val="nil"/>
                <w:left w:val="nil"/>
                <w:bottom w:val="nil"/>
                <w:right w:val="nil"/>
                <w:between w:val="nil"/>
              </w:pBdr>
              <w:spacing w:after="0" w:line="240" w:lineRule="auto"/>
              <w:jc w:val="both"/>
              <w:rPr>
                <w:rFonts w:asciiTheme="majorHAnsi" w:eastAsia="Times New Roman" w:hAnsiTheme="majorHAnsi" w:cstheme="majorHAnsi"/>
                <w:color w:val="000000"/>
              </w:rPr>
            </w:pPr>
            <w:r w:rsidRPr="002D279B">
              <w:rPr>
                <w:rFonts w:asciiTheme="majorHAnsi" w:eastAsia="Times New Roman" w:hAnsiTheme="majorHAnsi" w:cstheme="majorHAnsi"/>
                <w:color w:val="000000"/>
              </w:rPr>
              <w:t>S nárůstem spotřeby energie a s připojováním nových decentralizovaných zdrojů energie (OZE) úzce souvisí i potřeba zvýšení transformačního výkonu distribuční soustavy. Úroveň kvality v distribučních soustavách je určena ukazateli nepřetržitosti: (1) průměrný počet přerušení distribuce elektřiny u zákazníků v hodnoceném období (SAIFI) a (2) průměrná souhrnná doba trvání přerušení distribuce elektřiny u zákazníků v hodnoceném období (SAIDI). V roce 2019 dosáhl ukazatel SAIFI počtu 2,32 přerušení za rok a ukazatel SAIDI délky přerušení 288,73 min. za rok. S ohledem na vývoj v posledních 10 letech (průměr SAIFI 2,43, průměr SAIDI 302,7) jde o hodnoty nadprůměrně dobré. Je ovšem potřeba vzít v potaz, že vývoj v jednotlivých letech je značně kolísavý, neboť v roce 2017 byly hodnoty SAIFI 2,76 a SAIDI 431,45. To potvrzuje latentně přetrvávající a v čase se měnící zátěž pro distribuci elektrické energie.</w:t>
            </w:r>
          </w:p>
        </w:tc>
      </w:tr>
      <w:tr w:rsidR="003B66A2" w:rsidRPr="002D279B" w14:paraId="6F5CF8FE" w14:textId="77777777" w:rsidTr="404444EF">
        <w:tc>
          <w:tcPr>
            <w:tcW w:w="2405" w:type="dxa"/>
          </w:tcPr>
          <w:p w14:paraId="0D78801A" w14:textId="77777777" w:rsidR="003B66A2" w:rsidRPr="002D279B" w:rsidRDefault="003B66A2" w:rsidP="008B2F3A">
            <w:pPr>
              <w:pBdr>
                <w:top w:val="nil"/>
                <w:left w:val="nil"/>
                <w:bottom w:val="nil"/>
                <w:right w:val="nil"/>
                <w:between w:val="nil"/>
              </w:pBdr>
              <w:spacing w:after="0" w:line="240" w:lineRule="auto"/>
              <w:rPr>
                <w:rFonts w:asciiTheme="majorHAnsi" w:eastAsia="Times New Roman" w:hAnsiTheme="majorHAnsi" w:cstheme="majorHAnsi"/>
                <w:color w:val="000000"/>
              </w:rPr>
            </w:pPr>
            <w:r w:rsidRPr="002D279B">
              <w:rPr>
                <w:rFonts w:asciiTheme="majorHAnsi" w:eastAsia="Times New Roman" w:hAnsiTheme="majorHAnsi" w:cstheme="majorHAnsi"/>
                <w:color w:val="000000"/>
              </w:rPr>
              <w:t>Cíl</w:t>
            </w:r>
          </w:p>
        </w:tc>
        <w:tc>
          <w:tcPr>
            <w:tcW w:w="7223" w:type="dxa"/>
          </w:tcPr>
          <w:p w14:paraId="138A7095" w14:textId="2634D621" w:rsidR="003B66A2" w:rsidRPr="002D279B" w:rsidRDefault="10DD47D8" w:rsidP="3F514EE9">
            <w:pPr>
              <w:pBdr>
                <w:top w:val="nil"/>
                <w:left w:val="nil"/>
                <w:bottom w:val="nil"/>
                <w:right w:val="nil"/>
                <w:between w:val="nil"/>
              </w:pBdr>
              <w:spacing w:after="0" w:line="240" w:lineRule="auto"/>
              <w:jc w:val="both"/>
              <w:rPr>
                <w:rFonts w:asciiTheme="majorHAnsi" w:eastAsia="Times New Roman" w:hAnsiTheme="majorHAnsi" w:cstheme="majorBidi"/>
              </w:rPr>
            </w:pPr>
            <w:r w:rsidRPr="3F514EE9">
              <w:rPr>
                <w:rFonts w:asciiTheme="majorHAnsi" w:eastAsia="Times New Roman" w:hAnsiTheme="majorHAnsi" w:cstheme="majorBidi"/>
              </w:rPr>
              <w:t>Cílem tohoto opatření je přizpůsobit se očekávanému nárůstu poptávky po integraci intermitentních obnovitelných zdrojů do distribuční sítě.  Má být dosaženo nejméně 1777 MW kumulativní dodatečné kapacity pro připojení obnovitelných zdrojů energie k distribučním sítím v České republice. Podporované intervence - jako je výstavba nových nebo rozšíření stávajících vedení (nízkého středního a vysokého napětí), výstavba nových elektrických stanic, obnova a rozšíření stávajících rozvoden, včetně nasazení nového systému řízení výroby zvyšujícího dimenzování nebo instalace nových transformátorů - mají přispět k odstranění úzkých míst v sítích s ohledem na maximalizaci dodatečné technické kapacity pro integraci nových obnovitelných zdrojů.</w:t>
            </w:r>
          </w:p>
          <w:p w14:paraId="2BACEB32" w14:textId="5AFE0FA5" w:rsidR="003B66A2" w:rsidRPr="002D279B" w:rsidRDefault="003B66A2" w:rsidP="404444EF">
            <w:pPr>
              <w:spacing w:after="0" w:line="240" w:lineRule="auto"/>
              <w:jc w:val="both"/>
              <w:rPr>
                <w:rFonts w:asciiTheme="majorHAnsi" w:eastAsia="Times New Roman" w:hAnsiTheme="majorHAnsi" w:cstheme="majorBidi"/>
              </w:rPr>
            </w:pPr>
          </w:p>
          <w:p w14:paraId="62D70EBB" w14:textId="03039DE0" w:rsidR="003B66A2" w:rsidRPr="002D279B" w:rsidRDefault="1265C970" w:rsidP="404444EF">
            <w:pPr>
              <w:spacing w:after="0" w:line="240" w:lineRule="auto"/>
              <w:jc w:val="both"/>
              <w:rPr>
                <w:rFonts w:asciiTheme="majorHAnsi" w:eastAsia="Times New Roman" w:hAnsiTheme="majorHAnsi" w:cstheme="majorBidi"/>
              </w:rPr>
            </w:pPr>
            <w:r w:rsidRPr="404444EF">
              <w:rPr>
                <w:rFonts w:asciiTheme="majorHAnsi" w:eastAsia="Times New Roman" w:hAnsiTheme="majorHAnsi" w:cstheme="majorBidi"/>
              </w:rPr>
              <w:t xml:space="preserve"> </w:t>
            </w:r>
            <w:r w:rsidR="1D60F325" w:rsidRPr="404444EF">
              <w:rPr>
                <w:rFonts w:asciiTheme="majorHAnsi" w:eastAsia="Times New Roman" w:hAnsiTheme="majorHAnsi" w:cstheme="majorBidi"/>
              </w:rPr>
              <w:t>Cíl 299: nejméně 1777 MW kumulativní dodatečné kapacity pro připojení obnovitelných zdrojů energie k distribučním sítím v České republice</w:t>
            </w:r>
          </w:p>
        </w:tc>
      </w:tr>
      <w:tr w:rsidR="003B66A2" w:rsidRPr="002D279B" w14:paraId="0B07110F" w14:textId="77777777" w:rsidTr="404444EF">
        <w:tc>
          <w:tcPr>
            <w:tcW w:w="2405" w:type="dxa"/>
          </w:tcPr>
          <w:p w14:paraId="5CC9190A" w14:textId="77777777" w:rsidR="003B66A2" w:rsidRPr="002D279B" w:rsidRDefault="003B66A2" w:rsidP="008B2F3A">
            <w:pPr>
              <w:pBdr>
                <w:top w:val="nil"/>
                <w:left w:val="nil"/>
                <w:bottom w:val="nil"/>
                <w:right w:val="nil"/>
                <w:between w:val="nil"/>
              </w:pBdr>
              <w:spacing w:after="0" w:line="240" w:lineRule="auto"/>
              <w:rPr>
                <w:rFonts w:asciiTheme="majorHAnsi" w:eastAsia="Times New Roman" w:hAnsiTheme="majorHAnsi" w:cstheme="majorHAnsi"/>
                <w:color w:val="000000"/>
              </w:rPr>
            </w:pPr>
            <w:r w:rsidRPr="002D279B">
              <w:rPr>
                <w:rFonts w:asciiTheme="majorHAnsi" w:eastAsia="Times New Roman" w:hAnsiTheme="majorHAnsi" w:cstheme="majorHAnsi"/>
                <w:color w:val="000000"/>
              </w:rPr>
              <w:t>Implementace (popis)</w:t>
            </w:r>
          </w:p>
        </w:tc>
        <w:tc>
          <w:tcPr>
            <w:tcW w:w="7223" w:type="dxa"/>
          </w:tcPr>
          <w:p w14:paraId="29D27CB6" w14:textId="77777777" w:rsidR="003B66A2" w:rsidRPr="002D279B" w:rsidRDefault="008F1A0E" w:rsidP="008B2F3A">
            <w:pPr>
              <w:pBdr>
                <w:top w:val="nil"/>
                <w:left w:val="nil"/>
                <w:bottom w:val="nil"/>
                <w:right w:val="nil"/>
                <w:between w:val="nil"/>
              </w:pBdr>
              <w:spacing w:after="0" w:line="240" w:lineRule="auto"/>
              <w:jc w:val="both"/>
              <w:rPr>
                <w:rFonts w:asciiTheme="majorHAnsi" w:eastAsia="Times New Roman" w:hAnsiTheme="majorHAnsi" w:cstheme="majorHAnsi"/>
              </w:rPr>
            </w:pPr>
            <w:r w:rsidRPr="002D279B">
              <w:rPr>
                <w:rFonts w:asciiTheme="majorHAnsi" w:eastAsia="Times New Roman" w:hAnsiTheme="majorHAnsi" w:cstheme="majorHAnsi"/>
              </w:rPr>
              <w:t>Mezi podporované investice budou patřit tyto prvky: výstavba, posílení, rekonstrukce a modernizace distribučních soustav včetně související infrastruktury na území České republiky v místech, kde stávající přenosové schopnosti sítě omezují možnosti připojení nových OZE. Aktivity mohou být zaměřeny na výstavbu nebo úpravy rozvodných či transformačních stanic, nebo na posilování vedení s cílem zajistiti navýšení připojitelného výkonu OZE a bezpečného rozvoje dobíjecích stanic pro vozidla s nulovými emisemi. Implementace bude probíhat formou vyhlášené výzvy a přihlášení odpovídajících projektů dotčených regulovaných subjektů, příjemců podpory. Režim plateb (kofinancování REPowerEU ex-post.)</w:t>
            </w:r>
          </w:p>
        </w:tc>
      </w:tr>
      <w:tr w:rsidR="003B66A2" w:rsidRPr="002D279B" w14:paraId="3E930698" w14:textId="77777777" w:rsidTr="404444EF">
        <w:trPr>
          <w:trHeight w:val="70"/>
        </w:trPr>
        <w:tc>
          <w:tcPr>
            <w:tcW w:w="2405" w:type="dxa"/>
          </w:tcPr>
          <w:p w14:paraId="2926361B" w14:textId="77777777" w:rsidR="003B66A2" w:rsidRPr="002D279B" w:rsidRDefault="003B66A2" w:rsidP="008B2F3A">
            <w:pPr>
              <w:pBdr>
                <w:top w:val="nil"/>
                <w:left w:val="nil"/>
                <w:bottom w:val="nil"/>
                <w:right w:val="nil"/>
                <w:between w:val="nil"/>
              </w:pBdr>
              <w:spacing w:after="0" w:line="240" w:lineRule="auto"/>
              <w:rPr>
                <w:rFonts w:asciiTheme="majorHAnsi" w:eastAsia="Times New Roman" w:hAnsiTheme="majorHAnsi" w:cstheme="majorHAnsi"/>
                <w:color w:val="000000"/>
              </w:rPr>
            </w:pPr>
            <w:r w:rsidRPr="002D279B">
              <w:rPr>
                <w:rFonts w:asciiTheme="majorHAnsi" w:eastAsia="Times New Roman" w:hAnsiTheme="majorHAnsi" w:cstheme="majorHAnsi"/>
                <w:color w:val="000000"/>
              </w:rPr>
              <w:t>Spolupráce a zapojení zúčastněných stran</w:t>
            </w:r>
          </w:p>
        </w:tc>
        <w:tc>
          <w:tcPr>
            <w:tcW w:w="7223" w:type="dxa"/>
          </w:tcPr>
          <w:p w14:paraId="39F6727D" w14:textId="77777777" w:rsidR="003B66A2" w:rsidRPr="002D279B" w:rsidRDefault="004A446E" w:rsidP="008B2F3A">
            <w:pPr>
              <w:pBdr>
                <w:top w:val="nil"/>
                <w:left w:val="nil"/>
                <w:bottom w:val="nil"/>
                <w:right w:val="nil"/>
                <w:between w:val="nil"/>
              </w:pBdr>
              <w:spacing w:after="0" w:line="240" w:lineRule="auto"/>
              <w:jc w:val="both"/>
              <w:rPr>
                <w:rFonts w:asciiTheme="majorHAnsi" w:eastAsia="Times New Roman" w:hAnsiTheme="majorHAnsi" w:cstheme="majorHAnsi"/>
              </w:rPr>
            </w:pPr>
            <w:r w:rsidRPr="002D279B">
              <w:rPr>
                <w:rFonts w:asciiTheme="majorHAnsi" w:eastAsia="Times New Roman" w:hAnsiTheme="majorHAnsi" w:cstheme="majorHAnsi"/>
              </w:rPr>
              <w:t>Provozovatelé distribuční soustavy</w:t>
            </w:r>
            <w:r w:rsidR="003B66A2" w:rsidRPr="002D279B">
              <w:rPr>
                <w:rFonts w:asciiTheme="majorHAnsi" w:eastAsia="Times New Roman" w:hAnsiTheme="majorHAnsi" w:cstheme="majorHAnsi"/>
              </w:rPr>
              <w:t xml:space="preserve">, odborné asociace a partneři, </w:t>
            </w:r>
            <w:r w:rsidR="008F1A0E" w:rsidRPr="002D279B">
              <w:rPr>
                <w:rFonts w:asciiTheme="majorHAnsi" w:eastAsia="Times New Roman" w:hAnsiTheme="majorHAnsi" w:cstheme="majorHAnsi"/>
              </w:rPr>
              <w:t>ERÚ</w:t>
            </w:r>
          </w:p>
        </w:tc>
      </w:tr>
      <w:tr w:rsidR="003B66A2" w:rsidRPr="002D279B" w14:paraId="0B6CEBBA" w14:textId="77777777" w:rsidTr="404444EF">
        <w:tc>
          <w:tcPr>
            <w:tcW w:w="2405" w:type="dxa"/>
          </w:tcPr>
          <w:p w14:paraId="2970BF40" w14:textId="77777777" w:rsidR="003B66A2" w:rsidRPr="002D279B" w:rsidRDefault="003B66A2" w:rsidP="008B2F3A">
            <w:pPr>
              <w:pBdr>
                <w:top w:val="nil"/>
                <w:left w:val="nil"/>
                <w:bottom w:val="nil"/>
                <w:right w:val="nil"/>
                <w:between w:val="nil"/>
              </w:pBdr>
              <w:spacing w:after="0" w:line="240" w:lineRule="auto"/>
              <w:rPr>
                <w:rFonts w:asciiTheme="majorHAnsi" w:eastAsia="Times New Roman" w:hAnsiTheme="majorHAnsi" w:cstheme="majorHAnsi"/>
                <w:color w:val="000000"/>
              </w:rPr>
            </w:pPr>
            <w:r w:rsidRPr="002D279B">
              <w:rPr>
                <w:rFonts w:asciiTheme="majorHAnsi" w:eastAsia="Times New Roman" w:hAnsiTheme="majorHAnsi" w:cstheme="majorHAnsi"/>
                <w:color w:val="000000"/>
              </w:rPr>
              <w:t>Překážky a rizika</w:t>
            </w:r>
          </w:p>
        </w:tc>
        <w:tc>
          <w:tcPr>
            <w:tcW w:w="7223" w:type="dxa"/>
          </w:tcPr>
          <w:p w14:paraId="6565BF68" w14:textId="77777777" w:rsidR="003B66A2" w:rsidRPr="002D279B" w:rsidRDefault="003B66A2" w:rsidP="008B2F3A">
            <w:pPr>
              <w:pBdr>
                <w:top w:val="nil"/>
                <w:left w:val="nil"/>
                <w:bottom w:val="nil"/>
                <w:right w:val="nil"/>
                <w:between w:val="nil"/>
              </w:pBdr>
              <w:spacing w:after="0" w:line="240" w:lineRule="auto"/>
              <w:jc w:val="both"/>
              <w:rPr>
                <w:rFonts w:asciiTheme="majorHAnsi" w:eastAsia="Times New Roman" w:hAnsiTheme="majorHAnsi" w:cstheme="majorHAnsi"/>
                <w:color w:val="000000"/>
              </w:rPr>
            </w:pPr>
            <w:r w:rsidRPr="002D279B">
              <w:rPr>
                <w:rFonts w:asciiTheme="majorHAnsi" w:eastAsia="Times New Roman" w:hAnsiTheme="majorHAnsi" w:cstheme="majorHAnsi"/>
                <w:color w:val="000000"/>
              </w:rPr>
              <w:t xml:space="preserve">Délka implementačního procesu, </w:t>
            </w:r>
            <w:r w:rsidR="008F1A0E" w:rsidRPr="002D279B">
              <w:rPr>
                <w:rFonts w:asciiTheme="majorHAnsi" w:eastAsia="Times New Roman" w:hAnsiTheme="majorHAnsi" w:cstheme="majorHAnsi"/>
                <w:color w:val="000000"/>
              </w:rPr>
              <w:t>realizované veřejné zakázky, legislativa</w:t>
            </w:r>
          </w:p>
        </w:tc>
      </w:tr>
      <w:tr w:rsidR="003B66A2" w:rsidRPr="002D279B" w14:paraId="74C4101E" w14:textId="77777777" w:rsidTr="404444EF">
        <w:tc>
          <w:tcPr>
            <w:tcW w:w="2405" w:type="dxa"/>
          </w:tcPr>
          <w:p w14:paraId="6C9BE41B" w14:textId="77777777" w:rsidR="003B66A2" w:rsidRPr="002D279B" w:rsidRDefault="003B66A2" w:rsidP="008B2F3A">
            <w:pPr>
              <w:pBdr>
                <w:top w:val="nil"/>
                <w:left w:val="nil"/>
                <w:bottom w:val="nil"/>
                <w:right w:val="nil"/>
                <w:between w:val="nil"/>
              </w:pBdr>
              <w:spacing w:after="0" w:line="240" w:lineRule="auto"/>
              <w:rPr>
                <w:rFonts w:asciiTheme="majorHAnsi" w:eastAsia="Times New Roman" w:hAnsiTheme="majorHAnsi" w:cstheme="majorHAnsi"/>
                <w:color w:val="000000"/>
              </w:rPr>
            </w:pPr>
            <w:r w:rsidRPr="002D279B">
              <w:rPr>
                <w:rFonts w:asciiTheme="majorHAnsi" w:eastAsia="Times New Roman" w:hAnsiTheme="majorHAnsi" w:cstheme="majorHAnsi"/>
                <w:color w:val="000000"/>
              </w:rPr>
              <w:t>Cílové skupiny populace a ekonomické subjekty</w:t>
            </w:r>
          </w:p>
        </w:tc>
        <w:tc>
          <w:tcPr>
            <w:tcW w:w="7223" w:type="dxa"/>
          </w:tcPr>
          <w:p w14:paraId="338AE016" w14:textId="77777777" w:rsidR="004A446E" w:rsidRPr="002D279B" w:rsidRDefault="004A446E" w:rsidP="008B2F3A">
            <w:pPr>
              <w:pBdr>
                <w:top w:val="nil"/>
                <w:left w:val="nil"/>
                <w:bottom w:val="nil"/>
                <w:right w:val="nil"/>
                <w:between w:val="nil"/>
              </w:pBdr>
              <w:spacing w:after="0" w:line="240" w:lineRule="auto"/>
              <w:jc w:val="both"/>
              <w:rPr>
                <w:rFonts w:asciiTheme="majorHAnsi" w:eastAsia="Times New Roman" w:hAnsiTheme="majorHAnsi" w:cstheme="majorHAnsi"/>
                <w:color w:val="000000"/>
              </w:rPr>
            </w:pPr>
          </w:p>
          <w:p w14:paraId="71C384A1" w14:textId="480D362B" w:rsidR="004A446E" w:rsidRPr="002D279B" w:rsidRDefault="004A446E" w:rsidP="008B2F3A">
            <w:pPr>
              <w:pBdr>
                <w:top w:val="nil"/>
                <w:left w:val="nil"/>
                <w:bottom w:val="nil"/>
                <w:right w:val="nil"/>
                <w:between w:val="nil"/>
              </w:pBdr>
              <w:spacing w:after="0" w:line="240" w:lineRule="auto"/>
              <w:jc w:val="both"/>
              <w:rPr>
                <w:rFonts w:asciiTheme="majorHAnsi" w:eastAsia="Times New Roman" w:hAnsiTheme="majorHAnsi" w:cstheme="majorHAnsi"/>
                <w:color w:val="000000"/>
              </w:rPr>
            </w:pPr>
            <w:r w:rsidRPr="002D279B">
              <w:rPr>
                <w:rFonts w:asciiTheme="majorHAnsi" w:eastAsia="Times New Roman" w:hAnsiTheme="majorHAnsi" w:cstheme="majorHAnsi"/>
                <w:color w:val="000000"/>
              </w:rPr>
              <w:t>Provozovatelé distribuční soustavy (regulované subjekty)</w:t>
            </w:r>
          </w:p>
        </w:tc>
      </w:tr>
      <w:tr w:rsidR="003B66A2" w:rsidRPr="002D279B" w14:paraId="3B6F8257" w14:textId="77777777" w:rsidTr="404444EF">
        <w:tc>
          <w:tcPr>
            <w:tcW w:w="2405" w:type="dxa"/>
          </w:tcPr>
          <w:p w14:paraId="20AB4403" w14:textId="77777777" w:rsidR="003B66A2" w:rsidRPr="002D279B" w:rsidRDefault="003B66A2" w:rsidP="008B2F3A">
            <w:pPr>
              <w:pBdr>
                <w:top w:val="nil"/>
                <w:left w:val="nil"/>
                <w:bottom w:val="nil"/>
                <w:right w:val="nil"/>
                <w:between w:val="nil"/>
              </w:pBdr>
              <w:spacing w:after="0" w:line="240" w:lineRule="auto"/>
              <w:rPr>
                <w:rFonts w:asciiTheme="majorHAnsi" w:eastAsia="Times New Roman" w:hAnsiTheme="majorHAnsi" w:cstheme="majorHAnsi"/>
                <w:color w:val="000000"/>
              </w:rPr>
            </w:pPr>
            <w:r w:rsidRPr="002D279B">
              <w:rPr>
                <w:rFonts w:asciiTheme="majorHAnsi" w:eastAsia="Times New Roman" w:hAnsiTheme="majorHAnsi" w:cstheme="majorHAnsi"/>
                <w:color w:val="000000"/>
              </w:rPr>
              <w:t>Souhrnné náklady realizace financované z RePowerEU za celé období</w:t>
            </w:r>
          </w:p>
        </w:tc>
        <w:tc>
          <w:tcPr>
            <w:tcW w:w="7223" w:type="dxa"/>
          </w:tcPr>
          <w:p w14:paraId="655CFD55" w14:textId="58FD41C8" w:rsidR="003B66A2" w:rsidRPr="002D279B" w:rsidRDefault="008F1A0E" w:rsidP="008B2F3A">
            <w:pPr>
              <w:pBdr>
                <w:top w:val="nil"/>
                <w:left w:val="nil"/>
                <w:bottom w:val="nil"/>
                <w:right w:val="nil"/>
                <w:between w:val="nil"/>
              </w:pBdr>
              <w:spacing w:after="0" w:line="240" w:lineRule="auto"/>
              <w:jc w:val="both"/>
              <w:rPr>
                <w:rFonts w:asciiTheme="majorHAnsi" w:eastAsia="Times New Roman" w:hAnsiTheme="majorHAnsi" w:cstheme="majorHAnsi"/>
              </w:rPr>
            </w:pPr>
            <w:r w:rsidRPr="002D279B">
              <w:rPr>
                <w:rFonts w:asciiTheme="majorHAnsi" w:eastAsia="Times New Roman" w:hAnsiTheme="majorHAnsi" w:cstheme="majorHAnsi"/>
              </w:rPr>
              <w:t>6 695 000 000</w:t>
            </w:r>
            <w:r w:rsidR="003B66A2" w:rsidRPr="002D279B">
              <w:rPr>
                <w:rFonts w:asciiTheme="majorHAnsi" w:eastAsia="Times New Roman" w:hAnsiTheme="majorHAnsi" w:cstheme="majorHAnsi"/>
              </w:rPr>
              <w:t xml:space="preserve">,- </w:t>
            </w:r>
            <w:r w:rsidR="00BD0081" w:rsidRPr="002D279B">
              <w:rPr>
                <w:rFonts w:asciiTheme="majorHAnsi" w:eastAsia="Times New Roman" w:hAnsiTheme="majorHAnsi" w:cstheme="majorHAnsi"/>
              </w:rPr>
              <w:t>K</w:t>
            </w:r>
            <w:r w:rsidR="003B66A2" w:rsidRPr="002D279B">
              <w:rPr>
                <w:rFonts w:asciiTheme="majorHAnsi" w:eastAsia="Times New Roman" w:hAnsiTheme="majorHAnsi" w:cstheme="majorHAnsi"/>
              </w:rPr>
              <w:t>č</w:t>
            </w:r>
          </w:p>
        </w:tc>
      </w:tr>
      <w:tr w:rsidR="003B66A2" w:rsidRPr="002D279B" w14:paraId="7339714A" w14:textId="77777777" w:rsidTr="404444EF">
        <w:tc>
          <w:tcPr>
            <w:tcW w:w="2405" w:type="dxa"/>
          </w:tcPr>
          <w:p w14:paraId="3FE822FD" w14:textId="77777777" w:rsidR="003B66A2" w:rsidRPr="002D279B" w:rsidRDefault="003B66A2" w:rsidP="008B2F3A">
            <w:pPr>
              <w:pBdr>
                <w:top w:val="nil"/>
                <w:left w:val="nil"/>
                <w:bottom w:val="nil"/>
                <w:right w:val="nil"/>
                <w:between w:val="nil"/>
              </w:pBdr>
              <w:spacing w:after="0" w:line="240" w:lineRule="auto"/>
              <w:rPr>
                <w:rFonts w:asciiTheme="majorHAnsi" w:eastAsia="Times New Roman" w:hAnsiTheme="majorHAnsi" w:cstheme="majorHAnsi"/>
                <w:color w:val="000000"/>
              </w:rPr>
            </w:pPr>
            <w:r w:rsidRPr="002D279B">
              <w:rPr>
                <w:rFonts w:asciiTheme="majorHAnsi" w:eastAsia="Times New Roman" w:hAnsiTheme="majorHAnsi" w:cstheme="majorHAnsi"/>
                <w:color w:val="000000"/>
              </w:rPr>
              <w:t>Dodržování pravidel státní podpory</w:t>
            </w:r>
          </w:p>
        </w:tc>
        <w:tc>
          <w:tcPr>
            <w:tcW w:w="7223" w:type="dxa"/>
          </w:tcPr>
          <w:p w14:paraId="47932684" w14:textId="2CDA1F5C" w:rsidR="003B66A2" w:rsidRPr="002D279B" w:rsidRDefault="00415F7F" w:rsidP="008B2F3A">
            <w:pPr>
              <w:pBdr>
                <w:top w:val="nil"/>
                <w:left w:val="nil"/>
                <w:bottom w:val="nil"/>
                <w:right w:val="nil"/>
                <w:between w:val="nil"/>
              </w:pBdr>
              <w:spacing w:after="0" w:line="240" w:lineRule="auto"/>
              <w:jc w:val="both"/>
              <w:rPr>
                <w:rFonts w:asciiTheme="majorHAnsi" w:eastAsia="Times New Roman" w:hAnsiTheme="majorHAnsi" w:cstheme="majorHAnsi"/>
              </w:rPr>
            </w:pPr>
            <w:r w:rsidRPr="002D279B">
              <w:rPr>
                <w:rFonts w:asciiTheme="majorHAnsi" w:eastAsia="Times New Roman" w:hAnsiTheme="majorHAnsi" w:cstheme="majorHAnsi"/>
              </w:rPr>
              <w:t>P</w:t>
            </w:r>
            <w:r w:rsidR="004A446E" w:rsidRPr="002D279B">
              <w:rPr>
                <w:rFonts w:asciiTheme="majorHAnsi" w:eastAsia="Times New Roman" w:hAnsiTheme="majorHAnsi" w:cstheme="majorHAnsi"/>
              </w:rPr>
              <w:t xml:space="preserve">rovozovatelé regionální distribuční soustavy </w:t>
            </w:r>
            <w:r w:rsidR="008F1A0E" w:rsidRPr="002D279B">
              <w:rPr>
                <w:rFonts w:asciiTheme="majorHAnsi" w:eastAsia="Times New Roman" w:hAnsiTheme="majorHAnsi" w:cstheme="majorHAnsi"/>
              </w:rPr>
              <w:t xml:space="preserve">nepodléhají pravidlům veřejné podpory, bude režim financování </w:t>
            </w:r>
            <w:r w:rsidRPr="002D279B">
              <w:rPr>
                <w:rFonts w:asciiTheme="majorHAnsi" w:eastAsia="Times New Roman" w:hAnsiTheme="majorHAnsi" w:cstheme="majorHAnsi"/>
              </w:rPr>
              <w:t xml:space="preserve">v případě provozovatelů regionální distribuční soustavy </w:t>
            </w:r>
            <w:r w:rsidR="008F1A0E" w:rsidRPr="002D279B">
              <w:rPr>
                <w:rFonts w:asciiTheme="majorHAnsi" w:eastAsia="Times New Roman" w:hAnsiTheme="majorHAnsi" w:cstheme="majorHAnsi"/>
              </w:rPr>
              <w:t>zvolen v tomto režimu (bez VP)</w:t>
            </w:r>
            <w:r w:rsidRPr="002D279B">
              <w:rPr>
                <w:rFonts w:asciiTheme="majorHAnsi" w:eastAsia="Times New Roman" w:hAnsiTheme="majorHAnsi" w:cstheme="majorHAnsi"/>
              </w:rPr>
              <w:t>. V případě provozovatelů lokální distribuční soustavy bude využit čl. 48 GBER.</w:t>
            </w:r>
          </w:p>
        </w:tc>
      </w:tr>
      <w:tr w:rsidR="003B66A2" w:rsidRPr="002D279B" w14:paraId="5FF0066F" w14:textId="77777777" w:rsidTr="404444EF">
        <w:tc>
          <w:tcPr>
            <w:tcW w:w="2405" w:type="dxa"/>
          </w:tcPr>
          <w:p w14:paraId="7DBC0DD4" w14:textId="77777777" w:rsidR="003B66A2" w:rsidRPr="002D279B" w:rsidRDefault="003B66A2" w:rsidP="008B2F3A">
            <w:pPr>
              <w:pBdr>
                <w:top w:val="nil"/>
                <w:left w:val="nil"/>
                <w:bottom w:val="nil"/>
                <w:right w:val="nil"/>
                <w:between w:val="nil"/>
              </w:pBdr>
              <w:spacing w:after="0" w:line="240" w:lineRule="auto"/>
              <w:rPr>
                <w:rFonts w:asciiTheme="majorHAnsi" w:eastAsia="Times New Roman" w:hAnsiTheme="majorHAnsi" w:cstheme="majorHAnsi"/>
                <w:color w:val="000000"/>
              </w:rPr>
            </w:pPr>
            <w:r w:rsidRPr="002D279B">
              <w:rPr>
                <w:rFonts w:asciiTheme="majorHAnsi" w:eastAsia="Times New Roman" w:hAnsiTheme="majorHAnsi" w:cstheme="majorHAnsi"/>
                <w:color w:val="000000"/>
              </w:rPr>
              <w:t>Doba implementace</w:t>
            </w:r>
          </w:p>
        </w:tc>
        <w:tc>
          <w:tcPr>
            <w:tcW w:w="7223" w:type="dxa"/>
          </w:tcPr>
          <w:p w14:paraId="326B783A" w14:textId="0F0B13F2" w:rsidR="003B66A2" w:rsidRPr="002D279B" w:rsidRDefault="656F4162" w:rsidP="404444EF">
            <w:pPr>
              <w:pStyle w:val="K-Nadpis2"/>
              <w:numPr>
                <w:ilvl w:val="0"/>
                <w:numId w:val="30"/>
              </w:numPr>
              <w:pBdr>
                <w:top w:val="nil"/>
                <w:left w:val="nil"/>
                <w:bottom w:val="nil"/>
                <w:right w:val="nil"/>
                <w:between w:val="nil"/>
              </w:pBdr>
              <w:spacing w:after="0"/>
              <w:jc w:val="both"/>
              <w:rPr>
                <w:rFonts w:eastAsia="Times New Roman"/>
                <w:sz w:val="22"/>
                <w:szCs w:val="22"/>
              </w:rPr>
            </w:pPr>
            <w:r w:rsidRPr="404444EF">
              <w:rPr>
                <w:rFonts w:eastAsia="Times New Roman"/>
                <w:sz w:val="22"/>
                <w:szCs w:val="22"/>
              </w:rPr>
              <w:t>února</w:t>
            </w:r>
            <w:r w:rsidR="0A4E3C6C" w:rsidRPr="404444EF">
              <w:rPr>
                <w:rFonts w:eastAsia="Times New Roman"/>
                <w:sz w:val="22"/>
                <w:szCs w:val="22"/>
              </w:rPr>
              <w:t xml:space="preserve">  2022 – 31. </w:t>
            </w:r>
            <w:r w:rsidR="00FA04CF" w:rsidRPr="404444EF">
              <w:rPr>
                <w:rFonts w:eastAsia="Times New Roman"/>
                <w:sz w:val="22"/>
                <w:szCs w:val="22"/>
              </w:rPr>
              <w:t>března</w:t>
            </w:r>
            <w:r w:rsidR="0A4E3C6C" w:rsidRPr="404444EF">
              <w:rPr>
                <w:rFonts w:eastAsia="Times New Roman"/>
                <w:sz w:val="22"/>
                <w:szCs w:val="22"/>
              </w:rPr>
              <w:t xml:space="preserve"> 202</w:t>
            </w:r>
            <w:r w:rsidR="799B8331" w:rsidRPr="404444EF">
              <w:rPr>
                <w:rFonts w:eastAsia="Times New Roman"/>
                <w:sz w:val="22"/>
                <w:szCs w:val="22"/>
              </w:rPr>
              <w:t>6</w:t>
            </w:r>
            <w:r w:rsidR="2E266427" w:rsidRPr="404444EF">
              <w:rPr>
                <w:rFonts w:eastAsia="Times New Roman"/>
                <w:sz w:val="22"/>
                <w:szCs w:val="22"/>
              </w:rPr>
              <w:t xml:space="preserve"> (Q1/2026)</w:t>
            </w:r>
          </w:p>
        </w:tc>
      </w:tr>
    </w:tbl>
    <w:p w14:paraId="1633C777" w14:textId="7D35830D" w:rsidR="003B66A2" w:rsidRPr="002D279B" w:rsidRDefault="003B66A2" w:rsidP="003C2D9B">
      <w:pPr>
        <w:pStyle w:val="K-TextInfo"/>
        <w:rPr>
          <w:rFonts w:asciiTheme="minorHAnsi" w:eastAsiaTheme="minorEastAsia" w:hAnsiTheme="minorHAnsi" w:cstheme="minorHAnsi"/>
          <w:i w:val="0"/>
          <w:iCs w:val="0"/>
          <w:color w:val="auto"/>
          <w:sz w:val="22"/>
          <w:szCs w:val="22"/>
        </w:rPr>
      </w:pPr>
    </w:p>
    <w:p w14:paraId="22C8128D" w14:textId="77777777" w:rsidR="00723C11" w:rsidRPr="002D279B" w:rsidRDefault="00723C11" w:rsidP="00723C11">
      <w:pPr>
        <w:pStyle w:val="K-TextInfo"/>
        <w:rPr>
          <w:rFonts w:asciiTheme="minorHAnsi" w:eastAsiaTheme="minorEastAsia" w:hAnsiTheme="minorHAnsi" w:cstheme="minorHAnsi"/>
          <w:i w:val="0"/>
          <w:iCs w:val="0"/>
          <w:color w:val="auto"/>
          <w:sz w:val="22"/>
          <w:szCs w:val="22"/>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723C11" w:rsidRPr="002D279B" w14:paraId="4C6D4204" w14:textId="77777777" w:rsidTr="404444EF">
        <w:tc>
          <w:tcPr>
            <w:tcW w:w="2405" w:type="dxa"/>
          </w:tcPr>
          <w:p w14:paraId="707C6B83" w14:textId="044CA04B" w:rsidR="00723C11" w:rsidRPr="002D279B" w:rsidRDefault="00723C11" w:rsidP="00DB421D">
            <w:pPr>
              <w:pBdr>
                <w:top w:val="nil"/>
                <w:left w:val="nil"/>
                <w:bottom w:val="nil"/>
                <w:right w:val="nil"/>
                <w:between w:val="nil"/>
              </w:pBdr>
              <w:spacing w:after="0" w:line="240" w:lineRule="auto"/>
              <w:rPr>
                <w:rFonts w:asciiTheme="majorHAnsi" w:eastAsia="Times New Roman" w:hAnsiTheme="majorHAnsi" w:cstheme="majorHAnsi"/>
                <w:color w:val="000000"/>
              </w:rPr>
            </w:pPr>
            <w:r w:rsidRPr="002D279B">
              <w:rPr>
                <w:rFonts w:asciiTheme="majorHAnsi" w:eastAsia="Times New Roman" w:hAnsiTheme="majorHAnsi" w:cstheme="majorHAnsi"/>
                <w:color w:val="000000"/>
              </w:rPr>
              <w:t xml:space="preserve">Investice </w:t>
            </w:r>
          </w:p>
        </w:tc>
        <w:tc>
          <w:tcPr>
            <w:tcW w:w="7223" w:type="dxa"/>
          </w:tcPr>
          <w:p w14:paraId="70356B96" w14:textId="0AC05248" w:rsidR="00723C11" w:rsidRPr="002D279B" w:rsidRDefault="00723C11" w:rsidP="00DB421D">
            <w:pPr>
              <w:pStyle w:val="K-Nadpis3"/>
              <w:spacing w:after="0"/>
              <w:rPr>
                <w:rFonts w:asciiTheme="majorHAnsi" w:eastAsia="Times New Roman" w:hAnsiTheme="majorHAnsi" w:cstheme="majorHAnsi"/>
                <w:sz w:val="22"/>
                <w:szCs w:val="22"/>
              </w:rPr>
            </w:pPr>
            <w:r w:rsidRPr="002D279B">
              <w:rPr>
                <w:rFonts w:asciiTheme="majorHAnsi" w:eastAsia="Times New Roman" w:hAnsiTheme="majorHAnsi" w:cstheme="majorHAnsi"/>
                <w:sz w:val="22"/>
                <w:szCs w:val="22"/>
              </w:rPr>
              <w:t>7.1.4 Výstavba nových fotovoltaických zdrojů</w:t>
            </w:r>
          </w:p>
        </w:tc>
      </w:tr>
      <w:tr w:rsidR="00723C11" w:rsidRPr="002D279B" w14:paraId="642C75E4" w14:textId="77777777" w:rsidTr="404444EF">
        <w:tc>
          <w:tcPr>
            <w:tcW w:w="2405" w:type="dxa"/>
          </w:tcPr>
          <w:p w14:paraId="168A7C48" w14:textId="77777777" w:rsidR="00723C11" w:rsidRPr="002D279B" w:rsidRDefault="00723C11" w:rsidP="00DB421D">
            <w:pPr>
              <w:pBdr>
                <w:top w:val="nil"/>
                <w:left w:val="nil"/>
                <w:bottom w:val="nil"/>
                <w:right w:val="nil"/>
                <w:between w:val="nil"/>
              </w:pBdr>
              <w:spacing w:after="0" w:line="240" w:lineRule="auto"/>
              <w:rPr>
                <w:rFonts w:asciiTheme="majorHAnsi" w:eastAsia="Times New Roman" w:hAnsiTheme="majorHAnsi" w:cstheme="majorHAnsi"/>
                <w:color w:val="000000"/>
              </w:rPr>
            </w:pPr>
            <w:r w:rsidRPr="002D279B">
              <w:rPr>
                <w:rFonts w:asciiTheme="majorHAnsi" w:eastAsia="Times New Roman" w:hAnsiTheme="majorHAnsi" w:cstheme="majorHAnsi"/>
                <w:color w:val="000000"/>
              </w:rPr>
              <w:t>Výzva</w:t>
            </w:r>
          </w:p>
        </w:tc>
        <w:tc>
          <w:tcPr>
            <w:tcW w:w="7223" w:type="dxa"/>
          </w:tcPr>
          <w:p w14:paraId="59CE8E0D" w14:textId="77777777" w:rsidR="00723C11" w:rsidRPr="002D279B" w:rsidRDefault="00723C11" w:rsidP="00DB421D">
            <w:pPr>
              <w:pBdr>
                <w:top w:val="nil"/>
                <w:left w:val="nil"/>
                <w:bottom w:val="nil"/>
                <w:right w:val="nil"/>
                <w:between w:val="nil"/>
              </w:pBdr>
              <w:spacing w:after="0" w:line="240" w:lineRule="auto"/>
              <w:jc w:val="both"/>
              <w:rPr>
                <w:rFonts w:asciiTheme="majorHAnsi" w:eastAsia="Times New Roman" w:hAnsiTheme="majorHAnsi" w:cstheme="majorHAnsi"/>
                <w:color w:val="000000"/>
              </w:rPr>
            </w:pPr>
            <w:r w:rsidRPr="002D279B">
              <w:rPr>
                <w:rFonts w:asciiTheme="majorHAnsi" w:eastAsia="Times New Roman" w:hAnsiTheme="majorHAnsi" w:cstheme="majorHAnsi"/>
                <w:color w:val="000000"/>
              </w:rPr>
              <w:t>Energetika ČR je stále založena ve velké míře na spalování fosilních paliv, s čímž souvisí vysoký podíl na celkových emisích skleníkových plynů. V roce 2018 bylo spalování paliv v sektoru energetiky spojeno s přibližně 51 mil. tun emisní skleníkových plynů v porovnání s celkovými 133 mil. tun. (zdroj NIR). Hlavní výzvou je tedy dílčí transformace energetiky ve smyslu přechodu na bezemisní zdroje, což je důležitým nástrojem pro snížení emisní skleníkových plynů, ale také dalších polutantů. Zajištění dekarbonizace elektřiny a tepla je také důležitou podmínkou pro dekarbonizaci dalších odvětví.</w:t>
            </w:r>
          </w:p>
        </w:tc>
      </w:tr>
      <w:tr w:rsidR="00723C11" w:rsidRPr="002D279B" w14:paraId="47A47CBA" w14:textId="77777777" w:rsidTr="404444EF">
        <w:tc>
          <w:tcPr>
            <w:tcW w:w="2405" w:type="dxa"/>
          </w:tcPr>
          <w:p w14:paraId="18B39E9F" w14:textId="77777777" w:rsidR="00723C11" w:rsidRPr="002D279B" w:rsidRDefault="00723C11" w:rsidP="00DB421D">
            <w:pPr>
              <w:pBdr>
                <w:top w:val="nil"/>
                <w:left w:val="nil"/>
                <w:bottom w:val="nil"/>
                <w:right w:val="nil"/>
                <w:between w:val="nil"/>
              </w:pBdr>
              <w:spacing w:after="0" w:line="240" w:lineRule="auto"/>
              <w:rPr>
                <w:rFonts w:asciiTheme="majorHAnsi" w:eastAsia="Times New Roman" w:hAnsiTheme="majorHAnsi" w:cstheme="majorHAnsi"/>
                <w:color w:val="000000"/>
              </w:rPr>
            </w:pPr>
            <w:r w:rsidRPr="002D279B">
              <w:rPr>
                <w:rFonts w:asciiTheme="majorHAnsi" w:eastAsia="Times New Roman" w:hAnsiTheme="majorHAnsi" w:cstheme="majorHAnsi"/>
                <w:color w:val="000000"/>
              </w:rPr>
              <w:t>Cíl</w:t>
            </w:r>
          </w:p>
        </w:tc>
        <w:tc>
          <w:tcPr>
            <w:tcW w:w="7223" w:type="dxa"/>
          </w:tcPr>
          <w:p w14:paraId="14525CAB" w14:textId="380B8248" w:rsidR="00723C11" w:rsidRPr="002D279B" w:rsidRDefault="00723C11" w:rsidP="3F514EE9">
            <w:pPr>
              <w:pBdr>
                <w:top w:val="nil"/>
                <w:left w:val="nil"/>
                <w:bottom w:val="nil"/>
                <w:right w:val="nil"/>
                <w:between w:val="nil"/>
              </w:pBdr>
              <w:spacing w:after="0" w:line="240" w:lineRule="auto"/>
              <w:jc w:val="both"/>
              <w:rPr>
                <w:rFonts w:asciiTheme="majorHAnsi" w:eastAsia="Times New Roman" w:hAnsiTheme="majorHAnsi" w:cstheme="majorBidi"/>
              </w:rPr>
            </w:pPr>
            <w:r w:rsidRPr="3F514EE9">
              <w:rPr>
                <w:rFonts w:asciiTheme="majorHAnsi" w:eastAsia="Times New Roman" w:hAnsiTheme="majorHAnsi" w:cstheme="majorBidi"/>
              </w:rPr>
              <w:t>Transformace energetického sektoru. To znamená záměna zdrojů na fosilní paliva na nízko-emisní, respektive bezemisní zdroje. Tato komponenta je plně v souladu s energeticko-klimatickou politikou EU, která zakotvuje cíl snížení emisí skleníkových plynů o 55 % do roku 2030 v porovnání s rokem 2005, zvýšení podílu OZE na 42,5 % do roku 2030 a</w:t>
            </w:r>
            <w:r>
              <w:t xml:space="preserve"> </w:t>
            </w:r>
            <w:r w:rsidRPr="3F514EE9">
              <w:rPr>
                <w:rFonts w:asciiTheme="majorHAnsi" w:eastAsia="Times New Roman" w:hAnsiTheme="majorHAnsi" w:cstheme="majorBidi"/>
              </w:rPr>
              <w:t>snížení konečné spotřeby energie o 11,7 % do roku 2030 v porovnání predikcí spotřeby na základě tzv. referenčního scénáře z roku 2020. Hlavní ambicí komponenty v kvantitativním vyjádření je zvýšit podíl obnovitelných zdrojů na konečné spotřebě do roku 2030 na 22 % (16,9 % v sektoru elektroenergetiky, 14,0 % v sektoru dopravy a 30,7 % v sektoru vytápění a chlazení) v souladu s Vnitrostátním plánem ČR v oblasti energetiky a klimatu.</w:t>
            </w:r>
          </w:p>
          <w:p w14:paraId="55B16BF4" w14:textId="72496943" w:rsidR="00723C11" w:rsidRPr="002D279B" w:rsidRDefault="502BE4FA" w:rsidP="3F514EE9">
            <w:pPr>
              <w:pBdr>
                <w:top w:val="nil"/>
                <w:left w:val="nil"/>
                <w:bottom w:val="nil"/>
                <w:right w:val="nil"/>
                <w:between w:val="nil"/>
              </w:pBdr>
              <w:spacing w:after="0" w:line="240" w:lineRule="auto"/>
              <w:jc w:val="both"/>
              <w:rPr>
                <w:rFonts w:asciiTheme="majorHAnsi" w:eastAsia="Times New Roman" w:hAnsiTheme="majorHAnsi" w:cstheme="majorBidi"/>
              </w:rPr>
            </w:pPr>
            <w:r w:rsidRPr="3F514EE9">
              <w:rPr>
                <w:rFonts w:asciiTheme="majorHAnsi" w:eastAsia="Times New Roman" w:hAnsiTheme="majorHAnsi" w:cstheme="majorBidi"/>
              </w:rPr>
              <w:t xml:space="preserve">Cílem tohoto opatření je rozšířit investici 1: Zavedení fotovoltaiky v rámci složky 2.3 (Přechod na čistší zdroje energie). </w:t>
            </w:r>
          </w:p>
          <w:p w14:paraId="07C1EC31" w14:textId="066012C7" w:rsidR="00723C11" w:rsidRPr="002D279B" w:rsidRDefault="7EE39402" w:rsidP="3F514EE9">
            <w:pPr>
              <w:spacing w:after="0" w:line="240" w:lineRule="auto"/>
              <w:jc w:val="both"/>
            </w:pPr>
            <w:r w:rsidRPr="404444EF">
              <w:rPr>
                <w:rFonts w:asciiTheme="majorHAnsi" w:eastAsia="Times New Roman" w:hAnsiTheme="majorHAnsi" w:cstheme="majorBidi"/>
              </w:rPr>
              <w:t xml:space="preserve">Rozšířená část opatření zvýší instalovaný výkon zdrojů fotovoltaických elektráren na střechách budov podniků. </w:t>
            </w:r>
          </w:p>
          <w:p w14:paraId="28FA029A" w14:textId="743720D2" w:rsidR="404444EF" w:rsidRDefault="404444EF" w:rsidP="404444EF">
            <w:pPr>
              <w:spacing w:after="0" w:line="240" w:lineRule="auto"/>
              <w:jc w:val="both"/>
              <w:rPr>
                <w:rFonts w:asciiTheme="majorHAnsi" w:eastAsia="Times New Roman" w:hAnsiTheme="majorHAnsi" w:cstheme="majorBidi"/>
              </w:rPr>
            </w:pPr>
          </w:p>
          <w:p w14:paraId="0EE44AC2" w14:textId="6491D868" w:rsidR="68173DE5" w:rsidRDefault="68173DE5" w:rsidP="404444EF">
            <w:pPr>
              <w:spacing w:after="0" w:line="240" w:lineRule="auto"/>
              <w:jc w:val="both"/>
              <w:rPr>
                <w:rFonts w:asciiTheme="majorHAnsi" w:eastAsia="Times New Roman" w:hAnsiTheme="majorHAnsi" w:cstheme="majorBidi"/>
              </w:rPr>
            </w:pPr>
            <w:r w:rsidRPr="404444EF">
              <w:rPr>
                <w:rFonts w:asciiTheme="majorHAnsi" w:eastAsia="Times New Roman" w:hAnsiTheme="majorHAnsi" w:cstheme="majorBidi"/>
              </w:rPr>
              <w:t xml:space="preserve">Cíl 300: </w:t>
            </w:r>
            <w:r w:rsidR="6234D9A3" w:rsidRPr="404444EF">
              <w:rPr>
                <w:rFonts w:asciiTheme="majorHAnsi" w:eastAsia="Times New Roman" w:hAnsiTheme="majorHAnsi" w:cstheme="majorBidi"/>
              </w:rPr>
              <w:t>224,7 MW instalované kapacity fotovoltaických zdrojů</w:t>
            </w:r>
          </w:p>
          <w:p w14:paraId="3DD8F7BA" w14:textId="5906B955" w:rsidR="00723C11" w:rsidRPr="002D279B" w:rsidRDefault="00723C11" w:rsidP="404444EF">
            <w:pPr>
              <w:spacing w:after="0" w:line="240" w:lineRule="auto"/>
              <w:jc w:val="both"/>
              <w:rPr>
                <w:rFonts w:asciiTheme="majorHAnsi" w:eastAsia="Times New Roman" w:hAnsiTheme="majorHAnsi" w:cstheme="majorBidi"/>
              </w:rPr>
            </w:pPr>
          </w:p>
        </w:tc>
      </w:tr>
      <w:tr w:rsidR="00723C11" w:rsidRPr="002D279B" w14:paraId="03F75029" w14:textId="77777777" w:rsidTr="404444EF">
        <w:tc>
          <w:tcPr>
            <w:tcW w:w="2405" w:type="dxa"/>
          </w:tcPr>
          <w:p w14:paraId="0C51C377" w14:textId="77777777" w:rsidR="00723C11" w:rsidRPr="002D279B" w:rsidRDefault="00723C11" w:rsidP="00DB421D">
            <w:pPr>
              <w:pBdr>
                <w:top w:val="nil"/>
                <w:left w:val="nil"/>
                <w:bottom w:val="nil"/>
                <w:right w:val="nil"/>
                <w:between w:val="nil"/>
              </w:pBdr>
              <w:spacing w:after="0" w:line="240" w:lineRule="auto"/>
              <w:rPr>
                <w:rFonts w:asciiTheme="majorHAnsi" w:eastAsia="Times New Roman" w:hAnsiTheme="majorHAnsi" w:cstheme="majorHAnsi"/>
                <w:color w:val="000000"/>
              </w:rPr>
            </w:pPr>
            <w:r w:rsidRPr="002D279B">
              <w:rPr>
                <w:rFonts w:asciiTheme="majorHAnsi" w:eastAsia="Times New Roman" w:hAnsiTheme="majorHAnsi" w:cstheme="majorHAnsi"/>
                <w:color w:val="000000"/>
              </w:rPr>
              <w:t>Implementace (popis)</w:t>
            </w:r>
          </w:p>
        </w:tc>
        <w:tc>
          <w:tcPr>
            <w:tcW w:w="7223" w:type="dxa"/>
          </w:tcPr>
          <w:p w14:paraId="37C4622E" w14:textId="77777777" w:rsidR="00723C11" w:rsidRPr="002D279B" w:rsidRDefault="00723C11" w:rsidP="00DB421D">
            <w:pPr>
              <w:pBdr>
                <w:top w:val="nil"/>
                <w:left w:val="nil"/>
                <w:bottom w:val="nil"/>
                <w:right w:val="nil"/>
                <w:between w:val="nil"/>
              </w:pBdr>
              <w:spacing w:after="0" w:line="240" w:lineRule="auto"/>
              <w:jc w:val="both"/>
              <w:rPr>
                <w:rFonts w:asciiTheme="majorHAnsi" w:eastAsia="Times New Roman" w:hAnsiTheme="majorHAnsi" w:cstheme="majorHAnsi"/>
              </w:rPr>
            </w:pPr>
            <w:r w:rsidRPr="002D279B">
              <w:rPr>
                <w:rFonts w:asciiTheme="majorHAnsi" w:eastAsia="Times New Roman" w:hAnsiTheme="majorHAnsi" w:cstheme="majorHAnsi"/>
              </w:rPr>
              <w:t>Energetika ČR je stále založena ve velké míře na spalování fosilních paliv, s čímž souvisí vysoký podíl na celkových emisích skleníkových plynů. V roce 2018 bylo spalování paliv v sektoru energetiky spojeno s přibližně 51 mil. tun emisní skleníkových plynů v porovnání s celkovými 133 mil. tun. (zdroj NIR). Hlavní výzvou je tedy dílčí transformace energetiky ve smyslu přechodu na bezemisní zdroje je důležitým nástrojem pro snížení emisní skleníkových plynů, ale také dalších polutantů. Zajištění dekarbonizace elektřiny a tepla je také důležitou podmínkou pro dekarbonizaci dalších odvětví. Hlavní cíle a související politiky a opatření v oblasti rozvoje OZE do roku 2030 jsou uvedeny ve Vnitrostátním plánu ČR v oblasti energetiky a klimatu. Za hlavní výzvu je tedy možné označit zajištění dostatečného rozvoje obnovitelných zdrojů energie, tak aby byla alespoň dílčím způsobem vykompenzován výpadek stávajících konvenčních zdrojů a zároveň splněny závazky v oblasti snižování emisní skleníkových látek.</w:t>
            </w:r>
          </w:p>
        </w:tc>
      </w:tr>
      <w:tr w:rsidR="00723C11" w:rsidRPr="002D279B" w14:paraId="4E0407A5" w14:textId="77777777" w:rsidTr="404444EF">
        <w:trPr>
          <w:trHeight w:val="70"/>
        </w:trPr>
        <w:tc>
          <w:tcPr>
            <w:tcW w:w="2405" w:type="dxa"/>
          </w:tcPr>
          <w:p w14:paraId="41CAF961" w14:textId="77777777" w:rsidR="00723C11" w:rsidRPr="002D279B" w:rsidRDefault="00723C11" w:rsidP="00DB421D">
            <w:pPr>
              <w:pBdr>
                <w:top w:val="nil"/>
                <w:left w:val="nil"/>
                <w:bottom w:val="nil"/>
                <w:right w:val="nil"/>
                <w:between w:val="nil"/>
              </w:pBdr>
              <w:spacing w:after="0" w:line="240" w:lineRule="auto"/>
              <w:rPr>
                <w:rFonts w:asciiTheme="majorHAnsi" w:eastAsia="Times New Roman" w:hAnsiTheme="majorHAnsi" w:cstheme="majorHAnsi"/>
                <w:color w:val="000000"/>
              </w:rPr>
            </w:pPr>
            <w:r w:rsidRPr="002D279B">
              <w:rPr>
                <w:rFonts w:asciiTheme="majorHAnsi" w:eastAsia="Times New Roman" w:hAnsiTheme="majorHAnsi" w:cstheme="majorHAnsi"/>
                <w:color w:val="000000"/>
              </w:rPr>
              <w:t>Spolupráce a zapojení zúčastněných stran</w:t>
            </w:r>
          </w:p>
        </w:tc>
        <w:tc>
          <w:tcPr>
            <w:tcW w:w="7223" w:type="dxa"/>
          </w:tcPr>
          <w:p w14:paraId="22CDD8D4" w14:textId="77777777" w:rsidR="00723C11" w:rsidRPr="002D279B" w:rsidRDefault="00723C11" w:rsidP="00DB421D">
            <w:pPr>
              <w:pBdr>
                <w:top w:val="nil"/>
                <w:left w:val="nil"/>
                <w:bottom w:val="nil"/>
                <w:right w:val="nil"/>
                <w:between w:val="nil"/>
              </w:pBdr>
              <w:spacing w:after="0" w:line="240" w:lineRule="auto"/>
              <w:jc w:val="both"/>
              <w:rPr>
                <w:rFonts w:asciiTheme="majorHAnsi" w:eastAsia="Times New Roman" w:hAnsiTheme="majorHAnsi" w:cstheme="majorHAnsi"/>
              </w:rPr>
            </w:pPr>
            <w:r w:rsidRPr="002D279B">
              <w:rPr>
                <w:rFonts w:asciiTheme="majorHAnsi" w:eastAsia="Times New Roman" w:hAnsiTheme="majorHAnsi" w:cstheme="majorHAnsi"/>
              </w:rPr>
              <w:t>Komora obnovitelných zdrojů, odborné asociace a partneři, podnikatelský sektor</w:t>
            </w:r>
          </w:p>
        </w:tc>
      </w:tr>
      <w:tr w:rsidR="00723C11" w:rsidRPr="002D279B" w14:paraId="0B1A2CB8" w14:textId="77777777" w:rsidTr="404444EF">
        <w:tc>
          <w:tcPr>
            <w:tcW w:w="2405" w:type="dxa"/>
          </w:tcPr>
          <w:p w14:paraId="0BA61B7D" w14:textId="77777777" w:rsidR="00723C11" w:rsidRPr="002D279B" w:rsidRDefault="00723C11" w:rsidP="00DB421D">
            <w:pPr>
              <w:pBdr>
                <w:top w:val="nil"/>
                <w:left w:val="nil"/>
                <w:bottom w:val="nil"/>
                <w:right w:val="nil"/>
                <w:between w:val="nil"/>
              </w:pBdr>
              <w:spacing w:after="0" w:line="240" w:lineRule="auto"/>
              <w:rPr>
                <w:rFonts w:asciiTheme="majorHAnsi" w:eastAsia="Times New Roman" w:hAnsiTheme="majorHAnsi" w:cstheme="majorHAnsi"/>
                <w:color w:val="000000"/>
              </w:rPr>
            </w:pPr>
            <w:r w:rsidRPr="002D279B">
              <w:rPr>
                <w:rFonts w:asciiTheme="majorHAnsi" w:eastAsia="Times New Roman" w:hAnsiTheme="majorHAnsi" w:cstheme="majorHAnsi"/>
                <w:color w:val="000000"/>
              </w:rPr>
              <w:t>Překážky a rizika</w:t>
            </w:r>
          </w:p>
        </w:tc>
        <w:tc>
          <w:tcPr>
            <w:tcW w:w="7223" w:type="dxa"/>
          </w:tcPr>
          <w:p w14:paraId="7E793604" w14:textId="77777777" w:rsidR="00723C11" w:rsidRPr="002D279B" w:rsidRDefault="00723C11" w:rsidP="00DB421D">
            <w:pPr>
              <w:pBdr>
                <w:top w:val="nil"/>
                <w:left w:val="nil"/>
                <w:bottom w:val="nil"/>
                <w:right w:val="nil"/>
                <w:between w:val="nil"/>
              </w:pBdr>
              <w:spacing w:after="0" w:line="240" w:lineRule="auto"/>
              <w:jc w:val="both"/>
              <w:rPr>
                <w:rFonts w:asciiTheme="majorHAnsi" w:eastAsia="Times New Roman" w:hAnsiTheme="majorHAnsi" w:cstheme="majorHAnsi"/>
                <w:color w:val="000000"/>
              </w:rPr>
            </w:pPr>
            <w:r w:rsidRPr="002D279B">
              <w:rPr>
                <w:rFonts w:asciiTheme="majorHAnsi" w:eastAsia="Times New Roman" w:hAnsiTheme="majorHAnsi" w:cstheme="majorHAnsi"/>
                <w:color w:val="000000"/>
              </w:rPr>
              <w:t>Délka implementačního procesu, připojitelnost do přenosové a distribuční sítě</w:t>
            </w:r>
          </w:p>
        </w:tc>
      </w:tr>
      <w:tr w:rsidR="00723C11" w:rsidRPr="002D279B" w14:paraId="55643E2B" w14:textId="77777777" w:rsidTr="404444EF">
        <w:tc>
          <w:tcPr>
            <w:tcW w:w="2405" w:type="dxa"/>
          </w:tcPr>
          <w:p w14:paraId="06324CAA" w14:textId="77777777" w:rsidR="00723C11" w:rsidRPr="002D279B" w:rsidRDefault="00723C11" w:rsidP="00DB421D">
            <w:pPr>
              <w:pBdr>
                <w:top w:val="nil"/>
                <w:left w:val="nil"/>
                <w:bottom w:val="nil"/>
                <w:right w:val="nil"/>
                <w:between w:val="nil"/>
              </w:pBdr>
              <w:spacing w:after="0" w:line="240" w:lineRule="auto"/>
              <w:rPr>
                <w:rFonts w:asciiTheme="majorHAnsi" w:eastAsia="Times New Roman" w:hAnsiTheme="majorHAnsi" w:cstheme="majorHAnsi"/>
                <w:color w:val="000000"/>
              </w:rPr>
            </w:pPr>
            <w:r w:rsidRPr="002D279B">
              <w:rPr>
                <w:rFonts w:asciiTheme="majorHAnsi" w:eastAsia="Times New Roman" w:hAnsiTheme="majorHAnsi" w:cstheme="majorHAnsi"/>
                <w:color w:val="000000"/>
              </w:rPr>
              <w:t>Cílové skupiny populace a ekonomické subjekty</w:t>
            </w:r>
          </w:p>
        </w:tc>
        <w:tc>
          <w:tcPr>
            <w:tcW w:w="7223" w:type="dxa"/>
          </w:tcPr>
          <w:p w14:paraId="52B3C39D" w14:textId="77777777" w:rsidR="00723C11" w:rsidRPr="002D279B" w:rsidRDefault="00723C11" w:rsidP="00DB421D">
            <w:pPr>
              <w:pBdr>
                <w:top w:val="nil"/>
                <w:left w:val="nil"/>
                <w:bottom w:val="nil"/>
                <w:right w:val="nil"/>
                <w:between w:val="nil"/>
              </w:pBdr>
              <w:spacing w:after="0" w:line="240" w:lineRule="auto"/>
              <w:jc w:val="both"/>
              <w:rPr>
                <w:rFonts w:asciiTheme="majorHAnsi" w:eastAsia="Times New Roman" w:hAnsiTheme="majorHAnsi" w:cstheme="majorHAnsi"/>
                <w:color w:val="000000"/>
              </w:rPr>
            </w:pPr>
            <w:r w:rsidRPr="002D279B">
              <w:rPr>
                <w:rFonts w:asciiTheme="majorHAnsi" w:eastAsia="Times New Roman" w:hAnsiTheme="majorHAnsi" w:cstheme="majorHAnsi"/>
                <w:color w:val="000000"/>
              </w:rPr>
              <w:t>Podnikatelské subjekty (obchodní společnosti) vyjma 100 % vlastněných veřejným subjektem</w:t>
            </w:r>
          </w:p>
        </w:tc>
      </w:tr>
      <w:tr w:rsidR="00723C11" w:rsidRPr="002D279B" w14:paraId="6F73A402" w14:textId="77777777" w:rsidTr="404444EF">
        <w:tc>
          <w:tcPr>
            <w:tcW w:w="2405" w:type="dxa"/>
          </w:tcPr>
          <w:p w14:paraId="01B1D330" w14:textId="77777777" w:rsidR="00723C11" w:rsidRPr="002D279B" w:rsidRDefault="00723C11" w:rsidP="00DB421D">
            <w:pPr>
              <w:pBdr>
                <w:top w:val="nil"/>
                <w:left w:val="nil"/>
                <w:bottom w:val="nil"/>
                <w:right w:val="nil"/>
                <w:between w:val="nil"/>
              </w:pBdr>
              <w:spacing w:after="0" w:line="240" w:lineRule="auto"/>
              <w:rPr>
                <w:rFonts w:asciiTheme="majorHAnsi" w:eastAsia="Times New Roman" w:hAnsiTheme="majorHAnsi" w:cstheme="majorHAnsi"/>
                <w:color w:val="000000"/>
              </w:rPr>
            </w:pPr>
            <w:r w:rsidRPr="002D279B">
              <w:rPr>
                <w:rFonts w:asciiTheme="majorHAnsi" w:eastAsia="Times New Roman" w:hAnsiTheme="majorHAnsi" w:cstheme="majorHAnsi"/>
                <w:color w:val="000000"/>
              </w:rPr>
              <w:t xml:space="preserve">Souhrnné náklady realizace financované </w:t>
            </w:r>
            <w:r w:rsidRPr="002D279B">
              <w:rPr>
                <w:rFonts w:asciiTheme="majorHAnsi" w:eastAsia="Times New Roman" w:hAnsiTheme="majorHAnsi" w:cstheme="majorHAnsi"/>
                <w:color w:val="000000"/>
              </w:rPr>
              <w:lastRenderedPageBreak/>
              <w:t>z RePowerEU za celé období</w:t>
            </w:r>
          </w:p>
        </w:tc>
        <w:tc>
          <w:tcPr>
            <w:tcW w:w="7223" w:type="dxa"/>
          </w:tcPr>
          <w:p w14:paraId="1DFF8A91" w14:textId="258063E2" w:rsidR="00723C11" w:rsidRPr="002D279B" w:rsidRDefault="7B59106D" w:rsidP="634182B2">
            <w:pPr>
              <w:pBdr>
                <w:top w:val="nil"/>
                <w:left w:val="nil"/>
                <w:bottom w:val="nil"/>
                <w:right w:val="nil"/>
                <w:between w:val="nil"/>
              </w:pBdr>
              <w:spacing w:after="0" w:line="240" w:lineRule="auto"/>
              <w:jc w:val="both"/>
              <w:rPr>
                <w:rFonts w:asciiTheme="majorHAnsi" w:eastAsia="Times New Roman" w:hAnsiTheme="majorHAnsi" w:cstheme="majorBidi"/>
              </w:rPr>
            </w:pPr>
            <w:r w:rsidRPr="634182B2">
              <w:rPr>
                <w:rFonts w:asciiTheme="majorHAnsi" w:eastAsia="Times New Roman" w:hAnsiTheme="majorHAnsi" w:cstheme="majorBidi"/>
              </w:rPr>
              <w:lastRenderedPageBreak/>
              <w:t>2</w:t>
            </w:r>
            <w:r w:rsidR="2C796AEC" w:rsidRPr="634182B2">
              <w:rPr>
                <w:rFonts w:asciiTheme="majorHAnsi" w:eastAsia="Times New Roman" w:hAnsiTheme="majorHAnsi" w:cstheme="majorBidi"/>
              </w:rPr>
              <w:t> 5</w:t>
            </w:r>
            <w:r w:rsidR="11E52A47" w:rsidRPr="634182B2">
              <w:rPr>
                <w:rFonts w:asciiTheme="majorHAnsi" w:eastAsia="Times New Roman" w:hAnsiTheme="majorHAnsi" w:cstheme="majorBidi"/>
              </w:rPr>
              <w:t>77</w:t>
            </w:r>
            <w:r w:rsidR="2C796AEC" w:rsidRPr="634182B2">
              <w:rPr>
                <w:rFonts w:asciiTheme="majorHAnsi" w:eastAsia="Times New Roman" w:hAnsiTheme="majorHAnsi" w:cstheme="majorBidi"/>
              </w:rPr>
              <w:t> </w:t>
            </w:r>
            <w:r w:rsidR="455BAA93" w:rsidRPr="634182B2">
              <w:rPr>
                <w:rFonts w:asciiTheme="majorHAnsi" w:eastAsia="Times New Roman" w:hAnsiTheme="majorHAnsi" w:cstheme="majorBidi"/>
              </w:rPr>
              <w:t>219</w:t>
            </w:r>
            <w:r w:rsidR="2C796AEC" w:rsidRPr="634182B2">
              <w:rPr>
                <w:rFonts w:asciiTheme="majorHAnsi" w:eastAsia="Times New Roman" w:hAnsiTheme="majorHAnsi" w:cstheme="majorBidi"/>
              </w:rPr>
              <w:t> </w:t>
            </w:r>
            <w:r w:rsidR="5BB22175" w:rsidRPr="634182B2">
              <w:rPr>
                <w:rFonts w:asciiTheme="majorHAnsi" w:eastAsia="Times New Roman" w:hAnsiTheme="majorHAnsi" w:cstheme="majorBidi"/>
              </w:rPr>
              <w:t>8</w:t>
            </w:r>
            <w:r w:rsidR="2C796AEC" w:rsidRPr="634182B2">
              <w:rPr>
                <w:rFonts w:asciiTheme="majorHAnsi" w:eastAsia="Times New Roman" w:hAnsiTheme="majorHAnsi" w:cstheme="majorBidi"/>
              </w:rPr>
              <w:t>00,- Kč</w:t>
            </w:r>
          </w:p>
        </w:tc>
      </w:tr>
      <w:tr w:rsidR="00723C11" w:rsidRPr="002D279B" w14:paraId="18A84646" w14:textId="77777777" w:rsidTr="404444EF">
        <w:tc>
          <w:tcPr>
            <w:tcW w:w="2405" w:type="dxa"/>
          </w:tcPr>
          <w:p w14:paraId="4267CE92" w14:textId="77777777" w:rsidR="00723C11" w:rsidRPr="002D279B" w:rsidRDefault="00723C11" w:rsidP="00DB421D">
            <w:pPr>
              <w:pBdr>
                <w:top w:val="nil"/>
                <w:left w:val="nil"/>
                <w:bottom w:val="nil"/>
                <w:right w:val="nil"/>
                <w:between w:val="nil"/>
              </w:pBdr>
              <w:spacing w:after="0" w:line="240" w:lineRule="auto"/>
              <w:rPr>
                <w:rFonts w:asciiTheme="majorHAnsi" w:eastAsia="Times New Roman" w:hAnsiTheme="majorHAnsi" w:cstheme="majorHAnsi"/>
                <w:color w:val="000000"/>
              </w:rPr>
            </w:pPr>
            <w:r w:rsidRPr="002D279B">
              <w:rPr>
                <w:rFonts w:asciiTheme="majorHAnsi" w:eastAsia="Times New Roman" w:hAnsiTheme="majorHAnsi" w:cstheme="majorHAnsi"/>
                <w:color w:val="000000"/>
              </w:rPr>
              <w:t>Dodržování pravidel státní podpory</w:t>
            </w:r>
          </w:p>
        </w:tc>
        <w:tc>
          <w:tcPr>
            <w:tcW w:w="7223" w:type="dxa"/>
          </w:tcPr>
          <w:p w14:paraId="236C9BF8" w14:textId="77777777" w:rsidR="00723C11" w:rsidRPr="002D279B" w:rsidRDefault="00723C11" w:rsidP="00DB421D">
            <w:pPr>
              <w:pBdr>
                <w:top w:val="nil"/>
                <w:left w:val="nil"/>
                <w:bottom w:val="nil"/>
                <w:right w:val="nil"/>
                <w:between w:val="nil"/>
              </w:pBdr>
              <w:spacing w:after="0" w:line="240" w:lineRule="auto"/>
              <w:jc w:val="both"/>
              <w:rPr>
                <w:rFonts w:asciiTheme="majorHAnsi" w:eastAsia="Times New Roman" w:hAnsiTheme="majorHAnsi" w:cstheme="majorHAnsi"/>
              </w:rPr>
            </w:pPr>
            <w:r w:rsidRPr="002D279B">
              <w:rPr>
                <w:rFonts w:asciiTheme="majorHAnsi" w:eastAsia="Times New Roman" w:hAnsiTheme="majorHAnsi" w:cstheme="majorHAnsi"/>
              </w:rPr>
              <w:t>ANO, GBER</w:t>
            </w:r>
          </w:p>
        </w:tc>
      </w:tr>
      <w:tr w:rsidR="00723C11" w:rsidRPr="002D279B" w14:paraId="33DDA000" w14:textId="77777777" w:rsidTr="404444EF">
        <w:tc>
          <w:tcPr>
            <w:tcW w:w="2405" w:type="dxa"/>
          </w:tcPr>
          <w:p w14:paraId="0A9CA25B" w14:textId="77777777" w:rsidR="00723C11" w:rsidRPr="002D279B" w:rsidRDefault="00723C11" w:rsidP="00DB421D">
            <w:pPr>
              <w:pBdr>
                <w:top w:val="nil"/>
                <w:left w:val="nil"/>
                <w:bottom w:val="nil"/>
                <w:right w:val="nil"/>
                <w:between w:val="nil"/>
              </w:pBdr>
              <w:spacing w:after="0" w:line="240" w:lineRule="auto"/>
              <w:rPr>
                <w:rFonts w:asciiTheme="majorHAnsi" w:eastAsia="Times New Roman" w:hAnsiTheme="majorHAnsi" w:cstheme="majorHAnsi"/>
                <w:color w:val="000000"/>
              </w:rPr>
            </w:pPr>
            <w:r w:rsidRPr="002D279B">
              <w:rPr>
                <w:rFonts w:asciiTheme="majorHAnsi" w:eastAsia="Times New Roman" w:hAnsiTheme="majorHAnsi" w:cstheme="majorHAnsi"/>
                <w:color w:val="000000"/>
              </w:rPr>
              <w:t>Doba implementace</w:t>
            </w:r>
          </w:p>
        </w:tc>
        <w:tc>
          <w:tcPr>
            <w:tcW w:w="7223" w:type="dxa"/>
          </w:tcPr>
          <w:p w14:paraId="360D3601" w14:textId="55E87A72" w:rsidR="00723C11" w:rsidRPr="002D279B" w:rsidRDefault="3BA4E7FA" w:rsidP="404444EF">
            <w:pPr>
              <w:pStyle w:val="K-Nadpis2"/>
              <w:numPr>
                <w:ilvl w:val="0"/>
                <w:numId w:val="29"/>
              </w:numPr>
              <w:pBdr>
                <w:top w:val="nil"/>
                <w:left w:val="nil"/>
                <w:bottom w:val="nil"/>
                <w:right w:val="nil"/>
                <w:between w:val="nil"/>
              </w:pBdr>
              <w:spacing w:after="0"/>
              <w:jc w:val="both"/>
              <w:rPr>
                <w:rFonts w:eastAsia="Times New Roman"/>
                <w:sz w:val="22"/>
                <w:szCs w:val="22"/>
              </w:rPr>
            </w:pPr>
            <w:r w:rsidRPr="404444EF">
              <w:rPr>
                <w:rFonts w:eastAsia="Times New Roman"/>
                <w:sz w:val="22"/>
                <w:szCs w:val="22"/>
              </w:rPr>
              <w:t>února</w:t>
            </w:r>
            <w:r w:rsidR="2BE0C445" w:rsidRPr="404444EF">
              <w:rPr>
                <w:rFonts w:eastAsia="Times New Roman"/>
                <w:sz w:val="22"/>
                <w:szCs w:val="22"/>
              </w:rPr>
              <w:t xml:space="preserve">  2022 – 31. prosince 2025</w:t>
            </w:r>
            <w:r w:rsidR="1DF4FCCC" w:rsidRPr="404444EF">
              <w:rPr>
                <w:rFonts w:eastAsia="Times New Roman"/>
                <w:sz w:val="22"/>
                <w:szCs w:val="22"/>
              </w:rPr>
              <w:t xml:space="preserve"> (Q1/2026)</w:t>
            </w:r>
          </w:p>
        </w:tc>
      </w:tr>
    </w:tbl>
    <w:p w14:paraId="584FFF75" w14:textId="2900A6F8" w:rsidR="00723C11" w:rsidRPr="002D279B" w:rsidRDefault="00723C11" w:rsidP="00723C11">
      <w:pPr>
        <w:pStyle w:val="K-TextInfo"/>
        <w:rPr>
          <w:rFonts w:asciiTheme="minorHAnsi" w:eastAsiaTheme="minorEastAsia" w:hAnsiTheme="minorHAnsi" w:cstheme="minorHAnsi"/>
          <w:i w:val="0"/>
          <w:iCs w:val="0"/>
          <w:color w:val="auto"/>
          <w:sz w:val="22"/>
          <w:szCs w:val="22"/>
        </w:rPr>
      </w:pPr>
    </w:p>
    <w:p w14:paraId="3BF0F43B" w14:textId="77777777" w:rsidR="00723C11" w:rsidRPr="002D279B" w:rsidRDefault="00723C11" w:rsidP="004367B3">
      <w:pPr>
        <w:autoSpaceDE w:val="0"/>
        <w:autoSpaceDN w:val="0"/>
        <w:adjustRightInd w:val="0"/>
        <w:spacing w:after="120" w:line="240" w:lineRule="auto"/>
        <w:jc w:val="both"/>
        <w:rPr>
          <w:rFonts w:eastAsiaTheme="minorEastAsia" w:cstheme="minorHAnsi"/>
          <w:color w:val="auto"/>
        </w:rPr>
      </w:pP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4367B3" w:rsidRPr="002D279B" w14:paraId="3C8158E9" w14:textId="77777777" w:rsidTr="404444EF">
        <w:tc>
          <w:tcPr>
            <w:tcW w:w="2405" w:type="dxa"/>
          </w:tcPr>
          <w:p w14:paraId="4B3EF4A8" w14:textId="77777777" w:rsidR="004367B3" w:rsidRPr="002D279B" w:rsidRDefault="004367B3" w:rsidP="00DB421D">
            <w:pPr>
              <w:pBdr>
                <w:top w:val="nil"/>
                <w:left w:val="nil"/>
                <w:bottom w:val="nil"/>
                <w:right w:val="nil"/>
                <w:between w:val="nil"/>
              </w:pBdr>
              <w:spacing w:after="0" w:line="240" w:lineRule="auto"/>
              <w:rPr>
                <w:rFonts w:asciiTheme="majorHAnsi" w:eastAsia="Times New Roman" w:hAnsiTheme="majorHAnsi" w:cstheme="majorHAnsi"/>
                <w:color w:val="000000"/>
              </w:rPr>
            </w:pPr>
            <w:r w:rsidRPr="002D279B">
              <w:rPr>
                <w:rFonts w:asciiTheme="majorHAnsi" w:eastAsia="Times New Roman" w:hAnsiTheme="majorHAnsi" w:cstheme="majorHAnsi"/>
                <w:color w:val="000000"/>
              </w:rPr>
              <w:t>Reforma</w:t>
            </w:r>
          </w:p>
        </w:tc>
        <w:tc>
          <w:tcPr>
            <w:tcW w:w="7223" w:type="dxa"/>
          </w:tcPr>
          <w:p w14:paraId="39EC623C" w14:textId="0F04A5EE" w:rsidR="004367B3" w:rsidRPr="002D279B" w:rsidRDefault="3B464185" w:rsidP="404444EF">
            <w:pPr>
              <w:pBdr>
                <w:top w:val="nil"/>
                <w:left w:val="nil"/>
                <w:bottom w:val="nil"/>
                <w:right w:val="nil"/>
                <w:between w:val="nil"/>
              </w:pBdr>
              <w:spacing w:after="0" w:line="240" w:lineRule="auto"/>
              <w:jc w:val="both"/>
              <w:rPr>
                <w:rStyle w:val="Znakapoznpodarou"/>
                <w:rFonts w:asciiTheme="majorHAnsi" w:eastAsia="Times New Roman" w:hAnsiTheme="majorHAnsi" w:cstheme="majorBidi"/>
                <w:b/>
                <w:bCs/>
                <w:color w:val="000000"/>
              </w:rPr>
            </w:pPr>
            <w:r w:rsidRPr="3F514EE9">
              <w:rPr>
                <w:rFonts w:asciiTheme="majorHAnsi" w:eastAsia="Times New Roman" w:hAnsiTheme="majorHAnsi" w:cstheme="majorBidi"/>
                <w:b/>
                <w:bCs/>
                <w:color w:val="000000"/>
              </w:rPr>
              <w:t>7.1.</w:t>
            </w:r>
            <w:r w:rsidR="44C10F1E" w:rsidRPr="3F514EE9">
              <w:rPr>
                <w:rFonts w:asciiTheme="majorHAnsi" w:eastAsia="Times New Roman" w:hAnsiTheme="majorHAnsi" w:cstheme="majorBidi"/>
                <w:b/>
                <w:bCs/>
                <w:color w:val="000000"/>
              </w:rPr>
              <w:t>5</w:t>
            </w:r>
            <w:r w:rsidRPr="3F514EE9">
              <w:rPr>
                <w:rFonts w:asciiTheme="majorHAnsi" w:eastAsia="Times New Roman" w:hAnsiTheme="majorHAnsi" w:cstheme="majorBidi"/>
                <w:b/>
                <w:bCs/>
                <w:color w:val="000000"/>
              </w:rPr>
              <w:t xml:space="preserve"> Zlepšení předvídatelnosti, transparentnosti a dostupnosti připojení zdrojů k elektrizační soustavě</w:t>
            </w:r>
          </w:p>
        </w:tc>
      </w:tr>
      <w:tr w:rsidR="004367B3" w:rsidRPr="002D279B" w14:paraId="3C9D9DC8" w14:textId="77777777" w:rsidTr="404444EF">
        <w:tc>
          <w:tcPr>
            <w:tcW w:w="2405" w:type="dxa"/>
          </w:tcPr>
          <w:p w14:paraId="493CB690" w14:textId="77777777" w:rsidR="004367B3" w:rsidRPr="002D279B" w:rsidRDefault="004367B3" w:rsidP="00DB421D">
            <w:pPr>
              <w:pBdr>
                <w:top w:val="nil"/>
                <w:left w:val="nil"/>
                <w:bottom w:val="nil"/>
                <w:right w:val="nil"/>
                <w:between w:val="nil"/>
              </w:pBdr>
              <w:spacing w:after="0" w:line="240" w:lineRule="auto"/>
              <w:rPr>
                <w:rFonts w:asciiTheme="majorHAnsi" w:eastAsia="Times New Roman" w:hAnsiTheme="majorHAnsi" w:cstheme="majorHAnsi"/>
                <w:color w:val="000000"/>
              </w:rPr>
            </w:pPr>
            <w:r w:rsidRPr="002D279B">
              <w:rPr>
                <w:rFonts w:asciiTheme="majorHAnsi" w:eastAsia="Times New Roman" w:hAnsiTheme="majorHAnsi" w:cstheme="majorHAnsi"/>
                <w:color w:val="000000"/>
              </w:rPr>
              <w:t>Výzva</w:t>
            </w:r>
          </w:p>
        </w:tc>
        <w:tc>
          <w:tcPr>
            <w:tcW w:w="7223" w:type="dxa"/>
          </w:tcPr>
          <w:p w14:paraId="3342772F" w14:textId="00443339" w:rsidR="009235F1" w:rsidRPr="002D279B" w:rsidRDefault="009235F1" w:rsidP="00DB421D">
            <w:pPr>
              <w:pBdr>
                <w:top w:val="nil"/>
                <w:left w:val="nil"/>
                <w:bottom w:val="nil"/>
                <w:right w:val="nil"/>
                <w:between w:val="nil"/>
              </w:pBdr>
              <w:spacing w:after="0" w:line="240" w:lineRule="auto"/>
              <w:jc w:val="both"/>
              <w:rPr>
                <w:rFonts w:asciiTheme="majorHAnsi" w:eastAsia="Times New Roman" w:hAnsiTheme="majorHAnsi" w:cstheme="majorHAnsi"/>
                <w:color w:val="000000"/>
              </w:rPr>
            </w:pPr>
            <w:r w:rsidRPr="002D279B">
              <w:rPr>
                <w:rFonts w:asciiTheme="majorHAnsi" w:eastAsia="Times New Roman" w:hAnsiTheme="majorHAnsi" w:cstheme="majorHAnsi"/>
                <w:color w:val="000000"/>
              </w:rPr>
              <w:t>Je třeba zlepšit využití dostupné kapacity sítě a usnadnit připojení zdrojů OZE k elektrizační soustavě</w:t>
            </w:r>
          </w:p>
          <w:p w14:paraId="327568DF" w14:textId="150D9EDC" w:rsidR="006C22FA" w:rsidRPr="002D279B" w:rsidRDefault="004367B3" w:rsidP="006C22FA">
            <w:pPr>
              <w:pBdr>
                <w:top w:val="nil"/>
                <w:left w:val="nil"/>
                <w:bottom w:val="nil"/>
                <w:right w:val="nil"/>
                <w:between w:val="nil"/>
              </w:pBdr>
              <w:spacing w:after="0" w:line="240" w:lineRule="auto"/>
              <w:jc w:val="both"/>
              <w:rPr>
                <w:rFonts w:asciiTheme="majorHAnsi" w:eastAsia="Times New Roman" w:hAnsiTheme="majorHAnsi" w:cstheme="majorHAnsi"/>
                <w:color w:val="000000"/>
              </w:rPr>
            </w:pPr>
            <w:r w:rsidRPr="002D279B">
              <w:rPr>
                <w:rFonts w:asciiTheme="majorHAnsi" w:eastAsia="Times New Roman" w:hAnsiTheme="majorHAnsi" w:cstheme="majorHAnsi"/>
                <w:color w:val="000000"/>
              </w:rPr>
              <w:t xml:space="preserve">Je třeba také řešit problém spekulativních žádostí o připojení k distribuční soustavě. </w:t>
            </w:r>
          </w:p>
          <w:p w14:paraId="5D450A01" w14:textId="15DF6045" w:rsidR="004367B3" w:rsidRPr="002D279B" w:rsidRDefault="004367B3" w:rsidP="00DB421D">
            <w:pPr>
              <w:pBdr>
                <w:top w:val="nil"/>
                <w:left w:val="nil"/>
                <w:bottom w:val="nil"/>
                <w:right w:val="nil"/>
                <w:between w:val="nil"/>
              </w:pBdr>
              <w:spacing w:after="0" w:line="240" w:lineRule="auto"/>
              <w:jc w:val="both"/>
              <w:rPr>
                <w:rFonts w:asciiTheme="majorHAnsi" w:eastAsia="Times New Roman" w:hAnsiTheme="majorHAnsi" w:cstheme="majorHAnsi"/>
                <w:color w:val="000000"/>
              </w:rPr>
            </w:pPr>
          </w:p>
        </w:tc>
      </w:tr>
      <w:tr w:rsidR="004367B3" w:rsidRPr="002D279B" w14:paraId="05958F01" w14:textId="77777777" w:rsidTr="404444EF">
        <w:tc>
          <w:tcPr>
            <w:tcW w:w="2405" w:type="dxa"/>
          </w:tcPr>
          <w:p w14:paraId="05BADE32" w14:textId="77777777" w:rsidR="004367B3" w:rsidRPr="002D279B" w:rsidRDefault="004367B3" w:rsidP="00DB421D">
            <w:pPr>
              <w:pBdr>
                <w:top w:val="nil"/>
                <w:left w:val="nil"/>
                <w:bottom w:val="nil"/>
                <w:right w:val="nil"/>
                <w:between w:val="nil"/>
              </w:pBdr>
              <w:spacing w:after="0" w:line="240" w:lineRule="auto"/>
              <w:rPr>
                <w:rFonts w:asciiTheme="majorHAnsi" w:eastAsia="Times New Roman" w:hAnsiTheme="majorHAnsi" w:cstheme="majorHAnsi"/>
                <w:color w:val="000000"/>
              </w:rPr>
            </w:pPr>
            <w:r w:rsidRPr="002D279B">
              <w:rPr>
                <w:rFonts w:asciiTheme="majorHAnsi" w:eastAsia="Times New Roman" w:hAnsiTheme="majorHAnsi" w:cstheme="majorHAnsi"/>
                <w:color w:val="000000"/>
              </w:rPr>
              <w:t>Cíl</w:t>
            </w:r>
          </w:p>
        </w:tc>
        <w:tc>
          <w:tcPr>
            <w:tcW w:w="7223" w:type="dxa"/>
          </w:tcPr>
          <w:p w14:paraId="0232C38A" w14:textId="29310A66" w:rsidR="004367B3" w:rsidRPr="002D279B" w:rsidRDefault="1EF3DDB6" w:rsidP="404444EF">
            <w:pPr>
              <w:pBdr>
                <w:top w:val="nil"/>
                <w:left w:val="nil"/>
                <w:bottom w:val="nil"/>
                <w:right w:val="nil"/>
                <w:between w:val="nil"/>
              </w:pBdr>
              <w:spacing w:after="0" w:line="240" w:lineRule="auto"/>
              <w:jc w:val="both"/>
              <w:rPr>
                <w:rFonts w:asciiTheme="majorHAnsi" w:eastAsia="Times New Roman" w:hAnsiTheme="majorHAnsi" w:cstheme="majorBidi"/>
                <w:color w:val="000000"/>
              </w:rPr>
            </w:pPr>
            <w:r w:rsidRPr="404444EF">
              <w:rPr>
                <w:rFonts w:asciiTheme="majorHAnsi" w:eastAsia="Times New Roman" w:hAnsiTheme="majorHAnsi" w:cstheme="majorBidi"/>
              </w:rPr>
              <w:t>Cílem reformy je zlepšit využití dostupné kapacity elektrické sítě a usnadnit připojení obnovitelných zdrojů energie k síti a vlastní spotřebu.</w:t>
            </w:r>
          </w:p>
          <w:p w14:paraId="02CF3623" w14:textId="0346D5E8" w:rsidR="404444EF" w:rsidRDefault="404444EF" w:rsidP="404444EF">
            <w:pPr>
              <w:pBdr>
                <w:top w:val="nil"/>
                <w:left w:val="nil"/>
                <w:bottom w:val="nil"/>
                <w:right w:val="nil"/>
                <w:between w:val="nil"/>
              </w:pBdr>
              <w:spacing w:after="0" w:line="240" w:lineRule="auto"/>
              <w:jc w:val="both"/>
              <w:rPr>
                <w:rFonts w:asciiTheme="majorHAnsi" w:eastAsia="Times New Roman" w:hAnsiTheme="majorHAnsi" w:cstheme="majorBidi"/>
              </w:rPr>
            </w:pPr>
          </w:p>
          <w:p w14:paraId="4D0798BC" w14:textId="7A802926" w:rsidR="004367B3" w:rsidRPr="002D279B" w:rsidRDefault="3218585B" w:rsidP="404444EF">
            <w:pPr>
              <w:pBdr>
                <w:top w:val="nil"/>
                <w:left w:val="nil"/>
                <w:bottom w:val="nil"/>
                <w:right w:val="nil"/>
                <w:between w:val="nil"/>
              </w:pBdr>
              <w:spacing w:after="0" w:line="240" w:lineRule="auto"/>
              <w:jc w:val="both"/>
              <w:rPr>
                <w:rFonts w:asciiTheme="majorHAnsi" w:eastAsia="Times New Roman" w:hAnsiTheme="majorHAnsi" w:cstheme="majorBidi"/>
              </w:rPr>
            </w:pPr>
            <w:r w:rsidRPr="404444EF">
              <w:rPr>
                <w:rFonts w:asciiTheme="majorHAnsi" w:eastAsia="Times New Roman" w:hAnsiTheme="majorHAnsi" w:cstheme="majorBidi"/>
              </w:rPr>
              <w:t xml:space="preserve">Dílčí </w:t>
            </w:r>
            <w:r w:rsidR="005898D5" w:rsidRPr="404444EF">
              <w:rPr>
                <w:rFonts w:asciiTheme="majorHAnsi" w:eastAsia="Times New Roman" w:hAnsiTheme="majorHAnsi" w:cstheme="majorBidi"/>
              </w:rPr>
              <w:t>opatření 1: Zlepšit transparentnost postupu připojení k síti</w:t>
            </w:r>
          </w:p>
          <w:p w14:paraId="69A298D9" w14:textId="09D9E0F8" w:rsidR="004367B3" w:rsidRPr="002D279B" w:rsidRDefault="005898D5" w:rsidP="404444EF">
            <w:pPr>
              <w:spacing w:after="0" w:line="240" w:lineRule="auto"/>
              <w:jc w:val="both"/>
            </w:pPr>
            <w:r w:rsidRPr="404444EF">
              <w:rPr>
                <w:rFonts w:asciiTheme="majorHAnsi" w:eastAsia="Times New Roman" w:hAnsiTheme="majorHAnsi" w:cstheme="majorBidi"/>
              </w:rPr>
              <w:t>Cílem reformy je odstranit překážky v procesu připojení k síti zavedením závazných lhůt pro postupy připojení k síti s přihlédnutím k požadavkům na délku trvání procesu udělování povolení podle práva EU; zkrácení doby trvání posouzení a smlouvy z 30 na 15 dnů pro provozovatele distribučních soustav (včetně nízkého, středního a vysokého napětí) a z 60 na 30 dnů pro provozovatele přenosových soustav (vysoké napětí).</w:t>
            </w:r>
          </w:p>
          <w:p w14:paraId="487DF724" w14:textId="758B4AFA" w:rsidR="004367B3" w:rsidRPr="002D279B" w:rsidRDefault="005898D5" w:rsidP="404444EF">
            <w:pPr>
              <w:spacing w:after="0" w:line="240" w:lineRule="auto"/>
              <w:jc w:val="both"/>
              <w:rPr>
                <w:rFonts w:asciiTheme="majorHAnsi" w:eastAsia="Times New Roman" w:hAnsiTheme="majorHAnsi" w:cstheme="majorBidi"/>
              </w:rPr>
            </w:pPr>
            <w:r w:rsidRPr="404444EF">
              <w:rPr>
                <w:rFonts w:asciiTheme="majorHAnsi" w:eastAsia="Times New Roman" w:hAnsiTheme="majorHAnsi" w:cstheme="majorBidi"/>
              </w:rPr>
              <w:t>Cílem reformy je rovněž řešit problémy spojené s nadměrnou rezervací dostupných kapacit a zároveň posílit odpovědnost provozovatelů distribučních soustav. Nová pravidla zahrnují upřesnění lhůt pro rezervaci kapacit sítě, úpravu pravidel pro opětovné uvolnění nevyužitých kapacit, finanční pobídky odrazující od nevyužívání přidělených kapacit a podmínky, za nichž může provozovatel distribuční soustavy rezervaci kapacity zrušit.</w:t>
            </w:r>
          </w:p>
          <w:p w14:paraId="05B544D7" w14:textId="70B36E90" w:rsidR="004367B3" w:rsidRPr="002D279B" w:rsidRDefault="005898D5" w:rsidP="404444EF">
            <w:pPr>
              <w:spacing w:after="0" w:line="240" w:lineRule="auto"/>
              <w:jc w:val="both"/>
            </w:pPr>
            <w:r w:rsidRPr="404444EF">
              <w:rPr>
                <w:rFonts w:asciiTheme="majorHAnsi" w:eastAsia="Times New Roman" w:hAnsiTheme="majorHAnsi" w:cstheme="majorBidi"/>
              </w:rPr>
              <w:t>Cílem reformy je zvýšit transparentnost postupu připojování k síti prostřednictvím opatření ke zvýšení informovanosti a zviditelnění účastníků trhu a zákazníků sítě.</w:t>
            </w:r>
          </w:p>
          <w:p w14:paraId="0A0DF86B" w14:textId="591A0175" w:rsidR="004367B3" w:rsidRPr="002D279B" w:rsidRDefault="2BB1C1F7" w:rsidP="404444EF">
            <w:pPr>
              <w:spacing w:after="0" w:line="240" w:lineRule="auto"/>
              <w:jc w:val="both"/>
              <w:rPr>
                <w:rFonts w:asciiTheme="majorHAnsi" w:eastAsia="Times New Roman" w:hAnsiTheme="majorHAnsi" w:cstheme="majorBidi"/>
              </w:rPr>
            </w:pPr>
            <w:r w:rsidRPr="404444EF">
              <w:rPr>
                <w:rFonts w:asciiTheme="majorHAnsi" w:eastAsia="Times New Roman" w:hAnsiTheme="majorHAnsi" w:cstheme="majorBidi"/>
              </w:rPr>
              <w:t>Tři regionální provozovatelé distribučních soustav každý měsíc zveřejní na svých internetových stránkách mapu transparentnosti, která bude obsahovat pro každou jejich oblast působnosti informace o dostupných kapacitách připojení k síti pro nová připojení na všech napěťových hladinách, zveřejní souhrnné anonymizované požadavky na připojení přijatých a zamítnutých žádostí.</w:t>
            </w:r>
          </w:p>
          <w:p w14:paraId="3A4489D8" w14:textId="2B8158A0" w:rsidR="004367B3" w:rsidRPr="002D279B" w:rsidRDefault="2BB1C1F7" w:rsidP="404444EF">
            <w:pPr>
              <w:spacing w:after="0" w:line="240" w:lineRule="auto"/>
              <w:jc w:val="both"/>
              <w:rPr>
                <w:rFonts w:asciiTheme="majorHAnsi" w:eastAsia="Times New Roman" w:hAnsiTheme="majorHAnsi" w:cstheme="majorBidi"/>
              </w:rPr>
            </w:pPr>
            <w:r w:rsidRPr="404444EF">
              <w:rPr>
                <w:rFonts w:asciiTheme="majorHAnsi" w:eastAsia="Times New Roman" w:hAnsiTheme="majorHAnsi" w:cstheme="majorBidi"/>
              </w:rPr>
              <w:t>Reforma přispěje ke zvýšení dodatečné kumulativní kapacity připojení alespoň 8000 MW obnovitelných zdrojů energie k distribučním sítím v České republice do 31. srpna 2026.</w:t>
            </w:r>
          </w:p>
          <w:p w14:paraId="37E703B6" w14:textId="418C7A17" w:rsidR="004367B3" w:rsidRPr="002D279B" w:rsidRDefault="004367B3" w:rsidP="404444EF">
            <w:pPr>
              <w:spacing w:after="0" w:line="240" w:lineRule="auto"/>
              <w:jc w:val="both"/>
              <w:rPr>
                <w:rFonts w:asciiTheme="majorHAnsi" w:eastAsia="Times New Roman" w:hAnsiTheme="majorHAnsi" w:cstheme="majorBidi"/>
              </w:rPr>
            </w:pPr>
          </w:p>
          <w:p w14:paraId="53F3C338" w14:textId="6A86E234" w:rsidR="004367B3" w:rsidRPr="002D279B" w:rsidRDefault="004367B3" w:rsidP="404444EF">
            <w:pPr>
              <w:spacing w:after="0" w:line="240" w:lineRule="auto"/>
              <w:jc w:val="both"/>
              <w:rPr>
                <w:rFonts w:asciiTheme="majorHAnsi" w:eastAsia="Times New Roman" w:hAnsiTheme="majorHAnsi" w:cstheme="majorBidi"/>
              </w:rPr>
            </w:pPr>
          </w:p>
          <w:p w14:paraId="5CEFA559" w14:textId="215696C5" w:rsidR="004367B3" w:rsidRPr="002D279B" w:rsidRDefault="2BB1C1F7" w:rsidP="404444EF">
            <w:pPr>
              <w:spacing w:after="0" w:line="240" w:lineRule="auto"/>
              <w:jc w:val="both"/>
              <w:rPr>
                <w:rFonts w:asciiTheme="majorHAnsi" w:eastAsia="Times New Roman" w:hAnsiTheme="majorHAnsi" w:cstheme="majorBidi"/>
              </w:rPr>
            </w:pPr>
            <w:r w:rsidRPr="404444EF">
              <w:rPr>
                <w:rFonts w:asciiTheme="majorHAnsi" w:eastAsia="Times New Roman" w:hAnsiTheme="majorHAnsi" w:cstheme="majorBidi"/>
              </w:rPr>
              <w:t>Dílčí opatření 2: Regulační pobídky pro provozovatele elektrických sítí ke zvýšení flexibility sítě</w:t>
            </w:r>
          </w:p>
          <w:p w14:paraId="4902A58B" w14:textId="5A9907A9" w:rsidR="004367B3" w:rsidRPr="002D279B" w:rsidRDefault="2BB1C1F7" w:rsidP="404444EF">
            <w:pPr>
              <w:spacing w:after="0" w:line="240" w:lineRule="auto"/>
              <w:jc w:val="both"/>
            </w:pPr>
            <w:r w:rsidRPr="404444EF">
              <w:rPr>
                <w:rFonts w:asciiTheme="majorHAnsi" w:eastAsia="Times New Roman" w:hAnsiTheme="majorHAnsi" w:cstheme="majorBidi"/>
              </w:rPr>
              <w:t>Cílem reformy je revize regulačního rámce, kterým se řídí investice a tarify provozovatelů distribučních soustav a provozovatelů přenosových soustav, s cílem zajistit hladkou integraci dalších obnovitelných zdrojů energie do českého energetického mixu.</w:t>
            </w:r>
          </w:p>
        </w:tc>
      </w:tr>
      <w:tr w:rsidR="004367B3" w:rsidRPr="002D279B" w14:paraId="34CE1208" w14:textId="77777777" w:rsidTr="404444EF">
        <w:tc>
          <w:tcPr>
            <w:tcW w:w="2405" w:type="dxa"/>
          </w:tcPr>
          <w:p w14:paraId="559BD41B" w14:textId="40FC46E6" w:rsidR="004367B3" w:rsidRPr="002D279B" w:rsidRDefault="6126D19A" w:rsidP="404444EF">
            <w:pPr>
              <w:pBdr>
                <w:top w:val="nil"/>
                <w:left w:val="nil"/>
                <w:bottom w:val="nil"/>
                <w:right w:val="nil"/>
                <w:between w:val="nil"/>
              </w:pBdr>
              <w:spacing w:after="0" w:line="240" w:lineRule="auto"/>
              <w:rPr>
                <w:rStyle w:val="Znakapoznpodarou"/>
                <w:rFonts w:asciiTheme="majorHAnsi" w:eastAsia="Times New Roman" w:hAnsiTheme="majorHAnsi" w:cstheme="majorBidi"/>
                <w:color w:val="000000"/>
              </w:rPr>
            </w:pPr>
            <w:bookmarkStart w:id="4" w:name="_Hlk138420504"/>
            <w:r w:rsidRPr="3F514EE9">
              <w:rPr>
                <w:rFonts w:asciiTheme="majorHAnsi" w:eastAsia="Times New Roman" w:hAnsiTheme="majorHAnsi" w:cstheme="majorBidi"/>
                <w:color w:val="000000"/>
              </w:rPr>
              <w:lastRenderedPageBreak/>
              <w:t>Název milníků (definování měřitelných výstupů a jejich popis)</w:t>
            </w:r>
          </w:p>
        </w:tc>
        <w:tc>
          <w:tcPr>
            <w:tcW w:w="7223" w:type="dxa"/>
          </w:tcPr>
          <w:p w14:paraId="5624F93B" w14:textId="77777777" w:rsidR="004367B3" w:rsidRPr="002D279B" w:rsidRDefault="004367B3" w:rsidP="00DB421D">
            <w:pPr>
              <w:pBdr>
                <w:top w:val="nil"/>
                <w:left w:val="nil"/>
                <w:bottom w:val="nil"/>
                <w:right w:val="nil"/>
                <w:between w:val="nil"/>
              </w:pBdr>
              <w:spacing w:after="0" w:line="240" w:lineRule="auto"/>
              <w:jc w:val="both"/>
              <w:rPr>
                <w:rFonts w:asciiTheme="majorHAnsi" w:eastAsia="Times New Roman" w:hAnsiTheme="majorHAnsi" w:cstheme="majorHAnsi"/>
                <w:color w:val="000000"/>
                <w:u w:val="single"/>
              </w:rPr>
            </w:pPr>
            <w:r w:rsidRPr="002D279B">
              <w:rPr>
                <w:rFonts w:asciiTheme="majorHAnsi" w:eastAsia="Times New Roman" w:hAnsiTheme="majorHAnsi" w:cstheme="majorHAnsi"/>
                <w:color w:val="000000"/>
                <w:u w:val="single"/>
              </w:rPr>
              <w:t>Milník:</w:t>
            </w:r>
          </w:p>
          <w:p w14:paraId="637A3C13" w14:textId="77777777" w:rsidR="004367B3" w:rsidRPr="002D279B" w:rsidRDefault="004367B3" w:rsidP="00DB421D">
            <w:pPr>
              <w:pBdr>
                <w:top w:val="nil"/>
                <w:left w:val="nil"/>
                <w:bottom w:val="nil"/>
                <w:right w:val="nil"/>
                <w:between w:val="nil"/>
              </w:pBdr>
              <w:spacing w:after="0" w:line="240" w:lineRule="auto"/>
              <w:jc w:val="both"/>
              <w:rPr>
                <w:rFonts w:asciiTheme="majorHAnsi" w:eastAsia="Times New Roman" w:hAnsiTheme="majorHAnsi" w:cstheme="majorHAnsi"/>
                <w:color w:val="000000"/>
              </w:rPr>
            </w:pPr>
          </w:p>
          <w:p w14:paraId="25739526" w14:textId="6AD2A698" w:rsidR="004367B3" w:rsidRPr="002D279B" w:rsidRDefault="0AB2475A" w:rsidP="404444EF">
            <w:pPr>
              <w:pBdr>
                <w:top w:val="nil"/>
                <w:left w:val="nil"/>
                <w:bottom w:val="nil"/>
                <w:right w:val="nil"/>
                <w:between w:val="nil"/>
              </w:pBdr>
              <w:spacing w:after="0" w:line="240" w:lineRule="auto"/>
              <w:jc w:val="both"/>
              <w:rPr>
                <w:rFonts w:asciiTheme="majorHAnsi" w:eastAsia="Times New Roman" w:hAnsiTheme="majorHAnsi" w:cstheme="majorBidi"/>
              </w:rPr>
            </w:pPr>
            <w:r w:rsidRPr="404444EF">
              <w:rPr>
                <w:rFonts w:asciiTheme="majorHAnsi" w:eastAsia="Times New Roman" w:hAnsiTheme="majorHAnsi" w:cstheme="majorBidi"/>
              </w:rPr>
              <w:t>304 (</w:t>
            </w:r>
            <w:r w:rsidR="004367B3" w:rsidRPr="404444EF">
              <w:rPr>
                <w:rFonts w:asciiTheme="majorHAnsi" w:eastAsia="Times New Roman" w:hAnsiTheme="majorHAnsi" w:cstheme="majorBidi"/>
              </w:rPr>
              <w:t>7.1.</w:t>
            </w:r>
            <w:r w:rsidR="4F8B7E03" w:rsidRPr="404444EF">
              <w:rPr>
                <w:rFonts w:asciiTheme="majorHAnsi" w:eastAsia="Times New Roman" w:hAnsiTheme="majorHAnsi" w:cstheme="majorBidi"/>
              </w:rPr>
              <w:t>5</w:t>
            </w:r>
            <w:r w:rsidR="007B125C" w:rsidRPr="404444EF">
              <w:rPr>
                <w:rFonts w:asciiTheme="majorHAnsi" w:eastAsia="Times New Roman" w:hAnsiTheme="majorHAnsi" w:cstheme="majorBidi"/>
              </w:rPr>
              <w:t>.1</w:t>
            </w:r>
            <w:r w:rsidR="39E33944" w:rsidRPr="404444EF">
              <w:rPr>
                <w:rFonts w:asciiTheme="majorHAnsi" w:eastAsia="Times New Roman" w:hAnsiTheme="majorHAnsi" w:cstheme="majorBidi"/>
              </w:rPr>
              <w:t xml:space="preserve">) </w:t>
            </w:r>
            <w:r w:rsidR="2D02814B" w:rsidRPr="404444EF">
              <w:rPr>
                <w:rFonts w:asciiTheme="majorHAnsi" w:eastAsia="Times New Roman" w:hAnsiTheme="majorHAnsi" w:cstheme="majorBidi"/>
              </w:rPr>
              <w:t>opatření pro zvýšení transparentnosti postupu připojení k síti:</w:t>
            </w:r>
          </w:p>
          <w:p w14:paraId="608527EE" w14:textId="5E102E62" w:rsidR="004367B3" w:rsidRPr="002D279B" w:rsidRDefault="32B29950" w:rsidP="404444EF">
            <w:pPr>
              <w:pBdr>
                <w:top w:val="nil"/>
                <w:left w:val="nil"/>
                <w:bottom w:val="nil"/>
                <w:right w:val="nil"/>
                <w:between w:val="nil"/>
              </w:pBdr>
              <w:spacing w:after="0" w:line="240" w:lineRule="auto"/>
              <w:jc w:val="both"/>
              <w:rPr>
                <w:rFonts w:asciiTheme="majorHAnsi" w:eastAsia="Times New Roman" w:hAnsiTheme="majorHAnsi" w:cstheme="majorBidi"/>
              </w:rPr>
            </w:pPr>
            <w:r w:rsidRPr="404444EF">
              <w:rPr>
                <w:rFonts w:asciiTheme="majorHAnsi" w:eastAsia="Times New Roman" w:hAnsiTheme="majorHAnsi" w:cstheme="majorBidi"/>
              </w:rPr>
              <w:t xml:space="preserve">Např. </w:t>
            </w:r>
          </w:p>
          <w:p w14:paraId="6542A604" w14:textId="069B780C" w:rsidR="004367B3" w:rsidRPr="002D279B" w:rsidRDefault="2D02814B" w:rsidP="404444EF">
            <w:pPr>
              <w:pBdr>
                <w:top w:val="nil"/>
                <w:left w:val="nil"/>
                <w:bottom w:val="nil"/>
                <w:right w:val="nil"/>
                <w:between w:val="nil"/>
              </w:pBdr>
              <w:spacing w:after="0" w:line="240" w:lineRule="auto"/>
              <w:jc w:val="both"/>
              <w:rPr>
                <w:rFonts w:asciiTheme="majorHAnsi" w:eastAsia="Times New Roman" w:hAnsiTheme="majorHAnsi" w:cstheme="majorBidi"/>
                <w:color w:val="000000"/>
              </w:rPr>
            </w:pPr>
            <w:r w:rsidRPr="404444EF">
              <w:rPr>
                <w:rFonts w:asciiTheme="majorHAnsi" w:eastAsia="Times New Roman" w:hAnsiTheme="majorHAnsi" w:cstheme="majorBidi"/>
              </w:rPr>
              <w:t xml:space="preserve">- </w:t>
            </w:r>
            <w:r w:rsidR="007B125C" w:rsidRPr="404444EF">
              <w:rPr>
                <w:rFonts w:asciiTheme="majorHAnsi" w:eastAsia="Times New Roman" w:hAnsiTheme="majorHAnsi" w:cstheme="majorBidi"/>
              </w:rPr>
              <w:t>zkrátit dobu posouzení žádosti o připojení z 30 na 15 dní v případě PDS (NN, VN) a z 60 na 30 dní v případě PPS (VVN)</w:t>
            </w:r>
          </w:p>
          <w:p w14:paraId="48E7D5F9" w14:textId="69A766A0" w:rsidR="004367B3" w:rsidRPr="002D279B" w:rsidRDefault="1AD72263" w:rsidP="404444EF">
            <w:pPr>
              <w:pBdr>
                <w:top w:val="nil"/>
                <w:left w:val="nil"/>
                <w:bottom w:val="nil"/>
                <w:right w:val="nil"/>
                <w:between w:val="nil"/>
              </w:pBdr>
              <w:spacing w:after="0" w:line="240" w:lineRule="auto"/>
              <w:jc w:val="both"/>
              <w:rPr>
                <w:rFonts w:asciiTheme="majorHAnsi" w:eastAsia="Times New Roman" w:hAnsiTheme="majorHAnsi" w:cstheme="majorBidi"/>
                <w:color w:val="000000"/>
              </w:rPr>
            </w:pPr>
            <w:r w:rsidRPr="404444EF">
              <w:rPr>
                <w:rFonts w:asciiTheme="majorHAnsi" w:eastAsia="Times New Roman" w:hAnsiTheme="majorHAnsi" w:cstheme="majorBidi"/>
              </w:rPr>
              <w:t xml:space="preserve">- </w:t>
            </w:r>
            <w:r w:rsidR="007B125C" w:rsidRPr="404444EF">
              <w:rPr>
                <w:rFonts w:asciiTheme="majorHAnsi" w:eastAsia="Times New Roman" w:hAnsiTheme="majorHAnsi" w:cstheme="majorBidi"/>
              </w:rPr>
              <w:t>zavést závazn</w:t>
            </w:r>
            <w:r w:rsidR="00FD78BB" w:rsidRPr="404444EF">
              <w:rPr>
                <w:rFonts w:asciiTheme="majorHAnsi" w:eastAsia="Times New Roman" w:hAnsiTheme="majorHAnsi" w:cstheme="majorBidi"/>
              </w:rPr>
              <w:t>á pravidla/lhůtu</w:t>
            </w:r>
            <w:r w:rsidR="007B125C" w:rsidRPr="404444EF">
              <w:rPr>
                <w:rFonts w:asciiTheme="majorHAnsi" w:eastAsia="Times New Roman" w:hAnsiTheme="majorHAnsi" w:cstheme="majorBidi"/>
              </w:rPr>
              <w:t xml:space="preserve"> pro připojení k elektrizační síti po uzavření smlouvy o připojení</w:t>
            </w:r>
            <w:r w:rsidR="004367B3" w:rsidRPr="404444EF">
              <w:rPr>
                <w:rFonts w:asciiTheme="majorHAnsi" w:eastAsia="Times New Roman" w:hAnsiTheme="majorHAnsi" w:cstheme="majorBidi"/>
              </w:rPr>
              <w:t xml:space="preserve"> </w:t>
            </w:r>
          </w:p>
          <w:p w14:paraId="6169F290" w14:textId="5D6582DB" w:rsidR="002700AD" w:rsidRPr="002D279B" w:rsidRDefault="5746C407" w:rsidP="404444EF">
            <w:pPr>
              <w:pBdr>
                <w:top w:val="nil"/>
                <w:left w:val="nil"/>
                <w:bottom w:val="nil"/>
                <w:right w:val="nil"/>
                <w:between w:val="nil"/>
              </w:pBdr>
              <w:spacing w:after="0" w:line="240" w:lineRule="auto"/>
              <w:jc w:val="both"/>
              <w:rPr>
                <w:rFonts w:asciiTheme="majorHAnsi" w:eastAsia="Times New Roman" w:hAnsiTheme="majorHAnsi" w:cstheme="majorBidi"/>
                <w:color w:val="000000"/>
              </w:rPr>
            </w:pPr>
            <w:r w:rsidRPr="404444EF">
              <w:rPr>
                <w:rFonts w:asciiTheme="majorHAnsi" w:eastAsia="Times New Roman" w:hAnsiTheme="majorHAnsi" w:cstheme="majorBidi"/>
              </w:rPr>
              <w:t>-</w:t>
            </w:r>
            <w:r w:rsidR="002700AD" w:rsidRPr="404444EF">
              <w:rPr>
                <w:rFonts w:asciiTheme="majorHAnsi" w:eastAsia="Times New Roman" w:hAnsiTheme="majorHAnsi" w:cstheme="majorBidi"/>
              </w:rPr>
              <w:t xml:space="preserve"> </w:t>
            </w:r>
            <w:r w:rsidRPr="404444EF">
              <w:rPr>
                <w:rFonts w:asciiTheme="majorHAnsi" w:eastAsia="Times New Roman" w:hAnsiTheme="majorHAnsi" w:cstheme="majorBidi"/>
              </w:rPr>
              <w:t xml:space="preserve"> </w:t>
            </w:r>
            <w:r w:rsidR="002700AD" w:rsidRPr="404444EF">
              <w:rPr>
                <w:rFonts w:asciiTheme="majorHAnsi" w:eastAsia="Times New Roman" w:hAnsiTheme="majorHAnsi" w:cstheme="majorBidi"/>
              </w:rPr>
              <w:t>opatření pro zlepšení využití kapacity sítě (</w:t>
            </w:r>
            <w:r w:rsidR="00BD7FB0" w:rsidRPr="404444EF">
              <w:rPr>
                <w:rFonts w:asciiTheme="majorHAnsi" w:eastAsia="Times New Roman" w:hAnsiTheme="majorHAnsi" w:cstheme="majorBidi"/>
              </w:rPr>
              <w:t xml:space="preserve">pro </w:t>
            </w:r>
            <w:r w:rsidR="002700AD" w:rsidRPr="404444EF">
              <w:rPr>
                <w:rFonts w:asciiTheme="majorHAnsi" w:eastAsia="Times New Roman" w:hAnsiTheme="majorHAnsi" w:cstheme="majorBidi"/>
              </w:rPr>
              <w:t>specifikaci lhůt pro rezervaci kapacit sítě, úpravu pravidel pro opětovné uvolnění nevyužitých kapacit, podmínky, za kterých může provozovatel distribuční soustavy rezervaci kapacity zrušit.)</w:t>
            </w:r>
          </w:p>
          <w:p w14:paraId="01411074" w14:textId="69814420" w:rsidR="00BD7FB0" w:rsidRPr="002D279B" w:rsidRDefault="679B41F5" w:rsidP="404444EF">
            <w:pPr>
              <w:pBdr>
                <w:top w:val="nil"/>
                <w:left w:val="nil"/>
                <w:bottom w:val="nil"/>
                <w:right w:val="nil"/>
                <w:between w:val="nil"/>
              </w:pBdr>
              <w:spacing w:after="0" w:line="240" w:lineRule="auto"/>
              <w:jc w:val="both"/>
              <w:rPr>
                <w:rFonts w:asciiTheme="majorHAnsi" w:eastAsia="Times New Roman" w:hAnsiTheme="majorHAnsi" w:cstheme="majorBidi"/>
                <w:color w:val="auto"/>
              </w:rPr>
            </w:pPr>
            <w:r w:rsidRPr="404444EF">
              <w:rPr>
                <w:rFonts w:asciiTheme="majorHAnsi" w:eastAsia="Times New Roman" w:hAnsiTheme="majorHAnsi" w:cstheme="majorBidi"/>
                <w:color w:val="auto"/>
              </w:rPr>
              <w:t xml:space="preserve">- </w:t>
            </w:r>
            <w:r w:rsidR="00BD7FB0" w:rsidRPr="404444EF">
              <w:rPr>
                <w:rFonts w:asciiTheme="majorHAnsi" w:eastAsia="Times New Roman" w:hAnsiTheme="majorHAnsi" w:cstheme="majorBidi"/>
                <w:color w:val="auto"/>
              </w:rPr>
              <w:t>opatření pro zvýšení informovanosti o možnostech připojení (PDS, PPS uveřejňování online informací o dostupných kapacitách připojení k síti pro nová připojení v příslušných oblastech jejich působnosti; PDS, PPS informují o stavu a vyřizování jejich žádostí o připojení</w:t>
            </w:r>
          </w:p>
          <w:p w14:paraId="3820F474" w14:textId="18E33400" w:rsidR="00BD7FB0" w:rsidRPr="002D279B" w:rsidRDefault="002D279B" w:rsidP="00BD7FB0">
            <w:pPr>
              <w:pBdr>
                <w:top w:val="nil"/>
                <w:left w:val="nil"/>
                <w:bottom w:val="nil"/>
                <w:right w:val="nil"/>
                <w:between w:val="nil"/>
              </w:pBdr>
              <w:spacing w:after="0" w:line="240" w:lineRule="auto"/>
              <w:jc w:val="both"/>
              <w:rPr>
                <w:rFonts w:asciiTheme="majorHAnsi" w:eastAsia="Times New Roman" w:hAnsiTheme="majorHAnsi" w:cstheme="majorHAnsi"/>
                <w:color w:val="FF0000"/>
              </w:rPr>
            </w:pPr>
            <w:r>
              <w:rPr>
                <w:rFonts w:asciiTheme="majorHAnsi" w:eastAsia="Times New Roman" w:hAnsiTheme="majorHAnsi" w:cstheme="majorHAnsi"/>
                <w:color w:val="FF0000"/>
              </w:rPr>
              <w:t xml:space="preserve"> </w:t>
            </w:r>
          </w:p>
          <w:p w14:paraId="1D6A6B69" w14:textId="16A75EF5" w:rsidR="00150C0F" w:rsidRPr="002D279B" w:rsidRDefault="00150C0F" w:rsidP="00BD7FB0">
            <w:pPr>
              <w:pBdr>
                <w:top w:val="nil"/>
                <w:left w:val="nil"/>
                <w:bottom w:val="nil"/>
                <w:right w:val="nil"/>
                <w:between w:val="nil"/>
              </w:pBdr>
              <w:spacing w:after="0" w:line="240" w:lineRule="auto"/>
              <w:jc w:val="both"/>
              <w:rPr>
                <w:rFonts w:asciiTheme="majorHAnsi" w:eastAsia="Times New Roman" w:hAnsiTheme="majorHAnsi" w:cstheme="majorHAnsi"/>
                <w:color w:val="FF0000"/>
              </w:rPr>
            </w:pPr>
          </w:p>
          <w:p w14:paraId="2DF29F3E" w14:textId="14511973" w:rsidR="00150C0F" w:rsidRPr="002D279B" w:rsidRDefault="4DF95B42" w:rsidP="404444EF">
            <w:pPr>
              <w:pBdr>
                <w:top w:val="nil"/>
                <w:left w:val="nil"/>
                <w:bottom w:val="nil"/>
                <w:right w:val="nil"/>
                <w:between w:val="nil"/>
              </w:pBdr>
              <w:spacing w:after="0" w:line="240" w:lineRule="auto"/>
              <w:jc w:val="both"/>
              <w:rPr>
                <w:rFonts w:asciiTheme="majorHAnsi" w:eastAsia="Times New Roman" w:hAnsiTheme="majorHAnsi" w:cstheme="majorBidi"/>
                <w:color w:val="auto"/>
              </w:rPr>
            </w:pPr>
            <w:r w:rsidRPr="404444EF">
              <w:rPr>
                <w:rFonts w:asciiTheme="majorHAnsi" w:eastAsia="Times New Roman" w:hAnsiTheme="majorHAnsi" w:cstheme="majorBidi"/>
                <w:color w:val="auto"/>
              </w:rPr>
              <w:t>305 (</w:t>
            </w:r>
            <w:r w:rsidR="00150C0F" w:rsidRPr="404444EF">
              <w:rPr>
                <w:rFonts w:asciiTheme="majorHAnsi" w:eastAsia="Times New Roman" w:hAnsiTheme="majorHAnsi" w:cstheme="majorBidi"/>
                <w:color w:val="auto"/>
              </w:rPr>
              <w:t>7.1.</w:t>
            </w:r>
            <w:r w:rsidR="7D063832" w:rsidRPr="404444EF">
              <w:rPr>
                <w:rFonts w:asciiTheme="majorHAnsi" w:eastAsia="Times New Roman" w:hAnsiTheme="majorHAnsi" w:cstheme="majorBidi"/>
                <w:color w:val="auto"/>
              </w:rPr>
              <w:t>5</w:t>
            </w:r>
            <w:r w:rsidR="00150C0F" w:rsidRPr="404444EF">
              <w:rPr>
                <w:rFonts w:asciiTheme="majorHAnsi" w:eastAsia="Times New Roman" w:hAnsiTheme="majorHAnsi" w:cstheme="majorBidi"/>
                <w:color w:val="auto"/>
              </w:rPr>
              <w:t>.</w:t>
            </w:r>
            <w:r w:rsidR="7A2994FB" w:rsidRPr="404444EF">
              <w:rPr>
                <w:rFonts w:asciiTheme="majorHAnsi" w:eastAsia="Times New Roman" w:hAnsiTheme="majorHAnsi" w:cstheme="majorBidi"/>
                <w:color w:val="auto"/>
              </w:rPr>
              <w:t>2</w:t>
            </w:r>
            <w:r w:rsidR="25F6373B" w:rsidRPr="404444EF">
              <w:rPr>
                <w:rFonts w:asciiTheme="majorHAnsi" w:eastAsia="Times New Roman" w:hAnsiTheme="majorHAnsi" w:cstheme="majorBidi"/>
                <w:color w:val="auto"/>
              </w:rPr>
              <w:t>)</w:t>
            </w:r>
            <w:r w:rsidR="00150C0F" w:rsidRPr="404444EF">
              <w:rPr>
                <w:rFonts w:asciiTheme="majorHAnsi" w:eastAsia="Times New Roman" w:hAnsiTheme="majorHAnsi" w:cstheme="majorBidi"/>
                <w:color w:val="auto"/>
              </w:rPr>
              <w:t xml:space="preserve"> Interaktivní mapa zobrazující dostupné kapacity sítě</w:t>
            </w:r>
            <w:r w:rsidR="65C5023A" w:rsidRPr="404444EF">
              <w:rPr>
                <w:rFonts w:asciiTheme="majorHAnsi" w:eastAsia="Times New Roman" w:hAnsiTheme="majorHAnsi" w:cstheme="majorBidi"/>
                <w:color w:val="auto"/>
              </w:rPr>
              <w:t xml:space="preserve"> - 1. fáze</w:t>
            </w:r>
          </w:p>
          <w:p w14:paraId="422DFC83" w14:textId="61AB738E" w:rsidR="404444EF" w:rsidRDefault="404444EF" w:rsidP="404444EF">
            <w:pPr>
              <w:pBdr>
                <w:top w:val="nil"/>
                <w:left w:val="nil"/>
                <w:bottom w:val="nil"/>
                <w:right w:val="nil"/>
                <w:between w:val="nil"/>
              </w:pBdr>
              <w:spacing w:after="0" w:line="240" w:lineRule="auto"/>
              <w:jc w:val="both"/>
              <w:rPr>
                <w:rFonts w:asciiTheme="majorHAnsi" w:eastAsia="Times New Roman" w:hAnsiTheme="majorHAnsi" w:cstheme="majorBidi"/>
                <w:color w:val="auto"/>
              </w:rPr>
            </w:pPr>
          </w:p>
          <w:p w14:paraId="0E35C4B7" w14:textId="3ED668E6" w:rsidR="0F3984A5" w:rsidRDefault="0F3984A5" w:rsidP="404444EF">
            <w:pPr>
              <w:pBdr>
                <w:top w:val="nil"/>
                <w:left w:val="nil"/>
                <w:bottom w:val="nil"/>
                <w:right w:val="nil"/>
                <w:between w:val="nil"/>
              </w:pBdr>
              <w:spacing w:after="0" w:line="240" w:lineRule="auto"/>
              <w:jc w:val="both"/>
              <w:rPr>
                <w:rFonts w:asciiTheme="majorHAnsi" w:eastAsia="Times New Roman" w:hAnsiTheme="majorHAnsi" w:cstheme="majorBidi"/>
                <w:color w:val="auto"/>
              </w:rPr>
            </w:pPr>
            <w:r w:rsidRPr="404444EF">
              <w:rPr>
                <w:rFonts w:asciiTheme="majorHAnsi" w:eastAsia="Times New Roman" w:hAnsiTheme="majorHAnsi" w:cstheme="majorBidi"/>
                <w:color w:val="auto"/>
              </w:rPr>
              <w:t>306 (</w:t>
            </w:r>
            <w:r w:rsidR="65C5023A" w:rsidRPr="404444EF">
              <w:rPr>
                <w:rFonts w:asciiTheme="majorHAnsi" w:eastAsia="Times New Roman" w:hAnsiTheme="majorHAnsi" w:cstheme="majorBidi"/>
                <w:color w:val="auto"/>
              </w:rPr>
              <w:t>7.1.5.3</w:t>
            </w:r>
            <w:r w:rsidR="52637F0A" w:rsidRPr="404444EF">
              <w:rPr>
                <w:rFonts w:asciiTheme="majorHAnsi" w:eastAsia="Times New Roman" w:hAnsiTheme="majorHAnsi" w:cstheme="majorBidi"/>
                <w:color w:val="auto"/>
              </w:rPr>
              <w:t>)</w:t>
            </w:r>
            <w:r w:rsidR="65C5023A" w:rsidRPr="404444EF">
              <w:rPr>
                <w:rFonts w:asciiTheme="majorHAnsi" w:eastAsia="Times New Roman" w:hAnsiTheme="majorHAnsi" w:cstheme="majorBidi"/>
                <w:color w:val="auto"/>
              </w:rPr>
              <w:t xml:space="preserve"> Interaktivní mapa zobrazující dostupné kapacity sítě - 2. fáze</w:t>
            </w:r>
          </w:p>
          <w:p w14:paraId="240343F3" w14:textId="4DDA0C71" w:rsidR="404444EF" w:rsidRDefault="404444EF" w:rsidP="404444EF">
            <w:pPr>
              <w:pBdr>
                <w:top w:val="nil"/>
                <w:left w:val="nil"/>
                <w:bottom w:val="nil"/>
                <w:right w:val="nil"/>
                <w:between w:val="nil"/>
              </w:pBdr>
              <w:spacing w:after="0" w:line="240" w:lineRule="auto"/>
              <w:jc w:val="both"/>
              <w:rPr>
                <w:rFonts w:asciiTheme="majorHAnsi" w:eastAsia="Times New Roman" w:hAnsiTheme="majorHAnsi" w:cstheme="majorBidi"/>
                <w:color w:val="auto"/>
              </w:rPr>
            </w:pPr>
          </w:p>
          <w:p w14:paraId="5AE46593" w14:textId="278E2C75" w:rsidR="00665C35" w:rsidRPr="002D279B" w:rsidRDefault="6A04B9F2" w:rsidP="404444EF">
            <w:pPr>
              <w:pBdr>
                <w:top w:val="nil"/>
                <w:left w:val="nil"/>
                <w:bottom w:val="nil"/>
                <w:right w:val="nil"/>
                <w:between w:val="nil"/>
              </w:pBdr>
              <w:spacing w:after="0" w:line="240" w:lineRule="auto"/>
              <w:jc w:val="both"/>
              <w:rPr>
                <w:rFonts w:asciiTheme="majorHAnsi" w:eastAsia="Times New Roman" w:hAnsiTheme="majorHAnsi" w:cstheme="majorBidi"/>
              </w:rPr>
            </w:pPr>
            <w:r w:rsidRPr="404444EF">
              <w:rPr>
                <w:rFonts w:asciiTheme="majorHAnsi" w:eastAsia="Times New Roman" w:hAnsiTheme="majorHAnsi" w:cstheme="majorBidi"/>
                <w:color w:val="auto"/>
              </w:rPr>
              <w:t>307 (</w:t>
            </w:r>
            <w:r w:rsidR="1820ECC6" w:rsidRPr="404444EF">
              <w:rPr>
                <w:rFonts w:asciiTheme="majorHAnsi" w:eastAsia="Times New Roman" w:hAnsiTheme="majorHAnsi" w:cstheme="majorBidi"/>
                <w:color w:val="auto"/>
              </w:rPr>
              <w:t>7.1.5.4</w:t>
            </w:r>
            <w:r w:rsidR="7C661A3B" w:rsidRPr="404444EF">
              <w:rPr>
                <w:rFonts w:asciiTheme="majorHAnsi" w:eastAsia="Times New Roman" w:hAnsiTheme="majorHAnsi" w:cstheme="majorBidi"/>
                <w:color w:val="auto"/>
              </w:rPr>
              <w:t>)</w:t>
            </w:r>
            <w:r w:rsidR="1820ECC6" w:rsidRPr="404444EF">
              <w:rPr>
                <w:rFonts w:asciiTheme="majorHAnsi" w:eastAsia="Times New Roman" w:hAnsiTheme="majorHAnsi" w:cstheme="majorBidi"/>
                <w:color w:val="auto"/>
              </w:rPr>
              <w:t xml:space="preserve"> D</w:t>
            </w:r>
            <w:r w:rsidR="1820ECC6" w:rsidRPr="404444EF">
              <w:rPr>
                <w:rFonts w:asciiTheme="majorHAnsi" w:eastAsia="Times New Roman" w:hAnsiTheme="majorHAnsi" w:cstheme="majorBidi"/>
              </w:rPr>
              <w:t>odatečná kumulativní kapacita připojení alespoň 8000 MW obnovitelných zdrojů energie k distribučním sítím</w:t>
            </w:r>
          </w:p>
          <w:p w14:paraId="5181FDB2" w14:textId="50A31281" w:rsidR="404444EF" w:rsidRDefault="404444EF" w:rsidP="404444EF">
            <w:pPr>
              <w:pBdr>
                <w:top w:val="nil"/>
                <w:left w:val="nil"/>
                <w:bottom w:val="nil"/>
                <w:right w:val="nil"/>
                <w:between w:val="nil"/>
              </w:pBdr>
              <w:spacing w:after="0" w:line="240" w:lineRule="auto"/>
              <w:jc w:val="both"/>
              <w:rPr>
                <w:rFonts w:asciiTheme="majorHAnsi" w:eastAsia="Times New Roman" w:hAnsiTheme="majorHAnsi" w:cstheme="majorBidi"/>
              </w:rPr>
            </w:pPr>
          </w:p>
          <w:p w14:paraId="302EB650" w14:textId="7E25484C" w:rsidR="00665C35" w:rsidRPr="002D279B" w:rsidRDefault="29C7555C" w:rsidP="404444EF">
            <w:pPr>
              <w:pBdr>
                <w:top w:val="nil"/>
                <w:left w:val="nil"/>
                <w:bottom w:val="nil"/>
                <w:right w:val="nil"/>
                <w:between w:val="nil"/>
              </w:pBdr>
              <w:spacing w:after="0" w:line="240" w:lineRule="auto"/>
              <w:jc w:val="both"/>
              <w:rPr>
                <w:rFonts w:asciiTheme="majorHAnsi" w:eastAsia="Times New Roman" w:hAnsiTheme="majorHAnsi" w:cstheme="majorBidi"/>
                <w:color w:val="auto"/>
              </w:rPr>
            </w:pPr>
            <w:r w:rsidRPr="404444EF">
              <w:rPr>
                <w:rFonts w:asciiTheme="majorHAnsi" w:eastAsia="Times New Roman" w:hAnsiTheme="majorHAnsi" w:cstheme="majorBidi"/>
                <w:color w:val="auto"/>
              </w:rPr>
              <w:t>308 (</w:t>
            </w:r>
            <w:r w:rsidR="00665C35" w:rsidRPr="404444EF">
              <w:rPr>
                <w:rFonts w:asciiTheme="majorHAnsi" w:eastAsia="Times New Roman" w:hAnsiTheme="majorHAnsi" w:cstheme="majorBidi"/>
                <w:color w:val="auto"/>
              </w:rPr>
              <w:t>7.1.</w:t>
            </w:r>
            <w:r w:rsidR="3791015E" w:rsidRPr="404444EF">
              <w:rPr>
                <w:rFonts w:asciiTheme="majorHAnsi" w:eastAsia="Times New Roman" w:hAnsiTheme="majorHAnsi" w:cstheme="majorBidi"/>
                <w:color w:val="auto"/>
              </w:rPr>
              <w:t>5</w:t>
            </w:r>
            <w:r w:rsidR="00665C35" w:rsidRPr="404444EF">
              <w:rPr>
                <w:rFonts w:asciiTheme="majorHAnsi" w:eastAsia="Times New Roman" w:hAnsiTheme="majorHAnsi" w:cstheme="majorBidi"/>
                <w:color w:val="auto"/>
              </w:rPr>
              <w:t>.</w:t>
            </w:r>
            <w:r w:rsidR="2AD07DD0" w:rsidRPr="404444EF">
              <w:rPr>
                <w:rFonts w:asciiTheme="majorHAnsi" w:eastAsia="Times New Roman" w:hAnsiTheme="majorHAnsi" w:cstheme="majorBidi"/>
                <w:color w:val="auto"/>
              </w:rPr>
              <w:t>5</w:t>
            </w:r>
            <w:r w:rsidR="5CF30A86" w:rsidRPr="404444EF">
              <w:rPr>
                <w:rFonts w:asciiTheme="majorHAnsi" w:eastAsia="Times New Roman" w:hAnsiTheme="majorHAnsi" w:cstheme="majorBidi"/>
                <w:color w:val="auto"/>
              </w:rPr>
              <w:t>)</w:t>
            </w:r>
            <w:r w:rsidR="00665C35" w:rsidRPr="404444EF">
              <w:rPr>
                <w:rFonts w:asciiTheme="majorHAnsi" w:eastAsia="Times New Roman" w:hAnsiTheme="majorHAnsi" w:cstheme="majorBidi"/>
                <w:color w:val="auto"/>
              </w:rPr>
              <w:t xml:space="preserve"> Nová tarifní struktura </w:t>
            </w:r>
          </w:p>
          <w:p w14:paraId="475B1E30" w14:textId="0DA1FEEB" w:rsidR="00665C35" w:rsidRPr="002D279B" w:rsidRDefault="00665C35" w:rsidP="00BD7FB0">
            <w:pPr>
              <w:pBdr>
                <w:top w:val="nil"/>
                <w:left w:val="nil"/>
                <w:bottom w:val="nil"/>
                <w:right w:val="nil"/>
                <w:between w:val="nil"/>
              </w:pBdr>
              <w:spacing w:after="0" w:line="240" w:lineRule="auto"/>
              <w:jc w:val="both"/>
              <w:rPr>
                <w:rFonts w:asciiTheme="majorHAnsi" w:eastAsia="Times New Roman" w:hAnsiTheme="majorHAnsi" w:cstheme="majorHAnsi"/>
                <w:color w:val="auto"/>
              </w:rPr>
            </w:pPr>
          </w:p>
          <w:p w14:paraId="3F5ED995" w14:textId="63434A6D" w:rsidR="004367B3" w:rsidRPr="002D279B" w:rsidRDefault="004367B3" w:rsidP="002700AD">
            <w:pPr>
              <w:pBdr>
                <w:top w:val="nil"/>
                <w:left w:val="nil"/>
                <w:bottom w:val="nil"/>
                <w:right w:val="nil"/>
                <w:between w:val="nil"/>
              </w:pBdr>
              <w:spacing w:after="0" w:line="240" w:lineRule="auto"/>
              <w:jc w:val="both"/>
              <w:rPr>
                <w:rFonts w:asciiTheme="majorHAnsi" w:eastAsia="Times New Roman" w:hAnsiTheme="majorHAnsi" w:cstheme="majorHAnsi"/>
                <w:color w:val="000000"/>
              </w:rPr>
            </w:pPr>
          </w:p>
        </w:tc>
      </w:tr>
      <w:bookmarkEnd w:id="4"/>
      <w:tr w:rsidR="004367B3" w:rsidRPr="002D279B" w14:paraId="553E1440" w14:textId="77777777" w:rsidTr="404444EF">
        <w:tc>
          <w:tcPr>
            <w:tcW w:w="2405" w:type="dxa"/>
          </w:tcPr>
          <w:p w14:paraId="6096873C" w14:textId="77777777" w:rsidR="004367B3" w:rsidRPr="002D279B" w:rsidRDefault="004367B3" w:rsidP="00DB421D">
            <w:pPr>
              <w:pBdr>
                <w:top w:val="nil"/>
                <w:left w:val="nil"/>
                <w:bottom w:val="nil"/>
                <w:right w:val="nil"/>
                <w:between w:val="nil"/>
              </w:pBdr>
              <w:spacing w:after="0" w:line="240" w:lineRule="auto"/>
              <w:rPr>
                <w:rFonts w:asciiTheme="majorHAnsi" w:eastAsia="Times New Roman" w:hAnsiTheme="majorHAnsi" w:cstheme="majorHAnsi"/>
                <w:color w:val="000000"/>
              </w:rPr>
            </w:pPr>
            <w:r w:rsidRPr="002D279B">
              <w:rPr>
                <w:rFonts w:asciiTheme="majorHAnsi" w:eastAsia="Times New Roman" w:hAnsiTheme="majorHAnsi" w:cstheme="majorHAnsi"/>
                <w:color w:val="000000"/>
              </w:rPr>
              <w:t>Implementace (popis)</w:t>
            </w:r>
          </w:p>
        </w:tc>
        <w:tc>
          <w:tcPr>
            <w:tcW w:w="7223" w:type="dxa"/>
          </w:tcPr>
          <w:p w14:paraId="0D12A0FB" w14:textId="77777777" w:rsidR="004367B3" w:rsidRPr="002D279B" w:rsidRDefault="00FD78BB" w:rsidP="00DB421D">
            <w:pPr>
              <w:pBdr>
                <w:top w:val="nil"/>
                <w:left w:val="nil"/>
                <w:bottom w:val="nil"/>
                <w:right w:val="nil"/>
                <w:between w:val="nil"/>
              </w:pBdr>
              <w:spacing w:after="0" w:line="240" w:lineRule="auto"/>
              <w:jc w:val="both"/>
              <w:rPr>
                <w:rFonts w:asciiTheme="majorHAnsi" w:eastAsia="Times New Roman" w:hAnsiTheme="majorHAnsi" w:cstheme="majorHAnsi"/>
                <w:color w:val="000000"/>
              </w:rPr>
            </w:pPr>
            <w:r w:rsidRPr="002D279B">
              <w:rPr>
                <w:rFonts w:asciiTheme="majorHAnsi" w:eastAsia="Times New Roman" w:hAnsiTheme="majorHAnsi" w:cstheme="majorHAnsi"/>
                <w:color w:val="000000"/>
              </w:rPr>
              <w:t>Novela vyhlášky č. 16/2016 o podmínkách připojení k elektrizační soustavě</w:t>
            </w:r>
          </w:p>
          <w:p w14:paraId="34FD9A97" w14:textId="77777777" w:rsidR="00FD78BB" w:rsidRPr="002D279B" w:rsidRDefault="00FD78BB" w:rsidP="00DB421D">
            <w:pPr>
              <w:pBdr>
                <w:top w:val="nil"/>
                <w:left w:val="nil"/>
                <w:bottom w:val="nil"/>
                <w:right w:val="nil"/>
                <w:between w:val="nil"/>
              </w:pBdr>
              <w:spacing w:after="0" w:line="240" w:lineRule="auto"/>
              <w:jc w:val="both"/>
              <w:rPr>
                <w:rFonts w:asciiTheme="majorHAnsi" w:eastAsia="Times New Roman" w:hAnsiTheme="majorHAnsi" w:cstheme="majorHAnsi"/>
                <w:color w:val="000000"/>
              </w:rPr>
            </w:pPr>
            <w:r w:rsidRPr="002D279B">
              <w:rPr>
                <w:rFonts w:asciiTheme="majorHAnsi" w:eastAsia="Times New Roman" w:hAnsiTheme="majorHAnsi" w:cstheme="majorHAnsi"/>
                <w:color w:val="000000"/>
              </w:rPr>
              <w:t>LEX OZE 2</w:t>
            </w:r>
          </w:p>
          <w:p w14:paraId="679B8B5B" w14:textId="40C6AA30" w:rsidR="00FD78BB" w:rsidRPr="002D279B" w:rsidRDefault="00FD78BB" w:rsidP="00DB421D">
            <w:pPr>
              <w:pBdr>
                <w:top w:val="nil"/>
                <w:left w:val="nil"/>
                <w:bottom w:val="nil"/>
                <w:right w:val="nil"/>
                <w:between w:val="nil"/>
              </w:pBdr>
              <w:spacing w:after="0" w:line="240" w:lineRule="auto"/>
              <w:jc w:val="both"/>
              <w:rPr>
                <w:rFonts w:asciiTheme="majorHAnsi" w:eastAsia="Times New Roman" w:hAnsiTheme="majorHAnsi" w:cstheme="majorHAnsi"/>
                <w:color w:val="000000"/>
              </w:rPr>
            </w:pPr>
            <w:r w:rsidRPr="002D279B">
              <w:rPr>
                <w:rFonts w:asciiTheme="majorHAnsi" w:eastAsia="Times New Roman" w:hAnsiTheme="majorHAnsi" w:cstheme="majorHAnsi"/>
                <w:color w:val="000000"/>
              </w:rPr>
              <w:t>Nová tarifní struktura</w:t>
            </w:r>
          </w:p>
        </w:tc>
      </w:tr>
      <w:tr w:rsidR="004367B3" w:rsidRPr="002D279B" w14:paraId="03A2A8FF" w14:textId="77777777" w:rsidTr="404444EF">
        <w:trPr>
          <w:trHeight w:val="70"/>
        </w:trPr>
        <w:tc>
          <w:tcPr>
            <w:tcW w:w="2405" w:type="dxa"/>
          </w:tcPr>
          <w:p w14:paraId="499BAE32" w14:textId="77777777" w:rsidR="004367B3" w:rsidRPr="002D279B" w:rsidRDefault="004367B3" w:rsidP="00DB421D">
            <w:pPr>
              <w:pBdr>
                <w:top w:val="nil"/>
                <w:left w:val="nil"/>
                <w:bottom w:val="nil"/>
                <w:right w:val="nil"/>
                <w:between w:val="nil"/>
              </w:pBdr>
              <w:spacing w:after="0" w:line="240" w:lineRule="auto"/>
              <w:rPr>
                <w:rFonts w:asciiTheme="majorHAnsi" w:eastAsia="Times New Roman" w:hAnsiTheme="majorHAnsi" w:cstheme="majorHAnsi"/>
                <w:color w:val="000000"/>
              </w:rPr>
            </w:pPr>
            <w:r w:rsidRPr="002D279B">
              <w:rPr>
                <w:rFonts w:asciiTheme="majorHAnsi" w:eastAsia="Times New Roman" w:hAnsiTheme="majorHAnsi" w:cstheme="majorHAnsi"/>
                <w:color w:val="000000"/>
              </w:rPr>
              <w:t>Spolupráce a zapojení zúčastněných stran</w:t>
            </w:r>
          </w:p>
        </w:tc>
        <w:tc>
          <w:tcPr>
            <w:tcW w:w="7223" w:type="dxa"/>
          </w:tcPr>
          <w:p w14:paraId="747690EC" w14:textId="29272FEF" w:rsidR="004367B3" w:rsidRPr="002D279B" w:rsidRDefault="00FD78BB" w:rsidP="00DB421D">
            <w:pPr>
              <w:pBdr>
                <w:top w:val="nil"/>
                <w:left w:val="nil"/>
                <w:bottom w:val="nil"/>
                <w:right w:val="nil"/>
                <w:between w:val="nil"/>
              </w:pBdr>
              <w:spacing w:after="0" w:line="240" w:lineRule="auto"/>
              <w:jc w:val="both"/>
              <w:rPr>
                <w:rFonts w:asciiTheme="majorHAnsi" w:eastAsia="Times New Roman" w:hAnsiTheme="majorHAnsi" w:cstheme="majorHAnsi"/>
                <w:color w:val="000000"/>
              </w:rPr>
            </w:pPr>
            <w:r w:rsidRPr="002D279B">
              <w:rPr>
                <w:rFonts w:asciiTheme="majorHAnsi" w:eastAsia="Times New Roman" w:hAnsiTheme="majorHAnsi" w:cstheme="majorHAnsi"/>
                <w:color w:val="000000"/>
              </w:rPr>
              <w:t>Provozovatelé distribuční soustavy, provozovatel přenosové soustavy, ERÚ</w:t>
            </w:r>
          </w:p>
        </w:tc>
      </w:tr>
      <w:tr w:rsidR="004367B3" w:rsidRPr="002D279B" w14:paraId="31A7DDCC" w14:textId="77777777" w:rsidTr="404444EF">
        <w:tc>
          <w:tcPr>
            <w:tcW w:w="2405" w:type="dxa"/>
          </w:tcPr>
          <w:p w14:paraId="1239EA79" w14:textId="77777777" w:rsidR="004367B3" w:rsidRPr="002D279B" w:rsidRDefault="004367B3" w:rsidP="00DB421D">
            <w:pPr>
              <w:pBdr>
                <w:top w:val="nil"/>
                <w:left w:val="nil"/>
                <w:bottom w:val="nil"/>
                <w:right w:val="nil"/>
                <w:between w:val="nil"/>
              </w:pBdr>
              <w:spacing w:after="0" w:line="240" w:lineRule="auto"/>
              <w:rPr>
                <w:rFonts w:asciiTheme="majorHAnsi" w:eastAsia="Times New Roman" w:hAnsiTheme="majorHAnsi" w:cstheme="majorHAnsi"/>
                <w:color w:val="000000"/>
              </w:rPr>
            </w:pPr>
            <w:r w:rsidRPr="002D279B">
              <w:rPr>
                <w:rFonts w:asciiTheme="majorHAnsi" w:eastAsia="Times New Roman" w:hAnsiTheme="majorHAnsi" w:cstheme="majorHAnsi"/>
                <w:color w:val="000000"/>
              </w:rPr>
              <w:t>Překážky a rizika</w:t>
            </w:r>
          </w:p>
        </w:tc>
        <w:tc>
          <w:tcPr>
            <w:tcW w:w="7223" w:type="dxa"/>
          </w:tcPr>
          <w:p w14:paraId="52E4E166" w14:textId="77777777" w:rsidR="004367B3" w:rsidRPr="002D279B" w:rsidRDefault="004367B3" w:rsidP="00DB421D">
            <w:pPr>
              <w:pBdr>
                <w:top w:val="nil"/>
                <w:left w:val="nil"/>
                <w:bottom w:val="nil"/>
                <w:right w:val="nil"/>
                <w:between w:val="nil"/>
              </w:pBdr>
              <w:spacing w:after="0" w:line="240" w:lineRule="auto"/>
              <w:jc w:val="both"/>
              <w:rPr>
                <w:rFonts w:asciiTheme="majorHAnsi" w:eastAsia="Times New Roman" w:hAnsiTheme="majorHAnsi" w:cstheme="majorHAnsi"/>
                <w:color w:val="000000"/>
              </w:rPr>
            </w:pPr>
            <w:r w:rsidRPr="002D279B">
              <w:rPr>
                <w:rFonts w:asciiTheme="majorHAnsi" w:eastAsia="Times New Roman" w:hAnsiTheme="majorHAnsi" w:cstheme="majorHAnsi"/>
                <w:color w:val="000000"/>
              </w:rPr>
              <w:t>Délka legislativního procesu</w:t>
            </w:r>
          </w:p>
        </w:tc>
      </w:tr>
      <w:tr w:rsidR="004367B3" w:rsidRPr="002D279B" w14:paraId="62FFAD52" w14:textId="77777777" w:rsidTr="404444EF">
        <w:tc>
          <w:tcPr>
            <w:tcW w:w="2405" w:type="dxa"/>
          </w:tcPr>
          <w:p w14:paraId="0FF4A97D" w14:textId="77777777" w:rsidR="004367B3" w:rsidRPr="002D279B" w:rsidRDefault="004367B3" w:rsidP="00DB421D">
            <w:pPr>
              <w:pBdr>
                <w:top w:val="nil"/>
                <w:left w:val="nil"/>
                <w:bottom w:val="nil"/>
                <w:right w:val="nil"/>
                <w:between w:val="nil"/>
              </w:pBdr>
              <w:spacing w:after="0" w:line="240" w:lineRule="auto"/>
              <w:rPr>
                <w:rFonts w:asciiTheme="majorHAnsi" w:eastAsia="Times New Roman" w:hAnsiTheme="majorHAnsi" w:cstheme="majorHAnsi"/>
                <w:color w:val="000000"/>
              </w:rPr>
            </w:pPr>
            <w:r w:rsidRPr="002D279B">
              <w:rPr>
                <w:rFonts w:asciiTheme="majorHAnsi" w:eastAsia="Times New Roman" w:hAnsiTheme="majorHAnsi" w:cstheme="majorHAnsi"/>
                <w:color w:val="000000"/>
              </w:rPr>
              <w:t>Cílové skupiny populace a ekonomické subjekty</w:t>
            </w:r>
          </w:p>
        </w:tc>
        <w:tc>
          <w:tcPr>
            <w:tcW w:w="7223" w:type="dxa"/>
          </w:tcPr>
          <w:p w14:paraId="3816D3BD" w14:textId="2021CDB0" w:rsidR="004367B3" w:rsidRPr="002D279B" w:rsidRDefault="004367B3" w:rsidP="00DB421D">
            <w:pPr>
              <w:pBdr>
                <w:top w:val="nil"/>
                <w:left w:val="nil"/>
                <w:bottom w:val="nil"/>
                <w:right w:val="nil"/>
                <w:between w:val="nil"/>
              </w:pBdr>
              <w:spacing w:after="0" w:line="240" w:lineRule="auto"/>
              <w:jc w:val="both"/>
              <w:rPr>
                <w:rFonts w:asciiTheme="majorHAnsi" w:eastAsia="Times New Roman" w:hAnsiTheme="majorHAnsi" w:cstheme="majorHAnsi"/>
                <w:color w:val="000000"/>
              </w:rPr>
            </w:pPr>
            <w:r w:rsidRPr="002D279B">
              <w:rPr>
                <w:rFonts w:asciiTheme="majorHAnsi" w:eastAsia="Times New Roman" w:hAnsiTheme="majorHAnsi" w:cstheme="majorHAnsi"/>
                <w:color w:val="000000"/>
              </w:rPr>
              <w:t>Provozovatelé výroben elektřiny</w:t>
            </w:r>
            <w:r w:rsidR="0007624D" w:rsidRPr="002D279B">
              <w:rPr>
                <w:rFonts w:asciiTheme="majorHAnsi" w:eastAsia="Times New Roman" w:hAnsiTheme="majorHAnsi" w:cstheme="majorHAnsi"/>
                <w:color w:val="000000"/>
              </w:rPr>
              <w:t xml:space="preserve"> z OZE</w:t>
            </w:r>
          </w:p>
          <w:p w14:paraId="5EC5BD65" w14:textId="77777777" w:rsidR="004367B3" w:rsidRPr="002D279B" w:rsidRDefault="004367B3" w:rsidP="00DB421D">
            <w:pPr>
              <w:pBdr>
                <w:top w:val="nil"/>
                <w:left w:val="nil"/>
                <w:bottom w:val="nil"/>
                <w:right w:val="nil"/>
                <w:between w:val="nil"/>
              </w:pBdr>
              <w:spacing w:after="0" w:line="240" w:lineRule="auto"/>
              <w:jc w:val="both"/>
              <w:rPr>
                <w:rFonts w:asciiTheme="majorHAnsi" w:eastAsia="Times New Roman" w:hAnsiTheme="majorHAnsi" w:cstheme="majorHAnsi"/>
                <w:color w:val="000000"/>
              </w:rPr>
            </w:pPr>
            <w:r w:rsidRPr="002D279B">
              <w:rPr>
                <w:rFonts w:asciiTheme="majorHAnsi" w:eastAsia="Times New Roman" w:hAnsiTheme="majorHAnsi" w:cstheme="majorHAnsi"/>
                <w:color w:val="000000"/>
              </w:rPr>
              <w:t>Žadatelé o připojení výrobny elektřiny k distribuční soustavě</w:t>
            </w:r>
          </w:p>
        </w:tc>
      </w:tr>
      <w:tr w:rsidR="004367B3" w:rsidRPr="002D279B" w14:paraId="24964C59" w14:textId="77777777" w:rsidTr="404444EF">
        <w:tc>
          <w:tcPr>
            <w:tcW w:w="2405" w:type="dxa"/>
          </w:tcPr>
          <w:p w14:paraId="05A916A2" w14:textId="77777777" w:rsidR="004367B3" w:rsidRPr="002D279B" w:rsidRDefault="004367B3" w:rsidP="00DB421D">
            <w:pPr>
              <w:pBdr>
                <w:top w:val="nil"/>
                <w:left w:val="nil"/>
                <w:bottom w:val="nil"/>
                <w:right w:val="nil"/>
                <w:between w:val="nil"/>
              </w:pBdr>
              <w:spacing w:after="0" w:line="240" w:lineRule="auto"/>
              <w:rPr>
                <w:rFonts w:asciiTheme="majorHAnsi" w:eastAsia="Times New Roman" w:hAnsiTheme="majorHAnsi" w:cstheme="majorHAnsi"/>
                <w:color w:val="000000"/>
              </w:rPr>
            </w:pPr>
            <w:r w:rsidRPr="002D279B">
              <w:rPr>
                <w:rFonts w:asciiTheme="majorHAnsi" w:eastAsia="Times New Roman" w:hAnsiTheme="majorHAnsi" w:cstheme="majorHAnsi"/>
                <w:color w:val="000000"/>
              </w:rPr>
              <w:t>Souhrnné náklady realizace financované z RRF za celé období</w:t>
            </w:r>
          </w:p>
        </w:tc>
        <w:tc>
          <w:tcPr>
            <w:tcW w:w="7223" w:type="dxa"/>
          </w:tcPr>
          <w:p w14:paraId="42D5F149" w14:textId="77777777" w:rsidR="004367B3" w:rsidRPr="002D279B" w:rsidRDefault="004367B3" w:rsidP="00DB421D">
            <w:pPr>
              <w:pBdr>
                <w:top w:val="nil"/>
                <w:left w:val="nil"/>
                <w:bottom w:val="nil"/>
                <w:right w:val="nil"/>
                <w:between w:val="nil"/>
              </w:pBdr>
              <w:spacing w:after="0" w:line="240" w:lineRule="auto"/>
              <w:jc w:val="both"/>
              <w:rPr>
                <w:rFonts w:asciiTheme="majorHAnsi" w:eastAsia="Times New Roman" w:hAnsiTheme="majorHAnsi" w:cstheme="majorHAnsi"/>
                <w:i/>
                <w:color w:val="auto"/>
              </w:rPr>
            </w:pPr>
            <w:r w:rsidRPr="002D279B">
              <w:rPr>
                <w:rFonts w:asciiTheme="majorHAnsi" w:eastAsia="Times New Roman" w:hAnsiTheme="majorHAnsi" w:cstheme="majorHAnsi"/>
              </w:rPr>
              <w:t xml:space="preserve">Jedná se o legislativní opatření bez dopadů do nákladů </w:t>
            </w:r>
          </w:p>
        </w:tc>
      </w:tr>
      <w:tr w:rsidR="004367B3" w:rsidRPr="002D279B" w14:paraId="6D5EC297" w14:textId="77777777" w:rsidTr="404444EF">
        <w:tc>
          <w:tcPr>
            <w:tcW w:w="2405" w:type="dxa"/>
          </w:tcPr>
          <w:p w14:paraId="34FBA91B" w14:textId="77777777" w:rsidR="004367B3" w:rsidRPr="002D279B" w:rsidRDefault="004367B3" w:rsidP="00DB421D">
            <w:pPr>
              <w:pBdr>
                <w:top w:val="nil"/>
                <w:left w:val="nil"/>
                <w:bottom w:val="nil"/>
                <w:right w:val="nil"/>
                <w:between w:val="nil"/>
              </w:pBdr>
              <w:spacing w:after="0" w:line="240" w:lineRule="auto"/>
              <w:rPr>
                <w:rFonts w:asciiTheme="majorHAnsi" w:eastAsia="Times New Roman" w:hAnsiTheme="majorHAnsi" w:cstheme="majorHAnsi"/>
                <w:color w:val="000000"/>
              </w:rPr>
            </w:pPr>
            <w:r w:rsidRPr="002D279B">
              <w:rPr>
                <w:rFonts w:asciiTheme="majorHAnsi" w:eastAsia="Times New Roman" w:hAnsiTheme="majorHAnsi" w:cstheme="majorHAnsi"/>
                <w:color w:val="000000"/>
              </w:rPr>
              <w:t>Dodržování pravidel státní podpory</w:t>
            </w:r>
          </w:p>
        </w:tc>
        <w:tc>
          <w:tcPr>
            <w:tcW w:w="7223" w:type="dxa"/>
          </w:tcPr>
          <w:p w14:paraId="3593422F" w14:textId="32CEBD42" w:rsidR="004367B3" w:rsidRPr="002D279B" w:rsidRDefault="004367B3" w:rsidP="0ECE6430">
            <w:pPr>
              <w:pBdr>
                <w:top w:val="nil"/>
                <w:left w:val="nil"/>
                <w:bottom w:val="nil"/>
                <w:right w:val="nil"/>
                <w:between w:val="nil"/>
              </w:pBdr>
              <w:spacing w:after="0" w:line="240" w:lineRule="auto"/>
              <w:jc w:val="both"/>
              <w:rPr>
                <w:rFonts w:asciiTheme="majorHAnsi" w:eastAsia="Times New Roman" w:hAnsiTheme="majorHAnsi" w:cstheme="majorBidi"/>
                <w:i/>
                <w:iCs/>
                <w:color w:val="auto"/>
              </w:rPr>
            </w:pPr>
            <w:r w:rsidRPr="0ECE6430">
              <w:rPr>
                <w:rFonts w:asciiTheme="majorHAnsi" w:eastAsia="Times New Roman" w:hAnsiTheme="majorHAnsi" w:cstheme="majorBidi"/>
              </w:rPr>
              <w:t>Nerelevantní</w:t>
            </w:r>
            <w:r w:rsidR="6CA51C13" w:rsidRPr="0ECE6430">
              <w:rPr>
                <w:rFonts w:asciiTheme="majorHAnsi" w:eastAsia="Times New Roman" w:hAnsiTheme="majorHAnsi" w:cstheme="majorBidi"/>
              </w:rPr>
              <w:t>, jedná se o legislativní opatření</w:t>
            </w:r>
          </w:p>
        </w:tc>
      </w:tr>
      <w:tr w:rsidR="004367B3" w:rsidRPr="002D279B" w14:paraId="00E7D625" w14:textId="77777777" w:rsidTr="404444EF">
        <w:tc>
          <w:tcPr>
            <w:tcW w:w="2405" w:type="dxa"/>
          </w:tcPr>
          <w:p w14:paraId="675BF990" w14:textId="77777777" w:rsidR="004367B3" w:rsidRPr="002D279B" w:rsidRDefault="004367B3" w:rsidP="00DB421D">
            <w:pPr>
              <w:pBdr>
                <w:top w:val="nil"/>
                <w:left w:val="nil"/>
                <w:bottom w:val="nil"/>
                <w:right w:val="nil"/>
                <w:between w:val="nil"/>
              </w:pBdr>
              <w:spacing w:after="0" w:line="240" w:lineRule="auto"/>
              <w:rPr>
                <w:rFonts w:asciiTheme="majorHAnsi" w:eastAsia="Times New Roman" w:hAnsiTheme="majorHAnsi" w:cstheme="majorHAnsi"/>
                <w:color w:val="000000"/>
              </w:rPr>
            </w:pPr>
            <w:r w:rsidRPr="002D279B">
              <w:rPr>
                <w:rFonts w:asciiTheme="majorHAnsi" w:eastAsia="Times New Roman" w:hAnsiTheme="majorHAnsi" w:cstheme="majorHAnsi"/>
                <w:color w:val="000000"/>
              </w:rPr>
              <w:t>Doba implementace</w:t>
            </w:r>
          </w:p>
        </w:tc>
        <w:tc>
          <w:tcPr>
            <w:tcW w:w="7223" w:type="dxa"/>
          </w:tcPr>
          <w:p w14:paraId="74D7BFCA" w14:textId="77777777" w:rsidR="0007624D" w:rsidRPr="002D279B" w:rsidRDefault="004367B3" w:rsidP="0007624D">
            <w:pPr>
              <w:pBdr>
                <w:top w:val="nil"/>
                <w:left w:val="nil"/>
                <w:bottom w:val="nil"/>
                <w:right w:val="nil"/>
                <w:between w:val="nil"/>
              </w:pBdr>
              <w:spacing w:after="0" w:line="240" w:lineRule="auto"/>
              <w:jc w:val="both"/>
              <w:rPr>
                <w:rFonts w:asciiTheme="majorHAnsi" w:eastAsia="Times New Roman" w:hAnsiTheme="majorHAnsi" w:cstheme="majorHAnsi"/>
              </w:rPr>
            </w:pPr>
            <w:r w:rsidRPr="002D279B">
              <w:rPr>
                <w:rFonts w:asciiTheme="majorHAnsi" w:eastAsia="Times New Roman" w:hAnsiTheme="majorHAnsi" w:cstheme="majorHAnsi"/>
              </w:rPr>
              <w:t xml:space="preserve"> </w:t>
            </w:r>
            <w:r w:rsidR="0007624D" w:rsidRPr="002D279B">
              <w:rPr>
                <w:rFonts w:asciiTheme="majorHAnsi" w:eastAsia="Times New Roman" w:hAnsiTheme="majorHAnsi" w:cstheme="majorHAnsi"/>
              </w:rPr>
              <w:t>Milník:</w:t>
            </w:r>
          </w:p>
          <w:p w14:paraId="13E59602" w14:textId="77777777" w:rsidR="0007624D" w:rsidRPr="002D279B" w:rsidRDefault="0007624D" w:rsidP="0007624D">
            <w:pPr>
              <w:pBdr>
                <w:top w:val="nil"/>
                <w:left w:val="nil"/>
                <w:bottom w:val="nil"/>
                <w:right w:val="nil"/>
                <w:between w:val="nil"/>
              </w:pBdr>
              <w:spacing w:after="0" w:line="240" w:lineRule="auto"/>
              <w:jc w:val="both"/>
              <w:rPr>
                <w:rFonts w:asciiTheme="majorHAnsi" w:eastAsia="Times New Roman" w:hAnsiTheme="majorHAnsi" w:cstheme="majorHAnsi"/>
              </w:rPr>
            </w:pPr>
          </w:p>
          <w:p w14:paraId="69B8744F" w14:textId="6FB55A84" w:rsidR="0007624D" w:rsidRPr="002D279B" w:rsidRDefault="03FEB171" w:rsidP="404444EF">
            <w:pPr>
              <w:pBdr>
                <w:top w:val="nil"/>
                <w:left w:val="nil"/>
                <w:bottom w:val="nil"/>
                <w:right w:val="nil"/>
                <w:between w:val="nil"/>
              </w:pBdr>
              <w:spacing w:after="0" w:line="240" w:lineRule="auto"/>
              <w:jc w:val="both"/>
              <w:rPr>
                <w:rFonts w:asciiTheme="majorHAnsi" w:eastAsia="Times New Roman" w:hAnsiTheme="majorHAnsi" w:cstheme="majorBidi"/>
              </w:rPr>
            </w:pPr>
            <w:r w:rsidRPr="404444EF">
              <w:rPr>
                <w:rFonts w:asciiTheme="majorHAnsi" w:eastAsia="Times New Roman" w:hAnsiTheme="majorHAnsi" w:cstheme="majorBidi"/>
              </w:rPr>
              <w:t>304 (</w:t>
            </w:r>
            <w:r w:rsidR="0007624D" w:rsidRPr="404444EF">
              <w:rPr>
                <w:rFonts w:asciiTheme="majorHAnsi" w:eastAsia="Times New Roman" w:hAnsiTheme="majorHAnsi" w:cstheme="majorBidi"/>
              </w:rPr>
              <w:t>7.1.</w:t>
            </w:r>
            <w:r w:rsidR="7891CBA2" w:rsidRPr="404444EF">
              <w:rPr>
                <w:rFonts w:asciiTheme="majorHAnsi" w:eastAsia="Times New Roman" w:hAnsiTheme="majorHAnsi" w:cstheme="majorBidi"/>
              </w:rPr>
              <w:t>5</w:t>
            </w:r>
            <w:r w:rsidR="0007624D" w:rsidRPr="404444EF">
              <w:rPr>
                <w:rFonts w:asciiTheme="majorHAnsi" w:eastAsia="Times New Roman" w:hAnsiTheme="majorHAnsi" w:cstheme="majorBidi"/>
              </w:rPr>
              <w:t>.1</w:t>
            </w:r>
            <w:r w:rsidR="74AE28CC" w:rsidRPr="404444EF">
              <w:rPr>
                <w:rFonts w:asciiTheme="majorHAnsi" w:eastAsia="Times New Roman" w:hAnsiTheme="majorHAnsi" w:cstheme="majorBidi"/>
              </w:rPr>
              <w:t>)</w:t>
            </w:r>
            <w:r w:rsidR="0007624D" w:rsidRPr="404444EF">
              <w:rPr>
                <w:rFonts w:asciiTheme="majorHAnsi" w:eastAsia="Times New Roman" w:hAnsiTheme="majorHAnsi" w:cstheme="majorBidi"/>
              </w:rPr>
              <w:t xml:space="preserve"> Q1/2024 </w:t>
            </w:r>
          </w:p>
          <w:p w14:paraId="6452F3A2" w14:textId="77777777" w:rsidR="0007624D" w:rsidRPr="002D279B" w:rsidRDefault="0007624D" w:rsidP="0007624D">
            <w:pPr>
              <w:pBdr>
                <w:top w:val="nil"/>
                <w:left w:val="nil"/>
                <w:bottom w:val="nil"/>
                <w:right w:val="nil"/>
                <w:between w:val="nil"/>
              </w:pBdr>
              <w:spacing w:after="0" w:line="240" w:lineRule="auto"/>
              <w:jc w:val="both"/>
              <w:rPr>
                <w:rFonts w:asciiTheme="majorHAnsi" w:eastAsia="Times New Roman" w:hAnsiTheme="majorHAnsi" w:cstheme="majorHAnsi"/>
              </w:rPr>
            </w:pPr>
          </w:p>
          <w:p w14:paraId="5D596E22" w14:textId="44E9F9AA" w:rsidR="0007624D" w:rsidRPr="002D279B" w:rsidRDefault="3A7A3389" w:rsidP="404444EF">
            <w:pPr>
              <w:pBdr>
                <w:top w:val="nil"/>
                <w:left w:val="nil"/>
                <w:bottom w:val="nil"/>
                <w:right w:val="nil"/>
                <w:between w:val="nil"/>
              </w:pBdr>
              <w:spacing w:after="0" w:line="240" w:lineRule="auto"/>
              <w:jc w:val="both"/>
              <w:rPr>
                <w:rFonts w:asciiTheme="majorHAnsi" w:eastAsia="Times New Roman" w:hAnsiTheme="majorHAnsi" w:cstheme="majorBidi"/>
              </w:rPr>
            </w:pPr>
            <w:r w:rsidRPr="404444EF">
              <w:rPr>
                <w:rFonts w:asciiTheme="majorHAnsi" w:eastAsia="Times New Roman" w:hAnsiTheme="majorHAnsi" w:cstheme="majorBidi"/>
              </w:rPr>
              <w:t>305 (</w:t>
            </w:r>
            <w:r w:rsidR="0007624D" w:rsidRPr="404444EF">
              <w:rPr>
                <w:rFonts w:asciiTheme="majorHAnsi" w:eastAsia="Times New Roman" w:hAnsiTheme="majorHAnsi" w:cstheme="majorBidi"/>
              </w:rPr>
              <w:t>7.1.</w:t>
            </w:r>
            <w:r w:rsidR="62DA010C" w:rsidRPr="404444EF">
              <w:rPr>
                <w:rFonts w:asciiTheme="majorHAnsi" w:eastAsia="Times New Roman" w:hAnsiTheme="majorHAnsi" w:cstheme="majorBidi"/>
              </w:rPr>
              <w:t>5</w:t>
            </w:r>
            <w:r w:rsidR="0007624D" w:rsidRPr="404444EF">
              <w:rPr>
                <w:rFonts w:asciiTheme="majorHAnsi" w:eastAsia="Times New Roman" w:hAnsiTheme="majorHAnsi" w:cstheme="majorBidi"/>
              </w:rPr>
              <w:t>.2</w:t>
            </w:r>
            <w:r w:rsidR="73043FEF" w:rsidRPr="404444EF">
              <w:rPr>
                <w:rFonts w:asciiTheme="majorHAnsi" w:eastAsia="Times New Roman" w:hAnsiTheme="majorHAnsi" w:cstheme="majorBidi"/>
              </w:rPr>
              <w:t>)</w:t>
            </w:r>
            <w:r w:rsidR="0007624D" w:rsidRPr="404444EF">
              <w:rPr>
                <w:rFonts w:asciiTheme="majorHAnsi" w:eastAsia="Times New Roman" w:hAnsiTheme="majorHAnsi" w:cstheme="majorBidi"/>
              </w:rPr>
              <w:t xml:space="preserve"> Q1/2024 </w:t>
            </w:r>
          </w:p>
          <w:p w14:paraId="4AE2F7DA" w14:textId="77777777" w:rsidR="0007624D" w:rsidRPr="002D279B" w:rsidRDefault="0007624D" w:rsidP="0007624D">
            <w:pPr>
              <w:pBdr>
                <w:top w:val="nil"/>
                <w:left w:val="nil"/>
                <w:bottom w:val="nil"/>
                <w:right w:val="nil"/>
                <w:between w:val="nil"/>
              </w:pBdr>
              <w:spacing w:after="0" w:line="240" w:lineRule="auto"/>
              <w:jc w:val="both"/>
              <w:rPr>
                <w:rFonts w:asciiTheme="majorHAnsi" w:eastAsia="Times New Roman" w:hAnsiTheme="majorHAnsi" w:cstheme="majorHAnsi"/>
              </w:rPr>
            </w:pPr>
          </w:p>
          <w:p w14:paraId="6FB286EF" w14:textId="4AE4C12B" w:rsidR="0007624D" w:rsidRPr="002D279B" w:rsidRDefault="13AFB77A" w:rsidP="404444EF">
            <w:pPr>
              <w:pBdr>
                <w:top w:val="nil"/>
                <w:left w:val="nil"/>
                <w:bottom w:val="nil"/>
                <w:right w:val="nil"/>
                <w:between w:val="nil"/>
              </w:pBdr>
              <w:spacing w:after="0" w:line="240" w:lineRule="auto"/>
              <w:jc w:val="both"/>
              <w:rPr>
                <w:rFonts w:asciiTheme="majorHAnsi" w:eastAsia="Times New Roman" w:hAnsiTheme="majorHAnsi" w:cstheme="majorBidi"/>
              </w:rPr>
            </w:pPr>
            <w:r w:rsidRPr="404444EF">
              <w:rPr>
                <w:rFonts w:asciiTheme="majorHAnsi" w:eastAsia="Times New Roman" w:hAnsiTheme="majorHAnsi" w:cstheme="majorBidi"/>
              </w:rPr>
              <w:t>306 (</w:t>
            </w:r>
            <w:r w:rsidR="6962EDA1" w:rsidRPr="404444EF">
              <w:rPr>
                <w:rFonts w:asciiTheme="majorHAnsi" w:eastAsia="Times New Roman" w:hAnsiTheme="majorHAnsi" w:cstheme="majorBidi"/>
              </w:rPr>
              <w:t>7.1.</w:t>
            </w:r>
            <w:r w:rsidR="7159D0EC" w:rsidRPr="404444EF">
              <w:rPr>
                <w:rFonts w:asciiTheme="majorHAnsi" w:eastAsia="Times New Roman" w:hAnsiTheme="majorHAnsi" w:cstheme="majorBidi"/>
              </w:rPr>
              <w:t>5</w:t>
            </w:r>
            <w:r w:rsidR="6962EDA1" w:rsidRPr="404444EF">
              <w:rPr>
                <w:rFonts w:asciiTheme="majorHAnsi" w:eastAsia="Times New Roman" w:hAnsiTheme="majorHAnsi" w:cstheme="majorBidi"/>
              </w:rPr>
              <w:t>.3</w:t>
            </w:r>
            <w:r w:rsidR="211F3309" w:rsidRPr="404444EF">
              <w:rPr>
                <w:rFonts w:asciiTheme="majorHAnsi" w:eastAsia="Times New Roman" w:hAnsiTheme="majorHAnsi" w:cstheme="majorBidi"/>
              </w:rPr>
              <w:t>)</w:t>
            </w:r>
            <w:r w:rsidR="6962EDA1" w:rsidRPr="404444EF">
              <w:rPr>
                <w:rFonts w:asciiTheme="majorHAnsi" w:eastAsia="Times New Roman" w:hAnsiTheme="majorHAnsi" w:cstheme="majorBidi"/>
              </w:rPr>
              <w:t xml:space="preserve"> </w:t>
            </w:r>
            <w:r w:rsidR="2CCA072F" w:rsidRPr="404444EF">
              <w:rPr>
                <w:rFonts w:asciiTheme="majorHAnsi" w:eastAsia="Times New Roman" w:hAnsiTheme="majorHAnsi" w:cstheme="majorBidi"/>
              </w:rPr>
              <w:t>Q1/202</w:t>
            </w:r>
            <w:r w:rsidR="0A4028C7" w:rsidRPr="404444EF">
              <w:rPr>
                <w:rFonts w:asciiTheme="majorHAnsi" w:eastAsia="Times New Roman" w:hAnsiTheme="majorHAnsi" w:cstheme="majorBidi"/>
              </w:rPr>
              <w:t>5</w:t>
            </w:r>
          </w:p>
          <w:p w14:paraId="39E4AE7C" w14:textId="269247B3" w:rsidR="71C589F3" w:rsidRDefault="71C589F3" w:rsidP="71C589F3">
            <w:pPr>
              <w:pBdr>
                <w:top w:val="nil"/>
                <w:left w:val="nil"/>
                <w:bottom w:val="nil"/>
                <w:right w:val="nil"/>
                <w:between w:val="nil"/>
              </w:pBdr>
              <w:spacing w:after="0" w:line="240" w:lineRule="auto"/>
              <w:jc w:val="both"/>
              <w:rPr>
                <w:rFonts w:asciiTheme="majorHAnsi" w:eastAsia="Times New Roman" w:hAnsiTheme="majorHAnsi" w:cstheme="majorBidi"/>
              </w:rPr>
            </w:pPr>
          </w:p>
          <w:p w14:paraId="33E36CFC" w14:textId="0E976B31" w:rsidR="0007624D" w:rsidRPr="002D279B" w:rsidRDefault="2E5603E4" w:rsidP="404444EF">
            <w:pPr>
              <w:pBdr>
                <w:top w:val="nil"/>
                <w:left w:val="nil"/>
                <w:bottom w:val="nil"/>
                <w:right w:val="nil"/>
                <w:between w:val="nil"/>
              </w:pBdr>
              <w:spacing w:after="0" w:line="240" w:lineRule="auto"/>
              <w:jc w:val="both"/>
              <w:rPr>
                <w:rFonts w:asciiTheme="majorHAnsi" w:eastAsia="Times New Roman" w:hAnsiTheme="majorHAnsi" w:cstheme="majorBidi"/>
              </w:rPr>
            </w:pPr>
            <w:r w:rsidRPr="404444EF">
              <w:rPr>
                <w:rFonts w:asciiTheme="majorHAnsi" w:eastAsia="Times New Roman" w:hAnsiTheme="majorHAnsi" w:cstheme="majorBidi"/>
              </w:rPr>
              <w:t>307 (</w:t>
            </w:r>
            <w:r w:rsidR="6962EDA1" w:rsidRPr="404444EF">
              <w:rPr>
                <w:rFonts w:asciiTheme="majorHAnsi" w:eastAsia="Times New Roman" w:hAnsiTheme="majorHAnsi" w:cstheme="majorBidi"/>
              </w:rPr>
              <w:t>7.1.</w:t>
            </w:r>
            <w:r w:rsidR="0DD5DE09" w:rsidRPr="404444EF">
              <w:rPr>
                <w:rFonts w:asciiTheme="majorHAnsi" w:eastAsia="Times New Roman" w:hAnsiTheme="majorHAnsi" w:cstheme="majorBidi"/>
              </w:rPr>
              <w:t>5</w:t>
            </w:r>
            <w:r w:rsidR="6962EDA1" w:rsidRPr="404444EF">
              <w:rPr>
                <w:rFonts w:asciiTheme="majorHAnsi" w:eastAsia="Times New Roman" w:hAnsiTheme="majorHAnsi" w:cstheme="majorBidi"/>
              </w:rPr>
              <w:t>.4</w:t>
            </w:r>
            <w:r w:rsidR="21C5D371" w:rsidRPr="404444EF">
              <w:rPr>
                <w:rFonts w:asciiTheme="majorHAnsi" w:eastAsia="Times New Roman" w:hAnsiTheme="majorHAnsi" w:cstheme="majorBidi"/>
              </w:rPr>
              <w:t>)</w:t>
            </w:r>
            <w:r w:rsidR="3736B0D4" w:rsidRPr="404444EF">
              <w:rPr>
                <w:rFonts w:asciiTheme="majorHAnsi" w:eastAsia="Times New Roman" w:hAnsiTheme="majorHAnsi" w:cstheme="majorBidi"/>
              </w:rPr>
              <w:t xml:space="preserve"> Q2/2026</w:t>
            </w:r>
          </w:p>
          <w:p w14:paraId="2AAED1F3" w14:textId="77777777" w:rsidR="0007624D" w:rsidRPr="002D279B" w:rsidRDefault="0007624D" w:rsidP="0007624D">
            <w:pPr>
              <w:pBdr>
                <w:top w:val="nil"/>
                <w:left w:val="nil"/>
                <w:bottom w:val="nil"/>
                <w:right w:val="nil"/>
                <w:between w:val="nil"/>
              </w:pBdr>
              <w:spacing w:after="0" w:line="240" w:lineRule="auto"/>
              <w:jc w:val="both"/>
              <w:rPr>
                <w:rFonts w:asciiTheme="majorHAnsi" w:eastAsia="Times New Roman" w:hAnsiTheme="majorHAnsi" w:cstheme="majorHAnsi"/>
              </w:rPr>
            </w:pPr>
          </w:p>
          <w:p w14:paraId="0FB929DA" w14:textId="19675CD0" w:rsidR="0007624D" w:rsidRPr="002D279B" w:rsidRDefault="4D644FE6" w:rsidP="404444EF">
            <w:pPr>
              <w:pBdr>
                <w:top w:val="nil"/>
                <w:left w:val="nil"/>
                <w:bottom w:val="nil"/>
                <w:right w:val="nil"/>
                <w:between w:val="nil"/>
              </w:pBdr>
              <w:spacing w:after="0" w:line="240" w:lineRule="auto"/>
              <w:jc w:val="both"/>
              <w:rPr>
                <w:rFonts w:asciiTheme="majorHAnsi" w:eastAsia="Times New Roman" w:hAnsiTheme="majorHAnsi" w:cstheme="majorBidi"/>
              </w:rPr>
            </w:pPr>
            <w:r w:rsidRPr="404444EF">
              <w:rPr>
                <w:rFonts w:asciiTheme="majorHAnsi" w:eastAsia="Times New Roman" w:hAnsiTheme="majorHAnsi" w:cstheme="majorBidi"/>
              </w:rPr>
              <w:lastRenderedPageBreak/>
              <w:t>308 (</w:t>
            </w:r>
            <w:r w:rsidR="0007624D" w:rsidRPr="404444EF">
              <w:rPr>
                <w:rFonts w:asciiTheme="majorHAnsi" w:eastAsia="Times New Roman" w:hAnsiTheme="majorHAnsi" w:cstheme="majorBidi"/>
              </w:rPr>
              <w:t>7.1.</w:t>
            </w:r>
            <w:r w:rsidR="67DFC2FB" w:rsidRPr="404444EF">
              <w:rPr>
                <w:rFonts w:asciiTheme="majorHAnsi" w:eastAsia="Times New Roman" w:hAnsiTheme="majorHAnsi" w:cstheme="majorBidi"/>
              </w:rPr>
              <w:t>5.5</w:t>
            </w:r>
            <w:r w:rsidR="347705A8" w:rsidRPr="404444EF">
              <w:rPr>
                <w:rFonts w:asciiTheme="majorHAnsi" w:eastAsia="Times New Roman" w:hAnsiTheme="majorHAnsi" w:cstheme="majorBidi"/>
              </w:rPr>
              <w:t>)</w:t>
            </w:r>
            <w:r w:rsidR="0007624D" w:rsidRPr="404444EF">
              <w:rPr>
                <w:rFonts w:asciiTheme="majorHAnsi" w:eastAsia="Times New Roman" w:hAnsiTheme="majorHAnsi" w:cstheme="majorBidi"/>
              </w:rPr>
              <w:t xml:space="preserve"> Q1/2026</w:t>
            </w:r>
          </w:p>
          <w:p w14:paraId="4D874A1D" w14:textId="77777777" w:rsidR="0007624D" w:rsidRPr="002D279B" w:rsidRDefault="0007624D" w:rsidP="0007624D">
            <w:pPr>
              <w:pBdr>
                <w:top w:val="nil"/>
                <w:left w:val="nil"/>
                <w:bottom w:val="nil"/>
                <w:right w:val="nil"/>
                <w:between w:val="nil"/>
              </w:pBdr>
              <w:spacing w:after="0" w:line="240" w:lineRule="auto"/>
              <w:jc w:val="both"/>
              <w:rPr>
                <w:rFonts w:asciiTheme="majorHAnsi" w:eastAsia="Times New Roman" w:hAnsiTheme="majorHAnsi" w:cstheme="majorHAnsi"/>
              </w:rPr>
            </w:pPr>
          </w:p>
          <w:p w14:paraId="7959B0FD" w14:textId="4BDCA357" w:rsidR="004367B3" w:rsidRPr="002D279B" w:rsidRDefault="004367B3" w:rsidP="0007624D">
            <w:pPr>
              <w:pBdr>
                <w:top w:val="nil"/>
                <w:left w:val="nil"/>
                <w:bottom w:val="nil"/>
                <w:right w:val="nil"/>
                <w:between w:val="nil"/>
              </w:pBdr>
              <w:spacing w:after="0" w:line="240" w:lineRule="auto"/>
              <w:jc w:val="both"/>
              <w:rPr>
                <w:rFonts w:asciiTheme="majorHAnsi" w:eastAsia="Times New Roman" w:hAnsiTheme="majorHAnsi" w:cstheme="majorHAnsi"/>
                <w:color w:val="auto"/>
              </w:rPr>
            </w:pPr>
          </w:p>
        </w:tc>
      </w:tr>
    </w:tbl>
    <w:p w14:paraId="590F0336" w14:textId="77777777" w:rsidR="004367B3" w:rsidRPr="002D279B" w:rsidRDefault="004367B3" w:rsidP="004367B3">
      <w:pPr>
        <w:pStyle w:val="K-TextInfo"/>
        <w:rPr>
          <w:rFonts w:asciiTheme="minorHAnsi" w:eastAsiaTheme="minorEastAsia" w:hAnsiTheme="minorHAnsi" w:cstheme="minorHAnsi"/>
          <w:i w:val="0"/>
          <w:iCs w:val="0"/>
          <w:color w:val="auto"/>
          <w:sz w:val="22"/>
          <w:szCs w:val="22"/>
        </w:rPr>
      </w:pPr>
    </w:p>
    <w:p w14:paraId="5B77CC5D" w14:textId="77777777" w:rsidR="5DB2206F" w:rsidRPr="002D279B" w:rsidRDefault="54C51FBB" w:rsidP="003C2D9B">
      <w:pPr>
        <w:pStyle w:val="K-Nadpis2"/>
        <w:rPr>
          <w:sz w:val="22"/>
          <w:szCs w:val="22"/>
        </w:rPr>
      </w:pPr>
      <w:r w:rsidRPr="002D279B">
        <w:rPr>
          <w:sz w:val="22"/>
          <w:szCs w:val="22"/>
        </w:rPr>
        <w:t>Strategická autonomie a bezpečnostní problematika</w:t>
      </w:r>
    </w:p>
    <w:p w14:paraId="1DE7E51A" w14:textId="77777777" w:rsidR="00A90CF7" w:rsidRPr="002D279B" w:rsidRDefault="003C2D9B" w:rsidP="00564B70">
      <w:pPr>
        <w:pStyle w:val="K-TextInfo"/>
        <w:rPr>
          <w:rFonts w:asciiTheme="minorHAnsi" w:eastAsiaTheme="minorEastAsia" w:hAnsiTheme="minorHAnsi" w:cstheme="minorHAnsi"/>
          <w:i w:val="0"/>
          <w:iCs w:val="0"/>
          <w:color w:val="auto"/>
          <w:sz w:val="22"/>
          <w:szCs w:val="22"/>
        </w:rPr>
      </w:pPr>
      <w:r w:rsidRPr="002D279B">
        <w:rPr>
          <w:rFonts w:asciiTheme="minorHAnsi" w:eastAsiaTheme="minorEastAsia" w:hAnsiTheme="minorHAnsi" w:cstheme="minorHAnsi"/>
          <w:i w:val="0"/>
          <w:iCs w:val="0"/>
          <w:color w:val="auto"/>
          <w:sz w:val="22"/>
          <w:szCs w:val="22"/>
        </w:rPr>
        <w:t>S nárůstem spotřeby energie a s připojováním nových decentralizovaných zdrojů energie (OZE) úzce souvisí i potřeba zvýšení transformačního výkonu distribuční soustavy</w:t>
      </w:r>
      <w:r w:rsidR="00213036" w:rsidRPr="002D279B">
        <w:rPr>
          <w:rFonts w:asciiTheme="minorHAnsi" w:eastAsiaTheme="minorEastAsia" w:hAnsiTheme="minorHAnsi" w:cstheme="minorHAnsi"/>
          <w:i w:val="0"/>
          <w:iCs w:val="0"/>
          <w:color w:val="auto"/>
          <w:sz w:val="22"/>
          <w:szCs w:val="22"/>
        </w:rPr>
        <w:t xml:space="preserve"> v ČR</w:t>
      </w:r>
      <w:r w:rsidRPr="002D279B">
        <w:rPr>
          <w:rFonts w:asciiTheme="minorHAnsi" w:eastAsiaTheme="minorEastAsia" w:hAnsiTheme="minorHAnsi" w:cstheme="minorHAnsi"/>
          <w:i w:val="0"/>
          <w:iCs w:val="0"/>
          <w:color w:val="auto"/>
          <w:sz w:val="22"/>
          <w:szCs w:val="22"/>
        </w:rPr>
        <w:t xml:space="preserve">. Posílení vnitřní kapacity </w:t>
      </w:r>
      <w:r w:rsidR="00223373" w:rsidRPr="002D279B">
        <w:rPr>
          <w:rFonts w:asciiTheme="minorHAnsi" w:eastAsiaTheme="minorEastAsia" w:hAnsiTheme="minorHAnsi" w:cstheme="minorHAnsi"/>
          <w:i w:val="0"/>
          <w:iCs w:val="0"/>
          <w:color w:val="auto"/>
          <w:sz w:val="22"/>
          <w:szCs w:val="22"/>
        </w:rPr>
        <w:t xml:space="preserve">distribučních </w:t>
      </w:r>
      <w:r w:rsidRPr="002D279B">
        <w:rPr>
          <w:rFonts w:asciiTheme="minorHAnsi" w:eastAsiaTheme="minorEastAsia" w:hAnsiTheme="minorHAnsi" w:cstheme="minorHAnsi"/>
          <w:i w:val="0"/>
          <w:iCs w:val="0"/>
          <w:color w:val="auto"/>
          <w:sz w:val="22"/>
          <w:szCs w:val="22"/>
        </w:rPr>
        <w:t xml:space="preserve">vedení elektrické energie je důležité </w:t>
      </w:r>
      <w:r w:rsidR="00223373" w:rsidRPr="002D279B">
        <w:rPr>
          <w:rFonts w:asciiTheme="minorHAnsi" w:eastAsiaTheme="minorEastAsia" w:hAnsiTheme="minorHAnsi" w:cstheme="minorHAnsi"/>
          <w:i w:val="0"/>
          <w:iCs w:val="0"/>
          <w:color w:val="auto"/>
          <w:sz w:val="22"/>
          <w:szCs w:val="22"/>
        </w:rPr>
        <w:t xml:space="preserve">nejen z hlediska nutnosti reagovat na rapidní růst nových požadavků na navýšení kapacity OZE, ale </w:t>
      </w:r>
      <w:r w:rsidRPr="002D279B">
        <w:rPr>
          <w:rFonts w:asciiTheme="minorHAnsi" w:eastAsiaTheme="minorEastAsia" w:hAnsiTheme="minorHAnsi" w:cstheme="minorHAnsi"/>
          <w:i w:val="0"/>
          <w:iCs w:val="0"/>
          <w:color w:val="auto"/>
          <w:sz w:val="22"/>
          <w:szCs w:val="22"/>
        </w:rPr>
        <w:t>rovněž</w:t>
      </w:r>
      <w:r w:rsidR="00223373" w:rsidRPr="002D279B">
        <w:rPr>
          <w:rFonts w:asciiTheme="minorHAnsi" w:eastAsiaTheme="minorEastAsia" w:hAnsiTheme="minorHAnsi" w:cstheme="minorHAnsi"/>
          <w:i w:val="0"/>
          <w:iCs w:val="0"/>
          <w:color w:val="auto"/>
          <w:sz w:val="22"/>
          <w:szCs w:val="22"/>
        </w:rPr>
        <w:t xml:space="preserve"> i </w:t>
      </w:r>
      <w:r w:rsidRPr="002D279B">
        <w:rPr>
          <w:rFonts w:asciiTheme="minorHAnsi" w:eastAsiaTheme="minorEastAsia" w:hAnsiTheme="minorHAnsi" w:cstheme="minorHAnsi"/>
          <w:i w:val="0"/>
          <w:iCs w:val="0"/>
          <w:color w:val="auto"/>
          <w:sz w:val="22"/>
          <w:szCs w:val="22"/>
        </w:rPr>
        <w:t>z hlediska energetické bezpečnosti a zajištění stálosti dodávek</w:t>
      </w:r>
      <w:r w:rsidR="00223373" w:rsidRPr="002D279B">
        <w:rPr>
          <w:rFonts w:asciiTheme="minorHAnsi" w:eastAsiaTheme="minorEastAsia" w:hAnsiTheme="minorHAnsi" w:cstheme="minorHAnsi"/>
          <w:i w:val="0"/>
          <w:iCs w:val="0"/>
          <w:color w:val="auto"/>
          <w:sz w:val="22"/>
          <w:szCs w:val="22"/>
        </w:rPr>
        <w:t>.</w:t>
      </w:r>
      <w:r w:rsidRPr="002D279B">
        <w:rPr>
          <w:rFonts w:asciiTheme="minorHAnsi" w:eastAsiaTheme="minorEastAsia" w:hAnsiTheme="minorHAnsi" w:cstheme="minorHAnsi"/>
          <w:i w:val="0"/>
          <w:iCs w:val="0"/>
          <w:color w:val="auto"/>
          <w:sz w:val="22"/>
          <w:szCs w:val="22"/>
        </w:rPr>
        <w:t xml:space="preserve"> Celková doba trvání přerušení přenosu elektřiny činila v roce 2019 143 minut, což představuje po nižších hodnotách z let 2016–2017 rámcově návrat k hodnotám z období z let 2013-2015. Úroveň kvality v distribučních soustavách je určena ukazateli nepřetržitosti: (1) průměrný počet přerušení distribuce elektřiny u zákazníků v hodnoceném období (SAIFI) a (2) průměrná souhrnná doba trvání přerušení distribuce elektřiny u zákazníků v hodnoceném období (SAIDI). V roce 2019 dosáhl ukazatel SAIFI počtu 2,32 přerušení za rok a ukazatel SAIDI délky přerušení 288,73 min. za rok. S ohledem na vývoj v posledních 10 letech (průměr SAIFI 2,43, průměr SAIDI 302,7) jde o hodnoty nadprůměrně dobré. Je ovšem potřeba vzít v potaz, že vývoj v jednotlivých letech je značně kolísavý, neboť v roce 2017 byly hodnoty SAIFI 2,76 a SAIDI 431,45. To potvrzuje latentně přetrvávající a v čase se měnící zátěž pro distribuci elektrické energie</w:t>
      </w:r>
      <w:r w:rsidR="00223373" w:rsidRPr="002D279B">
        <w:rPr>
          <w:rFonts w:asciiTheme="minorHAnsi" w:eastAsiaTheme="minorEastAsia" w:hAnsiTheme="minorHAnsi" w:cstheme="minorHAnsi"/>
          <w:i w:val="0"/>
          <w:iCs w:val="0"/>
          <w:color w:val="auto"/>
          <w:sz w:val="22"/>
          <w:szCs w:val="22"/>
        </w:rPr>
        <w:t>, která je nyní výrazněji ohrožena množstvím nově připojovaných OZE a bez transformace distribuční sítě ve smyslu navýšení připojitelného výkonu nebude možné takovému rozvoji OZE vyhovět</w:t>
      </w:r>
    </w:p>
    <w:p w14:paraId="644CDDB3" w14:textId="77777777" w:rsidR="5DB2206F" w:rsidRPr="002D279B" w:rsidRDefault="4D9BC916" w:rsidP="00FA04CF">
      <w:pPr>
        <w:pStyle w:val="K-Nadpis2"/>
        <w:rPr>
          <w:sz w:val="22"/>
          <w:szCs w:val="22"/>
        </w:rPr>
      </w:pPr>
      <w:r w:rsidRPr="002D279B">
        <w:rPr>
          <w:sz w:val="22"/>
          <w:szCs w:val="22"/>
        </w:rPr>
        <w:t>Přeshraniční a mezinárodní projekty</w:t>
      </w:r>
    </w:p>
    <w:p w14:paraId="73E21243" w14:textId="77777777" w:rsidR="569F9CD4" w:rsidRPr="002D279B" w:rsidRDefault="003C2D9B" w:rsidP="569F9CD4">
      <w:pPr>
        <w:spacing w:line="240" w:lineRule="auto"/>
        <w:rPr>
          <w:rFonts w:eastAsiaTheme="minorEastAsia" w:cstheme="minorHAnsi"/>
          <w:bCs/>
        </w:rPr>
      </w:pPr>
      <w:r w:rsidRPr="002D279B">
        <w:rPr>
          <w:rFonts w:eastAsiaTheme="minorEastAsia" w:cstheme="minorHAnsi"/>
          <w:bCs/>
        </w:rPr>
        <w:t>Nepředpokládá se, že by v rámci této komponenty byly rozvíjeny přeshraniční projekty.</w:t>
      </w:r>
    </w:p>
    <w:p w14:paraId="42E3864E" w14:textId="77777777" w:rsidR="5DB2206F" w:rsidRPr="002D279B" w:rsidRDefault="75B578F5" w:rsidP="003C2D9B">
      <w:pPr>
        <w:pStyle w:val="K-Nadpis2"/>
        <w:rPr>
          <w:sz w:val="22"/>
          <w:szCs w:val="22"/>
        </w:rPr>
      </w:pPr>
      <w:r w:rsidRPr="002D279B">
        <w:rPr>
          <w:sz w:val="22"/>
          <w:szCs w:val="22"/>
        </w:rPr>
        <w:t>Zelený rozměr komponenty</w:t>
      </w:r>
    </w:p>
    <w:p w14:paraId="2DA442D1" w14:textId="77777777" w:rsidR="006D61DA" w:rsidRPr="002D279B" w:rsidRDefault="003C2D9B" w:rsidP="003C2D9B">
      <w:pPr>
        <w:spacing w:line="240" w:lineRule="auto"/>
        <w:jc w:val="both"/>
        <w:rPr>
          <w:rFonts w:eastAsiaTheme="minorEastAsia" w:cstheme="minorHAnsi"/>
        </w:rPr>
      </w:pPr>
      <w:r w:rsidRPr="002D279B">
        <w:rPr>
          <w:rFonts w:eastAsiaTheme="minorEastAsia" w:cstheme="minorHAnsi"/>
        </w:rPr>
        <w:t>Investice do distribučních sítí elektrické energie jsou klíčové pro další rozvoj obnovitelných zdrojů (respektive bezemisních) a jejich integraci do elektrizační soustavy ČR. Rozvoj distribučních sítí tedy nepřímo vede k rozvoji bezemisních zdrojů energie, a tedy snižování emisí skleníkových plynů.</w:t>
      </w:r>
    </w:p>
    <w:p w14:paraId="11A415A9" w14:textId="77777777" w:rsidR="5DB2206F" w:rsidRPr="002D279B" w:rsidRDefault="3194624A" w:rsidP="003C2D9B">
      <w:pPr>
        <w:pStyle w:val="K-Nadpis2"/>
        <w:rPr>
          <w:sz w:val="22"/>
          <w:szCs w:val="22"/>
        </w:rPr>
      </w:pPr>
      <w:r w:rsidRPr="002D279B">
        <w:rPr>
          <w:sz w:val="22"/>
          <w:szCs w:val="22"/>
        </w:rPr>
        <w:t>Digitální rozměr komponenty</w:t>
      </w:r>
    </w:p>
    <w:p w14:paraId="5EDF9DAE" w14:textId="77777777" w:rsidR="215E4B58" w:rsidRPr="002D279B" w:rsidRDefault="0087121B" w:rsidP="0087121B">
      <w:pPr>
        <w:spacing w:after="120" w:line="240" w:lineRule="auto"/>
        <w:jc w:val="both"/>
        <w:rPr>
          <w:rFonts w:eastAsiaTheme="minorEastAsia" w:cstheme="minorHAnsi"/>
          <w:bCs/>
        </w:rPr>
      </w:pPr>
      <w:r w:rsidRPr="002D279B">
        <w:rPr>
          <w:rFonts w:eastAsiaTheme="minorEastAsia" w:cstheme="minorHAnsi"/>
          <w:bCs/>
        </w:rPr>
        <w:t xml:space="preserve">Rozvoj distribučních sítí je nutné vnímat ve dvou rovinách, a to v rovině „hardwaru“ (vedení, trafostanice atd.), ale také „softwaru“ (tedy chytrých prvcích využívající právě digitalizace). Část investice tedy bude směřovat i do prvků tzv. chytrých sítí. ČR má v tomto kontextu zpracovaný souhrnný strategický dokument, jedná se o Národní akční plán pro chytré sítě. Více informací je dostupných v části 2. c). </w:t>
      </w:r>
      <w:r w:rsidR="00670542" w:rsidRPr="002D279B">
        <w:rPr>
          <w:rFonts w:eastAsiaTheme="minorEastAsia" w:cstheme="minorHAnsi"/>
          <w:bCs/>
        </w:rPr>
        <w:t xml:space="preserve">Komponenta si klade za cíl věnovat se především onomu „hardwaru“, neboť podporu zavádění chytrých prvků v distribuční soustavě podporuje konkrétní aktivita v OP TAK 2021 – 2027, která se tak stává k této komponentě komplementárním prvkem. </w:t>
      </w:r>
    </w:p>
    <w:p w14:paraId="43B0F946" w14:textId="77777777" w:rsidR="5DB2206F" w:rsidRPr="002D279B" w:rsidRDefault="07C606CB" w:rsidP="003C2D9B">
      <w:pPr>
        <w:pStyle w:val="K-Nadpis2"/>
        <w:rPr>
          <w:sz w:val="22"/>
          <w:szCs w:val="22"/>
        </w:rPr>
      </w:pPr>
      <w:r w:rsidRPr="002D279B">
        <w:rPr>
          <w:sz w:val="22"/>
          <w:szCs w:val="22"/>
        </w:rPr>
        <w:t>Uplatnění zásady „významně nepoškozovat“</w:t>
      </w:r>
    </w:p>
    <w:p w14:paraId="7757BCD5" w14:textId="77777777" w:rsidR="0087121B" w:rsidRPr="002D279B" w:rsidRDefault="0087121B" w:rsidP="00754DE2">
      <w:pPr>
        <w:pStyle w:val="K-Text"/>
        <w:spacing w:line="240" w:lineRule="auto"/>
        <w:rPr>
          <w:rFonts w:asciiTheme="minorHAnsi" w:eastAsiaTheme="minorEastAsia" w:hAnsiTheme="minorHAnsi" w:cstheme="minorHAnsi"/>
          <w:sz w:val="22"/>
          <w:szCs w:val="22"/>
        </w:rPr>
      </w:pPr>
      <w:r w:rsidRPr="002D279B">
        <w:rPr>
          <w:rFonts w:asciiTheme="minorHAnsi" w:eastAsiaTheme="minorEastAsia" w:hAnsiTheme="minorHAnsi" w:cstheme="minorHAnsi"/>
          <w:sz w:val="22"/>
          <w:szCs w:val="22"/>
        </w:rPr>
        <w:t>Technické pokyny k uplatňování zásady „významně nepoškozovat“ podle nařízení o Nástroji pro oživení a odolnost uvádějí, že za slučitelná s posouzením z hlediska zásady „významně nepoškozovat“ se pro environmentální cíl zmírňování změny klimatu považují opatření na podporu větší elektrifikace (např. průmyslu, dopravy a stavebnictví). Aby byl umožněn přechod na efektivní klimaticky neutrální ekonomiku, měla by být podporována opatření vedoucí k větší elektrifikaci klíčových odvětví, jako je průmysl, doprava a stavebnictví (např. investice do infrastruktury pro přenos a distribuci elektřiny; elektrická silniční infrastruktura; skladování elektřiny; baterie pro účely mobility; tepelná čerpadla).</w:t>
      </w:r>
    </w:p>
    <w:p w14:paraId="7BF41F60" w14:textId="77777777" w:rsidR="00E95A10" w:rsidRPr="002D279B" w:rsidRDefault="00670542" w:rsidP="00754DE2">
      <w:pPr>
        <w:pStyle w:val="K-Text"/>
        <w:spacing w:line="240" w:lineRule="auto"/>
        <w:rPr>
          <w:rFonts w:asciiTheme="minorHAnsi" w:eastAsiaTheme="minorEastAsia" w:hAnsiTheme="minorHAnsi" w:cstheme="minorHAnsi"/>
          <w:sz w:val="22"/>
          <w:szCs w:val="22"/>
        </w:rPr>
      </w:pPr>
      <w:r w:rsidRPr="002D279B">
        <w:rPr>
          <w:rFonts w:asciiTheme="minorHAnsi" w:eastAsiaTheme="minorEastAsia" w:hAnsiTheme="minorHAnsi" w:cstheme="minorHAnsi"/>
          <w:sz w:val="22"/>
          <w:szCs w:val="22"/>
        </w:rPr>
        <w:lastRenderedPageBreak/>
        <w:t>D</w:t>
      </w:r>
      <w:r w:rsidR="00E95A10" w:rsidRPr="002D279B">
        <w:rPr>
          <w:rFonts w:asciiTheme="minorHAnsi" w:eastAsiaTheme="minorEastAsia" w:hAnsiTheme="minorHAnsi" w:cstheme="minorHAnsi"/>
          <w:sz w:val="22"/>
          <w:szCs w:val="22"/>
        </w:rPr>
        <w:t>istribuce elektřiny je tedy explicitně zmíněna jako oblast slučitelná s posouzením z hlediska zásady „významně nepoškozovat“ se pro environmentální cíl zmírňování změny klimatu.</w:t>
      </w:r>
      <w:r w:rsidR="003F28F7" w:rsidRPr="002D279B">
        <w:rPr>
          <w:rFonts w:asciiTheme="minorHAnsi" w:eastAsiaTheme="minorEastAsia" w:hAnsiTheme="minorHAnsi" w:cstheme="minorHAnsi"/>
          <w:sz w:val="22"/>
          <w:szCs w:val="22"/>
        </w:rPr>
        <w:t xml:space="preserve"> Popsané důvody pro tyto aktivity pak jednoznačně podporují plnění těchto cílů v podobě šíření zdrojů OZE a vyššího využívání bezemisních vozidel.</w:t>
      </w:r>
    </w:p>
    <w:p w14:paraId="5F64AA92" w14:textId="77777777" w:rsidR="00576F7C" w:rsidRPr="002D279B" w:rsidRDefault="00CA6AE7" w:rsidP="00576F7C">
      <w:pPr>
        <w:pStyle w:val="K-Nadpis2"/>
        <w:rPr>
          <w:sz w:val="22"/>
          <w:szCs w:val="22"/>
        </w:rPr>
      </w:pPr>
      <w:r w:rsidRPr="002D279B">
        <w:rPr>
          <w:sz w:val="22"/>
          <w:szCs w:val="22"/>
        </w:rPr>
        <w:t>Kritérium kybernetické bezpečnosti</w:t>
      </w:r>
    </w:p>
    <w:p w14:paraId="33F09741" w14:textId="77777777" w:rsidR="00576F7C" w:rsidRPr="002D279B" w:rsidRDefault="00262DC6" w:rsidP="00564B70">
      <w:pPr>
        <w:pStyle w:val="K-Nadpis2"/>
        <w:numPr>
          <w:ilvl w:val="0"/>
          <w:numId w:val="0"/>
        </w:numPr>
        <w:rPr>
          <w:b w:val="0"/>
          <w:sz w:val="22"/>
          <w:szCs w:val="22"/>
        </w:rPr>
      </w:pPr>
      <w:r w:rsidRPr="002D279B">
        <w:rPr>
          <w:b w:val="0"/>
          <w:sz w:val="22"/>
          <w:szCs w:val="22"/>
        </w:rPr>
        <w:t xml:space="preserve">Charakter předkládaných investic nezakládá na aktivním využívání prvků kybernetické bezpečnosti, která je nicméně samozřejmě reálně řešena a využívána na úrovni řízení provozu distribučních sítí. těchto systémů s nicméně plánované investice netýkají. </w:t>
      </w:r>
    </w:p>
    <w:p w14:paraId="2FE767E4" w14:textId="77777777" w:rsidR="00B715DB" w:rsidRPr="002D279B" w:rsidRDefault="00B715DB" w:rsidP="00B715DB">
      <w:pPr>
        <w:pStyle w:val="K-Text"/>
        <w:spacing w:line="240" w:lineRule="auto"/>
        <w:rPr>
          <w:rFonts w:asciiTheme="minorHAnsi" w:eastAsiaTheme="minorEastAsia" w:hAnsiTheme="minorHAnsi" w:cstheme="minorHAnsi"/>
          <w:sz w:val="22"/>
          <w:szCs w:val="22"/>
        </w:rPr>
      </w:pPr>
    </w:p>
    <w:p w14:paraId="5B89500C" w14:textId="77777777" w:rsidR="5DB2206F" w:rsidRPr="002D279B" w:rsidRDefault="54503620" w:rsidP="003C2D9B">
      <w:pPr>
        <w:pStyle w:val="K-Nadpis2"/>
        <w:rPr>
          <w:sz w:val="22"/>
          <w:szCs w:val="22"/>
        </w:rPr>
      </w:pPr>
      <w:r w:rsidRPr="002D279B">
        <w:rPr>
          <w:sz w:val="22"/>
          <w:szCs w:val="22"/>
        </w:rPr>
        <w:t>Milníky, cíle a harmonogra</w:t>
      </w:r>
      <w:r w:rsidR="00270919" w:rsidRPr="002D279B">
        <w:rPr>
          <w:sz w:val="22"/>
          <w:szCs w:val="22"/>
        </w:rPr>
        <w:t>m</w:t>
      </w:r>
      <w:r w:rsidRPr="002D279B">
        <w:rPr>
          <w:sz w:val="22"/>
          <w:szCs w:val="22"/>
        </w:rPr>
        <w:t xml:space="preserve"> </w:t>
      </w:r>
    </w:p>
    <w:p w14:paraId="3DD0BB5E" w14:textId="51032DF1" w:rsidR="00576F7C" w:rsidRPr="002D279B" w:rsidRDefault="00576F7C" w:rsidP="00576F7C">
      <w:pPr>
        <w:pStyle w:val="K-Nadpis2"/>
        <w:numPr>
          <w:ilvl w:val="0"/>
          <w:numId w:val="0"/>
        </w:numPr>
        <w:ind w:left="357"/>
        <w:rPr>
          <w:b w:val="0"/>
          <w:bCs/>
          <w:sz w:val="22"/>
          <w:szCs w:val="22"/>
        </w:rPr>
      </w:pPr>
      <w:r w:rsidRPr="002D279B">
        <w:rPr>
          <w:b w:val="0"/>
          <w:bCs/>
          <w:sz w:val="22"/>
          <w:szCs w:val="22"/>
        </w:rPr>
        <w:t>I</w:t>
      </w:r>
      <w:r w:rsidR="003F28F7" w:rsidRPr="002D279B">
        <w:rPr>
          <w:b w:val="0"/>
          <w:bCs/>
          <w:sz w:val="22"/>
          <w:szCs w:val="22"/>
        </w:rPr>
        <w:t>NVESTICE</w:t>
      </w:r>
      <w:r w:rsidRPr="002D279B">
        <w:rPr>
          <w:b w:val="0"/>
          <w:bCs/>
          <w:sz w:val="22"/>
          <w:szCs w:val="22"/>
        </w:rPr>
        <w:t xml:space="preserve"> – Investice spojené s dosažením popsaných cílů budou realizovány v letech 2022 – březen 2026. Celkem půjde o </w:t>
      </w:r>
      <w:r w:rsidR="007435A9" w:rsidRPr="002D279B">
        <w:rPr>
          <w:b w:val="0"/>
          <w:bCs/>
          <w:sz w:val="22"/>
          <w:szCs w:val="22"/>
        </w:rPr>
        <w:t>investice realizované</w:t>
      </w:r>
      <w:r w:rsidRPr="002D279B">
        <w:rPr>
          <w:b w:val="0"/>
          <w:bCs/>
          <w:sz w:val="22"/>
          <w:szCs w:val="22"/>
        </w:rPr>
        <w:t xml:space="preserve">  provozovateli distribučních soustav</w:t>
      </w:r>
      <w:r w:rsidR="00E0036A" w:rsidRPr="002D279B">
        <w:rPr>
          <w:b w:val="0"/>
          <w:bCs/>
          <w:sz w:val="22"/>
          <w:szCs w:val="22"/>
        </w:rPr>
        <w:t xml:space="preserve">. </w:t>
      </w:r>
      <w:r w:rsidR="003F28F7" w:rsidRPr="002D279B">
        <w:rPr>
          <w:b w:val="0"/>
          <w:bCs/>
          <w:sz w:val="22"/>
          <w:szCs w:val="22"/>
        </w:rPr>
        <w:t>Celková výše investičních nákladů na popsaná opatření j</w:t>
      </w:r>
      <w:r w:rsidR="00262DC6" w:rsidRPr="002D279B">
        <w:rPr>
          <w:b w:val="0"/>
          <w:bCs/>
          <w:sz w:val="22"/>
          <w:szCs w:val="22"/>
        </w:rPr>
        <w:t xml:space="preserve">e </w:t>
      </w:r>
      <w:r w:rsidR="00BD0081" w:rsidRPr="002D279B">
        <w:rPr>
          <w:b w:val="0"/>
          <w:bCs/>
          <w:sz w:val="22"/>
          <w:szCs w:val="22"/>
        </w:rPr>
        <w:t>18,369</w:t>
      </w:r>
      <w:r w:rsidR="003F28F7" w:rsidRPr="002D279B">
        <w:rPr>
          <w:b w:val="0"/>
          <w:bCs/>
          <w:sz w:val="22"/>
          <w:szCs w:val="22"/>
        </w:rPr>
        <w:t xml:space="preserve"> mld. Kč</w:t>
      </w:r>
    </w:p>
    <w:p w14:paraId="0BB0EB47" w14:textId="2829701E" w:rsidR="003F28F7" w:rsidRPr="002D279B" w:rsidRDefault="003F28F7" w:rsidP="0ECE6430">
      <w:pPr>
        <w:pStyle w:val="K-Nadpis2"/>
        <w:numPr>
          <w:ilvl w:val="0"/>
          <w:numId w:val="0"/>
        </w:numPr>
        <w:ind w:left="357"/>
        <w:rPr>
          <w:b w:val="0"/>
          <w:sz w:val="22"/>
          <w:szCs w:val="22"/>
        </w:rPr>
      </w:pPr>
      <w:r w:rsidRPr="0ECE6430">
        <w:rPr>
          <w:b w:val="0"/>
          <w:sz w:val="22"/>
          <w:szCs w:val="22"/>
        </w:rPr>
        <w:t xml:space="preserve">REFORMY </w:t>
      </w:r>
      <w:r w:rsidR="00B5024B" w:rsidRPr="0ECE6430">
        <w:rPr>
          <w:b w:val="0"/>
          <w:sz w:val="22"/>
          <w:szCs w:val="22"/>
        </w:rPr>
        <w:t>a CÍLE</w:t>
      </w:r>
      <w:r w:rsidRPr="0ECE6430">
        <w:rPr>
          <w:b w:val="0"/>
          <w:sz w:val="22"/>
          <w:szCs w:val="22"/>
        </w:rPr>
        <w:t xml:space="preserve">– </w:t>
      </w:r>
      <w:r w:rsidR="00B5024B" w:rsidRPr="0ECE6430">
        <w:rPr>
          <w:b w:val="0"/>
          <w:sz w:val="22"/>
          <w:szCs w:val="22"/>
        </w:rPr>
        <w:t>jsou popsány v kapitole</w:t>
      </w:r>
      <w:r w:rsidR="5D48D147" w:rsidRPr="0ECE6430">
        <w:rPr>
          <w:b w:val="0"/>
          <w:sz w:val="22"/>
          <w:szCs w:val="22"/>
        </w:rPr>
        <w:t xml:space="preserve"> výše</w:t>
      </w:r>
    </w:p>
    <w:p w14:paraId="1D3ECC60" w14:textId="77777777" w:rsidR="215E4B58" w:rsidRPr="002D279B" w:rsidRDefault="215E4B58" w:rsidP="0087121B">
      <w:pPr>
        <w:pStyle w:val="K-Text"/>
        <w:spacing w:line="240" w:lineRule="auto"/>
        <w:rPr>
          <w:rFonts w:asciiTheme="minorHAnsi" w:eastAsiaTheme="minorEastAsia" w:hAnsiTheme="minorHAnsi" w:cstheme="minorHAnsi"/>
          <w:sz w:val="22"/>
          <w:szCs w:val="22"/>
        </w:rPr>
      </w:pPr>
    </w:p>
    <w:p w14:paraId="0D334097" w14:textId="77777777" w:rsidR="5DB2206F" w:rsidRPr="002D279B" w:rsidRDefault="49CA764B" w:rsidP="003C2D9B">
      <w:pPr>
        <w:pStyle w:val="K-Nadpis2"/>
        <w:rPr>
          <w:sz w:val="22"/>
          <w:szCs w:val="22"/>
        </w:rPr>
      </w:pPr>
      <w:r w:rsidRPr="002D279B">
        <w:rPr>
          <w:sz w:val="22"/>
          <w:szCs w:val="22"/>
        </w:rPr>
        <w:t>Financování a costing</w:t>
      </w:r>
    </w:p>
    <w:p w14:paraId="02419FCD" w14:textId="70085152" w:rsidR="00E0036A" w:rsidRPr="002D279B" w:rsidRDefault="00E0036A" w:rsidP="71C589F3">
      <w:pPr>
        <w:pStyle w:val="K-Nadpis2"/>
        <w:numPr>
          <w:ilvl w:val="0"/>
          <w:numId w:val="0"/>
        </w:numPr>
        <w:ind w:left="357"/>
        <w:jc w:val="both"/>
        <w:rPr>
          <w:b w:val="0"/>
          <w:sz w:val="22"/>
          <w:szCs w:val="22"/>
        </w:rPr>
      </w:pPr>
      <w:r w:rsidRPr="64556F59">
        <w:rPr>
          <w:b w:val="0"/>
          <w:sz w:val="22"/>
          <w:szCs w:val="22"/>
        </w:rPr>
        <w:t xml:space="preserve">Indikované náklady představují investice v souhrnné výši </w:t>
      </w:r>
      <w:r w:rsidR="4452C193" w:rsidRPr="64556F59">
        <w:rPr>
          <w:b w:val="0"/>
          <w:sz w:val="22"/>
          <w:szCs w:val="22"/>
        </w:rPr>
        <w:t>15,5</w:t>
      </w:r>
      <w:r w:rsidR="1F193E2C" w:rsidRPr="64556F59">
        <w:rPr>
          <w:b w:val="0"/>
          <w:sz w:val="22"/>
          <w:szCs w:val="22"/>
        </w:rPr>
        <w:t>8</w:t>
      </w:r>
      <w:r w:rsidRPr="64556F59">
        <w:rPr>
          <w:b w:val="0"/>
          <w:sz w:val="22"/>
          <w:szCs w:val="22"/>
        </w:rPr>
        <w:t xml:space="preserve"> mld. Kč. </w:t>
      </w:r>
      <w:r w:rsidR="00792944" w:rsidRPr="64556F59">
        <w:rPr>
          <w:b w:val="0"/>
          <w:sz w:val="22"/>
          <w:szCs w:val="22"/>
        </w:rPr>
        <w:t>V</w:t>
      </w:r>
      <w:r w:rsidRPr="64556F59">
        <w:rPr>
          <w:b w:val="0"/>
          <w:sz w:val="22"/>
          <w:szCs w:val="22"/>
        </w:rPr>
        <w:t xml:space="preserve">ýše podpory je stanovena na </w:t>
      </w:r>
      <w:r w:rsidR="4AB957F7" w:rsidRPr="64556F59">
        <w:rPr>
          <w:b w:val="0"/>
          <w:sz w:val="22"/>
          <w:szCs w:val="22"/>
        </w:rPr>
        <w:t>5</w:t>
      </w:r>
      <w:r w:rsidR="00792944" w:rsidRPr="64556F59">
        <w:rPr>
          <w:b w:val="0"/>
          <w:sz w:val="22"/>
          <w:szCs w:val="22"/>
        </w:rPr>
        <w:t>0</w:t>
      </w:r>
      <w:r w:rsidR="003F3A11" w:rsidRPr="64556F59">
        <w:rPr>
          <w:b w:val="0"/>
          <w:sz w:val="22"/>
          <w:szCs w:val="22"/>
        </w:rPr>
        <w:t xml:space="preserve"> - 80</w:t>
      </w:r>
      <w:r w:rsidR="00EF13E5" w:rsidRPr="64556F59">
        <w:rPr>
          <w:b w:val="0"/>
          <w:sz w:val="22"/>
          <w:szCs w:val="22"/>
        </w:rPr>
        <w:t xml:space="preserve"> </w:t>
      </w:r>
      <w:r w:rsidR="00262DC6" w:rsidRPr="64556F59">
        <w:rPr>
          <w:b w:val="0"/>
          <w:sz w:val="22"/>
          <w:szCs w:val="22"/>
        </w:rPr>
        <w:t>%</w:t>
      </w:r>
      <w:r w:rsidRPr="64556F59">
        <w:rPr>
          <w:b w:val="0"/>
          <w:sz w:val="22"/>
          <w:szCs w:val="22"/>
        </w:rPr>
        <w:t xml:space="preserve"> z předložených způsobilých nákladů</w:t>
      </w:r>
      <w:r w:rsidR="003F3A11" w:rsidRPr="64556F59">
        <w:rPr>
          <w:b w:val="0"/>
          <w:sz w:val="22"/>
          <w:szCs w:val="22"/>
        </w:rPr>
        <w:t xml:space="preserve"> (dle typu příjemců)</w:t>
      </w:r>
      <w:r w:rsidR="00FA04CF" w:rsidRPr="64556F59">
        <w:rPr>
          <w:b w:val="0"/>
          <w:sz w:val="22"/>
          <w:szCs w:val="22"/>
        </w:rPr>
        <w:t xml:space="preserve"> v rámci Investice 2 a průměrných 35% dle GBER pro Investici 1</w:t>
      </w:r>
      <w:r w:rsidRPr="64556F59">
        <w:rPr>
          <w:b w:val="0"/>
          <w:sz w:val="22"/>
          <w:szCs w:val="22"/>
        </w:rPr>
        <w:t>. Požadované zdroje z příslušných zdrojů obálek REPower EU tak představuj</w:t>
      </w:r>
      <w:r w:rsidR="009935D0" w:rsidRPr="64556F59">
        <w:rPr>
          <w:b w:val="0"/>
          <w:sz w:val="22"/>
          <w:szCs w:val="22"/>
        </w:rPr>
        <w:t>í</w:t>
      </w:r>
      <w:r w:rsidRPr="64556F59">
        <w:rPr>
          <w:b w:val="0"/>
          <w:sz w:val="22"/>
          <w:szCs w:val="22"/>
        </w:rPr>
        <w:t xml:space="preserve"> částku </w:t>
      </w:r>
      <w:r w:rsidR="0F40A16B" w:rsidRPr="64556F59">
        <w:rPr>
          <w:b w:val="0"/>
          <w:sz w:val="22"/>
          <w:szCs w:val="22"/>
        </w:rPr>
        <w:t>9,</w:t>
      </w:r>
      <w:r w:rsidR="0EAAC288" w:rsidRPr="64556F59">
        <w:rPr>
          <w:b w:val="0"/>
          <w:sz w:val="22"/>
          <w:szCs w:val="22"/>
        </w:rPr>
        <w:t>26</w:t>
      </w:r>
      <w:r w:rsidR="009935D0" w:rsidRPr="64556F59">
        <w:rPr>
          <w:b w:val="0"/>
          <w:sz w:val="22"/>
          <w:szCs w:val="22"/>
        </w:rPr>
        <w:t xml:space="preserve"> mld. Kč</w:t>
      </w:r>
      <w:r w:rsidR="00FA04CF" w:rsidRPr="64556F59">
        <w:rPr>
          <w:b w:val="0"/>
          <w:sz w:val="22"/>
          <w:szCs w:val="22"/>
        </w:rPr>
        <w:t xml:space="preserve"> (Investice 1 –</w:t>
      </w:r>
      <w:r w:rsidR="003F3A11" w:rsidRPr="64556F59">
        <w:rPr>
          <w:b w:val="0"/>
          <w:sz w:val="22"/>
          <w:szCs w:val="22"/>
        </w:rPr>
        <w:t xml:space="preserve"> </w:t>
      </w:r>
      <w:r w:rsidR="0624AAFD" w:rsidRPr="64556F59">
        <w:rPr>
          <w:b w:val="0"/>
          <w:sz w:val="22"/>
          <w:szCs w:val="22"/>
        </w:rPr>
        <w:t>2</w:t>
      </w:r>
      <w:r w:rsidR="00BD0081" w:rsidRPr="64556F59">
        <w:rPr>
          <w:b w:val="0"/>
          <w:sz w:val="22"/>
          <w:szCs w:val="22"/>
        </w:rPr>
        <w:t>,5</w:t>
      </w:r>
      <w:r w:rsidR="7788C9CB" w:rsidRPr="64556F59">
        <w:rPr>
          <w:b w:val="0"/>
          <w:sz w:val="22"/>
          <w:szCs w:val="22"/>
        </w:rPr>
        <w:t>7</w:t>
      </w:r>
      <w:r w:rsidR="00FA04CF" w:rsidRPr="64556F59">
        <w:rPr>
          <w:b w:val="0"/>
          <w:sz w:val="22"/>
          <w:szCs w:val="22"/>
        </w:rPr>
        <w:t xml:space="preserve"> mld. Kč a Investice 2 – 6,695 mld. Kč)</w:t>
      </w:r>
    </w:p>
    <w:p w14:paraId="2A9C1EC4" w14:textId="10AE42DC" w:rsidR="005D6C4F" w:rsidRPr="002D279B" w:rsidRDefault="005D6C4F" w:rsidP="005D6C4F">
      <w:pPr>
        <w:pStyle w:val="K-Nadpis2"/>
        <w:numPr>
          <w:ilvl w:val="0"/>
          <w:numId w:val="0"/>
        </w:numPr>
        <w:ind w:left="357"/>
        <w:jc w:val="both"/>
        <w:rPr>
          <w:sz w:val="22"/>
          <w:szCs w:val="22"/>
        </w:rPr>
      </w:pPr>
      <w:r w:rsidRPr="64556F59">
        <w:rPr>
          <w:sz w:val="22"/>
          <w:szCs w:val="22"/>
        </w:rPr>
        <w:t xml:space="preserve">Cílem Investice 1 v uvedené výši je pak navýšení instalovaného výkonu zdrojů fotovoltaické energie o </w:t>
      </w:r>
      <w:r w:rsidR="003F3A11" w:rsidRPr="64556F59">
        <w:rPr>
          <w:sz w:val="22"/>
          <w:szCs w:val="22"/>
        </w:rPr>
        <w:t>2</w:t>
      </w:r>
      <w:r w:rsidR="4BE2439F" w:rsidRPr="64556F59">
        <w:rPr>
          <w:sz w:val="22"/>
          <w:szCs w:val="22"/>
        </w:rPr>
        <w:t>2</w:t>
      </w:r>
      <w:r w:rsidR="7F032DC0" w:rsidRPr="64556F59">
        <w:rPr>
          <w:sz w:val="22"/>
          <w:szCs w:val="22"/>
        </w:rPr>
        <w:t>4,7</w:t>
      </w:r>
      <w:r w:rsidR="003F3A11" w:rsidRPr="64556F59">
        <w:rPr>
          <w:sz w:val="22"/>
          <w:szCs w:val="22"/>
        </w:rPr>
        <w:t xml:space="preserve"> MWp</w:t>
      </w:r>
      <w:r w:rsidR="00A96F1C" w:rsidRPr="64556F59">
        <w:rPr>
          <w:sz w:val="22"/>
          <w:szCs w:val="22"/>
        </w:rPr>
        <w:t>.</w:t>
      </w:r>
    </w:p>
    <w:p w14:paraId="42550DE3" w14:textId="726CA8B8" w:rsidR="00564B70" w:rsidRPr="002D279B" w:rsidRDefault="00564B70" w:rsidP="005D6C4F">
      <w:pPr>
        <w:pStyle w:val="K-Nadpis2"/>
        <w:numPr>
          <w:ilvl w:val="0"/>
          <w:numId w:val="0"/>
        </w:numPr>
        <w:ind w:left="357"/>
        <w:jc w:val="both"/>
        <w:rPr>
          <w:sz w:val="22"/>
          <w:szCs w:val="22"/>
        </w:rPr>
      </w:pPr>
      <w:r w:rsidRPr="3E8F88B9">
        <w:rPr>
          <w:sz w:val="22"/>
          <w:szCs w:val="22"/>
        </w:rPr>
        <w:t xml:space="preserve">Cílem </w:t>
      </w:r>
      <w:r w:rsidR="005D6C4F" w:rsidRPr="3E8F88B9">
        <w:rPr>
          <w:sz w:val="22"/>
          <w:szCs w:val="22"/>
        </w:rPr>
        <w:t>I</w:t>
      </w:r>
      <w:r w:rsidRPr="3E8F88B9">
        <w:rPr>
          <w:sz w:val="22"/>
          <w:szCs w:val="22"/>
        </w:rPr>
        <w:t>nvestic</w:t>
      </w:r>
      <w:r w:rsidR="005D6C4F" w:rsidRPr="3E8F88B9">
        <w:rPr>
          <w:sz w:val="22"/>
          <w:szCs w:val="22"/>
        </w:rPr>
        <w:t>e 2</w:t>
      </w:r>
      <w:r w:rsidRPr="3E8F88B9">
        <w:rPr>
          <w:sz w:val="22"/>
          <w:szCs w:val="22"/>
        </w:rPr>
        <w:t xml:space="preserve"> v uvedené výši je pak navýšení připojitelného výkonu distribučních sítí v celkové výši </w:t>
      </w:r>
      <w:r w:rsidR="00262DC6" w:rsidRPr="3E8F88B9">
        <w:rPr>
          <w:sz w:val="22"/>
          <w:szCs w:val="22"/>
        </w:rPr>
        <w:t>1</w:t>
      </w:r>
      <w:r w:rsidR="72546EED" w:rsidRPr="3E8F88B9">
        <w:rPr>
          <w:sz w:val="22"/>
          <w:szCs w:val="22"/>
        </w:rPr>
        <w:t>7</w:t>
      </w:r>
      <w:r w:rsidR="0CE283E2" w:rsidRPr="3E8F88B9">
        <w:rPr>
          <w:sz w:val="22"/>
          <w:szCs w:val="22"/>
        </w:rPr>
        <w:t>77</w:t>
      </w:r>
      <w:r w:rsidR="72546EED" w:rsidRPr="3E8F88B9">
        <w:rPr>
          <w:sz w:val="22"/>
          <w:szCs w:val="22"/>
        </w:rPr>
        <w:t xml:space="preserve"> </w:t>
      </w:r>
      <w:r w:rsidRPr="3E8F88B9">
        <w:rPr>
          <w:sz w:val="22"/>
          <w:szCs w:val="22"/>
        </w:rPr>
        <w:t>MW.</w:t>
      </w:r>
    </w:p>
    <w:p w14:paraId="54028F49" w14:textId="77777777" w:rsidR="00576F7C" w:rsidRPr="002D279B" w:rsidRDefault="00576F7C" w:rsidP="003C2D9B">
      <w:pPr>
        <w:pStyle w:val="K-Nadpis2"/>
        <w:rPr>
          <w:sz w:val="22"/>
          <w:szCs w:val="22"/>
        </w:rPr>
      </w:pPr>
      <w:r w:rsidRPr="002D279B">
        <w:rPr>
          <w:sz w:val="22"/>
          <w:szCs w:val="22"/>
        </w:rPr>
        <w:t>Veřejná podpora</w:t>
      </w:r>
    </w:p>
    <w:p w14:paraId="0C562FBB" w14:textId="77777777" w:rsidR="00A96F1C" w:rsidRPr="002D279B" w:rsidRDefault="00A96F1C" w:rsidP="00564B70">
      <w:pPr>
        <w:pStyle w:val="K-Nadpis2"/>
        <w:numPr>
          <w:ilvl w:val="0"/>
          <w:numId w:val="0"/>
        </w:numPr>
        <w:ind w:left="357"/>
        <w:rPr>
          <w:b w:val="0"/>
          <w:bCs/>
          <w:sz w:val="22"/>
          <w:szCs w:val="22"/>
        </w:rPr>
      </w:pPr>
      <w:r w:rsidRPr="002D279B">
        <w:rPr>
          <w:b w:val="0"/>
          <w:bCs/>
          <w:sz w:val="22"/>
          <w:szCs w:val="22"/>
        </w:rPr>
        <w:t xml:space="preserve">Investice 1: </w:t>
      </w:r>
    </w:p>
    <w:p w14:paraId="013FCADA" w14:textId="68F7FA9C" w:rsidR="00FA04CF" w:rsidRPr="002D279B" w:rsidRDefault="00E0036A" w:rsidP="00564B70">
      <w:pPr>
        <w:pStyle w:val="K-Nadpis2"/>
        <w:numPr>
          <w:ilvl w:val="0"/>
          <w:numId w:val="0"/>
        </w:numPr>
        <w:ind w:left="357"/>
        <w:rPr>
          <w:b w:val="0"/>
          <w:bCs/>
          <w:sz w:val="22"/>
          <w:szCs w:val="22"/>
        </w:rPr>
      </w:pPr>
      <w:r w:rsidRPr="002D279B">
        <w:rPr>
          <w:b w:val="0"/>
          <w:bCs/>
          <w:sz w:val="22"/>
          <w:szCs w:val="22"/>
        </w:rPr>
        <w:t>Podpora zakládá veřejnou podporu ve smyslu čl. 107, odst. 1 Smlouvy o fungování EU.</w:t>
      </w:r>
      <w:r w:rsidR="00FA04CF" w:rsidRPr="002D279B">
        <w:rPr>
          <w:b w:val="0"/>
          <w:bCs/>
          <w:sz w:val="22"/>
          <w:szCs w:val="22"/>
        </w:rPr>
        <w:t xml:space="preserve"> </w:t>
      </w:r>
      <w:r w:rsidR="00A96F1C" w:rsidRPr="002D279B">
        <w:rPr>
          <w:b w:val="0"/>
          <w:bCs/>
          <w:sz w:val="22"/>
          <w:szCs w:val="22"/>
        </w:rPr>
        <w:t>R</w:t>
      </w:r>
      <w:r w:rsidR="00FA04CF" w:rsidRPr="002D279B">
        <w:rPr>
          <w:b w:val="0"/>
          <w:bCs/>
          <w:sz w:val="22"/>
          <w:szCs w:val="22"/>
        </w:rPr>
        <w:t>ežim podpory tedy bude řešen dle příslušného článku GBER (Článek 41).</w:t>
      </w:r>
    </w:p>
    <w:p w14:paraId="7DA3FBDE" w14:textId="77777777" w:rsidR="00A96F1C" w:rsidRPr="002D279B" w:rsidRDefault="00A96F1C" w:rsidP="00FA04CF">
      <w:pPr>
        <w:pStyle w:val="K-Nadpis2"/>
        <w:numPr>
          <w:ilvl w:val="0"/>
          <w:numId w:val="0"/>
        </w:numPr>
        <w:ind w:left="357"/>
        <w:rPr>
          <w:b w:val="0"/>
          <w:bCs/>
          <w:sz w:val="22"/>
          <w:szCs w:val="22"/>
        </w:rPr>
      </w:pPr>
      <w:r w:rsidRPr="002D279B">
        <w:rPr>
          <w:b w:val="0"/>
          <w:bCs/>
          <w:sz w:val="22"/>
          <w:szCs w:val="22"/>
        </w:rPr>
        <w:t>Investice 2:</w:t>
      </w:r>
    </w:p>
    <w:p w14:paraId="0755ACD2" w14:textId="6171D27A" w:rsidR="00FA04CF" w:rsidRPr="002D279B" w:rsidRDefault="00FA04CF" w:rsidP="00FA04CF">
      <w:pPr>
        <w:pStyle w:val="K-Nadpis2"/>
        <w:numPr>
          <w:ilvl w:val="0"/>
          <w:numId w:val="0"/>
        </w:numPr>
        <w:ind w:left="357"/>
        <w:rPr>
          <w:b w:val="0"/>
          <w:bCs/>
          <w:sz w:val="22"/>
          <w:szCs w:val="22"/>
        </w:rPr>
      </w:pPr>
      <w:r w:rsidRPr="002D279B">
        <w:rPr>
          <w:b w:val="0"/>
          <w:bCs/>
          <w:sz w:val="22"/>
          <w:szCs w:val="22"/>
        </w:rPr>
        <w:t>Podpora nezakládá veřejnou podporu ve smyslu čl. 107, odst. 1 Smlouvy o fungování EU</w:t>
      </w:r>
      <w:r w:rsidR="00A96F1C" w:rsidRPr="002D279B">
        <w:rPr>
          <w:b w:val="0"/>
          <w:bCs/>
          <w:sz w:val="22"/>
          <w:szCs w:val="22"/>
        </w:rPr>
        <w:t xml:space="preserve"> v případě provozovatelů regionální distribuční soustavy.</w:t>
      </w:r>
    </w:p>
    <w:p w14:paraId="6E37506B" w14:textId="7782F1C2" w:rsidR="00A96F1C" w:rsidRPr="002D279B" w:rsidRDefault="00A96F1C" w:rsidP="00FA04CF">
      <w:pPr>
        <w:pStyle w:val="K-Nadpis2"/>
        <w:numPr>
          <w:ilvl w:val="0"/>
          <w:numId w:val="0"/>
        </w:numPr>
        <w:ind w:left="357"/>
        <w:rPr>
          <w:b w:val="0"/>
          <w:bCs/>
          <w:sz w:val="22"/>
          <w:szCs w:val="22"/>
        </w:rPr>
      </w:pPr>
      <w:r w:rsidRPr="002D279B">
        <w:rPr>
          <w:b w:val="0"/>
          <w:bCs/>
          <w:sz w:val="22"/>
          <w:szCs w:val="22"/>
        </w:rPr>
        <w:t>Podpora zakládá veřejnou podporu ve smyslu čl. 107, odst. 1 Smlouvy o fungování EU v případě provozovatelů lokální distribuční soustavy. Režim podpory tedy bude řešen dle příslušného článku GBER (Článek 48).</w:t>
      </w:r>
    </w:p>
    <w:p w14:paraId="7CD39A6D" w14:textId="77777777" w:rsidR="00E0036A" w:rsidRPr="002D279B" w:rsidRDefault="00E0036A" w:rsidP="00564B70">
      <w:pPr>
        <w:pStyle w:val="K-Nadpis2"/>
        <w:numPr>
          <w:ilvl w:val="0"/>
          <w:numId w:val="0"/>
        </w:numPr>
        <w:ind w:left="357"/>
        <w:rPr>
          <w:b w:val="0"/>
          <w:bCs/>
          <w:sz w:val="22"/>
          <w:szCs w:val="22"/>
        </w:rPr>
      </w:pPr>
    </w:p>
    <w:sectPr w:rsidR="00E0036A" w:rsidRPr="002D279B" w:rsidSect="00CC5E40">
      <w:headerReference w:type="even" r:id="rId11"/>
      <w:headerReference w:type="default" r:id="rId12"/>
      <w:footerReference w:type="even" r:id="rId13"/>
      <w:footerReference w:type="default" r:id="rId14"/>
      <w:headerReference w:type="first" r:id="rId15"/>
      <w:footerReference w:type="first" r:id="rId16"/>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0C9BF6" w14:textId="77777777" w:rsidR="00DF4D39" w:rsidRDefault="00DF4D39" w:rsidP="00677FE0">
      <w:pPr>
        <w:spacing w:after="0" w:line="240" w:lineRule="auto"/>
      </w:pPr>
      <w:r>
        <w:separator/>
      </w:r>
    </w:p>
  </w:endnote>
  <w:endnote w:type="continuationSeparator" w:id="0">
    <w:p w14:paraId="4480F502" w14:textId="77777777" w:rsidR="00DF4D39" w:rsidRDefault="00DF4D39" w:rsidP="00677FE0">
      <w:pPr>
        <w:spacing w:after="0" w:line="240" w:lineRule="auto"/>
      </w:pPr>
      <w:r>
        <w:continuationSeparator/>
      </w:r>
    </w:p>
  </w:endnote>
  <w:endnote w:type="continuationNotice" w:id="1">
    <w:p w14:paraId="2B725A11" w14:textId="77777777" w:rsidR="00DF4D39" w:rsidRDefault="00DF4D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EYInterstate Light">
    <w:altName w:val="Calibri"/>
    <w:charset w:val="EE"/>
    <w:family w:val="auto"/>
    <w:pitch w:val="variable"/>
    <w:sig w:usb0="A00002AF" w:usb1="5000206A" w:usb2="00000000" w:usb3="00000000" w:csb0="000000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Body)">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8B7768" w14:textId="77777777" w:rsidR="00A6296B" w:rsidRDefault="00A6296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2509D" w14:textId="77777777" w:rsidR="215E4B58" w:rsidRDefault="215E4B58" w:rsidP="215E4B58">
    <w:pPr>
      <w:pStyle w:val="Zpat"/>
      <w:jc w:val="center"/>
    </w:pPr>
    <w:r w:rsidRPr="215E4B58">
      <w:fldChar w:fldCharType="begin"/>
    </w:r>
    <w:r>
      <w:instrText>PAGE</w:instrText>
    </w:r>
    <w:r w:rsidRPr="215E4B58">
      <w:fldChar w:fldCharType="separate"/>
    </w:r>
    <w:r w:rsidR="00DF78BE">
      <w:rPr>
        <w:noProof/>
      </w:rPr>
      <w:t>1</w:t>
    </w:r>
    <w:r w:rsidRPr="215E4B58">
      <w:fldChar w:fldCharType="end"/>
    </w:r>
  </w:p>
  <w:p w14:paraId="535B888D" w14:textId="77777777" w:rsidR="00A6296B" w:rsidRDefault="00A6296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F24E0C" w14:textId="77777777" w:rsidR="00A6296B" w:rsidRDefault="00A6296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BBE35E" w14:textId="77777777" w:rsidR="00DF4D39" w:rsidRDefault="00DF4D39" w:rsidP="00677FE0">
      <w:pPr>
        <w:spacing w:after="0" w:line="240" w:lineRule="auto"/>
      </w:pPr>
      <w:r>
        <w:separator/>
      </w:r>
    </w:p>
  </w:footnote>
  <w:footnote w:type="continuationSeparator" w:id="0">
    <w:p w14:paraId="6B5260EA" w14:textId="77777777" w:rsidR="00DF4D39" w:rsidRDefault="00DF4D39" w:rsidP="00677FE0">
      <w:pPr>
        <w:spacing w:after="0" w:line="240" w:lineRule="auto"/>
      </w:pPr>
      <w:r>
        <w:continuationSeparator/>
      </w:r>
    </w:p>
  </w:footnote>
  <w:footnote w:type="continuationNotice" w:id="1">
    <w:p w14:paraId="516AE420" w14:textId="77777777" w:rsidR="00DF4D39" w:rsidRDefault="00DF4D39">
      <w:pPr>
        <w:spacing w:after="0" w:line="240" w:lineRule="auto"/>
      </w:pPr>
    </w:p>
  </w:footnote>
  <w:footnote w:id="2">
    <w:p w14:paraId="0205E0C6" w14:textId="77777777" w:rsidR="00815814" w:rsidRDefault="00815814" w:rsidP="00815814">
      <w:pPr>
        <w:pStyle w:val="Textpoznpodarou"/>
      </w:pPr>
      <w:r>
        <w:rPr>
          <w:rStyle w:val="Znakapoznpodarou"/>
        </w:rPr>
        <w:footnoteRef/>
      </w:r>
      <w:r>
        <w:t xml:space="preserve"> </w:t>
      </w:r>
      <w:r>
        <w:rPr>
          <w:noProof/>
        </w:rPr>
        <w:t>Národní akční plán pro chytré sítě 2019-2030 je dosutpný na následu</w:t>
      </w:r>
      <w:r w:rsidRPr="00444260">
        <w:t xml:space="preserve">jícím </w:t>
      </w:r>
      <w:hyperlink r:id="rId1" w:history="1">
        <w:r w:rsidRPr="00444260">
          <w:rPr>
            <w:rStyle w:val="Hypertextovodkaz"/>
          </w:rPr>
          <w:t>odkaze</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C8CCB9" w14:textId="77777777" w:rsidR="00A6296B" w:rsidRDefault="00A6296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24A514" w14:textId="77777777" w:rsidR="00A6296B" w:rsidRDefault="00A6296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004234" w14:textId="77777777" w:rsidR="00A6296B" w:rsidRDefault="00A6296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B32E0"/>
    <w:multiLevelType w:val="hybridMultilevel"/>
    <w:tmpl w:val="703ABD0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2" w15:restartNumberingAfterBreak="0">
    <w:nsid w:val="07EE78B3"/>
    <w:multiLevelType w:val="hybridMultilevel"/>
    <w:tmpl w:val="04441526"/>
    <w:lvl w:ilvl="0" w:tplc="0E286C44">
      <w:start w:val="1"/>
      <w:numFmt w:val="decimal"/>
      <w:pStyle w:val="K-Nadpis2"/>
      <w:lvlText w:val="%1."/>
      <w:lvlJc w:val="left"/>
      <w:pPr>
        <w:ind w:left="360" w:hanging="360"/>
      </w:pPr>
      <w:rPr>
        <w:rFonts w:asciiTheme="majorHAnsi" w:hAnsiTheme="majorHAnsi" w:cstheme="majorHAnsi" w:hint="default"/>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EFA3A5A"/>
    <w:multiLevelType w:val="multilevel"/>
    <w:tmpl w:val="B2F4EFD0"/>
    <w:lvl w:ilvl="0">
      <w:start w:val="7"/>
      <w:numFmt w:val="decimal"/>
      <w:lvlText w:val="%1"/>
      <w:lvlJc w:val="left"/>
      <w:pPr>
        <w:ind w:left="550" w:hanging="550"/>
      </w:pPr>
      <w:rPr>
        <w:rFonts w:hint="default"/>
      </w:rPr>
    </w:lvl>
    <w:lvl w:ilvl="1">
      <w:start w:val="1"/>
      <w:numFmt w:val="decimal"/>
      <w:lvlText w:val="%1.%2"/>
      <w:lvlJc w:val="left"/>
      <w:pPr>
        <w:ind w:left="550" w:hanging="550"/>
      </w:pPr>
      <w:rPr>
        <w:rFonts w:hint="default"/>
      </w:rPr>
    </w:lvl>
    <w:lvl w:ilvl="2">
      <w:start w:val="6"/>
      <w:numFmt w:val="decimal"/>
      <w:lvlText w:val="%1.%2.%3"/>
      <w:lvlJc w:val="left"/>
      <w:pPr>
        <w:ind w:left="720" w:hanging="720"/>
      </w:pPr>
      <w:rPr>
        <w:rFonts w:hint="default"/>
      </w:rPr>
    </w:lvl>
    <w:lvl w:ilvl="3">
      <w:start w:val="8"/>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2905EFF"/>
    <w:multiLevelType w:val="hybridMultilevel"/>
    <w:tmpl w:val="AF1C6A5A"/>
    <w:lvl w:ilvl="0" w:tplc="7D2EE45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0316F8"/>
    <w:multiLevelType w:val="multilevel"/>
    <w:tmpl w:val="3320A8B2"/>
    <w:numStyleLink w:val="VariantaB-odrky"/>
  </w:abstractNum>
  <w:abstractNum w:abstractNumId="6" w15:restartNumberingAfterBreak="0">
    <w:nsid w:val="1615572B"/>
    <w:multiLevelType w:val="hybridMultilevel"/>
    <w:tmpl w:val="3320A8B2"/>
    <w:styleLink w:val="VariantaB-odrky"/>
    <w:lvl w:ilvl="0" w:tplc="DF66CBD2">
      <w:start w:val="1"/>
      <w:numFmt w:val="bullet"/>
      <w:pStyle w:val="SeznamsodrkamiB"/>
      <w:lvlText w:val="—"/>
      <w:lvlJc w:val="left"/>
      <w:pPr>
        <w:ind w:left="357" w:hanging="357"/>
      </w:pPr>
      <w:rPr>
        <w:rFonts w:ascii="Calibri" w:hAnsi="Calibri" w:hint="default"/>
        <w:sz w:val="16"/>
      </w:rPr>
    </w:lvl>
    <w:lvl w:ilvl="1" w:tplc="D1E0198C">
      <w:start w:val="1"/>
      <w:numFmt w:val="bullet"/>
      <w:pStyle w:val="SeznamsodrkamiB2"/>
      <w:lvlText w:val=""/>
      <w:lvlJc w:val="left"/>
      <w:pPr>
        <w:ind w:left="714" w:hanging="357"/>
      </w:pPr>
      <w:rPr>
        <w:rFonts w:ascii="Wingdings" w:hAnsi="Wingdings" w:hint="default"/>
        <w:sz w:val="14"/>
      </w:rPr>
    </w:lvl>
    <w:lvl w:ilvl="2" w:tplc="9962AD50">
      <w:start w:val="1"/>
      <w:numFmt w:val="bullet"/>
      <w:pStyle w:val="SeznamsodrkamiB3"/>
      <w:lvlText w:val=""/>
      <w:lvlJc w:val="left"/>
      <w:pPr>
        <w:ind w:left="1071" w:hanging="357"/>
      </w:pPr>
      <w:rPr>
        <w:rFonts w:ascii="Wingdings 2" w:hAnsi="Wingdings 2" w:hint="default"/>
      </w:rPr>
    </w:lvl>
    <w:lvl w:ilvl="3" w:tplc="82CAF482">
      <w:start w:val="1"/>
      <w:numFmt w:val="bullet"/>
      <w:pStyle w:val="SeznamsodrkamiB4"/>
      <w:lvlText w:val=""/>
      <w:lvlJc w:val="left"/>
      <w:pPr>
        <w:ind w:left="1428" w:hanging="357"/>
      </w:pPr>
      <w:rPr>
        <w:rFonts w:ascii="Wingdings 2" w:hAnsi="Wingdings 2" w:hint="default"/>
      </w:rPr>
    </w:lvl>
    <w:lvl w:ilvl="4" w:tplc="D65E8F06">
      <w:start w:val="1"/>
      <w:numFmt w:val="bullet"/>
      <w:pStyle w:val="SeznamsodrkamiB5"/>
      <w:lvlText w:val=""/>
      <w:lvlJc w:val="left"/>
      <w:pPr>
        <w:ind w:left="1785" w:hanging="357"/>
      </w:pPr>
      <w:rPr>
        <w:rFonts w:ascii="Wingdings 2" w:hAnsi="Wingdings 2" w:hint="default"/>
      </w:rPr>
    </w:lvl>
    <w:lvl w:ilvl="5" w:tplc="6490509A">
      <w:start w:val="1"/>
      <w:numFmt w:val="bullet"/>
      <w:lvlText w:val=""/>
      <w:lvlJc w:val="left"/>
      <w:pPr>
        <w:ind w:left="2142" w:hanging="357"/>
      </w:pPr>
      <w:rPr>
        <w:rFonts w:ascii="Wingdings 2" w:hAnsi="Wingdings 2" w:cs="Times New Roman" w:hint="default"/>
      </w:rPr>
    </w:lvl>
    <w:lvl w:ilvl="6" w:tplc="BB646E76">
      <w:start w:val="1"/>
      <w:numFmt w:val="bullet"/>
      <w:lvlText w:val=""/>
      <w:lvlJc w:val="left"/>
      <w:pPr>
        <w:ind w:left="2499" w:hanging="357"/>
      </w:pPr>
      <w:rPr>
        <w:rFonts w:ascii="Wingdings 2" w:hAnsi="Wingdings 2" w:cs="Times New Roman" w:hint="default"/>
      </w:rPr>
    </w:lvl>
    <w:lvl w:ilvl="7" w:tplc="FFA880C6">
      <w:start w:val="1"/>
      <w:numFmt w:val="bullet"/>
      <w:lvlText w:val=""/>
      <w:lvlJc w:val="left"/>
      <w:pPr>
        <w:ind w:left="2856" w:hanging="357"/>
      </w:pPr>
      <w:rPr>
        <w:rFonts w:ascii="Wingdings 2" w:hAnsi="Wingdings 2" w:cs="Times New Roman" w:hint="default"/>
      </w:rPr>
    </w:lvl>
    <w:lvl w:ilvl="8" w:tplc="A1B2C9B8">
      <w:start w:val="1"/>
      <w:numFmt w:val="bullet"/>
      <w:lvlText w:val=""/>
      <w:lvlJc w:val="left"/>
      <w:pPr>
        <w:ind w:left="3213" w:hanging="357"/>
      </w:pPr>
      <w:rPr>
        <w:rFonts w:ascii="Wingdings 2" w:hAnsi="Wingdings 2" w:cs="Times New Roman" w:hint="default"/>
      </w:rPr>
    </w:lvl>
  </w:abstractNum>
  <w:abstractNum w:abstractNumId="7" w15:restartNumberingAfterBreak="0">
    <w:nsid w:val="191872DA"/>
    <w:multiLevelType w:val="multilevel"/>
    <w:tmpl w:val="E8A48D7C"/>
    <w:numStyleLink w:val="VariantaA-sla"/>
  </w:abstractNum>
  <w:abstractNum w:abstractNumId="8" w15:restartNumberingAfterBreak="0">
    <w:nsid w:val="1AF030DB"/>
    <w:multiLevelType w:val="hybridMultilevel"/>
    <w:tmpl w:val="06BA5ABE"/>
    <w:lvl w:ilvl="0" w:tplc="7BD6463A">
      <w:start w:val="1"/>
      <w:numFmt w:val="bullet"/>
      <w:lvlText w:val="˗"/>
      <w:lvlJc w:val="left"/>
      <w:pPr>
        <w:ind w:left="360" w:hanging="360"/>
      </w:pPr>
      <w:rPr>
        <w:rFonts w:ascii="Times New Roman"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1B430BA4"/>
    <w:multiLevelType w:val="hybridMultilevel"/>
    <w:tmpl w:val="BB7E74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1D323E"/>
    <w:multiLevelType w:val="hybridMultilevel"/>
    <w:tmpl w:val="63E6E67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89A5EA2"/>
    <w:multiLevelType w:val="hybridMultilevel"/>
    <w:tmpl w:val="E8BAE50A"/>
    <w:numStyleLink w:val="VariantaA-odrky"/>
  </w:abstractNum>
  <w:abstractNum w:abstractNumId="12" w15:restartNumberingAfterBreak="0">
    <w:nsid w:val="29D343A9"/>
    <w:multiLevelType w:val="hybridMultilevel"/>
    <w:tmpl w:val="CA0479D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868935"/>
    <w:multiLevelType w:val="hybridMultilevel"/>
    <w:tmpl w:val="9CC25B2C"/>
    <w:lvl w:ilvl="0" w:tplc="FA6CB866">
      <w:start w:val="2"/>
      <w:numFmt w:val="lowerRoman"/>
      <w:lvlText w:val="%1."/>
      <w:lvlJc w:val="right"/>
      <w:pPr>
        <w:ind w:left="720" w:hanging="360"/>
      </w:pPr>
    </w:lvl>
    <w:lvl w:ilvl="1" w:tplc="8E8C210E">
      <w:start w:val="1"/>
      <w:numFmt w:val="lowerLetter"/>
      <w:lvlText w:val="%2."/>
      <w:lvlJc w:val="left"/>
      <w:pPr>
        <w:ind w:left="1440" w:hanging="360"/>
      </w:pPr>
    </w:lvl>
    <w:lvl w:ilvl="2" w:tplc="9B268632">
      <w:start w:val="1"/>
      <w:numFmt w:val="lowerRoman"/>
      <w:lvlText w:val="%3."/>
      <w:lvlJc w:val="right"/>
      <w:pPr>
        <w:ind w:left="2160" w:hanging="180"/>
      </w:pPr>
    </w:lvl>
    <w:lvl w:ilvl="3" w:tplc="978A2BA0">
      <w:start w:val="1"/>
      <w:numFmt w:val="decimal"/>
      <w:lvlText w:val="%4."/>
      <w:lvlJc w:val="left"/>
      <w:pPr>
        <w:ind w:left="2880" w:hanging="360"/>
      </w:pPr>
    </w:lvl>
    <w:lvl w:ilvl="4" w:tplc="116488E2">
      <w:start w:val="1"/>
      <w:numFmt w:val="lowerLetter"/>
      <w:lvlText w:val="%5."/>
      <w:lvlJc w:val="left"/>
      <w:pPr>
        <w:ind w:left="3600" w:hanging="360"/>
      </w:pPr>
    </w:lvl>
    <w:lvl w:ilvl="5" w:tplc="DA404B60">
      <w:start w:val="1"/>
      <w:numFmt w:val="lowerRoman"/>
      <w:lvlText w:val="%6."/>
      <w:lvlJc w:val="right"/>
      <w:pPr>
        <w:ind w:left="4320" w:hanging="180"/>
      </w:pPr>
    </w:lvl>
    <w:lvl w:ilvl="6" w:tplc="2DFA240E">
      <w:start w:val="1"/>
      <w:numFmt w:val="decimal"/>
      <w:lvlText w:val="%7."/>
      <w:lvlJc w:val="left"/>
      <w:pPr>
        <w:ind w:left="5040" w:hanging="360"/>
      </w:pPr>
    </w:lvl>
    <w:lvl w:ilvl="7" w:tplc="973C7A88">
      <w:start w:val="1"/>
      <w:numFmt w:val="lowerLetter"/>
      <w:lvlText w:val="%8."/>
      <w:lvlJc w:val="left"/>
      <w:pPr>
        <w:ind w:left="5760" w:hanging="360"/>
      </w:pPr>
    </w:lvl>
    <w:lvl w:ilvl="8" w:tplc="2B8ACD42">
      <w:start w:val="1"/>
      <w:numFmt w:val="lowerRoman"/>
      <w:lvlText w:val="%9."/>
      <w:lvlJc w:val="right"/>
      <w:pPr>
        <w:ind w:left="6480" w:hanging="180"/>
      </w:pPr>
    </w:lvl>
  </w:abstractNum>
  <w:abstractNum w:abstractNumId="14" w15:restartNumberingAfterBreak="0">
    <w:nsid w:val="33517193"/>
    <w:multiLevelType w:val="hybridMultilevel"/>
    <w:tmpl w:val="010688C6"/>
    <w:lvl w:ilvl="0" w:tplc="0405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64E1F2A"/>
    <w:multiLevelType w:val="hybridMultilevel"/>
    <w:tmpl w:val="FBF0DA5E"/>
    <w:lvl w:ilvl="0" w:tplc="FE80297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4C9CC4"/>
    <w:multiLevelType w:val="hybridMultilevel"/>
    <w:tmpl w:val="D326DAEA"/>
    <w:lvl w:ilvl="0" w:tplc="008A1C74">
      <w:start w:val="1"/>
      <w:numFmt w:val="lowerRoman"/>
      <w:lvlText w:val="%1."/>
      <w:lvlJc w:val="right"/>
      <w:pPr>
        <w:ind w:left="720" w:hanging="360"/>
      </w:pPr>
    </w:lvl>
    <w:lvl w:ilvl="1" w:tplc="FB72CF90">
      <w:start w:val="1"/>
      <w:numFmt w:val="lowerLetter"/>
      <w:lvlText w:val="%2."/>
      <w:lvlJc w:val="left"/>
      <w:pPr>
        <w:ind w:left="1440" w:hanging="360"/>
      </w:pPr>
    </w:lvl>
    <w:lvl w:ilvl="2" w:tplc="705272F4">
      <w:start w:val="1"/>
      <w:numFmt w:val="lowerRoman"/>
      <w:lvlText w:val="%3."/>
      <w:lvlJc w:val="right"/>
      <w:pPr>
        <w:ind w:left="2160" w:hanging="180"/>
      </w:pPr>
    </w:lvl>
    <w:lvl w:ilvl="3" w:tplc="9D4CF740">
      <w:start w:val="1"/>
      <w:numFmt w:val="decimal"/>
      <w:lvlText w:val="%4."/>
      <w:lvlJc w:val="left"/>
      <w:pPr>
        <w:ind w:left="2880" w:hanging="360"/>
      </w:pPr>
    </w:lvl>
    <w:lvl w:ilvl="4" w:tplc="D5886C10">
      <w:start w:val="1"/>
      <w:numFmt w:val="lowerLetter"/>
      <w:lvlText w:val="%5."/>
      <w:lvlJc w:val="left"/>
      <w:pPr>
        <w:ind w:left="3600" w:hanging="360"/>
      </w:pPr>
    </w:lvl>
    <w:lvl w:ilvl="5" w:tplc="0A3CFEE4">
      <w:start w:val="1"/>
      <w:numFmt w:val="lowerRoman"/>
      <w:lvlText w:val="%6."/>
      <w:lvlJc w:val="right"/>
      <w:pPr>
        <w:ind w:left="4320" w:hanging="180"/>
      </w:pPr>
    </w:lvl>
    <w:lvl w:ilvl="6" w:tplc="0B0889A6">
      <w:start w:val="1"/>
      <w:numFmt w:val="decimal"/>
      <w:lvlText w:val="%7."/>
      <w:lvlJc w:val="left"/>
      <w:pPr>
        <w:ind w:left="5040" w:hanging="360"/>
      </w:pPr>
    </w:lvl>
    <w:lvl w:ilvl="7" w:tplc="35CE77F4">
      <w:start w:val="1"/>
      <w:numFmt w:val="lowerLetter"/>
      <w:lvlText w:val="%8."/>
      <w:lvlJc w:val="left"/>
      <w:pPr>
        <w:ind w:left="5760" w:hanging="360"/>
      </w:pPr>
    </w:lvl>
    <w:lvl w:ilvl="8" w:tplc="4CFCCA50">
      <w:start w:val="1"/>
      <w:numFmt w:val="lowerRoman"/>
      <w:lvlText w:val="%9."/>
      <w:lvlJc w:val="right"/>
      <w:pPr>
        <w:ind w:left="6480" w:hanging="180"/>
      </w:pPr>
    </w:lvl>
  </w:abstractNum>
  <w:abstractNum w:abstractNumId="17" w15:restartNumberingAfterBreak="0">
    <w:nsid w:val="3AB31D93"/>
    <w:multiLevelType w:val="multilevel"/>
    <w:tmpl w:val="8FEE0438"/>
    <w:lvl w:ilvl="0">
      <w:start w:val="7"/>
      <w:numFmt w:val="decimal"/>
      <w:lvlText w:val="%1"/>
      <w:lvlJc w:val="left"/>
      <w:pPr>
        <w:ind w:left="550" w:hanging="550"/>
      </w:pPr>
      <w:rPr>
        <w:rFonts w:hint="default"/>
      </w:rPr>
    </w:lvl>
    <w:lvl w:ilvl="1">
      <w:start w:val="1"/>
      <w:numFmt w:val="decimal"/>
      <w:lvlText w:val="%1.%2"/>
      <w:lvlJc w:val="left"/>
      <w:pPr>
        <w:ind w:left="550" w:hanging="5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CAD7C82"/>
    <w:multiLevelType w:val="multilevel"/>
    <w:tmpl w:val="60807F3E"/>
    <w:lvl w:ilvl="0">
      <w:start w:val="1"/>
      <w:numFmt w:val="bullet"/>
      <w:pStyle w:val="EYBulletedList1"/>
      <w:lvlText w:val="•"/>
      <w:lvlJc w:val="left"/>
      <w:pPr>
        <w:tabs>
          <w:tab w:val="num" w:pos="288"/>
        </w:tabs>
        <w:ind w:left="288" w:hanging="288"/>
      </w:pPr>
      <w:rPr>
        <w:rFonts w:ascii="EYInterstate Light" w:hAnsi="EYInterstate Light" w:hint="default"/>
        <w:b w:val="0"/>
        <w:i w:val="0"/>
        <w:color w:val="FFD200"/>
        <w:sz w:val="20"/>
        <w:szCs w:val="24"/>
        <w:lang w:val="sk-SK"/>
      </w:rPr>
    </w:lvl>
    <w:lvl w:ilvl="1">
      <w:start w:val="1"/>
      <w:numFmt w:val="bullet"/>
      <w:pStyle w:val="EYBulletedList2"/>
      <w:lvlText w:val="•"/>
      <w:lvlJc w:val="left"/>
      <w:pPr>
        <w:tabs>
          <w:tab w:val="num" w:pos="576"/>
        </w:tabs>
        <w:ind w:left="576" w:hanging="288"/>
      </w:pPr>
      <w:rPr>
        <w:rFonts w:ascii="EYInterstate Light" w:hAnsi="EYInterstate Light" w:hint="default"/>
        <w:b w:val="0"/>
        <w:i w:val="0"/>
        <w:color w:val="FFD200"/>
        <w:sz w:val="20"/>
        <w:szCs w:val="24"/>
      </w:rPr>
    </w:lvl>
    <w:lvl w:ilvl="2">
      <w:start w:val="1"/>
      <w:numFmt w:val="bullet"/>
      <w:pStyle w:val="EYBulletedList3"/>
      <w:lvlText w:val="•"/>
      <w:lvlJc w:val="left"/>
      <w:pPr>
        <w:tabs>
          <w:tab w:val="num" w:pos="864"/>
        </w:tabs>
        <w:ind w:left="864" w:hanging="288"/>
      </w:pPr>
      <w:rPr>
        <w:rFonts w:ascii="EYInterstate Light" w:hAnsi="EYInterstate Light" w:hint="default"/>
        <w:b w:val="0"/>
        <w:i w:val="0"/>
        <w:color w:val="FFD200"/>
        <w:sz w:val="20"/>
        <w:szCs w:val="24"/>
      </w:rPr>
    </w:lvl>
    <w:lvl w:ilvl="3">
      <w:start w:val="1"/>
      <w:numFmt w:val="bullet"/>
      <w:lvlText w:val="►"/>
      <w:lvlJc w:val="left"/>
      <w:pPr>
        <w:tabs>
          <w:tab w:val="num" w:pos="1289"/>
        </w:tabs>
        <w:ind w:left="1152" w:hanging="288"/>
      </w:pPr>
      <w:rPr>
        <w:rFonts w:ascii="Arial" w:hAnsi="Arial" w:cs="Times New Roman" w:hint="default"/>
        <w:color w:val="auto"/>
        <w:sz w:val="16"/>
        <w:szCs w:val="24"/>
      </w:rPr>
    </w:lvl>
    <w:lvl w:ilvl="4">
      <w:start w:val="1"/>
      <w:numFmt w:val="bullet"/>
      <w:lvlText w:val="►"/>
      <w:lvlJc w:val="left"/>
      <w:pPr>
        <w:tabs>
          <w:tab w:val="num" w:pos="1577"/>
        </w:tabs>
        <w:ind w:left="1440" w:hanging="288"/>
      </w:pPr>
      <w:rPr>
        <w:rFonts w:ascii="Arial" w:hAnsi="Arial" w:cs="Times New Roman" w:hint="default"/>
        <w:color w:val="auto"/>
        <w:sz w:val="16"/>
        <w:szCs w:val="24"/>
      </w:rPr>
    </w:lvl>
    <w:lvl w:ilvl="5">
      <w:start w:val="1"/>
      <w:numFmt w:val="bullet"/>
      <w:lvlText w:val="►"/>
      <w:lvlJc w:val="left"/>
      <w:pPr>
        <w:tabs>
          <w:tab w:val="num" w:pos="1865"/>
        </w:tabs>
        <w:ind w:left="1728" w:hanging="288"/>
      </w:pPr>
      <w:rPr>
        <w:rFonts w:ascii="Arial" w:hAnsi="Arial" w:cs="Times New Roman" w:hint="default"/>
        <w:color w:val="auto"/>
        <w:sz w:val="16"/>
        <w:szCs w:val="24"/>
      </w:rPr>
    </w:lvl>
    <w:lvl w:ilvl="6">
      <w:start w:val="1"/>
      <w:numFmt w:val="none"/>
      <w:suff w:val="nothing"/>
      <w:lvlText w:val=""/>
      <w:lvlJc w:val="left"/>
      <w:pPr>
        <w:ind w:left="2016" w:hanging="288"/>
      </w:pPr>
      <w:rPr>
        <w:rFonts w:hint="default"/>
      </w:rPr>
    </w:lvl>
    <w:lvl w:ilvl="7">
      <w:start w:val="1"/>
      <w:numFmt w:val="none"/>
      <w:suff w:val="nothing"/>
      <w:lvlText w:val=""/>
      <w:lvlJc w:val="left"/>
      <w:pPr>
        <w:ind w:left="2304" w:hanging="288"/>
      </w:pPr>
      <w:rPr>
        <w:rFonts w:hint="default"/>
      </w:rPr>
    </w:lvl>
    <w:lvl w:ilvl="8">
      <w:start w:val="1"/>
      <w:numFmt w:val="none"/>
      <w:suff w:val="nothing"/>
      <w:lvlText w:val=""/>
      <w:lvlJc w:val="left"/>
      <w:pPr>
        <w:ind w:left="2592" w:hanging="288"/>
      </w:pPr>
      <w:rPr>
        <w:rFonts w:hint="default"/>
      </w:rPr>
    </w:lvl>
  </w:abstractNum>
  <w:abstractNum w:abstractNumId="19" w15:restartNumberingAfterBreak="0">
    <w:nsid w:val="3FC17F6F"/>
    <w:multiLevelType w:val="hybridMultilevel"/>
    <w:tmpl w:val="3E90A680"/>
    <w:lvl w:ilvl="0" w:tplc="744270E8">
      <w:start w:val="1"/>
      <w:numFmt w:val="lowerLetter"/>
      <w:lvlText w:val="%1)"/>
      <w:lvlJc w:val="left"/>
      <w:pPr>
        <w:tabs>
          <w:tab w:val="num" w:pos="720"/>
        </w:tabs>
        <w:ind w:left="720" w:hanging="360"/>
      </w:pPr>
    </w:lvl>
    <w:lvl w:ilvl="1" w:tplc="0405000F">
      <w:start w:val="1"/>
      <w:numFmt w:val="decimal"/>
      <w:lvlText w:val="%2."/>
      <w:lvlJc w:val="left"/>
      <w:pPr>
        <w:tabs>
          <w:tab w:val="num" w:pos="1440"/>
        </w:tabs>
        <w:ind w:left="1440" w:hanging="360"/>
      </w:pPr>
    </w:lvl>
    <w:lvl w:ilvl="2" w:tplc="9D38E994" w:tentative="1">
      <w:start w:val="1"/>
      <w:numFmt w:val="lowerLetter"/>
      <w:lvlText w:val="%3)"/>
      <w:lvlJc w:val="left"/>
      <w:pPr>
        <w:tabs>
          <w:tab w:val="num" w:pos="2160"/>
        </w:tabs>
        <w:ind w:left="2160" w:hanging="360"/>
      </w:pPr>
    </w:lvl>
    <w:lvl w:ilvl="3" w:tplc="837C9CC8" w:tentative="1">
      <w:start w:val="1"/>
      <w:numFmt w:val="lowerLetter"/>
      <w:lvlText w:val="%4)"/>
      <w:lvlJc w:val="left"/>
      <w:pPr>
        <w:tabs>
          <w:tab w:val="num" w:pos="2880"/>
        </w:tabs>
        <w:ind w:left="2880" w:hanging="360"/>
      </w:pPr>
    </w:lvl>
    <w:lvl w:ilvl="4" w:tplc="2190E806" w:tentative="1">
      <w:start w:val="1"/>
      <w:numFmt w:val="lowerLetter"/>
      <w:lvlText w:val="%5)"/>
      <w:lvlJc w:val="left"/>
      <w:pPr>
        <w:tabs>
          <w:tab w:val="num" w:pos="3600"/>
        </w:tabs>
        <w:ind w:left="3600" w:hanging="360"/>
      </w:pPr>
    </w:lvl>
    <w:lvl w:ilvl="5" w:tplc="EF0883E6" w:tentative="1">
      <w:start w:val="1"/>
      <w:numFmt w:val="lowerLetter"/>
      <w:lvlText w:val="%6)"/>
      <w:lvlJc w:val="left"/>
      <w:pPr>
        <w:tabs>
          <w:tab w:val="num" w:pos="4320"/>
        </w:tabs>
        <w:ind w:left="4320" w:hanging="360"/>
      </w:pPr>
    </w:lvl>
    <w:lvl w:ilvl="6" w:tplc="79E020BE" w:tentative="1">
      <w:start w:val="1"/>
      <w:numFmt w:val="lowerLetter"/>
      <w:lvlText w:val="%7)"/>
      <w:lvlJc w:val="left"/>
      <w:pPr>
        <w:tabs>
          <w:tab w:val="num" w:pos="5040"/>
        </w:tabs>
        <w:ind w:left="5040" w:hanging="360"/>
      </w:pPr>
    </w:lvl>
    <w:lvl w:ilvl="7" w:tplc="926A865A" w:tentative="1">
      <w:start w:val="1"/>
      <w:numFmt w:val="lowerLetter"/>
      <w:lvlText w:val="%8)"/>
      <w:lvlJc w:val="left"/>
      <w:pPr>
        <w:tabs>
          <w:tab w:val="num" w:pos="5760"/>
        </w:tabs>
        <w:ind w:left="5760" w:hanging="360"/>
      </w:pPr>
    </w:lvl>
    <w:lvl w:ilvl="8" w:tplc="B6D22DDA" w:tentative="1">
      <w:start w:val="1"/>
      <w:numFmt w:val="lowerLetter"/>
      <w:lvlText w:val="%9)"/>
      <w:lvlJc w:val="left"/>
      <w:pPr>
        <w:tabs>
          <w:tab w:val="num" w:pos="6480"/>
        </w:tabs>
        <w:ind w:left="6480" w:hanging="360"/>
      </w:pPr>
    </w:lvl>
  </w:abstractNum>
  <w:abstractNum w:abstractNumId="20" w15:restartNumberingAfterBreak="0">
    <w:nsid w:val="416E67A2"/>
    <w:multiLevelType w:val="hybridMultilevel"/>
    <w:tmpl w:val="E1AE76EA"/>
    <w:lvl w:ilvl="0" w:tplc="B7AE2B9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4353A62"/>
    <w:multiLevelType w:val="hybridMultilevel"/>
    <w:tmpl w:val="E7A66A3A"/>
    <w:lvl w:ilvl="0" w:tplc="8F40EEDA">
      <w:start w:val="6"/>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BF0985"/>
    <w:multiLevelType w:val="hybridMultilevel"/>
    <w:tmpl w:val="B8B47BE4"/>
    <w:lvl w:ilvl="0" w:tplc="59183FA6">
      <w:start w:val="3"/>
      <w:numFmt w:val="lowerRoman"/>
      <w:lvlText w:val="%1."/>
      <w:lvlJc w:val="right"/>
      <w:pPr>
        <w:ind w:left="720" w:hanging="360"/>
      </w:pPr>
    </w:lvl>
    <w:lvl w:ilvl="1" w:tplc="2C7A8B32">
      <w:start w:val="1"/>
      <w:numFmt w:val="lowerLetter"/>
      <w:lvlText w:val="%2."/>
      <w:lvlJc w:val="left"/>
      <w:pPr>
        <w:ind w:left="1440" w:hanging="360"/>
      </w:pPr>
    </w:lvl>
    <w:lvl w:ilvl="2" w:tplc="6F080D0C">
      <w:start w:val="1"/>
      <w:numFmt w:val="lowerRoman"/>
      <w:lvlText w:val="%3."/>
      <w:lvlJc w:val="right"/>
      <w:pPr>
        <w:ind w:left="2160" w:hanging="180"/>
      </w:pPr>
    </w:lvl>
    <w:lvl w:ilvl="3" w:tplc="0C100EF2">
      <w:start w:val="1"/>
      <w:numFmt w:val="decimal"/>
      <w:lvlText w:val="%4."/>
      <w:lvlJc w:val="left"/>
      <w:pPr>
        <w:ind w:left="2880" w:hanging="360"/>
      </w:pPr>
    </w:lvl>
    <w:lvl w:ilvl="4" w:tplc="D33883F2">
      <w:start w:val="1"/>
      <w:numFmt w:val="lowerLetter"/>
      <w:lvlText w:val="%5."/>
      <w:lvlJc w:val="left"/>
      <w:pPr>
        <w:ind w:left="3600" w:hanging="360"/>
      </w:pPr>
    </w:lvl>
    <w:lvl w:ilvl="5" w:tplc="49080F0A">
      <w:start w:val="1"/>
      <w:numFmt w:val="lowerRoman"/>
      <w:lvlText w:val="%6."/>
      <w:lvlJc w:val="right"/>
      <w:pPr>
        <w:ind w:left="4320" w:hanging="180"/>
      </w:pPr>
    </w:lvl>
    <w:lvl w:ilvl="6" w:tplc="6A943C0C">
      <w:start w:val="1"/>
      <w:numFmt w:val="decimal"/>
      <w:lvlText w:val="%7."/>
      <w:lvlJc w:val="left"/>
      <w:pPr>
        <w:ind w:left="5040" w:hanging="360"/>
      </w:pPr>
    </w:lvl>
    <w:lvl w:ilvl="7" w:tplc="23AA8C96">
      <w:start w:val="1"/>
      <w:numFmt w:val="lowerLetter"/>
      <w:lvlText w:val="%8."/>
      <w:lvlJc w:val="left"/>
      <w:pPr>
        <w:ind w:left="5760" w:hanging="360"/>
      </w:pPr>
    </w:lvl>
    <w:lvl w:ilvl="8" w:tplc="D44277C8">
      <w:start w:val="1"/>
      <w:numFmt w:val="lowerRoman"/>
      <w:lvlText w:val="%9."/>
      <w:lvlJc w:val="right"/>
      <w:pPr>
        <w:ind w:left="6480" w:hanging="180"/>
      </w:pPr>
    </w:lvl>
  </w:abstractNum>
  <w:abstractNum w:abstractNumId="24" w15:restartNumberingAfterBreak="0">
    <w:nsid w:val="56455354"/>
    <w:multiLevelType w:val="hybridMultilevel"/>
    <w:tmpl w:val="115079DE"/>
    <w:lvl w:ilvl="0" w:tplc="E714B20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6703E41"/>
    <w:multiLevelType w:val="hybridMultilevel"/>
    <w:tmpl w:val="FBF0DA5E"/>
    <w:lvl w:ilvl="0" w:tplc="FE80297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8A321E4"/>
    <w:multiLevelType w:val="hybridMultilevel"/>
    <w:tmpl w:val="E8BAE50A"/>
    <w:styleLink w:val="VariantaA-odrky"/>
    <w:lvl w:ilvl="0" w:tplc="047A364E">
      <w:start w:val="1"/>
      <w:numFmt w:val="bullet"/>
      <w:pStyle w:val="Seznamsodrkami"/>
      <w:lvlText w:val=""/>
      <w:lvlJc w:val="left"/>
      <w:pPr>
        <w:ind w:left="357" w:hanging="357"/>
      </w:pPr>
      <w:rPr>
        <w:rFonts w:ascii="Wingdings" w:hAnsi="Wingdings" w:hint="default"/>
        <w:sz w:val="16"/>
      </w:rPr>
    </w:lvl>
    <w:lvl w:ilvl="1" w:tplc="CCA8D0D2">
      <w:start w:val="1"/>
      <w:numFmt w:val="bullet"/>
      <w:pStyle w:val="Seznamsodrkami2"/>
      <w:lvlText w:val=""/>
      <w:lvlJc w:val="left"/>
      <w:pPr>
        <w:ind w:left="714" w:hanging="357"/>
      </w:pPr>
      <w:rPr>
        <w:rFonts w:ascii="Wingdings" w:hAnsi="Wingdings" w:hint="default"/>
        <w:sz w:val="14"/>
      </w:rPr>
    </w:lvl>
    <w:lvl w:ilvl="2" w:tplc="BC269F70">
      <w:start w:val="1"/>
      <w:numFmt w:val="bullet"/>
      <w:pStyle w:val="Seznamsodrkami3"/>
      <w:lvlText w:val=""/>
      <w:lvlJc w:val="left"/>
      <w:pPr>
        <w:ind w:left="1071" w:hanging="357"/>
      </w:pPr>
      <w:rPr>
        <w:rFonts w:ascii="Wingdings" w:hAnsi="Wingdings" w:hint="default"/>
        <w:sz w:val="10"/>
      </w:rPr>
    </w:lvl>
    <w:lvl w:ilvl="3" w:tplc="3C527C5E">
      <w:start w:val="1"/>
      <w:numFmt w:val="bullet"/>
      <w:pStyle w:val="Seznamsodrkami4"/>
      <w:lvlText w:val=""/>
      <w:lvlJc w:val="left"/>
      <w:pPr>
        <w:ind w:left="1428" w:hanging="357"/>
      </w:pPr>
      <w:rPr>
        <w:rFonts w:ascii="Wingdings" w:hAnsi="Wingdings" w:hint="default"/>
        <w:sz w:val="10"/>
      </w:rPr>
    </w:lvl>
    <w:lvl w:ilvl="4" w:tplc="7F82252A">
      <w:start w:val="1"/>
      <w:numFmt w:val="bullet"/>
      <w:pStyle w:val="Seznamsodrkami5"/>
      <w:lvlText w:val=""/>
      <w:lvlJc w:val="left"/>
      <w:pPr>
        <w:ind w:left="1785" w:hanging="357"/>
      </w:pPr>
      <w:rPr>
        <w:rFonts w:ascii="Wingdings" w:hAnsi="Wingdings" w:hint="default"/>
        <w:sz w:val="10"/>
      </w:rPr>
    </w:lvl>
    <w:lvl w:ilvl="5" w:tplc="38C68910">
      <w:start w:val="1"/>
      <w:numFmt w:val="bullet"/>
      <w:lvlText w:val=""/>
      <w:lvlJc w:val="left"/>
      <w:pPr>
        <w:ind w:left="2142" w:hanging="357"/>
      </w:pPr>
      <w:rPr>
        <w:rFonts w:ascii="Wingdings" w:hAnsi="Wingdings" w:hint="default"/>
        <w:sz w:val="10"/>
      </w:rPr>
    </w:lvl>
    <w:lvl w:ilvl="6" w:tplc="CF50DFCE">
      <w:start w:val="1"/>
      <w:numFmt w:val="bullet"/>
      <w:lvlText w:val=""/>
      <w:lvlJc w:val="left"/>
      <w:pPr>
        <w:ind w:left="2499" w:hanging="357"/>
      </w:pPr>
      <w:rPr>
        <w:rFonts w:ascii="Wingdings" w:hAnsi="Wingdings" w:hint="default"/>
        <w:sz w:val="10"/>
      </w:rPr>
    </w:lvl>
    <w:lvl w:ilvl="7" w:tplc="91A636B2">
      <w:start w:val="1"/>
      <w:numFmt w:val="bullet"/>
      <w:lvlText w:val=""/>
      <w:lvlJc w:val="left"/>
      <w:pPr>
        <w:ind w:left="2856" w:hanging="357"/>
      </w:pPr>
      <w:rPr>
        <w:rFonts w:ascii="Wingdings" w:hAnsi="Wingdings" w:hint="default"/>
        <w:sz w:val="10"/>
      </w:rPr>
    </w:lvl>
    <w:lvl w:ilvl="8" w:tplc="9312846E">
      <w:start w:val="1"/>
      <w:numFmt w:val="bullet"/>
      <w:lvlText w:val=""/>
      <w:lvlJc w:val="left"/>
      <w:pPr>
        <w:ind w:left="3213" w:hanging="357"/>
      </w:pPr>
      <w:rPr>
        <w:rFonts w:ascii="Wingdings" w:hAnsi="Wingdings" w:hint="default"/>
        <w:color w:val="000000" w:themeColor="text1"/>
        <w:sz w:val="10"/>
      </w:rPr>
    </w:lvl>
  </w:abstractNum>
  <w:abstractNum w:abstractNumId="27" w15:restartNumberingAfterBreak="0">
    <w:nsid w:val="5AF35F43"/>
    <w:multiLevelType w:val="hybridMultilevel"/>
    <w:tmpl w:val="0D8ABE32"/>
    <w:numStyleLink w:val="VariantaB-sla"/>
  </w:abstractNum>
  <w:abstractNum w:abstractNumId="28" w15:restartNumberingAfterBreak="0">
    <w:nsid w:val="63272668"/>
    <w:multiLevelType w:val="hybridMultilevel"/>
    <w:tmpl w:val="29D2CBA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4E61A10"/>
    <w:multiLevelType w:val="hybridMultilevel"/>
    <w:tmpl w:val="6AEC74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7BA0E7D"/>
    <w:multiLevelType w:val="hybridMultilevel"/>
    <w:tmpl w:val="1D8E30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3"/>
  </w:num>
  <w:num w:numId="2">
    <w:abstractNumId w:val="13"/>
  </w:num>
  <w:num w:numId="3">
    <w:abstractNumId w:val="16"/>
  </w:num>
  <w:num w:numId="4">
    <w:abstractNumId w:val="6"/>
  </w:num>
  <w:num w:numId="5">
    <w:abstractNumId w:val="26"/>
  </w:num>
  <w:num w:numId="6">
    <w:abstractNumId w:val="21"/>
  </w:num>
  <w:num w:numId="7">
    <w:abstractNumId w:val="1"/>
  </w:num>
  <w:num w:numId="8">
    <w:abstractNumId w:val="27"/>
  </w:num>
  <w:num w:numId="9">
    <w:abstractNumId w:val="11"/>
  </w:num>
  <w:num w:numId="10">
    <w:abstractNumId w:val="7"/>
  </w:num>
  <w:num w:numId="11">
    <w:abstractNumId w:val="5"/>
  </w:num>
  <w:num w:numId="12">
    <w:abstractNumId w:val="8"/>
  </w:num>
  <w:num w:numId="13">
    <w:abstractNumId w:val="18"/>
  </w:num>
  <w:num w:numId="14">
    <w:abstractNumId w:val="20"/>
  </w:num>
  <w:num w:numId="15">
    <w:abstractNumId w:val="19"/>
  </w:num>
  <w:num w:numId="16">
    <w:abstractNumId w:val="14"/>
  </w:num>
  <w:num w:numId="17">
    <w:abstractNumId w:val="12"/>
  </w:num>
  <w:num w:numId="18">
    <w:abstractNumId w:val="9"/>
  </w:num>
  <w:num w:numId="19">
    <w:abstractNumId w:val="4"/>
  </w:num>
  <w:num w:numId="20">
    <w:abstractNumId w:val="28"/>
  </w:num>
  <w:num w:numId="21">
    <w:abstractNumId w:val="0"/>
  </w:num>
  <w:num w:numId="22">
    <w:abstractNumId w:val="24"/>
  </w:num>
  <w:num w:numId="23">
    <w:abstractNumId w:val="10"/>
  </w:num>
  <w:num w:numId="24">
    <w:abstractNumId w:val="2"/>
  </w:num>
  <w:num w:numId="25">
    <w:abstractNumId w:val="2"/>
  </w:num>
  <w:num w:numId="26">
    <w:abstractNumId w:val="29"/>
  </w:num>
  <w:num w:numId="27">
    <w:abstractNumId w:val="2"/>
    <w:lvlOverride w:ilvl="0">
      <w:startOverride w:val="1"/>
    </w:lvlOverride>
  </w:num>
  <w:num w:numId="28">
    <w:abstractNumId w:val="30"/>
  </w:num>
  <w:num w:numId="29">
    <w:abstractNumId w:val="25"/>
  </w:num>
  <w:num w:numId="30">
    <w:abstractNumId w:val="15"/>
  </w:num>
  <w:num w:numId="31">
    <w:abstractNumId w:val="22"/>
  </w:num>
  <w:num w:numId="32">
    <w:abstractNumId w:val="17"/>
  </w:num>
  <w:num w:numId="33">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removeDateAndTime/>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20CF"/>
    <w:rsid w:val="000016C3"/>
    <w:rsid w:val="00002101"/>
    <w:rsid w:val="0000648F"/>
    <w:rsid w:val="00012DB3"/>
    <w:rsid w:val="00013CDF"/>
    <w:rsid w:val="00015306"/>
    <w:rsid w:val="00016EC7"/>
    <w:rsid w:val="000203DD"/>
    <w:rsid w:val="0002226F"/>
    <w:rsid w:val="00023BA8"/>
    <w:rsid w:val="00025358"/>
    <w:rsid w:val="00025F72"/>
    <w:rsid w:val="00025FDB"/>
    <w:rsid w:val="0002674B"/>
    <w:rsid w:val="000268FE"/>
    <w:rsid w:val="00030685"/>
    <w:rsid w:val="00031153"/>
    <w:rsid w:val="00031BE0"/>
    <w:rsid w:val="00035374"/>
    <w:rsid w:val="00035AB3"/>
    <w:rsid w:val="00037C4D"/>
    <w:rsid w:val="00037E2A"/>
    <w:rsid w:val="00040DAC"/>
    <w:rsid w:val="000412BE"/>
    <w:rsid w:val="0004162E"/>
    <w:rsid w:val="00042D21"/>
    <w:rsid w:val="0004301A"/>
    <w:rsid w:val="0004457D"/>
    <w:rsid w:val="0004786B"/>
    <w:rsid w:val="00051372"/>
    <w:rsid w:val="00053233"/>
    <w:rsid w:val="00054D9A"/>
    <w:rsid w:val="00055126"/>
    <w:rsid w:val="0006176D"/>
    <w:rsid w:val="00062EBE"/>
    <w:rsid w:val="00063405"/>
    <w:rsid w:val="00063704"/>
    <w:rsid w:val="00063AE6"/>
    <w:rsid w:val="000648F0"/>
    <w:rsid w:val="00070134"/>
    <w:rsid w:val="00071449"/>
    <w:rsid w:val="00071A19"/>
    <w:rsid w:val="000725E3"/>
    <w:rsid w:val="00072FB2"/>
    <w:rsid w:val="00073716"/>
    <w:rsid w:val="0007624D"/>
    <w:rsid w:val="00076655"/>
    <w:rsid w:val="000809B9"/>
    <w:rsid w:val="00080B11"/>
    <w:rsid w:val="00081059"/>
    <w:rsid w:val="00081843"/>
    <w:rsid w:val="00083DF4"/>
    <w:rsid w:val="000860FB"/>
    <w:rsid w:val="000874EB"/>
    <w:rsid w:val="00090B0F"/>
    <w:rsid w:val="00090B40"/>
    <w:rsid w:val="0009367D"/>
    <w:rsid w:val="00095A0A"/>
    <w:rsid w:val="00095EBD"/>
    <w:rsid w:val="000978D3"/>
    <w:rsid w:val="000A068C"/>
    <w:rsid w:val="000A06CE"/>
    <w:rsid w:val="000A20FE"/>
    <w:rsid w:val="000A51B9"/>
    <w:rsid w:val="000A6178"/>
    <w:rsid w:val="000A789A"/>
    <w:rsid w:val="000A7B21"/>
    <w:rsid w:val="000B0096"/>
    <w:rsid w:val="000B14B0"/>
    <w:rsid w:val="000B1B3D"/>
    <w:rsid w:val="000B3F23"/>
    <w:rsid w:val="000B5465"/>
    <w:rsid w:val="000B5735"/>
    <w:rsid w:val="000C0598"/>
    <w:rsid w:val="000C1774"/>
    <w:rsid w:val="000C23CF"/>
    <w:rsid w:val="000C28A7"/>
    <w:rsid w:val="000C2A5C"/>
    <w:rsid w:val="000C4CAF"/>
    <w:rsid w:val="000C7468"/>
    <w:rsid w:val="000C7D65"/>
    <w:rsid w:val="000D0C47"/>
    <w:rsid w:val="000D2A5B"/>
    <w:rsid w:val="000D55FA"/>
    <w:rsid w:val="000D652B"/>
    <w:rsid w:val="000D6D87"/>
    <w:rsid w:val="000D76C6"/>
    <w:rsid w:val="000E09B1"/>
    <w:rsid w:val="000E0A43"/>
    <w:rsid w:val="000E0B3F"/>
    <w:rsid w:val="000E2207"/>
    <w:rsid w:val="000E2EE0"/>
    <w:rsid w:val="000E3271"/>
    <w:rsid w:val="000E6112"/>
    <w:rsid w:val="000F09DA"/>
    <w:rsid w:val="000F1182"/>
    <w:rsid w:val="000F1F07"/>
    <w:rsid w:val="000F3C01"/>
    <w:rsid w:val="00102A5F"/>
    <w:rsid w:val="00102D74"/>
    <w:rsid w:val="00102DE8"/>
    <w:rsid w:val="0010468C"/>
    <w:rsid w:val="00107969"/>
    <w:rsid w:val="00110CC1"/>
    <w:rsid w:val="00111390"/>
    <w:rsid w:val="00111409"/>
    <w:rsid w:val="00111E91"/>
    <w:rsid w:val="00112196"/>
    <w:rsid w:val="00113A4E"/>
    <w:rsid w:val="001153CF"/>
    <w:rsid w:val="00121303"/>
    <w:rsid w:val="00121485"/>
    <w:rsid w:val="001248EA"/>
    <w:rsid w:val="00124C9C"/>
    <w:rsid w:val="00125D05"/>
    <w:rsid w:val="001268B0"/>
    <w:rsid w:val="001319CE"/>
    <w:rsid w:val="00132913"/>
    <w:rsid w:val="00133487"/>
    <w:rsid w:val="00133AF5"/>
    <w:rsid w:val="00134440"/>
    <w:rsid w:val="00134FB0"/>
    <w:rsid w:val="00140698"/>
    <w:rsid w:val="001428EA"/>
    <w:rsid w:val="00142DDD"/>
    <w:rsid w:val="00143FA6"/>
    <w:rsid w:val="00144747"/>
    <w:rsid w:val="00145C41"/>
    <w:rsid w:val="0015052B"/>
    <w:rsid w:val="00150C0F"/>
    <w:rsid w:val="0015109D"/>
    <w:rsid w:val="00151963"/>
    <w:rsid w:val="0015291B"/>
    <w:rsid w:val="00153388"/>
    <w:rsid w:val="001545AC"/>
    <w:rsid w:val="001548C7"/>
    <w:rsid w:val="00154B73"/>
    <w:rsid w:val="00162038"/>
    <w:rsid w:val="00164836"/>
    <w:rsid w:val="001653A1"/>
    <w:rsid w:val="001662BF"/>
    <w:rsid w:val="00170265"/>
    <w:rsid w:val="00170DCE"/>
    <w:rsid w:val="001712B7"/>
    <w:rsid w:val="001714B9"/>
    <w:rsid w:val="0017315B"/>
    <w:rsid w:val="001745AA"/>
    <w:rsid w:val="00174733"/>
    <w:rsid w:val="00176997"/>
    <w:rsid w:val="001773FA"/>
    <w:rsid w:val="001776FA"/>
    <w:rsid w:val="0018051B"/>
    <w:rsid w:val="001805A8"/>
    <w:rsid w:val="00181F38"/>
    <w:rsid w:val="00183DEC"/>
    <w:rsid w:val="00184B65"/>
    <w:rsid w:val="001857BE"/>
    <w:rsid w:val="001923DA"/>
    <w:rsid w:val="001931B7"/>
    <w:rsid w:val="0019508B"/>
    <w:rsid w:val="00196474"/>
    <w:rsid w:val="00197361"/>
    <w:rsid w:val="001A1083"/>
    <w:rsid w:val="001A214F"/>
    <w:rsid w:val="001A2CE4"/>
    <w:rsid w:val="001A2DFE"/>
    <w:rsid w:val="001A77EC"/>
    <w:rsid w:val="001B1E4A"/>
    <w:rsid w:val="001B2AFE"/>
    <w:rsid w:val="001B58AA"/>
    <w:rsid w:val="001B7D80"/>
    <w:rsid w:val="001C0B41"/>
    <w:rsid w:val="001C1EAD"/>
    <w:rsid w:val="001C22D1"/>
    <w:rsid w:val="001C32BD"/>
    <w:rsid w:val="001C38FE"/>
    <w:rsid w:val="001C466E"/>
    <w:rsid w:val="001C4DFD"/>
    <w:rsid w:val="001C67F5"/>
    <w:rsid w:val="001D0660"/>
    <w:rsid w:val="001D2656"/>
    <w:rsid w:val="001D27C0"/>
    <w:rsid w:val="001D28BA"/>
    <w:rsid w:val="001D2DA0"/>
    <w:rsid w:val="001D5C30"/>
    <w:rsid w:val="001D7312"/>
    <w:rsid w:val="001E0C5E"/>
    <w:rsid w:val="001E1753"/>
    <w:rsid w:val="001E6DCE"/>
    <w:rsid w:val="001E74C3"/>
    <w:rsid w:val="001E7B02"/>
    <w:rsid w:val="001F36B9"/>
    <w:rsid w:val="001F5210"/>
    <w:rsid w:val="001F546C"/>
    <w:rsid w:val="001F6937"/>
    <w:rsid w:val="002020B2"/>
    <w:rsid w:val="002035A9"/>
    <w:rsid w:val="0020468E"/>
    <w:rsid w:val="002054C5"/>
    <w:rsid w:val="00206827"/>
    <w:rsid w:val="00206E20"/>
    <w:rsid w:val="00207FC3"/>
    <w:rsid w:val="002109F0"/>
    <w:rsid w:val="00210E99"/>
    <w:rsid w:val="00211ED5"/>
    <w:rsid w:val="002128EB"/>
    <w:rsid w:val="00213036"/>
    <w:rsid w:val="002173BC"/>
    <w:rsid w:val="00217569"/>
    <w:rsid w:val="00220DE3"/>
    <w:rsid w:val="00223373"/>
    <w:rsid w:val="0022436D"/>
    <w:rsid w:val="00224EBD"/>
    <w:rsid w:val="00225B4E"/>
    <w:rsid w:val="002273A1"/>
    <w:rsid w:val="00231688"/>
    <w:rsid w:val="002319C5"/>
    <w:rsid w:val="00232373"/>
    <w:rsid w:val="002323C3"/>
    <w:rsid w:val="00232BED"/>
    <w:rsid w:val="0023622E"/>
    <w:rsid w:val="00237472"/>
    <w:rsid w:val="00241DF0"/>
    <w:rsid w:val="0024235A"/>
    <w:rsid w:val="002424D3"/>
    <w:rsid w:val="00243F1F"/>
    <w:rsid w:val="00244294"/>
    <w:rsid w:val="00244CC8"/>
    <w:rsid w:val="00244E5E"/>
    <w:rsid w:val="0024696D"/>
    <w:rsid w:val="00247983"/>
    <w:rsid w:val="002507BF"/>
    <w:rsid w:val="0025176B"/>
    <w:rsid w:val="00251DC6"/>
    <w:rsid w:val="00251F06"/>
    <w:rsid w:val="0025290D"/>
    <w:rsid w:val="00256E50"/>
    <w:rsid w:val="002601AA"/>
    <w:rsid w:val="00260372"/>
    <w:rsid w:val="00261049"/>
    <w:rsid w:val="00261A74"/>
    <w:rsid w:val="00262DAF"/>
    <w:rsid w:val="00262DC6"/>
    <w:rsid w:val="002657D9"/>
    <w:rsid w:val="00267A06"/>
    <w:rsid w:val="002700AD"/>
    <w:rsid w:val="00270919"/>
    <w:rsid w:val="00270E55"/>
    <w:rsid w:val="00277902"/>
    <w:rsid w:val="002815D6"/>
    <w:rsid w:val="0028200B"/>
    <w:rsid w:val="0028282D"/>
    <w:rsid w:val="002835C0"/>
    <w:rsid w:val="0028452A"/>
    <w:rsid w:val="00285AED"/>
    <w:rsid w:val="0029165A"/>
    <w:rsid w:val="00294787"/>
    <w:rsid w:val="00295A97"/>
    <w:rsid w:val="00295AC0"/>
    <w:rsid w:val="002967AE"/>
    <w:rsid w:val="002A1BCA"/>
    <w:rsid w:val="002A264C"/>
    <w:rsid w:val="002A47D4"/>
    <w:rsid w:val="002A5BC1"/>
    <w:rsid w:val="002B1A15"/>
    <w:rsid w:val="002B37C9"/>
    <w:rsid w:val="002B3A0F"/>
    <w:rsid w:val="002B76B0"/>
    <w:rsid w:val="002C0F20"/>
    <w:rsid w:val="002C1F5D"/>
    <w:rsid w:val="002C20CF"/>
    <w:rsid w:val="002C446B"/>
    <w:rsid w:val="002C44E5"/>
    <w:rsid w:val="002C4FCC"/>
    <w:rsid w:val="002C7B89"/>
    <w:rsid w:val="002D1254"/>
    <w:rsid w:val="002D279B"/>
    <w:rsid w:val="002D2B80"/>
    <w:rsid w:val="002D2FA4"/>
    <w:rsid w:val="002D34E3"/>
    <w:rsid w:val="002D40E6"/>
    <w:rsid w:val="002D4B4C"/>
    <w:rsid w:val="002D64CB"/>
    <w:rsid w:val="002E0A2A"/>
    <w:rsid w:val="002E10A5"/>
    <w:rsid w:val="002E1446"/>
    <w:rsid w:val="002E19BA"/>
    <w:rsid w:val="002E2442"/>
    <w:rsid w:val="002E3C57"/>
    <w:rsid w:val="002E5165"/>
    <w:rsid w:val="002E6402"/>
    <w:rsid w:val="002E65CD"/>
    <w:rsid w:val="002E67BB"/>
    <w:rsid w:val="002F0E8C"/>
    <w:rsid w:val="002F1A20"/>
    <w:rsid w:val="002F2589"/>
    <w:rsid w:val="002F7AC0"/>
    <w:rsid w:val="00300556"/>
    <w:rsid w:val="00304970"/>
    <w:rsid w:val="003066FB"/>
    <w:rsid w:val="00310FA0"/>
    <w:rsid w:val="0031101E"/>
    <w:rsid w:val="00320481"/>
    <w:rsid w:val="00323DA2"/>
    <w:rsid w:val="003246A2"/>
    <w:rsid w:val="00324A33"/>
    <w:rsid w:val="003250CB"/>
    <w:rsid w:val="00330A99"/>
    <w:rsid w:val="003320C3"/>
    <w:rsid w:val="003323D8"/>
    <w:rsid w:val="00333A9E"/>
    <w:rsid w:val="003456B8"/>
    <w:rsid w:val="00346293"/>
    <w:rsid w:val="00350BAE"/>
    <w:rsid w:val="00351CAF"/>
    <w:rsid w:val="00352E19"/>
    <w:rsid w:val="003539F8"/>
    <w:rsid w:val="003546AA"/>
    <w:rsid w:val="00355CF1"/>
    <w:rsid w:val="00357E61"/>
    <w:rsid w:val="00357F14"/>
    <w:rsid w:val="00361456"/>
    <w:rsid w:val="00363201"/>
    <w:rsid w:val="00365049"/>
    <w:rsid w:val="003667FD"/>
    <w:rsid w:val="00366834"/>
    <w:rsid w:val="00367FBE"/>
    <w:rsid w:val="003704EF"/>
    <w:rsid w:val="00370D50"/>
    <w:rsid w:val="00371E8E"/>
    <w:rsid w:val="00374BE0"/>
    <w:rsid w:val="00375379"/>
    <w:rsid w:val="00376D1C"/>
    <w:rsid w:val="00376E8E"/>
    <w:rsid w:val="00377E7F"/>
    <w:rsid w:val="00380A5D"/>
    <w:rsid w:val="0038110F"/>
    <w:rsid w:val="00381B32"/>
    <w:rsid w:val="00381CD3"/>
    <w:rsid w:val="00381E7A"/>
    <w:rsid w:val="00384BCB"/>
    <w:rsid w:val="00385AD8"/>
    <w:rsid w:val="003860D1"/>
    <w:rsid w:val="0039063C"/>
    <w:rsid w:val="00391F03"/>
    <w:rsid w:val="00392B27"/>
    <w:rsid w:val="00395B83"/>
    <w:rsid w:val="00395EB6"/>
    <w:rsid w:val="003964E8"/>
    <w:rsid w:val="003A0C74"/>
    <w:rsid w:val="003A1A34"/>
    <w:rsid w:val="003A390C"/>
    <w:rsid w:val="003A3983"/>
    <w:rsid w:val="003A46A8"/>
    <w:rsid w:val="003A51AA"/>
    <w:rsid w:val="003A6471"/>
    <w:rsid w:val="003A691A"/>
    <w:rsid w:val="003A6A2A"/>
    <w:rsid w:val="003B0E92"/>
    <w:rsid w:val="003B1033"/>
    <w:rsid w:val="003B403F"/>
    <w:rsid w:val="003B5520"/>
    <w:rsid w:val="003B565A"/>
    <w:rsid w:val="003B57CD"/>
    <w:rsid w:val="003B66A2"/>
    <w:rsid w:val="003B6973"/>
    <w:rsid w:val="003C025C"/>
    <w:rsid w:val="003C0636"/>
    <w:rsid w:val="003C1CE1"/>
    <w:rsid w:val="003C2D9B"/>
    <w:rsid w:val="003C5E6F"/>
    <w:rsid w:val="003D00A1"/>
    <w:rsid w:val="003D02DD"/>
    <w:rsid w:val="003D0729"/>
    <w:rsid w:val="003D1779"/>
    <w:rsid w:val="003D2AC9"/>
    <w:rsid w:val="003D2E37"/>
    <w:rsid w:val="003D3067"/>
    <w:rsid w:val="003D574B"/>
    <w:rsid w:val="003E0354"/>
    <w:rsid w:val="003E1654"/>
    <w:rsid w:val="003E2596"/>
    <w:rsid w:val="003E3291"/>
    <w:rsid w:val="003E4869"/>
    <w:rsid w:val="003E5E8F"/>
    <w:rsid w:val="003E637B"/>
    <w:rsid w:val="003F0634"/>
    <w:rsid w:val="003F28F7"/>
    <w:rsid w:val="003F32D7"/>
    <w:rsid w:val="003F3A11"/>
    <w:rsid w:val="00401672"/>
    <w:rsid w:val="00401E9D"/>
    <w:rsid w:val="00403964"/>
    <w:rsid w:val="0040412B"/>
    <w:rsid w:val="00405315"/>
    <w:rsid w:val="00406796"/>
    <w:rsid w:val="004076C4"/>
    <w:rsid w:val="00411D5B"/>
    <w:rsid w:val="004130E8"/>
    <w:rsid w:val="00413595"/>
    <w:rsid w:val="0041414A"/>
    <w:rsid w:val="0041427F"/>
    <w:rsid w:val="00415775"/>
    <w:rsid w:val="00415F7F"/>
    <w:rsid w:val="0041641A"/>
    <w:rsid w:val="00422F77"/>
    <w:rsid w:val="0042328A"/>
    <w:rsid w:val="0042389B"/>
    <w:rsid w:val="00425378"/>
    <w:rsid w:val="004254B2"/>
    <w:rsid w:val="004303CE"/>
    <w:rsid w:val="004321BB"/>
    <w:rsid w:val="00435DF7"/>
    <w:rsid w:val="004367B3"/>
    <w:rsid w:val="004379D1"/>
    <w:rsid w:val="00440116"/>
    <w:rsid w:val="00444260"/>
    <w:rsid w:val="004449CF"/>
    <w:rsid w:val="00445DBC"/>
    <w:rsid w:val="004509E5"/>
    <w:rsid w:val="0045105E"/>
    <w:rsid w:val="00455FD0"/>
    <w:rsid w:val="004561DC"/>
    <w:rsid w:val="004563B1"/>
    <w:rsid w:val="00456E6C"/>
    <w:rsid w:val="00457866"/>
    <w:rsid w:val="00461D6A"/>
    <w:rsid w:val="0046224F"/>
    <w:rsid w:val="00463555"/>
    <w:rsid w:val="00463943"/>
    <w:rsid w:val="00464C30"/>
    <w:rsid w:val="00465EE4"/>
    <w:rsid w:val="00470D31"/>
    <w:rsid w:val="00473D37"/>
    <w:rsid w:val="004754A3"/>
    <w:rsid w:val="00475FAF"/>
    <w:rsid w:val="004802D5"/>
    <w:rsid w:val="0048086D"/>
    <w:rsid w:val="00482343"/>
    <w:rsid w:val="004829E1"/>
    <w:rsid w:val="00482DD6"/>
    <w:rsid w:val="004863F1"/>
    <w:rsid w:val="00486566"/>
    <w:rsid w:val="00486FB9"/>
    <w:rsid w:val="00493245"/>
    <w:rsid w:val="0049577B"/>
    <w:rsid w:val="0049610D"/>
    <w:rsid w:val="00497B7F"/>
    <w:rsid w:val="004A1222"/>
    <w:rsid w:val="004A23BD"/>
    <w:rsid w:val="004A446E"/>
    <w:rsid w:val="004A4985"/>
    <w:rsid w:val="004A54FD"/>
    <w:rsid w:val="004B12F9"/>
    <w:rsid w:val="004B26D1"/>
    <w:rsid w:val="004B2B46"/>
    <w:rsid w:val="004B2F13"/>
    <w:rsid w:val="004B6499"/>
    <w:rsid w:val="004B65A9"/>
    <w:rsid w:val="004C1948"/>
    <w:rsid w:val="004C212A"/>
    <w:rsid w:val="004C440B"/>
    <w:rsid w:val="004C4717"/>
    <w:rsid w:val="004C490E"/>
    <w:rsid w:val="004C6C11"/>
    <w:rsid w:val="004D1BC1"/>
    <w:rsid w:val="004D3C1A"/>
    <w:rsid w:val="004D443B"/>
    <w:rsid w:val="004D7A4C"/>
    <w:rsid w:val="004D7C1D"/>
    <w:rsid w:val="004E3628"/>
    <w:rsid w:val="004E4A5A"/>
    <w:rsid w:val="004E50A0"/>
    <w:rsid w:val="004E5B25"/>
    <w:rsid w:val="004E6019"/>
    <w:rsid w:val="004E6E28"/>
    <w:rsid w:val="004E7D6E"/>
    <w:rsid w:val="004F0685"/>
    <w:rsid w:val="004F1158"/>
    <w:rsid w:val="004F3284"/>
    <w:rsid w:val="004F3448"/>
    <w:rsid w:val="004F3585"/>
    <w:rsid w:val="004F59C3"/>
    <w:rsid w:val="00500232"/>
    <w:rsid w:val="005015C4"/>
    <w:rsid w:val="005031F4"/>
    <w:rsid w:val="00504668"/>
    <w:rsid w:val="00504DF6"/>
    <w:rsid w:val="0051102F"/>
    <w:rsid w:val="005119E2"/>
    <w:rsid w:val="00512795"/>
    <w:rsid w:val="00513DC1"/>
    <w:rsid w:val="00514C94"/>
    <w:rsid w:val="005165BA"/>
    <w:rsid w:val="00517258"/>
    <w:rsid w:val="0052064A"/>
    <w:rsid w:val="0052093B"/>
    <w:rsid w:val="00520F3E"/>
    <w:rsid w:val="0052177C"/>
    <w:rsid w:val="005241EB"/>
    <w:rsid w:val="005253F1"/>
    <w:rsid w:val="005270E0"/>
    <w:rsid w:val="00532333"/>
    <w:rsid w:val="00533302"/>
    <w:rsid w:val="00533FEF"/>
    <w:rsid w:val="00535120"/>
    <w:rsid w:val="005358DE"/>
    <w:rsid w:val="00536992"/>
    <w:rsid w:val="005407D1"/>
    <w:rsid w:val="00541088"/>
    <w:rsid w:val="00544E2F"/>
    <w:rsid w:val="00544EA6"/>
    <w:rsid w:val="005455E1"/>
    <w:rsid w:val="00545834"/>
    <w:rsid w:val="00546948"/>
    <w:rsid w:val="00546D1C"/>
    <w:rsid w:val="00547570"/>
    <w:rsid w:val="005502BD"/>
    <w:rsid w:val="00550CF6"/>
    <w:rsid w:val="00552F5F"/>
    <w:rsid w:val="00553591"/>
    <w:rsid w:val="00554138"/>
    <w:rsid w:val="00556787"/>
    <w:rsid w:val="005579B0"/>
    <w:rsid w:val="00561D2E"/>
    <w:rsid w:val="005630E7"/>
    <w:rsid w:val="0056422D"/>
    <w:rsid w:val="00564B70"/>
    <w:rsid w:val="0056594F"/>
    <w:rsid w:val="00567238"/>
    <w:rsid w:val="0057202C"/>
    <w:rsid w:val="005745BE"/>
    <w:rsid w:val="00575BAE"/>
    <w:rsid w:val="00576A9B"/>
    <w:rsid w:val="00576F7C"/>
    <w:rsid w:val="00580DD6"/>
    <w:rsid w:val="00580EAF"/>
    <w:rsid w:val="00581A02"/>
    <w:rsid w:val="00581FB8"/>
    <w:rsid w:val="00582276"/>
    <w:rsid w:val="0058458D"/>
    <w:rsid w:val="00586036"/>
    <w:rsid w:val="00586E29"/>
    <w:rsid w:val="005898D5"/>
    <w:rsid w:val="00591934"/>
    <w:rsid w:val="00592EEC"/>
    <w:rsid w:val="005950BD"/>
    <w:rsid w:val="005956AF"/>
    <w:rsid w:val="00596509"/>
    <w:rsid w:val="00596FC4"/>
    <w:rsid w:val="00597AAA"/>
    <w:rsid w:val="005A1461"/>
    <w:rsid w:val="005A4223"/>
    <w:rsid w:val="005A7135"/>
    <w:rsid w:val="005B0632"/>
    <w:rsid w:val="005B1872"/>
    <w:rsid w:val="005B1DC6"/>
    <w:rsid w:val="005B1DE7"/>
    <w:rsid w:val="005B36B5"/>
    <w:rsid w:val="005B38C3"/>
    <w:rsid w:val="005B3F5C"/>
    <w:rsid w:val="005B44CD"/>
    <w:rsid w:val="005B4BCA"/>
    <w:rsid w:val="005B500D"/>
    <w:rsid w:val="005B6940"/>
    <w:rsid w:val="005B7E43"/>
    <w:rsid w:val="005C0143"/>
    <w:rsid w:val="005C2560"/>
    <w:rsid w:val="005C368F"/>
    <w:rsid w:val="005C3958"/>
    <w:rsid w:val="005C4551"/>
    <w:rsid w:val="005C45F1"/>
    <w:rsid w:val="005C4AD7"/>
    <w:rsid w:val="005C5C8B"/>
    <w:rsid w:val="005C5CC6"/>
    <w:rsid w:val="005C7415"/>
    <w:rsid w:val="005D09A9"/>
    <w:rsid w:val="005D1A33"/>
    <w:rsid w:val="005D2CCD"/>
    <w:rsid w:val="005D6C4F"/>
    <w:rsid w:val="005D72FE"/>
    <w:rsid w:val="005E0DCC"/>
    <w:rsid w:val="005E10F0"/>
    <w:rsid w:val="005E1182"/>
    <w:rsid w:val="005E3F60"/>
    <w:rsid w:val="005E54E3"/>
    <w:rsid w:val="005E6635"/>
    <w:rsid w:val="005F1ABD"/>
    <w:rsid w:val="005F1D63"/>
    <w:rsid w:val="005F33F5"/>
    <w:rsid w:val="005F4EC0"/>
    <w:rsid w:val="005F7585"/>
    <w:rsid w:val="006000E7"/>
    <w:rsid w:val="006011E6"/>
    <w:rsid w:val="00603891"/>
    <w:rsid w:val="00603DA9"/>
    <w:rsid w:val="00605759"/>
    <w:rsid w:val="00605802"/>
    <w:rsid w:val="00612EAE"/>
    <w:rsid w:val="00613509"/>
    <w:rsid w:val="006230DD"/>
    <w:rsid w:val="006236A9"/>
    <w:rsid w:val="00626FBC"/>
    <w:rsid w:val="00627305"/>
    <w:rsid w:val="00632718"/>
    <w:rsid w:val="00635E91"/>
    <w:rsid w:val="006376F9"/>
    <w:rsid w:val="00643B2B"/>
    <w:rsid w:val="00644ACC"/>
    <w:rsid w:val="0064572A"/>
    <w:rsid w:val="00645F25"/>
    <w:rsid w:val="00647A5B"/>
    <w:rsid w:val="00650C6C"/>
    <w:rsid w:val="00650F79"/>
    <w:rsid w:val="00652FE6"/>
    <w:rsid w:val="00660141"/>
    <w:rsid w:val="00660826"/>
    <w:rsid w:val="00660891"/>
    <w:rsid w:val="006616D2"/>
    <w:rsid w:val="00661C7C"/>
    <w:rsid w:val="00663C71"/>
    <w:rsid w:val="00665C35"/>
    <w:rsid w:val="00665CD2"/>
    <w:rsid w:val="00666611"/>
    <w:rsid w:val="00667898"/>
    <w:rsid w:val="00670542"/>
    <w:rsid w:val="0067133E"/>
    <w:rsid w:val="00671715"/>
    <w:rsid w:val="00675F3D"/>
    <w:rsid w:val="0067766E"/>
    <w:rsid w:val="00677FE0"/>
    <w:rsid w:val="006836EF"/>
    <w:rsid w:val="0069045F"/>
    <w:rsid w:val="00691A37"/>
    <w:rsid w:val="00692AB3"/>
    <w:rsid w:val="00693EB4"/>
    <w:rsid w:val="006953C3"/>
    <w:rsid w:val="006954AF"/>
    <w:rsid w:val="006A1017"/>
    <w:rsid w:val="006A235A"/>
    <w:rsid w:val="006A26B9"/>
    <w:rsid w:val="006A28D5"/>
    <w:rsid w:val="006A374E"/>
    <w:rsid w:val="006A41E3"/>
    <w:rsid w:val="006A5BD5"/>
    <w:rsid w:val="006A6048"/>
    <w:rsid w:val="006A79E5"/>
    <w:rsid w:val="006B0A74"/>
    <w:rsid w:val="006B1638"/>
    <w:rsid w:val="006B20E3"/>
    <w:rsid w:val="006B3DA3"/>
    <w:rsid w:val="006B454E"/>
    <w:rsid w:val="006B5587"/>
    <w:rsid w:val="006B6764"/>
    <w:rsid w:val="006C13EA"/>
    <w:rsid w:val="006C1B4D"/>
    <w:rsid w:val="006C22FA"/>
    <w:rsid w:val="006C30EB"/>
    <w:rsid w:val="006C436D"/>
    <w:rsid w:val="006C440C"/>
    <w:rsid w:val="006D04EF"/>
    <w:rsid w:val="006D13AC"/>
    <w:rsid w:val="006D354D"/>
    <w:rsid w:val="006D434E"/>
    <w:rsid w:val="006D47DF"/>
    <w:rsid w:val="006D61DA"/>
    <w:rsid w:val="006D61F6"/>
    <w:rsid w:val="006D7A93"/>
    <w:rsid w:val="006E0EF7"/>
    <w:rsid w:val="006E1ADF"/>
    <w:rsid w:val="006E1D71"/>
    <w:rsid w:val="006E2FB0"/>
    <w:rsid w:val="006E3EE4"/>
    <w:rsid w:val="006E572D"/>
    <w:rsid w:val="006E6AAC"/>
    <w:rsid w:val="006E6EEA"/>
    <w:rsid w:val="006E7A2B"/>
    <w:rsid w:val="006F1965"/>
    <w:rsid w:val="006F1BEA"/>
    <w:rsid w:val="006F3764"/>
    <w:rsid w:val="006F5EF3"/>
    <w:rsid w:val="006F6DD6"/>
    <w:rsid w:val="00701687"/>
    <w:rsid w:val="00701839"/>
    <w:rsid w:val="007027E9"/>
    <w:rsid w:val="007068E6"/>
    <w:rsid w:val="007102D2"/>
    <w:rsid w:val="007102FD"/>
    <w:rsid w:val="00710AE7"/>
    <w:rsid w:val="00710C8F"/>
    <w:rsid w:val="00710D05"/>
    <w:rsid w:val="00712D72"/>
    <w:rsid w:val="00713464"/>
    <w:rsid w:val="0071391B"/>
    <w:rsid w:val="00713948"/>
    <w:rsid w:val="00713D32"/>
    <w:rsid w:val="007145FB"/>
    <w:rsid w:val="00716389"/>
    <w:rsid w:val="00720C11"/>
    <w:rsid w:val="00723C11"/>
    <w:rsid w:val="00724588"/>
    <w:rsid w:val="0072734C"/>
    <w:rsid w:val="0072797E"/>
    <w:rsid w:val="007279E1"/>
    <w:rsid w:val="0073025B"/>
    <w:rsid w:val="0073032D"/>
    <w:rsid w:val="0073357A"/>
    <w:rsid w:val="007357C9"/>
    <w:rsid w:val="00736C36"/>
    <w:rsid w:val="00740A66"/>
    <w:rsid w:val="00741A4B"/>
    <w:rsid w:val="00741CFD"/>
    <w:rsid w:val="007435A9"/>
    <w:rsid w:val="00743F60"/>
    <w:rsid w:val="0074539E"/>
    <w:rsid w:val="007457C6"/>
    <w:rsid w:val="00747BC3"/>
    <w:rsid w:val="00747BC5"/>
    <w:rsid w:val="00747E5B"/>
    <w:rsid w:val="0075166C"/>
    <w:rsid w:val="007517E3"/>
    <w:rsid w:val="007521CA"/>
    <w:rsid w:val="007528CA"/>
    <w:rsid w:val="00753334"/>
    <w:rsid w:val="00753A27"/>
    <w:rsid w:val="00753F42"/>
    <w:rsid w:val="00754DE2"/>
    <w:rsid w:val="007556C2"/>
    <w:rsid w:val="00755B2B"/>
    <w:rsid w:val="00755D16"/>
    <w:rsid w:val="007565A8"/>
    <w:rsid w:val="00757991"/>
    <w:rsid w:val="0076034A"/>
    <w:rsid w:val="00761448"/>
    <w:rsid w:val="00761A52"/>
    <w:rsid w:val="007626BC"/>
    <w:rsid w:val="007729B8"/>
    <w:rsid w:val="00776E73"/>
    <w:rsid w:val="0078111F"/>
    <w:rsid w:val="00782ADF"/>
    <w:rsid w:val="0079009E"/>
    <w:rsid w:val="00792944"/>
    <w:rsid w:val="0079342A"/>
    <w:rsid w:val="00795316"/>
    <w:rsid w:val="0079695A"/>
    <w:rsid w:val="00796C27"/>
    <w:rsid w:val="007A02DB"/>
    <w:rsid w:val="007A1AC2"/>
    <w:rsid w:val="007A2737"/>
    <w:rsid w:val="007A3307"/>
    <w:rsid w:val="007A36E4"/>
    <w:rsid w:val="007A390A"/>
    <w:rsid w:val="007A3D37"/>
    <w:rsid w:val="007A5630"/>
    <w:rsid w:val="007A6E43"/>
    <w:rsid w:val="007B0627"/>
    <w:rsid w:val="007B09BD"/>
    <w:rsid w:val="007B125C"/>
    <w:rsid w:val="007B1980"/>
    <w:rsid w:val="007B4949"/>
    <w:rsid w:val="007B568E"/>
    <w:rsid w:val="007B62F3"/>
    <w:rsid w:val="007B7BBD"/>
    <w:rsid w:val="007C0788"/>
    <w:rsid w:val="007C1EE9"/>
    <w:rsid w:val="007C4E50"/>
    <w:rsid w:val="007C6021"/>
    <w:rsid w:val="007C6A25"/>
    <w:rsid w:val="007C758B"/>
    <w:rsid w:val="007C78B1"/>
    <w:rsid w:val="007D379E"/>
    <w:rsid w:val="007D3FDC"/>
    <w:rsid w:val="007D51A3"/>
    <w:rsid w:val="007D56A7"/>
    <w:rsid w:val="007D6988"/>
    <w:rsid w:val="007E1072"/>
    <w:rsid w:val="007E34B1"/>
    <w:rsid w:val="007E3DB6"/>
    <w:rsid w:val="007E42CA"/>
    <w:rsid w:val="007E43EC"/>
    <w:rsid w:val="007E55C0"/>
    <w:rsid w:val="007E5DEE"/>
    <w:rsid w:val="007E70A1"/>
    <w:rsid w:val="007F0726"/>
    <w:rsid w:val="007F0BC6"/>
    <w:rsid w:val="007F3551"/>
    <w:rsid w:val="007F4D9C"/>
    <w:rsid w:val="008005FC"/>
    <w:rsid w:val="0080132B"/>
    <w:rsid w:val="00801641"/>
    <w:rsid w:val="00801CBC"/>
    <w:rsid w:val="008031AD"/>
    <w:rsid w:val="008068B3"/>
    <w:rsid w:val="0081234F"/>
    <w:rsid w:val="0081480A"/>
    <w:rsid w:val="00815814"/>
    <w:rsid w:val="00815B4F"/>
    <w:rsid w:val="00815F35"/>
    <w:rsid w:val="008163F6"/>
    <w:rsid w:val="00817217"/>
    <w:rsid w:val="00822CE2"/>
    <w:rsid w:val="00831244"/>
    <w:rsid w:val="00831374"/>
    <w:rsid w:val="00831DF4"/>
    <w:rsid w:val="00833522"/>
    <w:rsid w:val="00834AEB"/>
    <w:rsid w:val="00835900"/>
    <w:rsid w:val="0084046E"/>
    <w:rsid w:val="008415C2"/>
    <w:rsid w:val="00844315"/>
    <w:rsid w:val="0084431A"/>
    <w:rsid w:val="00845645"/>
    <w:rsid w:val="00845ACA"/>
    <w:rsid w:val="0084656A"/>
    <w:rsid w:val="00846EBF"/>
    <w:rsid w:val="00847400"/>
    <w:rsid w:val="00850054"/>
    <w:rsid w:val="00851541"/>
    <w:rsid w:val="00852465"/>
    <w:rsid w:val="00852C58"/>
    <w:rsid w:val="00853D84"/>
    <w:rsid w:val="00854A48"/>
    <w:rsid w:val="00854F33"/>
    <w:rsid w:val="00856076"/>
    <w:rsid w:val="00856E1F"/>
    <w:rsid w:val="00856FB9"/>
    <w:rsid w:val="00857580"/>
    <w:rsid w:val="0086189C"/>
    <w:rsid w:val="008620C4"/>
    <w:rsid w:val="00862438"/>
    <w:rsid w:val="00863A3D"/>
    <w:rsid w:val="00865238"/>
    <w:rsid w:val="00866685"/>
    <w:rsid w:val="008667BF"/>
    <w:rsid w:val="008677B7"/>
    <w:rsid w:val="00870356"/>
    <w:rsid w:val="0087121B"/>
    <w:rsid w:val="00872BC2"/>
    <w:rsid w:val="00875731"/>
    <w:rsid w:val="00880A08"/>
    <w:rsid w:val="00883913"/>
    <w:rsid w:val="00883D46"/>
    <w:rsid w:val="00884134"/>
    <w:rsid w:val="00885213"/>
    <w:rsid w:val="00890DFF"/>
    <w:rsid w:val="00891ED2"/>
    <w:rsid w:val="00895645"/>
    <w:rsid w:val="008967E8"/>
    <w:rsid w:val="008A05D8"/>
    <w:rsid w:val="008A355C"/>
    <w:rsid w:val="008A5D8C"/>
    <w:rsid w:val="008A654D"/>
    <w:rsid w:val="008A7851"/>
    <w:rsid w:val="008B3962"/>
    <w:rsid w:val="008B39EB"/>
    <w:rsid w:val="008B437A"/>
    <w:rsid w:val="008B71E5"/>
    <w:rsid w:val="008B7BC6"/>
    <w:rsid w:val="008C09BA"/>
    <w:rsid w:val="008C152E"/>
    <w:rsid w:val="008C15CC"/>
    <w:rsid w:val="008C2B15"/>
    <w:rsid w:val="008C3782"/>
    <w:rsid w:val="008D0909"/>
    <w:rsid w:val="008D092B"/>
    <w:rsid w:val="008D0AD4"/>
    <w:rsid w:val="008D4A32"/>
    <w:rsid w:val="008D50E0"/>
    <w:rsid w:val="008D593A"/>
    <w:rsid w:val="008D79E7"/>
    <w:rsid w:val="008E181E"/>
    <w:rsid w:val="008E2A30"/>
    <w:rsid w:val="008E45CE"/>
    <w:rsid w:val="008E500A"/>
    <w:rsid w:val="008E6171"/>
    <w:rsid w:val="008E7760"/>
    <w:rsid w:val="008F157C"/>
    <w:rsid w:val="008F1A0E"/>
    <w:rsid w:val="008F5987"/>
    <w:rsid w:val="008F5D2A"/>
    <w:rsid w:val="008F7265"/>
    <w:rsid w:val="0090170C"/>
    <w:rsid w:val="009040FC"/>
    <w:rsid w:val="009047D8"/>
    <w:rsid w:val="00904ACA"/>
    <w:rsid w:val="009121E2"/>
    <w:rsid w:val="00913A24"/>
    <w:rsid w:val="009164C6"/>
    <w:rsid w:val="0091766D"/>
    <w:rsid w:val="00917CC1"/>
    <w:rsid w:val="00920EF1"/>
    <w:rsid w:val="00921D6C"/>
    <w:rsid w:val="00922001"/>
    <w:rsid w:val="00922C17"/>
    <w:rsid w:val="009235F1"/>
    <w:rsid w:val="00923884"/>
    <w:rsid w:val="009248C7"/>
    <w:rsid w:val="00924FB2"/>
    <w:rsid w:val="00927B54"/>
    <w:rsid w:val="00927FB6"/>
    <w:rsid w:val="009325EA"/>
    <w:rsid w:val="00932BB7"/>
    <w:rsid w:val="00932CC7"/>
    <w:rsid w:val="009366CA"/>
    <w:rsid w:val="00937B42"/>
    <w:rsid w:val="009402C4"/>
    <w:rsid w:val="00941384"/>
    <w:rsid w:val="00942DDD"/>
    <w:rsid w:val="00947D72"/>
    <w:rsid w:val="009510C0"/>
    <w:rsid w:val="009516A8"/>
    <w:rsid w:val="00951AE7"/>
    <w:rsid w:val="009543F8"/>
    <w:rsid w:val="00954505"/>
    <w:rsid w:val="0095485B"/>
    <w:rsid w:val="00954882"/>
    <w:rsid w:val="00957C7B"/>
    <w:rsid w:val="00960539"/>
    <w:rsid w:val="00961391"/>
    <w:rsid w:val="00962344"/>
    <w:rsid w:val="00975189"/>
    <w:rsid w:val="0097705C"/>
    <w:rsid w:val="00981CF9"/>
    <w:rsid w:val="00983608"/>
    <w:rsid w:val="0098449A"/>
    <w:rsid w:val="00984A10"/>
    <w:rsid w:val="00985A31"/>
    <w:rsid w:val="00985DDB"/>
    <w:rsid w:val="00985E12"/>
    <w:rsid w:val="00986080"/>
    <w:rsid w:val="0099187D"/>
    <w:rsid w:val="00991D6F"/>
    <w:rsid w:val="009935D0"/>
    <w:rsid w:val="00993923"/>
    <w:rsid w:val="00996DF6"/>
    <w:rsid w:val="0099776A"/>
    <w:rsid w:val="00997F21"/>
    <w:rsid w:val="009A4D79"/>
    <w:rsid w:val="009A5A3E"/>
    <w:rsid w:val="009A6596"/>
    <w:rsid w:val="009A7466"/>
    <w:rsid w:val="009B1667"/>
    <w:rsid w:val="009B47DD"/>
    <w:rsid w:val="009B483E"/>
    <w:rsid w:val="009B4BF4"/>
    <w:rsid w:val="009B503A"/>
    <w:rsid w:val="009B6106"/>
    <w:rsid w:val="009C04D3"/>
    <w:rsid w:val="009C065C"/>
    <w:rsid w:val="009C1F24"/>
    <w:rsid w:val="009C24DF"/>
    <w:rsid w:val="009C2E4A"/>
    <w:rsid w:val="009C33D7"/>
    <w:rsid w:val="009C3E5C"/>
    <w:rsid w:val="009C401B"/>
    <w:rsid w:val="009D04D0"/>
    <w:rsid w:val="009D0941"/>
    <w:rsid w:val="009D2B91"/>
    <w:rsid w:val="009D3190"/>
    <w:rsid w:val="009D3561"/>
    <w:rsid w:val="009D4582"/>
    <w:rsid w:val="009D4A76"/>
    <w:rsid w:val="009D5194"/>
    <w:rsid w:val="009D6066"/>
    <w:rsid w:val="009E1AC2"/>
    <w:rsid w:val="009E2C9D"/>
    <w:rsid w:val="009E6462"/>
    <w:rsid w:val="009F194E"/>
    <w:rsid w:val="009F2425"/>
    <w:rsid w:val="009F2F92"/>
    <w:rsid w:val="009F393D"/>
    <w:rsid w:val="009F4566"/>
    <w:rsid w:val="009F4BED"/>
    <w:rsid w:val="009F77A2"/>
    <w:rsid w:val="009F7F46"/>
    <w:rsid w:val="00A000BF"/>
    <w:rsid w:val="00A00E01"/>
    <w:rsid w:val="00A01585"/>
    <w:rsid w:val="00A0168E"/>
    <w:rsid w:val="00A0587E"/>
    <w:rsid w:val="00A0774D"/>
    <w:rsid w:val="00A12B76"/>
    <w:rsid w:val="00A136A1"/>
    <w:rsid w:val="00A13FC2"/>
    <w:rsid w:val="00A14754"/>
    <w:rsid w:val="00A14CD5"/>
    <w:rsid w:val="00A1562D"/>
    <w:rsid w:val="00A157C7"/>
    <w:rsid w:val="00A161A6"/>
    <w:rsid w:val="00A2216C"/>
    <w:rsid w:val="00A24653"/>
    <w:rsid w:val="00A2470A"/>
    <w:rsid w:val="00A24C1F"/>
    <w:rsid w:val="00A251A5"/>
    <w:rsid w:val="00A2562B"/>
    <w:rsid w:val="00A2729F"/>
    <w:rsid w:val="00A275BC"/>
    <w:rsid w:val="00A27A5D"/>
    <w:rsid w:val="00A27F83"/>
    <w:rsid w:val="00A35297"/>
    <w:rsid w:val="00A356B5"/>
    <w:rsid w:val="00A35E0A"/>
    <w:rsid w:val="00A366A4"/>
    <w:rsid w:val="00A3773E"/>
    <w:rsid w:val="00A37930"/>
    <w:rsid w:val="00A4031D"/>
    <w:rsid w:val="00A42F49"/>
    <w:rsid w:val="00A4442B"/>
    <w:rsid w:val="00A446A2"/>
    <w:rsid w:val="00A454CE"/>
    <w:rsid w:val="00A464B4"/>
    <w:rsid w:val="00A46AA6"/>
    <w:rsid w:val="00A46DFB"/>
    <w:rsid w:val="00A473A2"/>
    <w:rsid w:val="00A5055C"/>
    <w:rsid w:val="00A55449"/>
    <w:rsid w:val="00A56255"/>
    <w:rsid w:val="00A60DF2"/>
    <w:rsid w:val="00A61DCB"/>
    <w:rsid w:val="00A6296B"/>
    <w:rsid w:val="00A635C0"/>
    <w:rsid w:val="00A63A10"/>
    <w:rsid w:val="00A63D6B"/>
    <w:rsid w:val="00A6402C"/>
    <w:rsid w:val="00A7107C"/>
    <w:rsid w:val="00A7123B"/>
    <w:rsid w:val="00A72553"/>
    <w:rsid w:val="00A7598B"/>
    <w:rsid w:val="00A8298C"/>
    <w:rsid w:val="00A83A10"/>
    <w:rsid w:val="00A84B52"/>
    <w:rsid w:val="00A8660F"/>
    <w:rsid w:val="00A87B13"/>
    <w:rsid w:val="00A9076F"/>
    <w:rsid w:val="00A90B2A"/>
    <w:rsid w:val="00A90CF7"/>
    <w:rsid w:val="00A91A3B"/>
    <w:rsid w:val="00A923D4"/>
    <w:rsid w:val="00A927FF"/>
    <w:rsid w:val="00A943D2"/>
    <w:rsid w:val="00A9595F"/>
    <w:rsid w:val="00A95C48"/>
    <w:rsid w:val="00A96F1C"/>
    <w:rsid w:val="00AA0EE0"/>
    <w:rsid w:val="00AA3321"/>
    <w:rsid w:val="00AA4B75"/>
    <w:rsid w:val="00AA64C9"/>
    <w:rsid w:val="00AA7029"/>
    <w:rsid w:val="00AA7056"/>
    <w:rsid w:val="00AA7EEF"/>
    <w:rsid w:val="00AB0382"/>
    <w:rsid w:val="00AB046C"/>
    <w:rsid w:val="00AB0546"/>
    <w:rsid w:val="00AB31C6"/>
    <w:rsid w:val="00AB523B"/>
    <w:rsid w:val="00AB719E"/>
    <w:rsid w:val="00AB741A"/>
    <w:rsid w:val="00AC1D07"/>
    <w:rsid w:val="00AC36B2"/>
    <w:rsid w:val="00AC4F48"/>
    <w:rsid w:val="00AD23A1"/>
    <w:rsid w:val="00AD290F"/>
    <w:rsid w:val="00AD295D"/>
    <w:rsid w:val="00AD2DE1"/>
    <w:rsid w:val="00AD4064"/>
    <w:rsid w:val="00AD40CB"/>
    <w:rsid w:val="00AD64D1"/>
    <w:rsid w:val="00AD76BB"/>
    <w:rsid w:val="00AD7E40"/>
    <w:rsid w:val="00AE0C76"/>
    <w:rsid w:val="00AE2976"/>
    <w:rsid w:val="00AE3D5F"/>
    <w:rsid w:val="00AE4F90"/>
    <w:rsid w:val="00AF17F7"/>
    <w:rsid w:val="00AF2980"/>
    <w:rsid w:val="00AF2CF8"/>
    <w:rsid w:val="00AF3BAB"/>
    <w:rsid w:val="00AF61C0"/>
    <w:rsid w:val="00AF6E57"/>
    <w:rsid w:val="00B04A11"/>
    <w:rsid w:val="00B1114A"/>
    <w:rsid w:val="00B115E6"/>
    <w:rsid w:val="00B1477A"/>
    <w:rsid w:val="00B15E31"/>
    <w:rsid w:val="00B1729A"/>
    <w:rsid w:val="00B17C4F"/>
    <w:rsid w:val="00B20993"/>
    <w:rsid w:val="00B246E5"/>
    <w:rsid w:val="00B26175"/>
    <w:rsid w:val="00B27B81"/>
    <w:rsid w:val="00B30226"/>
    <w:rsid w:val="00B31350"/>
    <w:rsid w:val="00B3188E"/>
    <w:rsid w:val="00B3341C"/>
    <w:rsid w:val="00B33950"/>
    <w:rsid w:val="00B41767"/>
    <w:rsid w:val="00B42E96"/>
    <w:rsid w:val="00B43BC3"/>
    <w:rsid w:val="00B43E56"/>
    <w:rsid w:val="00B4627D"/>
    <w:rsid w:val="00B463E1"/>
    <w:rsid w:val="00B46778"/>
    <w:rsid w:val="00B5024B"/>
    <w:rsid w:val="00B50A59"/>
    <w:rsid w:val="00B50EE6"/>
    <w:rsid w:val="00B5146F"/>
    <w:rsid w:val="00B52185"/>
    <w:rsid w:val="00B528FF"/>
    <w:rsid w:val="00B529BC"/>
    <w:rsid w:val="00B53B61"/>
    <w:rsid w:val="00B5406A"/>
    <w:rsid w:val="00B5415C"/>
    <w:rsid w:val="00B5542F"/>
    <w:rsid w:val="00B61D50"/>
    <w:rsid w:val="00B631D3"/>
    <w:rsid w:val="00B67952"/>
    <w:rsid w:val="00B70F64"/>
    <w:rsid w:val="00B715DB"/>
    <w:rsid w:val="00B7175B"/>
    <w:rsid w:val="00B736B9"/>
    <w:rsid w:val="00B73862"/>
    <w:rsid w:val="00B779F9"/>
    <w:rsid w:val="00B800A9"/>
    <w:rsid w:val="00B81C4B"/>
    <w:rsid w:val="00B8450C"/>
    <w:rsid w:val="00B86880"/>
    <w:rsid w:val="00B86A8D"/>
    <w:rsid w:val="00B87BD4"/>
    <w:rsid w:val="00B922A7"/>
    <w:rsid w:val="00B94A2A"/>
    <w:rsid w:val="00B94F4E"/>
    <w:rsid w:val="00B9753A"/>
    <w:rsid w:val="00B97722"/>
    <w:rsid w:val="00BA07E4"/>
    <w:rsid w:val="00BA0D75"/>
    <w:rsid w:val="00BA0DB9"/>
    <w:rsid w:val="00BA28DA"/>
    <w:rsid w:val="00BA2DF8"/>
    <w:rsid w:val="00BA4E3F"/>
    <w:rsid w:val="00BA6282"/>
    <w:rsid w:val="00BA6819"/>
    <w:rsid w:val="00BB26AC"/>
    <w:rsid w:val="00BB41CF"/>
    <w:rsid w:val="00BB4458"/>
    <w:rsid w:val="00BB45FE"/>
    <w:rsid w:val="00BB4738"/>
    <w:rsid w:val="00BB479C"/>
    <w:rsid w:val="00BB7CF6"/>
    <w:rsid w:val="00BC1584"/>
    <w:rsid w:val="00BC295E"/>
    <w:rsid w:val="00BC2CBE"/>
    <w:rsid w:val="00BC3F7F"/>
    <w:rsid w:val="00BC4720"/>
    <w:rsid w:val="00BD0081"/>
    <w:rsid w:val="00BD0B80"/>
    <w:rsid w:val="00BD0CBC"/>
    <w:rsid w:val="00BD22E1"/>
    <w:rsid w:val="00BD2A6E"/>
    <w:rsid w:val="00BD3C20"/>
    <w:rsid w:val="00BD75A2"/>
    <w:rsid w:val="00BD76FD"/>
    <w:rsid w:val="00BD7B49"/>
    <w:rsid w:val="00BD7FB0"/>
    <w:rsid w:val="00BE12E5"/>
    <w:rsid w:val="00BE31B6"/>
    <w:rsid w:val="00BE36F3"/>
    <w:rsid w:val="00BE3FF2"/>
    <w:rsid w:val="00BE4F5A"/>
    <w:rsid w:val="00BE6488"/>
    <w:rsid w:val="00BF0B61"/>
    <w:rsid w:val="00BF0F25"/>
    <w:rsid w:val="00BF21B6"/>
    <w:rsid w:val="00BF4CB5"/>
    <w:rsid w:val="00BF7E92"/>
    <w:rsid w:val="00C02D46"/>
    <w:rsid w:val="00C07BC6"/>
    <w:rsid w:val="00C07F52"/>
    <w:rsid w:val="00C12100"/>
    <w:rsid w:val="00C13691"/>
    <w:rsid w:val="00C137FB"/>
    <w:rsid w:val="00C14657"/>
    <w:rsid w:val="00C15B60"/>
    <w:rsid w:val="00C2017A"/>
    <w:rsid w:val="00C2026B"/>
    <w:rsid w:val="00C20470"/>
    <w:rsid w:val="00C20E26"/>
    <w:rsid w:val="00C21067"/>
    <w:rsid w:val="00C221D4"/>
    <w:rsid w:val="00C22FAA"/>
    <w:rsid w:val="00C248AA"/>
    <w:rsid w:val="00C251F4"/>
    <w:rsid w:val="00C2549E"/>
    <w:rsid w:val="00C2627E"/>
    <w:rsid w:val="00C274AC"/>
    <w:rsid w:val="00C302F0"/>
    <w:rsid w:val="00C30761"/>
    <w:rsid w:val="00C30B5A"/>
    <w:rsid w:val="00C31CE5"/>
    <w:rsid w:val="00C34B2F"/>
    <w:rsid w:val="00C400DC"/>
    <w:rsid w:val="00C4174B"/>
    <w:rsid w:val="00C42F9E"/>
    <w:rsid w:val="00C436C1"/>
    <w:rsid w:val="00C44AA9"/>
    <w:rsid w:val="00C44D63"/>
    <w:rsid w:val="00C4514A"/>
    <w:rsid w:val="00C4641B"/>
    <w:rsid w:val="00C50AF5"/>
    <w:rsid w:val="00C50EF7"/>
    <w:rsid w:val="00C5130C"/>
    <w:rsid w:val="00C53A93"/>
    <w:rsid w:val="00C54B9C"/>
    <w:rsid w:val="00C552EF"/>
    <w:rsid w:val="00C5679E"/>
    <w:rsid w:val="00C6049F"/>
    <w:rsid w:val="00C60984"/>
    <w:rsid w:val="00C637EA"/>
    <w:rsid w:val="00C65581"/>
    <w:rsid w:val="00C65713"/>
    <w:rsid w:val="00C6666F"/>
    <w:rsid w:val="00C6690E"/>
    <w:rsid w:val="00C703C5"/>
    <w:rsid w:val="00C70E3E"/>
    <w:rsid w:val="00C717FD"/>
    <w:rsid w:val="00C728A6"/>
    <w:rsid w:val="00C73879"/>
    <w:rsid w:val="00C7411B"/>
    <w:rsid w:val="00C746D6"/>
    <w:rsid w:val="00C748B7"/>
    <w:rsid w:val="00C7592B"/>
    <w:rsid w:val="00C7629F"/>
    <w:rsid w:val="00C77D0A"/>
    <w:rsid w:val="00C805F2"/>
    <w:rsid w:val="00C82955"/>
    <w:rsid w:val="00C84355"/>
    <w:rsid w:val="00C854B2"/>
    <w:rsid w:val="00C87133"/>
    <w:rsid w:val="00C87710"/>
    <w:rsid w:val="00C90226"/>
    <w:rsid w:val="00C925FB"/>
    <w:rsid w:val="00C92FF6"/>
    <w:rsid w:val="00C94E25"/>
    <w:rsid w:val="00C96099"/>
    <w:rsid w:val="00C96EFE"/>
    <w:rsid w:val="00C97F50"/>
    <w:rsid w:val="00CA205D"/>
    <w:rsid w:val="00CA44C1"/>
    <w:rsid w:val="00CA6AE7"/>
    <w:rsid w:val="00CA70A7"/>
    <w:rsid w:val="00CB1DE5"/>
    <w:rsid w:val="00CB2F87"/>
    <w:rsid w:val="00CB642E"/>
    <w:rsid w:val="00CB7A0F"/>
    <w:rsid w:val="00CB7A31"/>
    <w:rsid w:val="00CC25DC"/>
    <w:rsid w:val="00CC3D2F"/>
    <w:rsid w:val="00CC3FEC"/>
    <w:rsid w:val="00CC5E40"/>
    <w:rsid w:val="00CC78F2"/>
    <w:rsid w:val="00CC7AF1"/>
    <w:rsid w:val="00CC7C5F"/>
    <w:rsid w:val="00CD058E"/>
    <w:rsid w:val="00CD114C"/>
    <w:rsid w:val="00CD2AD8"/>
    <w:rsid w:val="00CD2E7E"/>
    <w:rsid w:val="00CD7793"/>
    <w:rsid w:val="00CE0581"/>
    <w:rsid w:val="00CE1490"/>
    <w:rsid w:val="00CF104D"/>
    <w:rsid w:val="00CF194C"/>
    <w:rsid w:val="00CF21D8"/>
    <w:rsid w:val="00CF3324"/>
    <w:rsid w:val="00CF3E22"/>
    <w:rsid w:val="00CF7A8B"/>
    <w:rsid w:val="00D01478"/>
    <w:rsid w:val="00D015C9"/>
    <w:rsid w:val="00D03E18"/>
    <w:rsid w:val="00D048F8"/>
    <w:rsid w:val="00D04A6A"/>
    <w:rsid w:val="00D106E3"/>
    <w:rsid w:val="00D1263A"/>
    <w:rsid w:val="00D130CA"/>
    <w:rsid w:val="00D14808"/>
    <w:rsid w:val="00D1569F"/>
    <w:rsid w:val="00D15F37"/>
    <w:rsid w:val="00D20B1E"/>
    <w:rsid w:val="00D22462"/>
    <w:rsid w:val="00D2266A"/>
    <w:rsid w:val="00D230AC"/>
    <w:rsid w:val="00D232F3"/>
    <w:rsid w:val="00D23E7C"/>
    <w:rsid w:val="00D23F04"/>
    <w:rsid w:val="00D25B53"/>
    <w:rsid w:val="00D317D2"/>
    <w:rsid w:val="00D32489"/>
    <w:rsid w:val="00D333C6"/>
    <w:rsid w:val="00D3349E"/>
    <w:rsid w:val="00D34BCD"/>
    <w:rsid w:val="00D3626C"/>
    <w:rsid w:val="00D37D3C"/>
    <w:rsid w:val="00D4047B"/>
    <w:rsid w:val="00D41496"/>
    <w:rsid w:val="00D41B9C"/>
    <w:rsid w:val="00D42F4B"/>
    <w:rsid w:val="00D50387"/>
    <w:rsid w:val="00D51188"/>
    <w:rsid w:val="00D5153C"/>
    <w:rsid w:val="00D51CE0"/>
    <w:rsid w:val="00D5212D"/>
    <w:rsid w:val="00D52158"/>
    <w:rsid w:val="00D54968"/>
    <w:rsid w:val="00D54F4D"/>
    <w:rsid w:val="00D562E2"/>
    <w:rsid w:val="00D564F6"/>
    <w:rsid w:val="00D56BB6"/>
    <w:rsid w:val="00D60890"/>
    <w:rsid w:val="00D60970"/>
    <w:rsid w:val="00D61A7D"/>
    <w:rsid w:val="00D62CC6"/>
    <w:rsid w:val="00D643BE"/>
    <w:rsid w:val="00D6458E"/>
    <w:rsid w:val="00D65038"/>
    <w:rsid w:val="00D71EF7"/>
    <w:rsid w:val="00D7388E"/>
    <w:rsid w:val="00D73CB8"/>
    <w:rsid w:val="00D76F54"/>
    <w:rsid w:val="00D776AC"/>
    <w:rsid w:val="00D77E12"/>
    <w:rsid w:val="00D802D6"/>
    <w:rsid w:val="00D80BB5"/>
    <w:rsid w:val="00D84BC2"/>
    <w:rsid w:val="00D85920"/>
    <w:rsid w:val="00D94607"/>
    <w:rsid w:val="00D94647"/>
    <w:rsid w:val="00D95D8B"/>
    <w:rsid w:val="00D967D2"/>
    <w:rsid w:val="00DA0898"/>
    <w:rsid w:val="00DA1419"/>
    <w:rsid w:val="00DA18CE"/>
    <w:rsid w:val="00DA2C8F"/>
    <w:rsid w:val="00DA49DC"/>
    <w:rsid w:val="00DA5951"/>
    <w:rsid w:val="00DA7591"/>
    <w:rsid w:val="00DB1F54"/>
    <w:rsid w:val="00DB235F"/>
    <w:rsid w:val="00DB2E98"/>
    <w:rsid w:val="00DB375A"/>
    <w:rsid w:val="00DB4CE5"/>
    <w:rsid w:val="00DB6866"/>
    <w:rsid w:val="00DB6F34"/>
    <w:rsid w:val="00DB75EF"/>
    <w:rsid w:val="00DB7CA2"/>
    <w:rsid w:val="00DC09F6"/>
    <w:rsid w:val="00DC44E2"/>
    <w:rsid w:val="00DC646D"/>
    <w:rsid w:val="00DD0100"/>
    <w:rsid w:val="00DD3833"/>
    <w:rsid w:val="00DD440F"/>
    <w:rsid w:val="00DD4A18"/>
    <w:rsid w:val="00DE0ED4"/>
    <w:rsid w:val="00DE44E0"/>
    <w:rsid w:val="00DE6FFB"/>
    <w:rsid w:val="00DF1554"/>
    <w:rsid w:val="00DF21DC"/>
    <w:rsid w:val="00DF2943"/>
    <w:rsid w:val="00DF307B"/>
    <w:rsid w:val="00DF40E6"/>
    <w:rsid w:val="00DF4D39"/>
    <w:rsid w:val="00DF5124"/>
    <w:rsid w:val="00DF52AE"/>
    <w:rsid w:val="00DF5875"/>
    <w:rsid w:val="00DF658A"/>
    <w:rsid w:val="00DF78BE"/>
    <w:rsid w:val="00E0036A"/>
    <w:rsid w:val="00E025C1"/>
    <w:rsid w:val="00E02EAE"/>
    <w:rsid w:val="00E036A8"/>
    <w:rsid w:val="00E0639D"/>
    <w:rsid w:val="00E103B7"/>
    <w:rsid w:val="00E10CB4"/>
    <w:rsid w:val="00E11F3A"/>
    <w:rsid w:val="00E12295"/>
    <w:rsid w:val="00E123CD"/>
    <w:rsid w:val="00E12FFC"/>
    <w:rsid w:val="00E14854"/>
    <w:rsid w:val="00E15959"/>
    <w:rsid w:val="00E237E4"/>
    <w:rsid w:val="00E23895"/>
    <w:rsid w:val="00E24413"/>
    <w:rsid w:val="00E24BB3"/>
    <w:rsid w:val="00E26E28"/>
    <w:rsid w:val="00E30803"/>
    <w:rsid w:val="00E30DDA"/>
    <w:rsid w:val="00E31020"/>
    <w:rsid w:val="00E31750"/>
    <w:rsid w:val="00E31BEB"/>
    <w:rsid w:val="00E3239C"/>
    <w:rsid w:val="00E32798"/>
    <w:rsid w:val="00E33CC8"/>
    <w:rsid w:val="00E346F4"/>
    <w:rsid w:val="00E3659E"/>
    <w:rsid w:val="00E36E19"/>
    <w:rsid w:val="00E419E0"/>
    <w:rsid w:val="00E426C8"/>
    <w:rsid w:val="00E44F40"/>
    <w:rsid w:val="00E451D7"/>
    <w:rsid w:val="00E4713E"/>
    <w:rsid w:val="00E50620"/>
    <w:rsid w:val="00E50877"/>
    <w:rsid w:val="00E51541"/>
    <w:rsid w:val="00E51C91"/>
    <w:rsid w:val="00E52E09"/>
    <w:rsid w:val="00E54DE6"/>
    <w:rsid w:val="00E55010"/>
    <w:rsid w:val="00E56F24"/>
    <w:rsid w:val="00E61078"/>
    <w:rsid w:val="00E61191"/>
    <w:rsid w:val="00E63CBB"/>
    <w:rsid w:val="00E63F6C"/>
    <w:rsid w:val="00E64FC6"/>
    <w:rsid w:val="00E6524B"/>
    <w:rsid w:val="00E667C1"/>
    <w:rsid w:val="00E66BEC"/>
    <w:rsid w:val="00E67030"/>
    <w:rsid w:val="00E67EEC"/>
    <w:rsid w:val="00E70294"/>
    <w:rsid w:val="00E71943"/>
    <w:rsid w:val="00E71E7E"/>
    <w:rsid w:val="00E72AA0"/>
    <w:rsid w:val="00E74CF3"/>
    <w:rsid w:val="00E76BAA"/>
    <w:rsid w:val="00E775F6"/>
    <w:rsid w:val="00E80032"/>
    <w:rsid w:val="00E806A6"/>
    <w:rsid w:val="00E82050"/>
    <w:rsid w:val="00E847DD"/>
    <w:rsid w:val="00E855F6"/>
    <w:rsid w:val="00E8675A"/>
    <w:rsid w:val="00E87DF2"/>
    <w:rsid w:val="00E95A10"/>
    <w:rsid w:val="00EA307F"/>
    <w:rsid w:val="00EA55DB"/>
    <w:rsid w:val="00EA5C2E"/>
    <w:rsid w:val="00EA6F50"/>
    <w:rsid w:val="00EB34EA"/>
    <w:rsid w:val="00EB3E56"/>
    <w:rsid w:val="00EB5F94"/>
    <w:rsid w:val="00EB6CDE"/>
    <w:rsid w:val="00EC04DD"/>
    <w:rsid w:val="00EC3F88"/>
    <w:rsid w:val="00EC41A7"/>
    <w:rsid w:val="00EC4C6F"/>
    <w:rsid w:val="00EC5DE9"/>
    <w:rsid w:val="00EC64C6"/>
    <w:rsid w:val="00ED2740"/>
    <w:rsid w:val="00ED337B"/>
    <w:rsid w:val="00ED36D8"/>
    <w:rsid w:val="00ED4AF8"/>
    <w:rsid w:val="00ED5643"/>
    <w:rsid w:val="00ED6028"/>
    <w:rsid w:val="00ED612A"/>
    <w:rsid w:val="00EE0043"/>
    <w:rsid w:val="00EE3268"/>
    <w:rsid w:val="00EE3B44"/>
    <w:rsid w:val="00EE6BD7"/>
    <w:rsid w:val="00EF13E5"/>
    <w:rsid w:val="00EF1445"/>
    <w:rsid w:val="00EF1586"/>
    <w:rsid w:val="00EF374D"/>
    <w:rsid w:val="00EF45CE"/>
    <w:rsid w:val="00EF4E08"/>
    <w:rsid w:val="00EF4FFE"/>
    <w:rsid w:val="00EF61FE"/>
    <w:rsid w:val="00EF7665"/>
    <w:rsid w:val="00F035A3"/>
    <w:rsid w:val="00F0689D"/>
    <w:rsid w:val="00F075E7"/>
    <w:rsid w:val="00F07ECC"/>
    <w:rsid w:val="00F109BE"/>
    <w:rsid w:val="00F131ED"/>
    <w:rsid w:val="00F167AB"/>
    <w:rsid w:val="00F174B1"/>
    <w:rsid w:val="00F2029B"/>
    <w:rsid w:val="00F235FE"/>
    <w:rsid w:val="00F23730"/>
    <w:rsid w:val="00F266CB"/>
    <w:rsid w:val="00F312E6"/>
    <w:rsid w:val="00F3163F"/>
    <w:rsid w:val="00F32905"/>
    <w:rsid w:val="00F3299A"/>
    <w:rsid w:val="00F32A29"/>
    <w:rsid w:val="00F33942"/>
    <w:rsid w:val="00F3526D"/>
    <w:rsid w:val="00F35AF5"/>
    <w:rsid w:val="00F36A11"/>
    <w:rsid w:val="00F40F8D"/>
    <w:rsid w:val="00F448BD"/>
    <w:rsid w:val="00F453CA"/>
    <w:rsid w:val="00F4624D"/>
    <w:rsid w:val="00F505EA"/>
    <w:rsid w:val="00F55FCC"/>
    <w:rsid w:val="00F57CA2"/>
    <w:rsid w:val="00F600F9"/>
    <w:rsid w:val="00F64BF4"/>
    <w:rsid w:val="00F65FB6"/>
    <w:rsid w:val="00F66994"/>
    <w:rsid w:val="00F67F3D"/>
    <w:rsid w:val="00F7037A"/>
    <w:rsid w:val="00F72F7B"/>
    <w:rsid w:val="00F73A09"/>
    <w:rsid w:val="00F747CF"/>
    <w:rsid w:val="00F8000E"/>
    <w:rsid w:val="00F812C8"/>
    <w:rsid w:val="00F81759"/>
    <w:rsid w:val="00F82ECB"/>
    <w:rsid w:val="00F8491A"/>
    <w:rsid w:val="00F85C46"/>
    <w:rsid w:val="00F86671"/>
    <w:rsid w:val="00F86D4B"/>
    <w:rsid w:val="00F9095E"/>
    <w:rsid w:val="00F93A03"/>
    <w:rsid w:val="00F94FB7"/>
    <w:rsid w:val="00F962E9"/>
    <w:rsid w:val="00F97096"/>
    <w:rsid w:val="00F97E93"/>
    <w:rsid w:val="00FA04CF"/>
    <w:rsid w:val="00FA178C"/>
    <w:rsid w:val="00FA1B5A"/>
    <w:rsid w:val="00FA1DF0"/>
    <w:rsid w:val="00FA3309"/>
    <w:rsid w:val="00FA6BEE"/>
    <w:rsid w:val="00FA74AA"/>
    <w:rsid w:val="00FB01B5"/>
    <w:rsid w:val="00FB17EC"/>
    <w:rsid w:val="00FB1A40"/>
    <w:rsid w:val="00FB2FFA"/>
    <w:rsid w:val="00FB7DB8"/>
    <w:rsid w:val="00FC39F6"/>
    <w:rsid w:val="00FC4F3A"/>
    <w:rsid w:val="00FC4FAB"/>
    <w:rsid w:val="00FD2899"/>
    <w:rsid w:val="00FD50E5"/>
    <w:rsid w:val="00FD78BB"/>
    <w:rsid w:val="00FE07F3"/>
    <w:rsid w:val="00FE0FF2"/>
    <w:rsid w:val="00FE4604"/>
    <w:rsid w:val="00FE4FA1"/>
    <w:rsid w:val="00FE5B13"/>
    <w:rsid w:val="00FE6572"/>
    <w:rsid w:val="00FF161C"/>
    <w:rsid w:val="00FF171F"/>
    <w:rsid w:val="00FF24C7"/>
    <w:rsid w:val="00FF2F4A"/>
    <w:rsid w:val="00FF3F51"/>
    <w:rsid w:val="00FF4213"/>
    <w:rsid w:val="00FF4677"/>
    <w:rsid w:val="00FF531E"/>
    <w:rsid w:val="00FF54FE"/>
    <w:rsid w:val="00FF6943"/>
    <w:rsid w:val="01126295"/>
    <w:rsid w:val="015AFAE5"/>
    <w:rsid w:val="017A2AC6"/>
    <w:rsid w:val="017DC143"/>
    <w:rsid w:val="01814670"/>
    <w:rsid w:val="0186621A"/>
    <w:rsid w:val="019E66D3"/>
    <w:rsid w:val="0230FFEF"/>
    <w:rsid w:val="026D458F"/>
    <w:rsid w:val="02844455"/>
    <w:rsid w:val="02949C0B"/>
    <w:rsid w:val="02BF2137"/>
    <w:rsid w:val="03FEB171"/>
    <w:rsid w:val="04520369"/>
    <w:rsid w:val="04598DA0"/>
    <w:rsid w:val="0489FA35"/>
    <w:rsid w:val="05130336"/>
    <w:rsid w:val="059DF653"/>
    <w:rsid w:val="05DC38C2"/>
    <w:rsid w:val="05E5D3B8"/>
    <w:rsid w:val="0624AAFD"/>
    <w:rsid w:val="062EA15E"/>
    <w:rsid w:val="076610E6"/>
    <w:rsid w:val="076B1EF9"/>
    <w:rsid w:val="077B2864"/>
    <w:rsid w:val="07C606CB"/>
    <w:rsid w:val="08745FBB"/>
    <w:rsid w:val="08AFF8E0"/>
    <w:rsid w:val="08D62424"/>
    <w:rsid w:val="08E6369C"/>
    <w:rsid w:val="091CF18D"/>
    <w:rsid w:val="09741EB1"/>
    <w:rsid w:val="09BAEFC4"/>
    <w:rsid w:val="09DE62C2"/>
    <w:rsid w:val="0A058377"/>
    <w:rsid w:val="0A4028C7"/>
    <w:rsid w:val="0A4E3C6C"/>
    <w:rsid w:val="0AB2475A"/>
    <w:rsid w:val="0AD192B0"/>
    <w:rsid w:val="0BA6F557"/>
    <w:rsid w:val="0BBA31E4"/>
    <w:rsid w:val="0BC2A0B7"/>
    <w:rsid w:val="0BC55310"/>
    <w:rsid w:val="0C1BEBA9"/>
    <w:rsid w:val="0C90D5F0"/>
    <w:rsid w:val="0CC3F917"/>
    <w:rsid w:val="0CE283E2"/>
    <w:rsid w:val="0D7420AF"/>
    <w:rsid w:val="0DD5DE09"/>
    <w:rsid w:val="0E637454"/>
    <w:rsid w:val="0E74A47A"/>
    <w:rsid w:val="0EAAC288"/>
    <w:rsid w:val="0ECE6430"/>
    <w:rsid w:val="0ED8F49A"/>
    <w:rsid w:val="0EDC0536"/>
    <w:rsid w:val="0F1057D8"/>
    <w:rsid w:val="0F3984A5"/>
    <w:rsid w:val="0F40A16B"/>
    <w:rsid w:val="0FA65F86"/>
    <w:rsid w:val="0FDD391C"/>
    <w:rsid w:val="0FE7AB88"/>
    <w:rsid w:val="1065075E"/>
    <w:rsid w:val="108DA307"/>
    <w:rsid w:val="10DD47D8"/>
    <w:rsid w:val="11649E41"/>
    <w:rsid w:val="11757464"/>
    <w:rsid w:val="11C62456"/>
    <w:rsid w:val="11E52A47"/>
    <w:rsid w:val="122057ED"/>
    <w:rsid w:val="1265C970"/>
    <w:rsid w:val="12FDD4BC"/>
    <w:rsid w:val="13463D53"/>
    <w:rsid w:val="13AFB77A"/>
    <w:rsid w:val="145B8F61"/>
    <w:rsid w:val="14CCA292"/>
    <w:rsid w:val="15C571BC"/>
    <w:rsid w:val="15D8052C"/>
    <w:rsid w:val="15E4E06F"/>
    <w:rsid w:val="165AF6E1"/>
    <w:rsid w:val="1681ABB6"/>
    <w:rsid w:val="16D8B09E"/>
    <w:rsid w:val="16E0012A"/>
    <w:rsid w:val="1748D3B4"/>
    <w:rsid w:val="175E9E50"/>
    <w:rsid w:val="17842E4B"/>
    <w:rsid w:val="17CE19EE"/>
    <w:rsid w:val="18025E63"/>
    <w:rsid w:val="1820ECC6"/>
    <w:rsid w:val="18BE0D32"/>
    <w:rsid w:val="18E14654"/>
    <w:rsid w:val="198DC375"/>
    <w:rsid w:val="1A3A7DA6"/>
    <w:rsid w:val="1AD72263"/>
    <w:rsid w:val="1AECD6F8"/>
    <w:rsid w:val="1B39FF25"/>
    <w:rsid w:val="1B6DA95B"/>
    <w:rsid w:val="1C02F378"/>
    <w:rsid w:val="1C18E716"/>
    <w:rsid w:val="1D332B8B"/>
    <w:rsid w:val="1D5FDDB6"/>
    <w:rsid w:val="1D60F325"/>
    <w:rsid w:val="1D8A378C"/>
    <w:rsid w:val="1DF4FCCC"/>
    <w:rsid w:val="1EF3DDB6"/>
    <w:rsid w:val="1F079C4E"/>
    <w:rsid w:val="1F193E2C"/>
    <w:rsid w:val="1F555C32"/>
    <w:rsid w:val="1F611FA9"/>
    <w:rsid w:val="205FD1D0"/>
    <w:rsid w:val="20D68DC2"/>
    <w:rsid w:val="20F12C93"/>
    <w:rsid w:val="211F3309"/>
    <w:rsid w:val="215E4B58"/>
    <w:rsid w:val="217FACFD"/>
    <w:rsid w:val="21C503C7"/>
    <w:rsid w:val="21C5D371"/>
    <w:rsid w:val="220EF7B0"/>
    <w:rsid w:val="224F43F7"/>
    <w:rsid w:val="2306B366"/>
    <w:rsid w:val="2322A09B"/>
    <w:rsid w:val="239E9000"/>
    <w:rsid w:val="23D5AF74"/>
    <w:rsid w:val="241C2863"/>
    <w:rsid w:val="24FD01B4"/>
    <w:rsid w:val="2518D69E"/>
    <w:rsid w:val="256AE6E4"/>
    <w:rsid w:val="25C90D3D"/>
    <w:rsid w:val="25EF8ADE"/>
    <w:rsid w:val="25F6373B"/>
    <w:rsid w:val="26509E87"/>
    <w:rsid w:val="26CB1AF7"/>
    <w:rsid w:val="26E8D411"/>
    <w:rsid w:val="2708DBF9"/>
    <w:rsid w:val="27185FDE"/>
    <w:rsid w:val="2850A443"/>
    <w:rsid w:val="2854EAE4"/>
    <w:rsid w:val="28C48B2E"/>
    <w:rsid w:val="28D4F786"/>
    <w:rsid w:val="28E9D755"/>
    <w:rsid w:val="29C7555C"/>
    <w:rsid w:val="2A17CCC3"/>
    <w:rsid w:val="2AD07DD0"/>
    <w:rsid w:val="2BB1C1F7"/>
    <w:rsid w:val="2BE0C445"/>
    <w:rsid w:val="2BE54B83"/>
    <w:rsid w:val="2C172371"/>
    <w:rsid w:val="2C5AB05F"/>
    <w:rsid w:val="2C796AEC"/>
    <w:rsid w:val="2CB7F893"/>
    <w:rsid w:val="2CC2002D"/>
    <w:rsid w:val="2CCA072F"/>
    <w:rsid w:val="2CED8E33"/>
    <w:rsid w:val="2D02814B"/>
    <w:rsid w:val="2D1285FC"/>
    <w:rsid w:val="2D18F0EB"/>
    <w:rsid w:val="2D67F387"/>
    <w:rsid w:val="2E266427"/>
    <w:rsid w:val="2E3DFB91"/>
    <w:rsid w:val="2E5603E4"/>
    <w:rsid w:val="2EB5362A"/>
    <w:rsid w:val="2ECB7544"/>
    <w:rsid w:val="2EF3FDAD"/>
    <w:rsid w:val="2F0563CB"/>
    <w:rsid w:val="2F375BA0"/>
    <w:rsid w:val="2FF6E73B"/>
    <w:rsid w:val="302ADBAA"/>
    <w:rsid w:val="309F9449"/>
    <w:rsid w:val="30AA160F"/>
    <w:rsid w:val="30DB8E0C"/>
    <w:rsid w:val="318B6F56"/>
    <w:rsid w:val="3194624A"/>
    <w:rsid w:val="31C5F038"/>
    <w:rsid w:val="31CB740F"/>
    <w:rsid w:val="3218585B"/>
    <w:rsid w:val="329E3DC4"/>
    <w:rsid w:val="32B29950"/>
    <w:rsid w:val="32C6C6D2"/>
    <w:rsid w:val="3342669C"/>
    <w:rsid w:val="33A6EBFA"/>
    <w:rsid w:val="33BCA150"/>
    <w:rsid w:val="3473CD70"/>
    <w:rsid w:val="347705A8"/>
    <w:rsid w:val="349CB742"/>
    <w:rsid w:val="35AEFF2F"/>
    <w:rsid w:val="365E711F"/>
    <w:rsid w:val="36A057FA"/>
    <w:rsid w:val="36AE13B6"/>
    <w:rsid w:val="3736B0D4"/>
    <w:rsid w:val="37495C4F"/>
    <w:rsid w:val="3759C2C8"/>
    <w:rsid w:val="37865E57"/>
    <w:rsid w:val="3791015E"/>
    <w:rsid w:val="380BB43B"/>
    <w:rsid w:val="382AD56F"/>
    <w:rsid w:val="383467BE"/>
    <w:rsid w:val="38A35810"/>
    <w:rsid w:val="38DFACE1"/>
    <w:rsid w:val="3914DAD7"/>
    <w:rsid w:val="3919984C"/>
    <w:rsid w:val="39449FA4"/>
    <w:rsid w:val="39A7CB57"/>
    <w:rsid w:val="39E33944"/>
    <w:rsid w:val="39EE3A99"/>
    <w:rsid w:val="3A381AE5"/>
    <w:rsid w:val="3A7A3389"/>
    <w:rsid w:val="3AE73DCF"/>
    <w:rsid w:val="3B2A76F1"/>
    <w:rsid w:val="3B464185"/>
    <w:rsid w:val="3B4CECA8"/>
    <w:rsid w:val="3B5F1E40"/>
    <w:rsid w:val="3B8A4075"/>
    <w:rsid w:val="3B9C5C60"/>
    <w:rsid w:val="3BA4E7FA"/>
    <w:rsid w:val="3C257CB7"/>
    <w:rsid w:val="3C90E42F"/>
    <w:rsid w:val="3C9AAE69"/>
    <w:rsid w:val="3CB7D30D"/>
    <w:rsid w:val="3CDF255E"/>
    <w:rsid w:val="3CE25742"/>
    <w:rsid w:val="3CF5CEB9"/>
    <w:rsid w:val="3D02A815"/>
    <w:rsid w:val="3D1FC940"/>
    <w:rsid w:val="3D313AAA"/>
    <w:rsid w:val="3D8057C2"/>
    <w:rsid w:val="3DD075E7"/>
    <w:rsid w:val="3DF26F01"/>
    <w:rsid w:val="3E0D1916"/>
    <w:rsid w:val="3E16786C"/>
    <w:rsid w:val="3E20E0C9"/>
    <w:rsid w:val="3E58B1E7"/>
    <w:rsid w:val="3E874D1C"/>
    <w:rsid w:val="3E8C3E9E"/>
    <w:rsid w:val="3E8F88B9"/>
    <w:rsid w:val="3EC0603F"/>
    <w:rsid w:val="3EF89AE6"/>
    <w:rsid w:val="3EFF61A0"/>
    <w:rsid w:val="3F514EE9"/>
    <w:rsid w:val="3F69DF5B"/>
    <w:rsid w:val="3F8C137E"/>
    <w:rsid w:val="3FDD696E"/>
    <w:rsid w:val="3FF48248"/>
    <w:rsid w:val="40213D64"/>
    <w:rsid w:val="4021A421"/>
    <w:rsid w:val="404444EF"/>
    <w:rsid w:val="40ECD2B4"/>
    <w:rsid w:val="410F43D8"/>
    <w:rsid w:val="4184A16A"/>
    <w:rsid w:val="419B0740"/>
    <w:rsid w:val="429790E4"/>
    <w:rsid w:val="42FFF772"/>
    <w:rsid w:val="43E623D5"/>
    <w:rsid w:val="4438C923"/>
    <w:rsid w:val="4452C193"/>
    <w:rsid w:val="4479603C"/>
    <w:rsid w:val="44C10F1E"/>
    <w:rsid w:val="455BAA93"/>
    <w:rsid w:val="4568B8FC"/>
    <w:rsid w:val="4572414A"/>
    <w:rsid w:val="45BDA989"/>
    <w:rsid w:val="46B4399B"/>
    <w:rsid w:val="471E3C14"/>
    <w:rsid w:val="4768E0E0"/>
    <w:rsid w:val="47CE08A9"/>
    <w:rsid w:val="48070C2E"/>
    <w:rsid w:val="483530E9"/>
    <w:rsid w:val="48620A0B"/>
    <w:rsid w:val="489B89F3"/>
    <w:rsid w:val="4904B141"/>
    <w:rsid w:val="49A67FA7"/>
    <w:rsid w:val="49CA764B"/>
    <w:rsid w:val="49FF989F"/>
    <w:rsid w:val="4A03857E"/>
    <w:rsid w:val="4A1E7ECB"/>
    <w:rsid w:val="4A7C4DBD"/>
    <w:rsid w:val="4AB957F7"/>
    <w:rsid w:val="4B736AE2"/>
    <w:rsid w:val="4B9AE8CC"/>
    <w:rsid w:val="4BB4FEE5"/>
    <w:rsid w:val="4BB6731A"/>
    <w:rsid w:val="4BE2439F"/>
    <w:rsid w:val="4C20DA3A"/>
    <w:rsid w:val="4D1D221D"/>
    <w:rsid w:val="4D354D6E"/>
    <w:rsid w:val="4D375225"/>
    <w:rsid w:val="4D644FE6"/>
    <w:rsid w:val="4D7B98E9"/>
    <w:rsid w:val="4D9BC916"/>
    <w:rsid w:val="4DAF3FB9"/>
    <w:rsid w:val="4DD4B20F"/>
    <w:rsid w:val="4DF95B42"/>
    <w:rsid w:val="4E607A07"/>
    <w:rsid w:val="4F48A7B9"/>
    <w:rsid w:val="4F8B7E03"/>
    <w:rsid w:val="4F8C16FA"/>
    <w:rsid w:val="502BE4FA"/>
    <w:rsid w:val="506AB9D7"/>
    <w:rsid w:val="50A23179"/>
    <w:rsid w:val="50F11303"/>
    <w:rsid w:val="51019797"/>
    <w:rsid w:val="510C13BD"/>
    <w:rsid w:val="51143922"/>
    <w:rsid w:val="5147241F"/>
    <w:rsid w:val="51762BC1"/>
    <w:rsid w:val="51981AC9"/>
    <w:rsid w:val="523F8248"/>
    <w:rsid w:val="52637F0A"/>
    <w:rsid w:val="52A80FA6"/>
    <w:rsid w:val="5302EC36"/>
    <w:rsid w:val="532EA90A"/>
    <w:rsid w:val="537187C3"/>
    <w:rsid w:val="539E032D"/>
    <w:rsid w:val="544070D8"/>
    <w:rsid w:val="54479415"/>
    <w:rsid w:val="54503620"/>
    <w:rsid w:val="54C51FBB"/>
    <w:rsid w:val="550A638D"/>
    <w:rsid w:val="55DC4139"/>
    <w:rsid w:val="55DFB068"/>
    <w:rsid w:val="55DFBF0C"/>
    <w:rsid w:val="55E86CC1"/>
    <w:rsid w:val="569F9CD4"/>
    <w:rsid w:val="56CCBBD9"/>
    <w:rsid w:val="56D6421B"/>
    <w:rsid w:val="56E88F53"/>
    <w:rsid w:val="5702722B"/>
    <w:rsid w:val="5746C407"/>
    <w:rsid w:val="575DE7F8"/>
    <w:rsid w:val="581C7B28"/>
    <w:rsid w:val="58542795"/>
    <w:rsid w:val="5891CAF5"/>
    <w:rsid w:val="5935A1B6"/>
    <w:rsid w:val="596A7342"/>
    <w:rsid w:val="599F3D62"/>
    <w:rsid w:val="5A0BC080"/>
    <w:rsid w:val="5A11E39B"/>
    <w:rsid w:val="5B9A656C"/>
    <w:rsid w:val="5BB22175"/>
    <w:rsid w:val="5C0A21A2"/>
    <w:rsid w:val="5C64F7A5"/>
    <w:rsid w:val="5CE3F627"/>
    <w:rsid w:val="5CF116A0"/>
    <w:rsid w:val="5CF30A86"/>
    <w:rsid w:val="5D48D147"/>
    <w:rsid w:val="5D9D196B"/>
    <w:rsid w:val="5DACD061"/>
    <w:rsid w:val="5DB2206F"/>
    <w:rsid w:val="5E73B8B0"/>
    <w:rsid w:val="5EDB1611"/>
    <w:rsid w:val="5F991369"/>
    <w:rsid w:val="60824F7E"/>
    <w:rsid w:val="60C2E04E"/>
    <w:rsid w:val="6126D19A"/>
    <w:rsid w:val="6129E2FF"/>
    <w:rsid w:val="6149D8CA"/>
    <w:rsid w:val="6185B1E4"/>
    <w:rsid w:val="61A81DA7"/>
    <w:rsid w:val="6234D9A3"/>
    <w:rsid w:val="62463854"/>
    <w:rsid w:val="6279E530"/>
    <w:rsid w:val="62A88FFA"/>
    <w:rsid w:val="62B6545C"/>
    <w:rsid w:val="62C620F6"/>
    <w:rsid w:val="62DA010C"/>
    <w:rsid w:val="634182B2"/>
    <w:rsid w:val="63727B02"/>
    <w:rsid w:val="63D7DBC6"/>
    <w:rsid w:val="64556F59"/>
    <w:rsid w:val="6461F157"/>
    <w:rsid w:val="64670AA2"/>
    <w:rsid w:val="653F2D4D"/>
    <w:rsid w:val="656F4162"/>
    <w:rsid w:val="65C5023A"/>
    <w:rsid w:val="66062307"/>
    <w:rsid w:val="66D565E7"/>
    <w:rsid w:val="66F58974"/>
    <w:rsid w:val="6734C189"/>
    <w:rsid w:val="67493276"/>
    <w:rsid w:val="676BC1BB"/>
    <w:rsid w:val="679B41F5"/>
    <w:rsid w:val="67DFC2FB"/>
    <w:rsid w:val="68173DE5"/>
    <w:rsid w:val="688BC03A"/>
    <w:rsid w:val="6930A7B5"/>
    <w:rsid w:val="6935627A"/>
    <w:rsid w:val="6962EDA1"/>
    <w:rsid w:val="69BA4E22"/>
    <w:rsid w:val="6A04B9F2"/>
    <w:rsid w:val="6A1B8130"/>
    <w:rsid w:val="6A5CC7B8"/>
    <w:rsid w:val="6A850FC0"/>
    <w:rsid w:val="6B0540D4"/>
    <w:rsid w:val="6B42FA00"/>
    <w:rsid w:val="6B8EDA23"/>
    <w:rsid w:val="6BB4AD88"/>
    <w:rsid w:val="6BE67F7A"/>
    <w:rsid w:val="6C1F014D"/>
    <w:rsid w:val="6C49629F"/>
    <w:rsid w:val="6C9CFB6A"/>
    <w:rsid w:val="6CA51C13"/>
    <w:rsid w:val="6CEBCDC8"/>
    <w:rsid w:val="6D06E7BE"/>
    <w:rsid w:val="6DBCB082"/>
    <w:rsid w:val="6E710664"/>
    <w:rsid w:val="6EB7D6FC"/>
    <w:rsid w:val="6EB98C7A"/>
    <w:rsid w:val="6F14FF3C"/>
    <w:rsid w:val="6F1A9F1C"/>
    <w:rsid w:val="6F1E203C"/>
    <w:rsid w:val="6F1FA286"/>
    <w:rsid w:val="6F445F28"/>
    <w:rsid w:val="6F5880E3"/>
    <w:rsid w:val="6F5B1C2C"/>
    <w:rsid w:val="6F5C622C"/>
    <w:rsid w:val="6F7DA561"/>
    <w:rsid w:val="6F8D622F"/>
    <w:rsid w:val="6F8E876D"/>
    <w:rsid w:val="6FC764BE"/>
    <w:rsid w:val="6FEB7088"/>
    <w:rsid w:val="6FEE002D"/>
    <w:rsid w:val="7037EF4A"/>
    <w:rsid w:val="70DBABE0"/>
    <w:rsid w:val="7159D0EC"/>
    <w:rsid w:val="7160396B"/>
    <w:rsid w:val="71B1FAA5"/>
    <w:rsid w:val="71C589F3"/>
    <w:rsid w:val="72546EED"/>
    <w:rsid w:val="7267CCF0"/>
    <w:rsid w:val="7282F6BC"/>
    <w:rsid w:val="73043FEF"/>
    <w:rsid w:val="735D9D55"/>
    <w:rsid w:val="7379DA77"/>
    <w:rsid w:val="73997D81"/>
    <w:rsid w:val="73B6A5BD"/>
    <w:rsid w:val="7423E11E"/>
    <w:rsid w:val="74A5CA6F"/>
    <w:rsid w:val="74AE28CC"/>
    <w:rsid w:val="75118206"/>
    <w:rsid w:val="751B02B8"/>
    <w:rsid w:val="7524854A"/>
    <w:rsid w:val="756A3C81"/>
    <w:rsid w:val="75743963"/>
    <w:rsid w:val="75807C0C"/>
    <w:rsid w:val="75B578F5"/>
    <w:rsid w:val="75D294AE"/>
    <w:rsid w:val="7776A879"/>
    <w:rsid w:val="7788C9CB"/>
    <w:rsid w:val="77C6CFCF"/>
    <w:rsid w:val="77DCFE5E"/>
    <w:rsid w:val="78182EBC"/>
    <w:rsid w:val="782D57FD"/>
    <w:rsid w:val="7891CBA2"/>
    <w:rsid w:val="78B30EE6"/>
    <w:rsid w:val="79557B2A"/>
    <w:rsid w:val="799B8331"/>
    <w:rsid w:val="79BA5811"/>
    <w:rsid w:val="7A2994FB"/>
    <w:rsid w:val="7A32FD9F"/>
    <w:rsid w:val="7A7A91BD"/>
    <w:rsid w:val="7B59106D"/>
    <w:rsid w:val="7B785C94"/>
    <w:rsid w:val="7C20DBF0"/>
    <w:rsid w:val="7C5C2869"/>
    <w:rsid w:val="7C661A3B"/>
    <w:rsid w:val="7CBD20C1"/>
    <w:rsid w:val="7D063832"/>
    <w:rsid w:val="7DAA428A"/>
    <w:rsid w:val="7DDD650F"/>
    <w:rsid w:val="7ED4DDB9"/>
    <w:rsid w:val="7EE39402"/>
    <w:rsid w:val="7EF86206"/>
    <w:rsid w:val="7EF991FD"/>
    <w:rsid w:val="7F032DC0"/>
    <w:rsid w:val="7F2265D9"/>
    <w:rsid w:val="7F379488"/>
    <w:rsid w:val="7F72B43D"/>
    <w:rsid w:val="7F7612CC"/>
    <w:rsid w:val="7FD91BD2"/>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EE222CC"/>
  <w15:chartTrackingRefBased/>
  <w15:docId w15:val="{42608D39-C7A5-4753-8F08-1D4B20DAE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lsdException w:name="heading 1" w:uiPriority="9"/>
    <w:lsdException w:name="heading 2" w:semiHidden="1" w:uiPriority="7"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Bullet 5" w:semiHidden="1" w:unhideWhenUsed="1"/>
    <w:lsdException w:name="Title" w:uiPriority="10"/>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semiHidden="1" w:unhideWhenUsed="1" w:qFormat="1"/>
    <w:lsdException w:name="Bibliography" w:semiHidden="1" w:uiPriority="38"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rsid w:val="00723C11"/>
    <w:pPr>
      <w:spacing w:after="160" w:line="293" w:lineRule="auto"/>
    </w:pPr>
    <w:rPr>
      <w:color w:val="000000" w:themeColor="text1"/>
    </w:rPr>
  </w:style>
  <w:style w:type="paragraph" w:styleId="Nadpis1">
    <w:name w:val="heading 1"/>
    <w:basedOn w:val="Normln"/>
    <w:next w:val="Normln"/>
    <w:link w:val="Nadpis1Char"/>
    <w:uiPriority w:val="7"/>
    <w:rsid w:val="00831374"/>
    <w:pPr>
      <w:keepNext/>
      <w:keepLines/>
      <w:spacing w:before="160" w:after="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7"/>
    <w:unhideWhenUsed/>
    <w:rsid w:val="00063405"/>
    <w:pPr>
      <w:keepNext/>
      <w:keepLines/>
      <w:spacing w:before="80" w:after="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7"/>
    <w:unhideWhenUsed/>
    <w:rsid w:val="00504668"/>
    <w:pPr>
      <w:keepNext/>
      <w:keepLines/>
      <w:spacing w:before="40" w:after="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7"/>
    <w:unhideWhenUsed/>
    <w:rsid w:val="00C6690E"/>
    <w:pPr>
      <w:keepNext/>
      <w:keepLines/>
      <w:spacing w:before="40" w:after="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7"/>
    <w:unhideWhenUsed/>
    <w:rsid w:val="00C6690E"/>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7"/>
    <w:unhideWhenUsed/>
    <w:rsid w:val="00C6690E"/>
    <w:pPr>
      <w:keepNext/>
      <w:keepLines/>
      <w:spacing w:before="40" w:after="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rsid w:val="00C6690E"/>
    <w:pPr>
      <w:keepNext/>
      <w:keepLines/>
      <w:spacing w:before="40" w:after="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rsid w:val="00A95C48"/>
    <w:pPr>
      <w:keepNext/>
      <w:keepLines/>
      <w:spacing w:before="40" w:after="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rsid w:val="00A95C4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tabulky,Conclusion de partie,Numbered Para 1,Dot pt,No Spacing1,List Paragraph Char Char Char,Indicator Text,Bullet 1,List Paragraph1,Bullet Points,MAIN CONTENT,List Paragraph12,F5 List Paragraph,Heading 2_sj,Nad"/>
    <w:basedOn w:val="Normln"/>
    <w:link w:val="OdstavecseseznamemChar"/>
    <w:uiPriority w:val="34"/>
    <w:unhideWhenUsed/>
    <w:qFormat/>
    <w:rsid w:val="009F7F46"/>
    <w:pPr>
      <w:ind w:left="720"/>
      <w:contextualSpacing/>
    </w:pPr>
  </w:style>
  <w:style w:type="numbering" w:customStyle="1" w:styleId="VariantaB-odrky">
    <w:name w:val="Varianta B - odrážky"/>
    <w:uiPriority w:val="99"/>
    <w:rsid w:val="007102D2"/>
    <w:pPr>
      <w:numPr>
        <w:numId w:val="4"/>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5"/>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7"/>
      </w:numPr>
    </w:pPr>
  </w:style>
  <w:style w:type="numbering" w:customStyle="1" w:styleId="VariantaB-sla">
    <w:name w:val="Varianta B - čísla"/>
    <w:uiPriority w:val="99"/>
    <w:rsid w:val="009F7F46"/>
    <w:pPr>
      <w:numPr>
        <w:numId w:val="6"/>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rsid w:val="00A63D6B"/>
    <w:pPr>
      <w:keepNext/>
      <w:keepLines/>
      <w:spacing w:after="0" w:line="240" w:lineRule="auto"/>
      <w:contextualSpacing/>
    </w:pPr>
    <w:rPr>
      <w:rFonts w:asciiTheme="majorHAnsi" w:eastAsiaTheme="majorEastAsia" w:hAnsiTheme="majorHAnsi" w:cstheme="majorBidi"/>
      <w:spacing w:val="-10"/>
      <w:kern w:val="28"/>
      <w:sz w:val="48"/>
      <w:szCs w:val="56"/>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rsid w:val="00EE6BD7"/>
    <w:rPr>
      <w:b/>
      <w:i/>
      <w:iCs/>
      <w:color w:val="000000" w:themeColor="text1"/>
    </w:rPr>
  </w:style>
  <w:style w:type="paragraph" w:styleId="Vrazncitt">
    <w:name w:val="Intense Quote"/>
    <w:basedOn w:val="Normln"/>
    <w:next w:val="Normln"/>
    <w:link w:val="VrazncittChar"/>
    <w:uiPriority w:val="28"/>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rsid w:val="0039063C"/>
    <w:rPr>
      <w:b/>
      <w:bCs/>
      <w:smallCaps/>
      <w:color w:val="000000" w:themeColor="text1"/>
      <w:spacing w:val="5"/>
    </w:rPr>
  </w:style>
  <w:style w:type="paragraph" w:styleId="slovanseznam">
    <w:name w:val="List Number"/>
    <w:aliases w:val="Číslovaný seznam A"/>
    <w:basedOn w:val="Normln"/>
    <w:uiPriority w:val="15"/>
    <w:rsid w:val="001B1E4A"/>
    <w:pPr>
      <w:numPr>
        <w:numId w:val="10"/>
      </w:numPr>
      <w:spacing w:after="0"/>
    </w:pPr>
  </w:style>
  <w:style w:type="paragraph" w:styleId="slovanseznam2">
    <w:name w:val="List Number 2"/>
    <w:aliases w:val="Číslovaný seznam A 2"/>
    <w:basedOn w:val="Normln"/>
    <w:uiPriority w:val="15"/>
    <w:rsid w:val="001B1E4A"/>
    <w:pPr>
      <w:numPr>
        <w:ilvl w:val="1"/>
        <w:numId w:val="10"/>
      </w:numPr>
      <w:spacing w:after="0"/>
      <w:contextualSpacing/>
    </w:pPr>
  </w:style>
  <w:style w:type="paragraph" w:styleId="slovanseznam3">
    <w:name w:val="List Number 3"/>
    <w:aliases w:val="Číslovaný seznam A 3"/>
    <w:basedOn w:val="Normln"/>
    <w:uiPriority w:val="15"/>
    <w:rsid w:val="001B1E4A"/>
    <w:pPr>
      <w:numPr>
        <w:ilvl w:val="2"/>
        <w:numId w:val="10"/>
      </w:numPr>
      <w:spacing w:after="0"/>
      <w:contextualSpacing/>
    </w:pPr>
  </w:style>
  <w:style w:type="paragraph" w:styleId="slovanseznam4">
    <w:name w:val="List Number 4"/>
    <w:aliases w:val="Číslovaný seznam A 4"/>
    <w:basedOn w:val="Normln"/>
    <w:uiPriority w:val="15"/>
    <w:rsid w:val="001B1E4A"/>
    <w:pPr>
      <w:numPr>
        <w:ilvl w:val="3"/>
        <w:numId w:val="10"/>
      </w:numPr>
      <w:spacing w:after="0"/>
      <w:contextualSpacing/>
    </w:pPr>
  </w:style>
  <w:style w:type="paragraph" w:styleId="slovanseznam5">
    <w:name w:val="List Number 5"/>
    <w:aliases w:val="Číslovaný seznam A 5"/>
    <w:basedOn w:val="Normln"/>
    <w:uiPriority w:val="15"/>
    <w:rsid w:val="001B1E4A"/>
    <w:pPr>
      <w:numPr>
        <w:ilvl w:val="4"/>
        <w:numId w:val="10"/>
      </w:numPr>
      <w:spacing w:after="0"/>
      <w:contextualSpacing/>
    </w:pPr>
  </w:style>
  <w:style w:type="paragraph" w:customStyle="1" w:styleId="slovanseznamB">
    <w:name w:val="Číslovaný seznam B"/>
    <w:basedOn w:val="Normln"/>
    <w:uiPriority w:val="16"/>
    <w:rsid w:val="009F7F46"/>
    <w:pPr>
      <w:numPr>
        <w:numId w:val="8"/>
      </w:numPr>
      <w:spacing w:after="0"/>
    </w:pPr>
  </w:style>
  <w:style w:type="paragraph" w:customStyle="1" w:styleId="slovanseznamB2">
    <w:name w:val="Číslovaný seznam B 2"/>
    <w:basedOn w:val="Normln"/>
    <w:uiPriority w:val="16"/>
    <w:rsid w:val="009F7F46"/>
    <w:pPr>
      <w:numPr>
        <w:ilvl w:val="1"/>
        <w:numId w:val="8"/>
      </w:numPr>
      <w:spacing w:after="0"/>
    </w:pPr>
  </w:style>
  <w:style w:type="paragraph" w:customStyle="1" w:styleId="slovanseznamB3">
    <w:name w:val="Číslovaný seznam B 3"/>
    <w:basedOn w:val="Normln"/>
    <w:uiPriority w:val="16"/>
    <w:rsid w:val="009F7F46"/>
    <w:pPr>
      <w:numPr>
        <w:ilvl w:val="2"/>
        <w:numId w:val="8"/>
      </w:numPr>
      <w:spacing w:after="0"/>
    </w:pPr>
  </w:style>
  <w:style w:type="paragraph" w:customStyle="1" w:styleId="slovanseznamB4">
    <w:name w:val="Číslovaný seznam B 4"/>
    <w:basedOn w:val="Normln"/>
    <w:uiPriority w:val="16"/>
    <w:rsid w:val="009F7F46"/>
    <w:pPr>
      <w:numPr>
        <w:ilvl w:val="3"/>
        <w:numId w:val="8"/>
      </w:numPr>
      <w:spacing w:after="0"/>
    </w:pPr>
  </w:style>
  <w:style w:type="paragraph" w:customStyle="1" w:styleId="slovanseznamB5">
    <w:name w:val="Číslovaný seznam B 5"/>
    <w:basedOn w:val="Normln"/>
    <w:uiPriority w:val="16"/>
    <w:rsid w:val="009F7F46"/>
    <w:pPr>
      <w:numPr>
        <w:ilvl w:val="4"/>
        <w:numId w:val="8"/>
      </w:numPr>
      <w:spacing w:after="0"/>
    </w:pPr>
  </w:style>
  <w:style w:type="paragraph" w:styleId="Seznamsodrkami3">
    <w:name w:val="List Bullet 3"/>
    <w:aliases w:val="Seznam s odrážkami A 3"/>
    <w:basedOn w:val="Normln"/>
    <w:uiPriority w:val="10"/>
    <w:rsid w:val="00262DAF"/>
    <w:pPr>
      <w:numPr>
        <w:ilvl w:val="2"/>
        <w:numId w:val="9"/>
      </w:numPr>
      <w:spacing w:after="0"/>
      <w:contextualSpacing/>
    </w:pPr>
  </w:style>
  <w:style w:type="paragraph" w:styleId="Seznamsodrkami4">
    <w:name w:val="List Bullet 4"/>
    <w:aliases w:val="Seznam s odrážkami A 4"/>
    <w:basedOn w:val="Normln"/>
    <w:uiPriority w:val="10"/>
    <w:rsid w:val="00262DAF"/>
    <w:pPr>
      <w:numPr>
        <w:ilvl w:val="3"/>
        <w:numId w:val="9"/>
      </w:numPr>
      <w:spacing w:after="0"/>
      <w:contextualSpacing/>
    </w:pPr>
  </w:style>
  <w:style w:type="paragraph" w:styleId="Seznamsodrkami5">
    <w:name w:val="List Bullet 5"/>
    <w:aliases w:val="Seznam s odrážkami A 5"/>
    <w:basedOn w:val="Normln"/>
    <w:uiPriority w:val="10"/>
    <w:rsid w:val="00262DAF"/>
    <w:pPr>
      <w:numPr>
        <w:ilvl w:val="4"/>
        <w:numId w:val="9"/>
      </w:numPr>
      <w:spacing w:after="0"/>
    </w:pPr>
  </w:style>
  <w:style w:type="paragraph" w:styleId="Seznamsodrkami">
    <w:name w:val="List Bullet"/>
    <w:aliases w:val="Seznam s odrážkami A"/>
    <w:basedOn w:val="Normln"/>
    <w:uiPriority w:val="10"/>
    <w:rsid w:val="00262DAF"/>
    <w:pPr>
      <w:numPr>
        <w:numId w:val="9"/>
      </w:numPr>
      <w:spacing w:after="0"/>
      <w:contextualSpacing/>
    </w:pPr>
  </w:style>
  <w:style w:type="paragraph" w:styleId="Seznamsodrkami2">
    <w:name w:val="List Bullet 2"/>
    <w:aliases w:val="Seznam s odrážkami A 2"/>
    <w:basedOn w:val="Normln"/>
    <w:uiPriority w:val="10"/>
    <w:rsid w:val="00262DAF"/>
    <w:pPr>
      <w:numPr>
        <w:ilvl w:val="1"/>
        <w:numId w:val="9"/>
      </w:numPr>
      <w:spacing w:after="0"/>
      <w:contextualSpacing/>
    </w:pPr>
  </w:style>
  <w:style w:type="paragraph" w:customStyle="1" w:styleId="Nadpis1-mimoobsah">
    <w:name w:val="Nadpis 1 - mimo obsah"/>
    <w:basedOn w:val="Normln"/>
    <w:next w:val="Normln"/>
    <w:uiPriority w:val="8"/>
    <w:rsid w:val="00831374"/>
    <w:pPr>
      <w:keepNext/>
      <w:keepLines/>
      <w:spacing w:before="160" w:after="0"/>
    </w:pPr>
    <w:rPr>
      <w:rFonts w:asciiTheme="majorHAnsi" w:hAnsiTheme="majorHAnsi"/>
      <w:b/>
      <w:sz w:val="28"/>
    </w:rPr>
  </w:style>
  <w:style w:type="paragraph" w:customStyle="1" w:styleId="Nadpis2-mimoobsah">
    <w:name w:val="Nadpis 2 - mimo obsah"/>
    <w:basedOn w:val="Normln"/>
    <w:next w:val="Normln"/>
    <w:uiPriority w:val="8"/>
    <w:rsid w:val="00AB523B"/>
    <w:pPr>
      <w:keepNext/>
      <w:keepLines/>
      <w:spacing w:before="80" w:after="0"/>
    </w:pPr>
    <w:rPr>
      <w:rFonts w:asciiTheme="majorHAnsi" w:hAnsiTheme="majorHAnsi"/>
      <w:b/>
      <w:sz w:val="26"/>
    </w:rPr>
  </w:style>
  <w:style w:type="paragraph" w:customStyle="1" w:styleId="Nadpis3-mimoobsah">
    <w:name w:val="Nadpis 3 - mimo obsah"/>
    <w:basedOn w:val="Normln"/>
    <w:next w:val="Normln"/>
    <w:uiPriority w:val="8"/>
    <w:rsid w:val="00BB479C"/>
    <w:pPr>
      <w:keepNext/>
      <w:keepLines/>
      <w:spacing w:before="40" w:after="0"/>
    </w:pPr>
    <w:rPr>
      <w:rFonts w:asciiTheme="majorHAnsi" w:hAnsiTheme="majorHAnsi"/>
      <w:b/>
      <w:sz w:val="24"/>
    </w:rPr>
  </w:style>
  <w:style w:type="paragraph" w:customStyle="1" w:styleId="Nadpis4-mimoobsah">
    <w:name w:val="Nadpis 4 - mimo obsah"/>
    <w:basedOn w:val="Normln"/>
    <w:next w:val="Normln"/>
    <w:uiPriority w:val="8"/>
    <w:rsid w:val="00BB479C"/>
    <w:pPr>
      <w:keepNext/>
      <w:keepLines/>
      <w:spacing w:before="40" w:after="0"/>
    </w:pPr>
    <w:rPr>
      <w:rFonts w:asciiTheme="majorHAnsi" w:hAnsiTheme="majorHAnsi"/>
      <w:i/>
      <w:sz w:val="24"/>
    </w:rPr>
  </w:style>
  <w:style w:type="paragraph" w:customStyle="1" w:styleId="Nadpis5-mimoobsah">
    <w:name w:val="Nadpis 5 - mimo obsah"/>
    <w:basedOn w:val="Normln"/>
    <w:next w:val="Normln"/>
    <w:uiPriority w:val="8"/>
    <w:rsid w:val="00BB479C"/>
    <w:pPr>
      <w:keepNext/>
      <w:keepLines/>
      <w:spacing w:before="40" w:after="0"/>
    </w:pPr>
    <w:rPr>
      <w:rFonts w:asciiTheme="majorHAnsi" w:hAnsiTheme="majorHAnsi"/>
      <w:b/>
    </w:rPr>
  </w:style>
  <w:style w:type="paragraph" w:customStyle="1" w:styleId="Nadpis7mimoobsah">
    <w:name w:val="Nadpis 7 mimo obsah"/>
    <w:basedOn w:val="Normln"/>
    <w:next w:val="Normln"/>
    <w:uiPriority w:val="8"/>
    <w:rsid w:val="00BB479C"/>
    <w:pPr>
      <w:keepNext/>
      <w:keepLines/>
      <w:spacing w:before="40" w:after="0"/>
    </w:pPr>
    <w:rPr>
      <w:rFonts w:asciiTheme="majorHAnsi" w:hAnsiTheme="majorHAnsi"/>
    </w:rPr>
  </w:style>
  <w:style w:type="paragraph" w:customStyle="1" w:styleId="Nadpis6mimoobsah">
    <w:name w:val="Nadpis 6 mimo obsah"/>
    <w:basedOn w:val="Normln"/>
    <w:next w:val="Normln"/>
    <w:uiPriority w:val="8"/>
    <w:rsid w:val="00A95C48"/>
    <w:pPr>
      <w:keepNext/>
      <w:keepLines/>
      <w:spacing w:before="40" w:after="0"/>
    </w:pPr>
    <w:rPr>
      <w:rFonts w:asciiTheme="majorHAnsi" w:hAnsiTheme="majorHAnsi"/>
      <w:i/>
    </w:rPr>
  </w:style>
  <w:style w:type="paragraph" w:customStyle="1" w:styleId="Nadpis8mimoobsah">
    <w:name w:val="Nadpis 8 mimo obsah"/>
    <w:basedOn w:val="Normln"/>
    <w:next w:val="Normln"/>
    <w:uiPriority w:val="8"/>
    <w:rsid w:val="00A95C48"/>
    <w:pPr>
      <w:keepNext/>
      <w:keepLines/>
      <w:spacing w:before="40" w:after="0"/>
    </w:pPr>
    <w:rPr>
      <w:rFonts w:asciiTheme="majorHAnsi" w:hAnsiTheme="majorHAnsi"/>
      <w:b/>
      <w:sz w:val="21"/>
      <w:szCs w:val="21"/>
    </w:rPr>
  </w:style>
  <w:style w:type="paragraph" w:customStyle="1" w:styleId="Nadpis9mimoobsah">
    <w:name w:val="Nadpis 9 mimo obsah"/>
    <w:basedOn w:val="Normln"/>
    <w:next w:val="Normln"/>
    <w:uiPriority w:val="8"/>
    <w:rsid w:val="00A95C48"/>
    <w:pPr>
      <w:keepNext/>
      <w:keepLines/>
      <w:spacing w:before="40" w:after="0"/>
    </w:pPr>
    <w:rPr>
      <w:rFonts w:asciiTheme="majorHAnsi" w:hAnsiTheme="majorHAnsi"/>
      <w:i/>
      <w:sz w:val="21"/>
      <w:szCs w:val="21"/>
    </w:rPr>
  </w:style>
  <w:style w:type="paragraph" w:styleId="Podnadpis">
    <w:name w:val="Subtitle"/>
    <w:basedOn w:val="Normln"/>
    <w:next w:val="Normln"/>
    <w:link w:val="PodnadpisChar"/>
    <w:uiPriority w:val="5"/>
    <w:rsid w:val="008D4A32"/>
    <w:pPr>
      <w:numPr>
        <w:ilvl w:val="1"/>
      </w:numPr>
    </w:pPr>
    <w:rPr>
      <w:rFonts w:eastAsiaTheme="minorEastAsia"/>
      <w:color w:val="595959" w:themeColor="text1" w:themeTint="A6"/>
      <w:spacing w:val="15"/>
      <w:sz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rsid w:val="00A275BC"/>
    <w:rPr>
      <w:i/>
      <w:iCs/>
      <w:color w:val="595959" w:themeColor="text1" w:themeTint="A6"/>
    </w:rPr>
  </w:style>
  <w:style w:type="character" w:styleId="Odkazjemn">
    <w:name w:val="Subtle Reference"/>
    <w:basedOn w:val="Standardnpsmoodstavce"/>
    <w:uiPriority w:val="23"/>
    <w:rsid w:val="00A275BC"/>
    <w:rPr>
      <w:smallCaps/>
      <w:color w:val="5A5A5A" w:themeColor="text1" w:themeTint="A5"/>
    </w:rPr>
  </w:style>
  <w:style w:type="paragraph" w:styleId="Citt">
    <w:name w:val="Quote"/>
    <w:basedOn w:val="Normln"/>
    <w:next w:val="Normln"/>
    <w:link w:val="CittChar"/>
    <w:uiPriority w:val="27"/>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rsid w:val="00713948"/>
    <w:rPr>
      <w:i/>
      <w:iCs/>
    </w:rPr>
  </w:style>
  <w:style w:type="paragraph" w:styleId="Nadpisobsahu">
    <w:name w:val="TOC Heading"/>
    <w:basedOn w:val="Nadpis1-mimoobsah"/>
    <w:next w:val="Normln"/>
    <w:uiPriority w:val="6"/>
    <w:unhideWhenUsed/>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rsid w:val="007102D2"/>
    <w:pPr>
      <w:numPr>
        <w:numId w:val="11"/>
      </w:numPr>
      <w:spacing w:after="0"/>
    </w:pPr>
  </w:style>
  <w:style w:type="paragraph" w:customStyle="1" w:styleId="SeznamsodrkamiB2">
    <w:name w:val="Seznam s odrážkami B 2"/>
    <w:basedOn w:val="Normln"/>
    <w:uiPriority w:val="11"/>
    <w:rsid w:val="007102D2"/>
    <w:pPr>
      <w:numPr>
        <w:ilvl w:val="1"/>
        <w:numId w:val="11"/>
      </w:numPr>
      <w:spacing w:after="0"/>
    </w:pPr>
  </w:style>
  <w:style w:type="paragraph" w:customStyle="1" w:styleId="SeznamsodrkamiB3">
    <w:name w:val="Seznam s odrážkami B 3"/>
    <w:basedOn w:val="Normln"/>
    <w:uiPriority w:val="11"/>
    <w:rsid w:val="007102D2"/>
    <w:pPr>
      <w:numPr>
        <w:ilvl w:val="2"/>
        <w:numId w:val="11"/>
      </w:numPr>
      <w:spacing w:after="0"/>
    </w:pPr>
  </w:style>
  <w:style w:type="paragraph" w:customStyle="1" w:styleId="SeznamsodrkamiB4">
    <w:name w:val="Seznam s odrážkami B 4"/>
    <w:basedOn w:val="Normln"/>
    <w:uiPriority w:val="11"/>
    <w:rsid w:val="007102D2"/>
    <w:pPr>
      <w:numPr>
        <w:ilvl w:val="3"/>
        <w:numId w:val="11"/>
      </w:numPr>
      <w:spacing w:after="0"/>
    </w:pPr>
  </w:style>
  <w:style w:type="paragraph" w:customStyle="1" w:styleId="SeznamsodrkamiB5">
    <w:name w:val="Seznam s odrážkami B 5"/>
    <w:basedOn w:val="Normln"/>
    <w:uiPriority w:val="11"/>
    <w:rsid w:val="007102D2"/>
    <w:pPr>
      <w:numPr>
        <w:ilvl w:val="4"/>
        <w:numId w:val="11"/>
      </w:numPr>
      <w:spacing w:after="0"/>
    </w:pPr>
  </w:style>
  <w:style w:type="paragraph" w:styleId="Zhlav">
    <w:name w:val="header"/>
    <w:basedOn w:val="Normln"/>
    <w:link w:val="ZhlavChar"/>
    <w:uiPriority w:val="99"/>
    <w:unhideWhenUsed/>
    <w:rsid w:val="00677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677FE0"/>
    <w:rPr>
      <w:color w:val="000000" w:themeColor="text1"/>
    </w:rPr>
  </w:style>
  <w:style w:type="paragraph" w:customStyle="1" w:styleId="Default">
    <w:name w:val="Default"/>
    <w:link w:val="DefaultChar"/>
    <w:rsid w:val="002C20CF"/>
    <w:pPr>
      <w:autoSpaceDE w:val="0"/>
      <w:autoSpaceDN w:val="0"/>
      <w:adjustRightInd w:val="0"/>
      <w:spacing w:after="0" w:line="240" w:lineRule="auto"/>
    </w:pPr>
    <w:rPr>
      <w:rFonts w:ascii="Times New Roman" w:hAnsi="Times New Roman" w:cs="Times New Roman"/>
      <w:color w:val="000000"/>
      <w:sz w:val="24"/>
      <w:szCs w:val="24"/>
    </w:rPr>
  </w:style>
  <w:style w:type="paragraph" w:styleId="Textpoznpodarou">
    <w:name w:val="footnote text"/>
    <w:aliases w:val="Footnote Text Char3,Footnote Text Char1 Char1,Footnote Text Char2 Char Char,Footnote Text Char1 Char1 Char Char,Footnote Text Char2 Char Char Char Char,Footnote Text Char1 Char1 Char Char Char Char Char,-E Fußnotentext,Fußnotentextf"/>
    <w:basedOn w:val="Normln"/>
    <w:link w:val="TextpoznpodarouChar"/>
    <w:uiPriority w:val="99"/>
    <w:unhideWhenUsed/>
    <w:qFormat/>
    <w:rsid w:val="00CE0581"/>
    <w:pPr>
      <w:spacing w:after="0" w:line="240" w:lineRule="auto"/>
    </w:pPr>
    <w:rPr>
      <w:sz w:val="20"/>
      <w:szCs w:val="20"/>
    </w:rPr>
  </w:style>
  <w:style w:type="character" w:customStyle="1" w:styleId="TextpoznpodarouChar">
    <w:name w:val="Text pozn. pod čarou Char"/>
    <w:aliases w:val="Footnote Text Char3 Char,Footnote Text Char1 Char1 Char,Footnote Text Char2 Char Char Char,Footnote Text Char1 Char1 Char Char Char,Footnote Text Char2 Char Char Char Char Char,-E Fußnotentext Char,Fußnotentextf Char"/>
    <w:basedOn w:val="Standardnpsmoodstavce"/>
    <w:link w:val="Textpoznpodarou"/>
    <w:uiPriority w:val="99"/>
    <w:qFormat/>
    <w:rsid w:val="00CE0581"/>
    <w:rPr>
      <w:color w:val="000000" w:themeColor="text1"/>
      <w:sz w:val="20"/>
      <w:szCs w:val="20"/>
    </w:rPr>
  </w:style>
  <w:style w:type="character" w:styleId="Znakapoznpodarou">
    <w:name w:val="footnote reference"/>
    <w:aliases w:val="EN Footnote Reference,BVI fnr,Footnote symbol,Footnote Reference Number,PGI Fußnote Ziffer,Footnote Reference Superscript,Appel note de bas de p,Appel note de bas de page,Légende,Char Car Car Car Car,Voetnootverwijzing,fr,SUPERS"/>
    <w:basedOn w:val="Standardnpsmoodstavce"/>
    <w:uiPriority w:val="99"/>
    <w:unhideWhenUsed/>
    <w:rsid w:val="00CE0581"/>
    <w:rPr>
      <w:vertAlign w:val="superscript"/>
    </w:rPr>
  </w:style>
  <w:style w:type="character" w:customStyle="1" w:styleId="Nevyeenzmnka1">
    <w:name w:val="Nevyřešená zmínka1"/>
    <w:basedOn w:val="Standardnpsmoodstavce"/>
    <w:uiPriority w:val="99"/>
    <w:semiHidden/>
    <w:unhideWhenUsed/>
    <w:rsid w:val="009325EA"/>
    <w:rPr>
      <w:color w:val="605E5C"/>
      <w:shd w:val="clear" w:color="auto" w:fill="E1DFDD"/>
    </w:rPr>
  </w:style>
  <w:style w:type="paragraph" w:customStyle="1" w:styleId="K-Nadpis1">
    <w:name w:val="K-Nadpis1"/>
    <w:basedOn w:val="Nadpis1"/>
    <w:link w:val="K-Nadpis1Char"/>
    <w:qFormat/>
    <w:rsid w:val="00154B73"/>
    <w:rPr>
      <w:rFonts w:ascii="Times New Roman" w:hAnsi="Times New Roman" w:cs="Times New Roman"/>
      <w:sz w:val="32"/>
    </w:rPr>
  </w:style>
  <w:style w:type="paragraph" w:customStyle="1" w:styleId="K-Nadpis2">
    <w:name w:val="K-Nadpis2"/>
    <w:basedOn w:val="Nadpis2"/>
    <w:link w:val="K-Nadpis2Char"/>
    <w:qFormat/>
    <w:rsid w:val="003C2D9B"/>
    <w:pPr>
      <w:numPr>
        <w:numId w:val="24"/>
      </w:numPr>
      <w:spacing w:before="200" w:after="200" w:line="240" w:lineRule="auto"/>
    </w:pPr>
    <w:rPr>
      <w:sz w:val="24"/>
    </w:rPr>
  </w:style>
  <w:style w:type="character" w:customStyle="1" w:styleId="K-Nadpis1Char">
    <w:name w:val="K-Nadpis1 Char"/>
    <w:basedOn w:val="Nadpis1Char"/>
    <w:link w:val="K-Nadpis1"/>
    <w:rsid w:val="00154B73"/>
    <w:rPr>
      <w:rFonts w:ascii="Times New Roman" w:eastAsiaTheme="majorEastAsia" w:hAnsi="Times New Roman" w:cs="Times New Roman"/>
      <w:b/>
      <w:color w:val="000000" w:themeColor="text1"/>
      <w:sz w:val="32"/>
      <w:szCs w:val="32"/>
    </w:rPr>
  </w:style>
  <w:style w:type="paragraph" w:customStyle="1" w:styleId="K-Nadpis3">
    <w:name w:val="K-Nadpis3"/>
    <w:basedOn w:val="Default"/>
    <w:link w:val="K-Nadpis3Char"/>
    <w:qFormat/>
    <w:rsid w:val="00154B73"/>
    <w:pPr>
      <w:spacing w:after="120"/>
      <w:jc w:val="both"/>
    </w:pPr>
    <w:rPr>
      <w:b/>
      <w:szCs w:val="23"/>
    </w:rPr>
  </w:style>
  <w:style w:type="character" w:customStyle="1" w:styleId="K-Nadpis2Char">
    <w:name w:val="K-Nadpis2 Char"/>
    <w:basedOn w:val="Nadpis2Char"/>
    <w:link w:val="K-Nadpis2"/>
    <w:rsid w:val="003C2D9B"/>
    <w:rPr>
      <w:rFonts w:asciiTheme="majorHAnsi" w:eastAsiaTheme="majorEastAsia" w:hAnsiTheme="majorHAnsi" w:cstheme="majorBidi"/>
      <w:b/>
      <w:color w:val="000000" w:themeColor="text1"/>
      <w:sz w:val="24"/>
      <w:szCs w:val="26"/>
    </w:rPr>
  </w:style>
  <w:style w:type="paragraph" w:customStyle="1" w:styleId="K-Text">
    <w:name w:val="K-Text"/>
    <w:basedOn w:val="Normln"/>
    <w:link w:val="K-TextChar"/>
    <w:qFormat/>
    <w:rsid w:val="006F1BEA"/>
    <w:pPr>
      <w:spacing w:after="120"/>
      <w:jc w:val="both"/>
    </w:pPr>
    <w:rPr>
      <w:rFonts w:ascii="Times New Roman" w:hAnsi="Times New Roman" w:cs="Times New Roman"/>
      <w:iCs/>
      <w:color w:val="auto"/>
      <w:sz w:val="23"/>
      <w:szCs w:val="23"/>
    </w:rPr>
  </w:style>
  <w:style w:type="character" w:customStyle="1" w:styleId="DefaultChar">
    <w:name w:val="Default Char"/>
    <w:basedOn w:val="Standardnpsmoodstavce"/>
    <w:link w:val="Default"/>
    <w:rsid w:val="00154B73"/>
    <w:rPr>
      <w:rFonts w:ascii="Times New Roman" w:hAnsi="Times New Roman" w:cs="Times New Roman"/>
      <w:color w:val="000000"/>
      <w:sz w:val="24"/>
      <w:szCs w:val="24"/>
    </w:rPr>
  </w:style>
  <w:style w:type="character" w:customStyle="1" w:styleId="K-Nadpis3Char">
    <w:name w:val="K-Nadpis3 Char"/>
    <w:basedOn w:val="DefaultChar"/>
    <w:link w:val="K-Nadpis3"/>
    <w:rsid w:val="00154B73"/>
    <w:rPr>
      <w:rFonts w:ascii="Times New Roman" w:hAnsi="Times New Roman" w:cs="Times New Roman"/>
      <w:b/>
      <w:color w:val="000000"/>
      <w:sz w:val="24"/>
      <w:szCs w:val="23"/>
    </w:rPr>
  </w:style>
  <w:style w:type="paragraph" w:customStyle="1" w:styleId="K-TextInfo">
    <w:name w:val="K-Text_Info"/>
    <w:basedOn w:val="Default"/>
    <w:link w:val="K-TextInfoChar"/>
    <w:qFormat/>
    <w:rsid w:val="00ED337B"/>
    <w:pPr>
      <w:spacing w:after="120"/>
      <w:jc w:val="both"/>
    </w:pPr>
    <w:rPr>
      <w:i/>
      <w:iCs/>
      <w:color w:val="2196FF" w:themeColor="text2" w:themeTint="99"/>
      <w:sz w:val="23"/>
      <w:szCs w:val="23"/>
    </w:rPr>
  </w:style>
  <w:style w:type="character" w:customStyle="1" w:styleId="K-TextChar">
    <w:name w:val="K-Text Char"/>
    <w:basedOn w:val="Standardnpsmoodstavce"/>
    <w:link w:val="K-Text"/>
    <w:rsid w:val="006F1BEA"/>
    <w:rPr>
      <w:rFonts w:ascii="Times New Roman" w:hAnsi="Times New Roman" w:cs="Times New Roman"/>
      <w:iCs/>
      <w:sz w:val="23"/>
      <w:szCs w:val="23"/>
    </w:rPr>
  </w:style>
  <w:style w:type="paragraph" w:customStyle="1" w:styleId="K-Tabulka">
    <w:name w:val="K-Tabulka"/>
    <w:basedOn w:val="Default"/>
    <w:link w:val="K-TabulkaChar"/>
    <w:qFormat/>
    <w:rsid w:val="00ED337B"/>
    <w:pPr>
      <w:spacing w:after="120"/>
      <w:jc w:val="both"/>
    </w:pPr>
    <w:rPr>
      <w:b/>
      <w:bCs/>
      <w:color w:val="auto"/>
      <w:sz w:val="23"/>
      <w:szCs w:val="23"/>
    </w:rPr>
  </w:style>
  <w:style w:type="character" w:customStyle="1" w:styleId="K-TextInfoChar">
    <w:name w:val="K-Text_Info Char"/>
    <w:basedOn w:val="DefaultChar"/>
    <w:link w:val="K-TextInfo"/>
    <w:rsid w:val="00ED337B"/>
    <w:rPr>
      <w:rFonts w:ascii="Times New Roman" w:hAnsi="Times New Roman" w:cs="Times New Roman"/>
      <w:i/>
      <w:iCs/>
      <w:color w:val="2196FF" w:themeColor="text2" w:themeTint="99"/>
      <w:sz w:val="23"/>
      <w:szCs w:val="23"/>
    </w:rPr>
  </w:style>
  <w:style w:type="paragraph" w:customStyle="1" w:styleId="K-TextPozn">
    <w:name w:val="K-Text_Pozn"/>
    <w:basedOn w:val="Textpoznpodarou"/>
    <w:link w:val="K-TextPoznChar"/>
    <w:qFormat/>
    <w:rsid w:val="00A87B13"/>
    <w:rPr>
      <w:rFonts w:ascii="Times New Roman" w:hAnsi="Times New Roman" w:cs="Times New Roman"/>
    </w:rPr>
  </w:style>
  <w:style w:type="character" w:customStyle="1" w:styleId="K-TabulkaChar">
    <w:name w:val="K-Tabulka Char"/>
    <w:basedOn w:val="DefaultChar"/>
    <w:link w:val="K-Tabulka"/>
    <w:rsid w:val="00ED337B"/>
    <w:rPr>
      <w:rFonts w:ascii="Times New Roman" w:hAnsi="Times New Roman" w:cs="Times New Roman"/>
      <w:b/>
      <w:bCs/>
      <w:color w:val="000000"/>
      <w:sz w:val="23"/>
      <w:szCs w:val="23"/>
    </w:rPr>
  </w:style>
  <w:style w:type="character" w:customStyle="1" w:styleId="K-TextPoznChar">
    <w:name w:val="K-Text_Pozn Char"/>
    <w:basedOn w:val="TextpoznpodarouChar"/>
    <w:link w:val="K-TextPozn"/>
    <w:rsid w:val="00A87B13"/>
    <w:rPr>
      <w:rFonts w:ascii="Times New Roman" w:hAnsi="Times New Roman" w:cs="Times New Roman"/>
      <w:color w:val="000000" w:themeColor="text1"/>
      <w:sz w:val="20"/>
      <w:szCs w:val="20"/>
    </w:rPr>
  </w:style>
  <w:style w:type="character" w:styleId="Odkaznakoment">
    <w:name w:val="annotation reference"/>
    <w:basedOn w:val="Standardnpsmoodstavce"/>
    <w:uiPriority w:val="99"/>
    <w:semiHidden/>
    <w:unhideWhenUsed/>
    <w:rsid w:val="00B1114A"/>
    <w:rPr>
      <w:sz w:val="16"/>
      <w:szCs w:val="16"/>
    </w:rPr>
  </w:style>
  <w:style w:type="paragraph" w:styleId="Textkomente">
    <w:name w:val="annotation text"/>
    <w:basedOn w:val="Normln"/>
    <w:link w:val="TextkomenteChar"/>
    <w:uiPriority w:val="99"/>
    <w:unhideWhenUsed/>
    <w:rsid w:val="00B1114A"/>
    <w:pPr>
      <w:spacing w:line="240" w:lineRule="auto"/>
    </w:pPr>
    <w:rPr>
      <w:sz w:val="20"/>
      <w:szCs w:val="20"/>
    </w:rPr>
  </w:style>
  <w:style w:type="character" w:customStyle="1" w:styleId="TextkomenteChar">
    <w:name w:val="Text komentáře Char"/>
    <w:basedOn w:val="Standardnpsmoodstavce"/>
    <w:link w:val="Textkomente"/>
    <w:uiPriority w:val="99"/>
    <w:rsid w:val="00B1114A"/>
    <w:rPr>
      <w:color w:val="000000" w:themeColor="text1"/>
      <w:sz w:val="20"/>
      <w:szCs w:val="20"/>
    </w:rPr>
  </w:style>
  <w:style w:type="paragraph" w:styleId="Pedmtkomente">
    <w:name w:val="annotation subject"/>
    <w:basedOn w:val="Textkomente"/>
    <w:next w:val="Textkomente"/>
    <w:link w:val="PedmtkomenteChar"/>
    <w:uiPriority w:val="99"/>
    <w:semiHidden/>
    <w:unhideWhenUsed/>
    <w:rsid w:val="00B1114A"/>
    <w:rPr>
      <w:b/>
      <w:bCs/>
    </w:rPr>
  </w:style>
  <w:style w:type="character" w:customStyle="1" w:styleId="PedmtkomenteChar">
    <w:name w:val="Předmět komentáře Char"/>
    <w:basedOn w:val="TextkomenteChar"/>
    <w:link w:val="Pedmtkomente"/>
    <w:uiPriority w:val="99"/>
    <w:semiHidden/>
    <w:rsid w:val="00B1114A"/>
    <w:rPr>
      <w:b/>
      <w:bCs/>
      <w:color w:val="000000" w:themeColor="text1"/>
      <w:sz w:val="20"/>
      <w:szCs w:val="20"/>
    </w:rPr>
  </w:style>
  <w:style w:type="paragraph" w:styleId="Textbubliny">
    <w:name w:val="Balloon Text"/>
    <w:basedOn w:val="Normln"/>
    <w:link w:val="TextbublinyChar"/>
    <w:uiPriority w:val="99"/>
    <w:semiHidden/>
    <w:unhideWhenUsed/>
    <w:rsid w:val="00B1114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1114A"/>
    <w:rPr>
      <w:rFonts w:ascii="Segoe UI" w:hAnsi="Segoe UI" w:cs="Segoe UI"/>
      <w:color w:val="000000" w:themeColor="text1"/>
      <w:sz w:val="18"/>
      <w:szCs w:val="18"/>
    </w:rPr>
  </w:style>
  <w:style w:type="table" w:styleId="Mkatabulky">
    <w:name w:val="Table Grid"/>
    <w:aliases w:val="SGS Table Basic 1,CV table"/>
    <w:basedOn w:val="Normlntabulka"/>
    <w:uiPriority w:val="39"/>
    <w:rsid w:val="008524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Body">
    <w:name w:val="00 Body"/>
    <w:basedOn w:val="Normln"/>
    <w:link w:val="00BodyChar"/>
    <w:qFormat/>
    <w:rsid w:val="00880A08"/>
    <w:pPr>
      <w:spacing w:before="180" w:after="180" w:line="264" w:lineRule="auto"/>
    </w:pPr>
    <w:rPr>
      <w:rFonts w:ascii="Arial (Body)" w:eastAsia="Times New Roman" w:hAnsi="Arial (Body)" w:cs="Times New Roman"/>
      <w:color w:val="auto"/>
      <w:szCs w:val="20"/>
      <w:lang w:val="en-US"/>
    </w:rPr>
  </w:style>
  <w:style w:type="character" w:customStyle="1" w:styleId="00BodyChar">
    <w:name w:val="00 Body Char"/>
    <w:basedOn w:val="Standardnpsmoodstavce"/>
    <w:link w:val="00Body"/>
    <w:rsid w:val="00880A08"/>
    <w:rPr>
      <w:rFonts w:ascii="Arial (Body)" w:eastAsia="Times New Roman" w:hAnsi="Arial (Body)" w:cs="Times New Roman"/>
      <w:szCs w:val="20"/>
      <w:lang w:val="en-US"/>
    </w:rPr>
  </w:style>
  <w:style w:type="paragraph" w:styleId="Titulek">
    <w:name w:val="caption"/>
    <w:basedOn w:val="Normln"/>
    <w:next w:val="Normln"/>
    <w:link w:val="TitulekChar"/>
    <w:unhideWhenUsed/>
    <w:qFormat/>
    <w:rsid w:val="00512795"/>
    <w:pPr>
      <w:spacing w:after="200" w:line="240" w:lineRule="auto"/>
    </w:pPr>
    <w:rPr>
      <w:i/>
      <w:iCs/>
      <w:color w:val="004B8D" w:themeColor="text2"/>
      <w:sz w:val="18"/>
      <w:szCs w:val="18"/>
    </w:rPr>
  </w:style>
  <w:style w:type="character" w:customStyle="1" w:styleId="TitulekChar">
    <w:name w:val="Titulek Char"/>
    <w:link w:val="Titulek"/>
    <w:rsid w:val="00512795"/>
    <w:rPr>
      <w:i/>
      <w:iCs/>
      <w:color w:val="004B8D" w:themeColor="text2"/>
      <w:sz w:val="18"/>
      <w:szCs w:val="18"/>
    </w:rPr>
  </w:style>
  <w:style w:type="character" w:customStyle="1" w:styleId="OdstavecseseznamemChar">
    <w:name w:val="Odstavec se seznamem Char"/>
    <w:aliases w:val="tabulky Char,Conclusion de partie Char,Numbered Para 1 Char,Dot pt Char,No Spacing1 Char,List Paragraph Char Char Char Char,Indicator Text Char,Bullet 1 Char,List Paragraph1 Char,Bullet Points Char,MAIN CONTENT Char,Nad Char"/>
    <w:link w:val="Odstavecseseznamem"/>
    <w:uiPriority w:val="34"/>
    <w:qFormat/>
    <w:locked/>
    <w:rsid w:val="00375379"/>
    <w:rPr>
      <w:color w:val="000000" w:themeColor="text1"/>
    </w:rPr>
  </w:style>
  <w:style w:type="paragraph" w:customStyle="1" w:styleId="EYNormal">
    <w:name w:val="EY Normal"/>
    <w:link w:val="EYNormalChar"/>
    <w:qFormat/>
    <w:rsid w:val="002507BF"/>
    <w:pPr>
      <w:spacing w:after="0" w:line="240" w:lineRule="auto"/>
      <w:jc w:val="both"/>
    </w:pPr>
    <w:rPr>
      <w:rFonts w:eastAsia="Times New Roman" w:cs="Times New Roman"/>
      <w:kern w:val="12"/>
      <w:sz w:val="20"/>
      <w:szCs w:val="24"/>
      <w:lang w:val="sk-SK"/>
    </w:rPr>
  </w:style>
  <w:style w:type="paragraph" w:customStyle="1" w:styleId="EYBulletedList1">
    <w:name w:val="EY Bulleted List 1"/>
    <w:qFormat/>
    <w:rsid w:val="002507BF"/>
    <w:pPr>
      <w:numPr>
        <w:numId w:val="13"/>
      </w:numPr>
      <w:spacing w:before="60" w:after="0" w:line="240" w:lineRule="auto"/>
      <w:jc w:val="both"/>
    </w:pPr>
    <w:rPr>
      <w:rFonts w:eastAsia="Times New Roman" w:cs="Times New Roman"/>
      <w:kern w:val="12"/>
      <w:sz w:val="20"/>
      <w:szCs w:val="24"/>
      <w:lang w:val="sk-SK"/>
    </w:rPr>
  </w:style>
  <w:style w:type="paragraph" w:customStyle="1" w:styleId="EYBulletedList2">
    <w:name w:val="EY Bulleted List 2"/>
    <w:qFormat/>
    <w:rsid w:val="002507BF"/>
    <w:pPr>
      <w:numPr>
        <w:ilvl w:val="1"/>
        <w:numId w:val="13"/>
      </w:numPr>
      <w:spacing w:after="0" w:line="240" w:lineRule="auto"/>
    </w:pPr>
    <w:rPr>
      <w:rFonts w:eastAsia="Times New Roman" w:cs="Times New Roman"/>
      <w:kern w:val="12"/>
      <w:sz w:val="20"/>
      <w:szCs w:val="24"/>
      <w:lang w:val="en-US"/>
    </w:rPr>
  </w:style>
  <w:style w:type="paragraph" w:customStyle="1" w:styleId="EYBulletedList3">
    <w:name w:val="EY Bulleted List 3"/>
    <w:qFormat/>
    <w:rsid w:val="002507BF"/>
    <w:pPr>
      <w:numPr>
        <w:ilvl w:val="2"/>
        <w:numId w:val="13"/>
      </w:numPr>
      <w:spacing w:after="0" w:line="240" w:lineRule="auto"/>
    </w:pPr>
    <w:rPr>
      <w:rFonts w:eastAsia="Times New Roman" w:cs="Times New Roman"/>
      <w:kern w:val="12"/>
      <w:sz w:val="20"/>
      <w:szCs w:val="24"/>
      <w:lang w:val="en-US"/>
    </w:rPr>
  </w:style>
  <w:style w:type="character" w:customStyle="1" w:styleId="EYNormalChar">
    <w:name w:val="EY Normal Char"/>
    <w:basedOn w:val="Standardnpsmoodstavce"/>
    <w:link w:val="EYNormal"/>
    <w:rsid w:val="002507BF"/>
    <w:rPr>
      <w:rFonts w:eastAsia="Times New Roman" w:cs="Times New Roman"/>
      <w:kern w:val="12"/>
      <w:sz w:val="20"/>
      <w:szCs w:val="24"/>
      <w:lang w:val="sk-SK"/>
    </w:rPr>
  </w:style>
  <w:style w:type="character" w:styleId="Siln">
    <w:name w:val="Strong"/>
    <w:basedOn w:val="Standardnpsmoodstavce"/>
    <w:uiPriority w:val="22"/>
    <w:qFormat/>
    <w:rsid w:val="002507BF"/>
    <w:rPr>
      <w:b/>
      <w:bCs/>
    </w:rPr>
  </w:style>
  <w:style w:type="paragraph" w:customStyle="1" w:styleId="oj-doc-ti">
    <w:name w:val="oj-doc-ti"/>
    <w:basedOn w:val="Normln"/>
    <w:rsid w:val="00425378"/>
    <w:pPr>
      <w:spacing w:before="100" w:beforeAutospacing="1" w:after="100" w:afterAutospacing="1" w:line="240" w:lineRule="auto"/>
    </w:pPr>
    <w:rPr>
      <w:rFonts w:ascii="Times New Roman" w:eastAsia="Times New Roman" w:hAnsi="Times New Roman" w:cs="Times New Roman"/>
      <w:color w:val="auto"/>
      <w:sz w:val="24"/>
      <w:szCs w:val="24"/>
      <w:lang w:eastAsia="cs-CZ"/>
    </w:rPr>
  </w:style>
  <w:style w:type="paragraph" w:customStyle="1" w:styleId="oj-no-doc-c">
    <w:name w:val="oj-no-doc-c"/>
    <w:basedOn w:val="Normln"/>
    <w:rsid w:val="00425378"/>
    <w:pPr>
      <w:spacing w:before="100" w:beforeAutospacing="1" w:after="100" w:afterAutospacing="1" w:line="240" w:lineRule="auto"/>
    </w:pPr>
    <w:rPr>
      <w:rFonts w:ascii="Times New Roman" w:eastAsia="Times New Roman" w:hAnsi="Times New Roman" w:cs="Times New Roman"/>
      <w:color w:val="auto"/>
      <w:sz w:val="24"/>
      <w:szCs w:val="24"/>
      <w:lang w:eastAsia="cs-CZ"/>
    </w:rPr>
  </w:style>
  <w:style w:type="character" w:styleId="Nevyeenzmnka">
    <w:name w:val="Unresolved Mention"/>
    <w:basedOn w:val="Standardnpsmoodstavce"/>
    <w:uiPriority w:val="99"/>
    <w:semiHidden/>
    <w:unhideWhenUsed/>
    <w:rsid w:val="00F131ED"/>
    <w:rPr>
      <w:color w:val="605E5C"/>
      <w:shd w:val="clear" w:color="auto" w:fill="E1DFDD"/>
    </w:rPr>
  </w:style>
  <w:style w:type="character" w:customStyle="1" w:styleId="normaltextrun">
    <w:name w:val="normaltextrun"/>
    <w:basedOn w:val="Standardnpsmoodstavce"/>
    <w:rsid w:val="00381E7A"/>
  </w:style>
  <w:style w:type="paragraph" w:styleId="Revize">
    <w:name w:val="Revision"/>
    <w:hidden/>
    <w:uiPriority w:val="99"/>
    <w:semiHidden/>
    <w:rsid w:val="00576F7C"/>
    <w:pPr>
      <w:spacing w:after="0" w:line="240" w:lineRule="auto"/>
    </w:pPr>
    <w:rPr>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29501">
      <w:bodyDiv w:val="1"/>
      <w:marLeft w:val="0"/>
      <w:marRight w:val="0"/>
      <w:marTop w:val="0"/>
      <w:marBottom w:val="0"/>
      <w:divBdr>
        <w:top w:val="none" w:sz="0" w:space="0" w:color="auto"/>
        <w:left w:val="none" w:sz="0" w:space="0" w:color="auto"/>
        <w:bottom w:val="none" w:sz="0" w:space="0" w:color="auto"/>
        <w:right w:val="none" w:sz="0" w:space="0" w:color="auto"/>
      </w:divBdr>
    </w:div>
    <w:div w:id="347559460">
      <w:bodyDiv w:val="1"/>
      <w:marLeft w:val="0"/>
      <w:marRight w:val="0"/>
      <w:marTop w:val="0"/>
      <w:marBottom w:val="0"/>
      <w:divBdr>
        <w:top w:val="none" w:sz="0" w:space="0" w:color="auto"/>
        <w:left w:val="none" w:sz="0" w:space="0" w:color="auto"/>
        <w:bottom w:val="none" w:sz="0" w:space="0" w:color="auto"/>
        <w:right w:val="none" w:sz="0" w:space="0" w:color="auto"/>
      </w:divBdr>
    </w:div>
    <w:div w:id="377897478">
      <w:bodyDiv w:val="1"/>
      <w:marLeft w:val="0"/>
      <w:marRight w:val="0"/>
      <w:marTop w:val="0"/>
      <w:marBottom w:val="0"/>
      <w:divBdr>
        <w:top w:val="none" w:sz="0" w:space="0" w:color="auto"/>
        <w:left w:val="none" w:sz="0" w:space="0" w:color="auto"/>
        <w:bottom w:val="none" w:sz="0" w:space="0" w:color="auto"/>
        <w:right w:val="none" w:sz="0" w:space="0" w:color="auto"/>
      </w:divBdr>
    </w:div>
    <w:div w:id="397628066">
      <w:bodyDiv w:val="1"/>
      <w:marLeft w:val="0"/>
      <w:marRight w:val="0"/>
      <w:marTop w:val="0"/>
      <w:marBottom w:val="0"/>
      <w:divBdr>
        <w:top w:val="none" w:sz="0" w:space="0" w:color="auto"/>
        <w:left w:val="none" w:sz="0" w:space="0" w:color="auto"/>
        <w:bottom w:val="none" w:sz="0" w:space="0" w:color="auto"/>
        <w:right w:val="none" w:sz="0" w:space="0" w:color="auto"/>
      </w:divBdr>
    </w:div>
    <w:div w:id="413629864">
      <w:bodyDiv w:val="1"/>
      <w:marLeft w:val="0"/>
      <w:marRight w:val="0"/>
      <w:marTop w:val="0"/>
      <w:marBottom w:val="0"/>
      <w:divBdr>
        <w:top w:val="none" w:sz="0" w:space="0" w:color="auto"/>
        <w:left w:val="none" w:sz="0" w:space="0" w:color="auto"/>
        <w:bottom w:val="none" w:sz="0" w:space="0" w:color="auto"/>
        <w:right w:val="none" w:sz="0" w:space="0" w:color="auto"/>
      </w:divBdr>
      <w:divsChild>
        <w:div w:id="512378722">
          <w:marLeft w:val="1138"/>
          <w:marRight w:val="0"/>
          <w:marTop w:val="115"/>
          <w:marBottom w:val="120"/>
          <w:divBdr>
            <w:top w:val="none" w:sz="0" w:space="0" w:color="auto"/>
            <w:left w:val="none" w:sz="0" w:space="0" w:color="auto"/>
            <w:bottom w:val="none" w:sz="0" w:space="0" w:color="auto"/>
            <w:right w:val="none" w:sz="0" w:space="0" w:color="auto"/>
          </w:divBdr>
        </w:div>
      </w:divsChild>
    </w:div>
    <w:div w:id="418016893">
      <w:bodyDiv w:val="1"/>
      <w:marLeft w:val="0"/>
      <w:marRight w:val="0"/>
      <w:marTop w:val="0"/>
      <w:marBottom w:val="0"/>
      <w:divBdr>
        <w:top w:val="none" w:sz="0" w:space="0" w:color="auto"/>
        <w:left w:val="none" w:sz="0" w:space="0" w:color="auto"/>
        <w:bottom w:val="none" w:sz="0" w:space="0" w:color="auto"/>
        <w:right w:val="none" w:sz="0" w:space="0" w:color="auto"/>
      </w:divBdr>
    </w:div>
    <w:div w:id="442112209">
      <w:bodyDiv w:val="1"/>
      <w:marLeft w:val="0"/>
      <w:marRight w:val="0"/>
      <w:marTop w:val="0"/>
      <w:marBottom w:val="0"/>
      <w:divBdr>
        <w:top w:val="none" w:sz="0" w:space="0" w:color="auto"/>
        <w:left w:val="none" w:sz="0" w:space="0" w:color="auto"/>
        <w:bottom w:val="none" w:sz="0" w:space="0" w:color="auto"/>
        <w:right w:val="none" w:sz="0" w:space="0" w:color="auto"/>
      </w:divBdr>
    </w:div>
    <w:div w:id="469828831">
      <w:bodyDiv w:val="1"/>
      <w:marLeft w:val="0"/>
      <w:marRight w:val="0"/>
      <w:marTop w:val="0"/>
      <w:marBottom w:val="0"/>
      <w:divBdr>
        <w:top w:val="none" w:sz="0" w:space="0" w:color="auto"/>
        <w:left w:val="none" w:sz="0" w:space="0" w:color="auto"/>
        <w:bottom w:val="none" w:sz="0" w:space="0" w:color="auto"/>
        <w:right w:val="none" w:sz="0" w:space="0" w:color="auto"/>
      </w:divBdr>
    </w:div>
    <w:div w:id="480853312">
      <w:bodyDiv w:val="1"/>
      <w:marLeft w:val="0"/>
      <w:marRight w:val="0"/>
      <w:marTop w:val="0"/>
      <w:marBottom w:val="0"/>
      <w:divBdr>
        <w:top w:val="none" w:sz="0" w:space="0" w:color="auto"/>
        <w:left w:val="none" w:sz="0" w:space="0" w:color="auto"/>
        <w:bottom w:val="none" w:sz="0" w:space="0" w:color="auto"/>
        <w:right w:val="none" w:sz="0" w:space="0" w:color="auto"/>
      </w:divBdr>
    </w:div>
    <w:div w:id="559049893">
      <w:bodyDiv w:val="1"/>
      <w:marLeft w:val="0"/>
      <w:marRight w:val="0"/>
      <w:marTop w:val="0"/>
      <w:marBottom w:val="0"/>
      <w:divBdr>
        <w:top w:val="none" w:sz="0" w:space="0" w:color="auto"/>
        <w:left w:val="none" w:sz="0" w:space="0" w:color="auto"/>
        <w:bottom w:val="none" w:sz="0" w:space="0" w:color="auto"/>
        <w:right w:val="none" w:sz="0" w:space="0" w:color="auto"/>
      </w:divBdr>
    </w:div>
    <w:div w:id="559558868">
      <w:bodyDiv w:val="1"/>
      <w:marLeft w:val="0"/>
      <w:marRight w:val="0"/>
      <w:marTop w:val="0"/>
      <w:marBottom w:val="0"/>
      <w:divBdr>
        <w:top w:val="none" w:sz="0" w:space="0" w:color="auto"/>
        <w:left w:val="none" w:sz="0" w:space="0" w:color="auto"/>
        <w:bottom w:val="none" w:sz="0" w:space="0" w:color="auto"/>
        <w:right w:val="none" w:sz="0" w:space="0" w:color="auto"/>
      </w:divBdr>
    </w:div>
    <w:div w:id="570501538">
      <w:bodyDiv w:val="1"/>
      <w:marLeft w:val="0"/>
      <w:marRight w:val="0"/>
      <w:marTop w:val="0"/>
      <w:marBottom w:val="0"/>
      <w:divBdr>
        <w:top w:val="none" w:sz="0" w:space="0" w:color="auto"/>
        <w:left w:val="none" w:sz="0" w:space="0" w:color="auto"/>
        <w:bottom w:val="none" w:sz="0" w:space="0" w:color="auto"/>
        <w:right w:val="none" w:sz="0" w:space="0" w:color="auto"/>
      </w:divBdr>
    </w:div>
    <w:div w:id="573051813">
      <w:bodyDiv w:val="1"/>
      <w:marLeft w:val="0"/>
      <w:marRight w:val="0"/>
      <w:marTop w:val="0"/>
      <w:marBottom w:val="0"/>
      <w:divBdr>
        <w:top w:val="none" w:sz="0" w:space="0" w:color="auto"/>
        <w:left w:val="none" w:sz="0" w:space="0" w:color="auto"/>
        <w:bottom w:val="none" w:sz="0" w:space="0" w:color="auto"/>
        <w:right w:val="none" w:sz="0" w:space="0" w:color="auto"/>
      </w:divBdr>
    </w:div>
    <w:div w:id="622537683">
      <w:bodyDiv w:val="1"/>
      <w:marLeft w:val="0"/>
      <w:marRight w:val="0"/>
      <w:marTop w:val="0"/>
      <w:marBottom w:val="0"/>
      <w:divBdr>
        <w:top w:val="none" w:sz="0" w:space="0" w:color="auto"/>
        <w:left w:val="none" w:sz="0" w:space="0" w:color="auto"/>
        <w:bottom w:val="none" w:sz="0" w:space="0" w:color="auto"/>
        <w:right w:val="none" w:sz="0" w:space="0" w:color="auto"/>
      </w:divBdr>
    </w:div>
    <w:div w:id="667640679">
      <w:bodyDiv w:val="1"/>
      <w:marLeft w:val="0"/>
      <w:marRight w:val="0"/>
      <w:marTop w:val="0"/>
      <w:marBottom w:val="0"/>
      <w:divBdr>
        <w:top w:val="none" w:sz="0" w:space="0" w:color="auto"/>
        <w:left w:val="none" w:sz="0" w:space="0" w:color="auto"/>
        <w:bottom w:val="none" w:sz="0" w:space="0" w:color="auto"/>
        <w:right w:val="none" w:sz="0" w:space="0" w:color="auto"/>
      </w:divBdr>
    </w:div>
    <w:div w:id="682129800">
      <w:bodyDiv w:val="1"/>
      <w:marLeft w:val="0"/>
      <w:marRight w:val="0"/>
      <w:marTop w:val="0"/>
      <w:marBottom w:val="0"/>
      <w:divBdr>
        <w:top w:val="none" w:sz="0" w:space="0" w:color="auto"/>
        <w:left w:val="none" w:sz="0" w:space="0" w:color="auto"/>
        <w:bottom w:val="none" w:sz="0" w:space="0" w:color="auto"/>
        <w:right w:val="none" w:sz="0" w:space="0" w:color="auto"/>
      </w:divBdr>
    </w:div>
    <w:div w:id="751271567">
      <w:bodyDiv w:val="1"/>
      <w:marLeft w:val="0"/>
      <w:marRight w:val="0"/>
      <w:marTop w:val="0"/>
      <w:marBottom w:val="0"/>
      <w:divBdr>
        <w:top w:val="none" w:sz="0" w:space="0" w:color="auto"/>
        <w:left w:val="none" w:sz="0" w:space="0" w:color="auto"/>
        <w:bottom w:val="none" w:sz="0" w:space="0" w:color="auto"/>
        <w:right w:val="none" w:sz="0" w:space="0" w:color="auto"/>
      </w:divBdr>
    </w:div>
    <w:div w:id="784498656">
      <w:bodyDiv w:val="1"/>
      <w:marLeft w:val="0"/>
      <w:marRight w:val="0"/>
      <w:marTop w:val="0"/>
      <w:marBottom w:val="0"/>
      <w:divBdr>
        <w:top w:val="none" w:sz="0" w:space="0" w:color="auto"/>
        <w:left w:val="none" w:sz="0" w:space="0" w:color="auto"/>
        <w:bottom w:val="none" w:sz="0" w:space="0" w:color="auto"/>
        <w:right w:val="none" w:sz="0" w:space="0" w:color="auto"/>
      </w:divBdr>
    </w:div>
    <w:div w:id="893154642">
      <w:bodyDiv w:val="1"/>
      <w:marLeft w:val="0"/>
      <w:marRight w:val="0"/>
      <w:marTop w:val="0"/>
      <w:marBottom w:val="0"/>
      <w:divBdr>
        <w:top w:val="none" w:sz="0" w:space="0" w:color="auto"/>
        <w:left w:val="none" w:sz="0" w:space="0" w:color="auto"/>
        <w:bottom w:val="none" w:sz="0" w:space="0" w:color="auto"/>
        <w:right w:val="none" w:sz="0" w:space="0" w:color="auto"/>
      </w:divBdr>
      <w:divsChild>
        <w:div w:id="279773510">
          <w:marLeft w:val="0"/>
          <w:marRight w:val="0"/>
          <w:marTop w:val="0"/>
          <w:marBottom w:val="0"/>
          <w:divBdr>
            <w:top w:val="none" w:sz="0" w:space="0" w:color="auto"/>
            <w:left w:val="none" w:sz="0" w:space="0" w:color="auto"/>
            <w:bottom w:val="none" w:sz="0" w:space="0" w:color="auto"/>
            <w:right w:val="none" w:sz="0" w:space="0" w:color="auto"/>
          </w:divBdr>
        </w:div>
      </w:divsChild>
    </w:div>
    <w:div w:id="901451855">
      <w:bodyDiv w:val="1"/>
      <w:marLeft w:val="0"/>
      <w:marRight w:val="0"/>
      <w:marTop w:val="0"/>
      <w:marBottom w:val="0"/>
      <w:divBdr>
        <w:top w:val="none" w:sz="0" w:space="0" w:color="auto"/>
        <w:left w:val="none" w:sz="0" w:space="0" w:color="auto"/>
        <w:bottom w:val="none" w:sz="0" w:space="0" w:color="auto"/>
        <w:right w:val="none" w:sz="0" w:space="0" w:color="auto"/>
      </w:divBdr>
    </w:div>
    <w:div w:id="933897123">
      <w:bodyDiv w:val="1"/>
      <w:marLeft w:val="0"/>
      <w:marRight w:val="0"/>
      <w:marTop w:val="0"/>
      <w:marBottom w:val="0"/>
      <w:divBdr>
        <w:top w:val="none" w:sz="0" w:space="0" w:color="auto"/>
        <w:left w:val="none" w:sz="0" w:space="0" w:color="auto"/>
        <w:bottom w:val="none" w:sz="0" w:space="0" w:color="auto"/>
        <w:right w:val="none" w:sz="0" w:space="0" w:color="auto"/>
      </w:divBdr>
    </w:div>
    <w:div w:id="946502872">
      <w:bodyDiv w:val="1"/>
      <w:marLeft w:val="0"/>
      <w:marRight w:val="0"/>
      <w:marTop w:val="0"/>
      <w:marBottom w:val="0"/>
      <w:divBdr>
        <w:top w:val="none" w:sz="0" w:space="0" w:color="auto"/>
        <w:left w:val="none" w:sz="0" w:space="0" w:color="auto"/>
        <w:bottom w:val="none" w:sz="0" w:space="0" w:color="auto"/>
        <w:right w:val="none" w:sz="0" w:space="0" w:color="auto"/>
      </w:divBdr>
    </w:div>
    <w:div w:id="955134611">
      <w:bodyDiv w:val="1"/>
      <w:marLeft w:val="0"/>
      <w:marRight w:val="0"/>
      <w:marTop w:val="0"/>
      <w:marBottom w:val="0"/>
      <w:divBdr>
        <w:top w:val="none" w:sz="0" w:space="0" w:color="auto"/>
        <w:left w:val="none" w:sz="0" w:space="0" w:color="auto"/>
        <w:bottom w:val="none" w:sz="0" w:space="0" w:color="auto"/>
        <w:right w:val="none" w:sz="0" w:space="0" w:color="auto"/>
      </w:divBdr>
    </w:div>
    <w:div w:id="995106470">
      <w:bodyDiv w:val="1"/>
      <w:marLeft w:val="0"/>
      <w:marRight w:val="0"/>
      <w:marTop w:val="0"/>
      <w:marBottom w:val="0"/>
      <w:divBdr>
        <w:top w:val="none" w:sz="0" w:space="0" w:color="auto"/>
        <w:left w:val="none" w:sz="0" w:space="0" w:color="auto"/>
        <w:bottom w:val="none" w:sz="0" w:space="0" w:color="auto"/>
        <w:right w:val="none" w:sz="0" w:space="0" w:color="auto"/>
      </w:divBdr>
    </w:div>
    <w:div w:id="1008677608">
      <w:bodyDiv w:val="1"/>
      <w:marLeft w:val="0"/>
      <w:marRight w:val="0"/>
      <w:marTop w:val="0"/>
      <w:marBottom w:val="0"/>
      <w:divBdr>
        <w:top w:val="none" w:sz="0" w:space="0" w:color="auto"/>
        <w:left w:val="none" w:sz="0" w:space="0" w:color="auto"/>
        <w:bottom w:val="none" w:sz="0" w:space="0" w:color="auto"/>
        <w:right w:val="none" w:sz="0" w:space="0" w:color="auto"/>
      </w:divBdr>
    </w:div>
    <w:div w:id="1042827617">
      <w:bodyDiv w:val="1"/>
      <w:marLeft w:val="0"/>
      <w:marRight w:val="0"/>
      <w:marTop w:val="0"/>
      <w:marBottom w:val="0"/>
      <w:divBdr>
        <w:top w:val="none" w:sz="0" w:space="0" w:color="auto"/>
        <w:left w:val="none" w:sz="0" w:space="0" w:color="auto"/>
        <w:bottom w:val="none" w:sz="0" w:space="0" w:color="auto"/>
        <w:right w:val="none" w:sz="0" w:space="0" w:color="auto"/>
      </w:divBdr>
    </w:div>
    <w:div w:id="1049957987">
      <w:bodyDiv w:val="1"/>
      <w:marLeft w:val="0"/>
      <w:marRight w:val="0"/>
      <w:marTop w:val="0"/>
      <w:marBottom w:val="0"/>
      <w:divBdr>
        <w:top w:val="none" w:sz="0" w:space="0" w:color="auto"/>
        <w:left w:val="none" w:sz="0" w:space="0" w:color="auto"/>
        <w:bottom w:val="none" w:sz="0" w:space="0" w:color="auto"/>
        <w:right w:val="none" w:sz="0" w:space="0" w:color="auto"/>
      </w:divBdr>
    </w:div>
    <w:div w:id="1070230390">
      <w:bodyDiv w:val="1"/>
      <w:marLeft w:val="0"/>
      <w:marRight w:val="0"/>
      <w:marTop w:val="0"/>
      <w:marBottom w:val="0"/>
      <w:divBdr>
        <w:top w:val="none" w:sz="0" w:space="0" w:color="auto"/>
        <w:left w:val="none" w:sz="0" w:space="0" w:color="auto"/>
        <w:bottom w:val="none" w:sz="0" w:space="0" w:color="auto"/>
        <w:right w:val="none" w:sz="0" w:space="0" w:color="auto"/>
      </w:divBdr>
    </w:div>
    <w:div w:id="1089158638">
      <w:bodyDiv w:val="1"/>
      <w:marLeft w:val="0"/>
      <w:marRight w:val="0"/>
      <w:marTop w:val="0"/>
      <w:marBottom w:val="0"/>
      <w:divBdr>
        <w:top w:val="none" w:sz="0" w:space="0" w:color="auto"/>
        <w:left w:val="none" w:sz="0" w:space="0" w:color="auto"/>
        <w:bottom w:val="none" w:sz="0" w:space="0" w:color="auto"/>
        <w:right w:val="none" w:sz="0" w:space="0" w:color="auto"/>
      </w:divBdr>
    </w:div>
    <w:div w:id="1140268746">
      <w:bodyDiv w:val="1"/>
      <w:marLeft w:val="0"/>
      <w:marRight w:val="0"/>
      <w:marTop w:val="0"/>
      <w:marBottom w:val="0"/>
      <w:divBdr>
        <w:top w:val="none" w:sz="0" w:space="0" w:color="auto"/>
        <w:left w:val="none" w:sz="0" w:space="0" w:color="auto"/>
        <w:bottom w:val="none" w:sz="0" w:space="0" w:color="auto"/>
        <w:right w:val="none" w:sz="0" w:space="0" w:color="auto"/>
      </w:divBdr>
    </w:div>
    <w:div w:id="1147280345">
      <w:bodyDiv w:val="1"/>
      <w:marLeft w:val="0"/>
      <w:marRight w:val="0"/>
      <w:marTop w:val="0"/>
      <w:marBottom w:val="0"/>
      <w:divBdr>
        <w:top w:val="none" w:sz="0" w:space="0" w:color="auto"/>
        <w:left w:val="none" w:sz="0" w:space="0" w:color="auto"/>
        <w:bottom w:val="none" w:sz="0" w:space="0" w:color="auto"/>
        <w:right w:val="none" w:sz="0" w:space="0" w:color="auto"/>
      </w:divBdr>
    </w:div>
    <w:div w:id="1149595904">
      <w:bodyDiv w:val="1"/>
      <w:marLeft w:val="0"/>
      <w:marRight w:val="0"/>
      <w:marTop w:val="0"/>
      <w:marBottom w:val="0"/>
      <w:divBdr>
        <w:top w:val="none" w:sz="0" w:space="0" w:color="auto"/>
        <w:left w:val="none" w:sz="0" w:space="0" w:color="auto"/>
        <w:bottom w:val="none" w:sz="0" w:space="0" w:color="auto"/>
        <w:right w:val="none" w:sz="0" w:space="0" w:color="auto"/>
      </w:divBdr>
    </w:div>
    <w:div w:id="1178345727">
      <w:bodyDiv w:val="1"/>
      <w:marLeft w:val="0"/>
      <w:marRight w:val="0"/>
      <w:marTop w:val="0"/>
      <w:marBottom w:val="0"/>
      <w:divBdr>
        <w:top w:val="none" w:sz="0" w:space="0" w:color="auto"/>
        <w:left w:val="none" w:sz="0" w:space="0" w:color="auto"/>
        <w:bottom w:val="none" w:sz="0" w:space="0" w:color="auto"/>
        <w:right w:val="none" w:sz="0" w:space="0" w:color="auto"/>
      </w:divBdr>
    </w:div>
    <w:div w:id="1182429172">
      <w:bodyDiv w:val="1"/>
      <w:marLeft w:val="0"/>
      <w:marRight w:val="0"/>
      <w:marTop w:val="0"/>
      <w:marBottom w:val="0"/>
      <w:divBdr>
        <w:top w:val="none" w:sz="0" w:space="0" w:color="auto"/>
        <w:left w:val="none" w:sz="0" w:space="0" w:color="auto"/>
        <w:bottom w:val="none" w:sz="0" w:space="0" w:color="auto"/>
        <w:right w:val="none" w:sz="0" w:space="0" w:color="auto"/>
      </w:divBdr>
    </w:div>
    <w:div w:id="1215391083">
      <w:bodyDiv w:val="1"/>
      <w:marLeft w:val="0"/>
      <w:marRight w:val="0"/>
      <w:marTop w:val="0"/>
      <w:marBottom w:val="0"/>
      <w:divBdr>
        <w:top w:val="none" w:sz="0" w:space="0" w:color="auto"/>
        <w:left w:val="none" w:sz="0" w:space="0" w:color="auto"/>
        <w:bottom w:val="none" w:sz="0" w:space="0" w:color="auto"/>
        <w:right w:val="none" w:sz="0" w:space="0" w:color="auto"/>
      </w:divBdr>
      <w:divsChild>
        <w:div w:id="686754117">
          <w:marLeft w:val="0"/>
          <w:marRight w:val="0"/>
          <w:marTop w:val="0"/>
          <w:marBottom w:val="0"/>
          <w:divBdr>
            <w:top w:val="none" w:sz="0" w:space="0" w:color="auto"/>
            <w:left w:val="none" w:sz="0" w:space="0" w:color="auto"/>
            <w:bottom w:val="none" w:sz="0" w:space="0" w:color="auto"/>
            <w:right w:val="none" w:sz="0" w:space="0" w:color="auto"/>
          </w:divBdr>
        </w:div>
      </w:divsChild>
    </w:div>
    <w:div w:id="1251163844">
      <w:bodyDiv w:val="1"/>
      <w:marLeft w:val="0"/>
      <w:marRight w:val="0"/>
      <w:marTop w:val="0"/>
      <w:marBottom w:val="0"/>
      <w:divBdr>
        <w:top w:val="none" w:sz="0" w:space="0" w:color="auto"/>
        <w:left w:val="none" w:sz="0" w:space="0" w:color="auto"/>
        <w:bottom w:val="none" w:sz="0" w:space="0" w:color="auto"/>
        <w:right w:val="none" w:sz="0" w:space="0" w:color="auto"/>
      </w:divBdr>
    </w:div>
    <w:div w:id="1341665161">
      <w:bodyDiv w:val="1"/>
      <w:marLeft w:val="0"/>
      <w:marRight w:val="0"/>
      <w:marTop w:val="0"/>
      <w:marBottom w:val="0"/>
      <w:divBdr>
        <w:top w:val="none" w:sz="0" w:space="0" w:color="auto"/>
        <w:left w:val="none" w:sz="0" w:space="0" w:color="auto"/>
        <w:bottom w:val="none" w:sz="0" w:space="0" w:color="auto"/>
        <w:right w:val="none" w:sz="0" w:space="0" w:color="auto"/>
      </w:divBdr>
    </w:div>
    <w:div w:id="1348941511">
      <w:bodyDiv w:val="1"/>
      <w:marLeft w:val="0"/>
      <w:marRight w:val="0"/>
      <w:marTop w:val="0"/>
      <w:marBottom w:val="0"/>
      <w:divBdr>
        <w:top w:val="none" w:sz="0" w:space="0" w:color="auto"/>
        <w:left w:val="none" w:sz="0" w:space="0" w:color="auto"/>
        <w:bottom w:val="none" w:sz="0" w:space="0" w:color="auto"/>
        <w:right w:val="none" w:sz="0" w:space="0" w:color="auto"/>
      </w:divBdr>
    </w:div>
    <w:div w:id="1356540772">
      <w:bodyDiv w:val="1"/>
      <w:marLeft w:val="0"/>
      <w:marRight w:val="0"/>
      <w:marTop w:val="0"/>
      <w:marBottom w:val="0"/>
      <w:divBdr>
        <w:top w:val="none" w:sz="0" w:space="0" w:color="auto"/>
        <w:left w:val="none" w:sz="0" w:space="0" w:color="auto"/>
        <w:bottom w:val="none" w:sz="0" w:space="0" w:color="auto"/>
        <w:right w:val="none" w:sz="0" w:space="0" w:color="auto"/>
      </w:divBdr>
    </w:div>
    <w:div w:id="1371955812">
      <w:bodyDiv w:val="1"/>
      <w:marLeft w:val="0"/>
      <w:marRight w:val="0"/>
      <w:marTop w:val="0"/>
      <w:marBottom w:val="0"/>
      <w:divBdr>
        <w:top w:val="none" w:sz="0" w:space="0" w:color="auto"/>
        <w:left w:val="none" w:sz="0" w:space="0" w:color="auto"/>
        <w:bottom w:val="none" w:sz="0" w:space="0" w:color="auto"/>
        <w:right w:val="none" w:sz="0" w:space="0" w:color="auto"/>
      </w:divBdr>
    </w:div>
    <w:div w:id="1380786989">
      <w:bodyDiv w:val="1"/>
      <w:marLeft w:val="0"/>
      <w:marRight w:val="0"/>
      <w:marTop w:val="0"/>
      <w:marBottom w:val="0"/>
      <w:divBdr>
        <w:top w:val="none" w:sz="0" w:space="0" w:color="auto"/>
        <w:left w:val="none" w:sz="0" w:space="0" w:color="auto"/>
        <w:bottom w:val="none" w:sz="0" w:space="0" w:color="auto"/>
        <w:right w:val="none" w:sz="0" w:space="0" w:color="auto"/>
      </w:divBdr>
    </w:div>
    <w:div w:id="1389652098">
      <w:bodyDiv w:val="1"/>
      <w:marLeft w:val="0"/>
      <w:marRight w:val="0"/>
      <w:marTop w:val="0"/>
      <w:marBottom w:val="0"/>
      <w:divBdr>
        <w:top w:val="none" w:sz="0" w:space="0" w:color="auto"/>
        <w:left w:val="none" w:sz="0" w:space="0" w:color="auto"/>
        <w:bottom w:val="none" w:sz="0" w:space="0" w:color="auto"/>
        <w:right w:val="none" w:sz="0" w:space="0" w:color="auto"/>
      </w:divBdr>
    </w:div>
    <w:div w:id="1397511223">
      <w:bodyDiv w:val="1"/>
      <w:marLeft w:val="0"/>
      <w:marRight w:val="0"/>
      <w:marTop w:val="0"/>
      <w:marBottom w:val="0"/>
      <w:divBdr>
        <w:top w:val="none" w:sz="0" w:space="0" w:color="auto"/>
        <w:left w:val="none" w:sz="0" w:space="0" w:color="auto"/>
        <w:bottom w:val="none" w:sz="0" w:space="0" w:color="auto"/>
        <w:right w:val="none" w:sz="0" w:space="0" w:color="auto"/>
      </w:divBdr>
    </w:div>
    <w:div w:id="1465543499">
      <w:bodyDiv w:val="1"/>
      <w:marLeft w:val="0"/>
      <w:marRight w:val="0"/>
      <w:marTop w:val="0"/>
      <w:marBottom w:val="0"/>
      <w:divBdr>
        <w:top w:val="none" w:sz="0" w:space="0" w:color="auto"/>
        <w:left w:val="none" w:sz="0" w:space="0" w:color="auto"/>
        <w:bottom w:val="none" w:sz="0" w:space="0" w:color="auto"/>
        <w:right w:val="none" w:sz="0" w:space="0" w:color="auto"/>
      </w:divBdr>
    </w:div>
    <w:div w:id="1467239451">
      <w:bodyDiv w:val="1"/>
      <w:marLeft w:val="0"/>
      <w:marRight w:val="0"/>
      <w:marTop w:val="0"/>
      <w:marBottom w:val="0"/>
      <w:divBdr>
        <w:top w:val="none" w:sz="0" w:space="0" w:color="auto"/>
        <w:left w:val="none" w:sz="0" w:space="0" w:color="auto"/>
        <w:bottom w:val="none" w:sz="0" w:space="0" w:color="auto"/>
        <w:right w:val="none" w:sz="0" w:space="0" w:color="auto"/>
      </w:divBdr>
    </w:div>
    <w:div w:id="1478300026">
      <w:bodyDiv w:val="1"/>
      <w:marLeft w:val="0"/>
      <w:marRight w:val="0"/>
      <w:marTop w:val="0"/>
      <w:marBottom w:val="0"/>
      <w:divBdr>
        <w:top w:val="none" w:sz="0" w:space="0" w:color="auto"/>
        <w:left w:val="none" w:sz="0" w:space="0" w:color="auto"/>
        <w:bottom w:val="none" w:sz="0" w:space="0" w:color="auto"/>
        <w:right w:val="none" w:sz="0" w:space="0" w:color="auto"/>
      </w:divBdr>
    </w:div>
    <w:div w:id="1481313190">
      <w:bodyDiv w:val="1"/>
      <w:marLeft w:val="0"/>
      <w:marRight w:val="0"/>
      <w:marTop w:val="0"/>
      <w:marBottom w:val="0"/>
      <w:divBdr>
        <w:top w:val="none" w:sz="0" w:space="0" w:color="auto"/>
        <w:left w:val="none" w:sz="0" w:space="0" w:color="auto"/>
        <w:bottom w:val="none" w:sz="0" w:space="0" w:color="auto"/>
        <w:right w:val="none" w:sz="0" w:space="0" w:color="auto"/>
      </w:divBdr>
    </w:div>
    <w:div w:id="1516916502">
      <w:bodyDiv w:val="1"/>
      <w:marLeft w:val="0"/>
      <w:marRight w:val="0"/>
      <w:marTop w:val="0"/>
      <w:marBottom w:val="0"/>
      <w:divBdr>
        <w:top w:val="none" w:sz="0" w:space="0" w:color="auto"/>
        <w:left w:val="none" w:sz="0" w:space="0" w:color="auto"/>
        <w:bottom w:val="none" w:sz="0" w:space="0" w:color="auto"/>
        <w:right w:val="none" w:sz="0" w:space="0" w:color="auto"/>
      </w:divBdr>
    </w:div>
    <w:div w:id="1543782988">
      <w:bodyDiv w:val="1"/>
      <w:marLeft w:val="0"/>
      <w:marRight w:val="0"/>
      <w:marTop w:val="0"/>
      <w:marBottom w:val="0"/>
      <w:divBdr>
        <w:top w:val="none" w:sz="0" w:space="0" w:color="auto"/>
        <w:left w:val="none" w:sz="0" w:space="0" w:color="auto"/>
        <w:bottom w:val="none" w:sz="0" w:space="0" w:color="auto"/>
        <w:right w:val="none" w:sz="0" w:space="0" w:color="auto"/>
      </w:divBdr>
    </w:div>
    <w:div w:id="1691177915">
      <w:bodyDiv w:val="1"/>
      <w:marLeft w:val="0"/>
      <w:marRight w:val="0"/>
      <w:marTop w:val="0"/>
      <w:marBottom w:val="0"/>
      <w:divBdr>
        <w:top w:val="none" w:sz="0" w:space="0" w:color="auto"/>
        <w:left w:val="none" w:sz="0" w:space="0" w:color="auto"/>
        <w:bottom w:val="none" w:sz="0" w:space="0" w:color="auto"/>
        <w:right w:val="none" w:sz="0" w:space="0" w:color="auto"/>
      </w:divBdr>
    </w:div>
    <w:div w:id="1748652177">
      <w:bodyDiv w:val="1"/>
      <w:marLeft w:val="0"/>
      <w:marRight w:val="0"/>
      <w:marTop w:val="0"/>
      <w:marBottom w:val="0"/>
      <w:divBdr>
        <w:top w:val="none" w:sz="0" w:space="0" w:color="auto"/>
        <w:left w:val="none" w:sz="0" w:space="0" w:color="auto"/>
        <w:bottom w:val="none" w:sz="0" w:space="0" w:color="auto"/>
        <w:right w:val="none" w:sz="0" w:space="0" w:color="auto"/>
      </w:divBdr>
    </w:div>
    <w:div w:id="1787697856">
      <w:bodyDiv w:val="1"/>
      <w:marLeft w:val="0"/>
      <w:marRight w:val="0"/>
      <w:marTop w:val="0"/>
      <w:marBottom w:val="0"/>
      <w:divBdr>
        <w:top w:val="none" w:sz="0" w:space="0" w:color="auto"/>
        <w:left w:val="none" w:sz="0" w:space="0" w:color="auto"/>
        <w:bottom w:val="none" w:sz="0" w:space="0" w:color="auto"/>
        <w:right w:val="none" w:sz="0" w:space="0" w:color="auto"/>
      </w:divBdr>
    </w:div>
    <w:div w:id="1793473254">
      <w:bodyDiv w:val="1"/>
      <w:marLeft w:val="0"/>
      <w:marRight w:val="0"/>
      <w:marTop w:val="0"/>
      <w:marBottom w:val="0"/>
      <w:divBdr>
        <w:top w:val="none" w:sz="0" w:space="0" w:color="auto"/>
        <w:left w:val="none" w:sz="0" w:space="0" w:color="auto"/>
        <w:bottom w:val="none" w:sz="0" w:space="0" w:color="auto"/>
        <w:right w:val="none" w:sz="0" w:space="0" w:color="auto"/>
      </w:divBdr>
    </w:div>
    <w:div w:id="1813595739">
      <w:bodyDiv w:val="1"/>
      <w:marLeft w:val="0"/>
      <w:marRight w:val="0"/>
      <w:marTop w:val="0"/>
      <w:marBottom w:val="0"/>
      <w:divBdr>
        <w:top w:val="none" w:sz="0" w:space="0" w:color="auto"/>
        <w:left w:val="none" w:sz="0" w:space="0" w:color="auto"/>
        <w:bottom w:val="none" w:sz="0" w:space="0" w:color="auto"/>
        <w:right w:val="none" w:sz="0" w:space="0" w:color="auto"/>
      </w:divBdr>
    </w:div>
    <w:div w:id="2002998987">
      <w:bodyDiv w:val="1"/>
      <w:marLeft w:val="0"/>
      <w:marRight w:val="0"/>
      <w:marTop w:val="0"/>
      <w:marBottom w:val="0"/>
      <w:divBdr>
        <w:top w:val="none" w:sz="0" w:space="0" w:color="auto"/>
        <w:left w:val="none" w:sz="0" w:space="0" w:color="auto"/>
        <w:bottom w:val="none" w:sz="0" w:space="0" w:color="auto"/>
        <w:right w:val="none" w:sz="0" w:space="0" w:color="auto"/>
      </w:divBdr>
    </w:div>
    <w:div w:id="2057270200">
      <w:bodyDiv w:val="1"/>
      <w:marLeft w:val="0"/>
      <w:marRight w:val="0"/>
      <w:marTop w:val="0"/>
      <w:marBottom w:val="0"/>
      <w:divBdr>
        <w:top w:val="none" w:sz="0" w:space="0" w:color="auto"/>
        <w:left w:val="none" w:sz="0" w:space="0" w:color="auto"/>
        <w:bottom w:val="none" w:sz="0" w:space="0" w:color="auto"/>
        <w:right w:val="none" w:sz="0" w:space="0" w:color="auto"/>
      </w:divBdr>
    </w:div>
    <w:div w:id="2098287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mpo.cz/cz/energetika/strategicke-a-koncepcni-dokumenty/narodni-akcni-plan-pro-chytre-site/narodni-akcni-plan-pro-chytre-site-2019---2030---aktualizace-nap-sg--248894/" TargetMode="External"/></Relationship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1544cef-d40f-40e0-9fb2-ea3e47b346f0">
      <Terms xmlns="http://schemas.microsoft.com/office/infopath/2007/PartnerControls"/>
    </lcf76f155ced4ddcb4097134ff3c332f>
    <TaxCatchAll xmlns="b4346392-9490-4ec2-979c-afa8507021a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87AC3D038E8784E9C16E0921B8D5155" ma:contentTypeVersion="15" ma:contentTypeDescription="Vytvoří nový dokument" ma:contentTypeScope="" ma:versionID="00d78ad4826458ef1624f2d93d9153c5">
  <xsd:schema xmlns:xsd="http://www.w3.org/2001/XMLSchema" xmlns:xs="http://www.w3.org/2001/XMLSchema" xmlns:p="http://schemas.microsoft.com/office/2006/metadata/properties" xmlns:ns2="11544cef-d40f-40e0-9fb2-ea3e47b346f0" xmlns:ns3="b4346392-9490-4ec2-979c-afa8507021a9" targetNamespace="http://schemas.microsoft.com/office/2006/metadata/properties" ma:root="true" ma:fieldsID="7f79c3da929e12af0a74d4f77ed7b1e5" ns2:_="" ns3:_="">
    <xsd:import namespace="11544cef-d40f-40e0-9fb2-ea3e47b346f0"/>
    <xsd:import namespace="b4346392-9490-4ec2-979c-afa850702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544cef-d40f-40e0-9fb2-ea3e47b346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4dd7ddbe-1f86-4eaf-800e-08e792b06b2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346392-9490-4ec2-979c-afa8507021a9"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770caa18-f488-432e-906b-9ca052482661}" ma:internalName="TaxCatchAll" ma:showField="CatchAllData" ma:web="b4346392-9490-4ec2-979c-afa850702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DF5E84-47A9-4C74-9832-7DADC55C9F29}">
  <ds:schemaRefs>
    <ds:schemaRef ds:uri="http://schemas.microsoft.com/sharepoint/v3/contenttype/forms"/>
  </ds:schemaRefs>
</ds:datastoreItem>
</file>

<file path=customXml/itemProps2.xml><?xml version="1.0" encoding="utf-8"?>
<ds:datastoreItem xmlns:ds="http://schemas.openxmlformats.org/officeDocument/2006/customXml" ds:itemID="{05B1758E-458E-400C-A4E9-7E535E591BF2}">
  <ds:schemaRefs>
    <ds:schemaRef ds:uri="http://schemas.microsoft.com/office/infopath/2007/PartnerControls"/>
    <ds:schemaRef ds:uri="http://purl.org/dc/terms/"/>
    <ds:schemaRef ds:uri="b025c8a1-4732-46e2-bd11-1250b3eeaccb"/>
    <ds:schemaRef ds:uri="http://schemas.microsoft.com/office/2006/documentManagement/types"/>
    <ds:schemaRef ds:uri="http://schemas.openxmlformats.org/package/2006/metadata/core-properties"/>
    <ds:schemaRef ds:uri="50c908b1-f277-4340-90a9-4611d0b0f078"/>
    <ds:schemaRef ds:uri="http://purl.org/dc/elements/1.1/"/>
    <ds:schemaRef ds:uri="http://schemas.microsoft.com/office/2006/metadata/properties"/>
    <ds:schemaRef ds:uri="0c4f8138-9d44-4285-a946-7a5a8f18be5f"/>
    <ds:schemaRef ds:uri="http://www.w3.org/XML/1998/namespace"/>
    <ds:schemaRef ds:uri="http://purl.org/dc/dcmitype/"/>
    <ds:schemaRef ds:uri="11544cef-d40f-40e0-9fb2-ea3e47b346f0"/>
    <ds:schemaRef ds:uri="b4346392-9490-4ec2-979c-afa8507021a9"/>
  </ds:schemaRefs>
</ds:datastoreItem>
</file>

<file path=customXml/itemProps3.xml><?xml version="1.0" encoding="utf-8"?>
<ds:datastoreItem xmlns:ds="http://schemas.openxmlformats.org/officeDocument/2006/customXml" ds:itemID="{A14D99C5-E8E7-4A37-AA58-ECE33A85AC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544cef-d40f-40e0-9fb2-ea3e47b346f0"/>
    <ds:schemaRef ds:uri="b4346392-9490-4ec2-979c-afa8507021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795CC2-1D25-4C67-B7CA-90C492B61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90B04C91.dotm</Template>
  <TotalTime>0</TotalTime>
  <Pages>12</Pages>
  <Words>4628</Words>
  <Characters>27306</Characters>
  <Application>Microsoft Office Word</Application>
  <DocSecurity>0</DocSecurity>
  <Lines>227</Lines>
  <Paragraphs>63</Paragraphs>
  <ScaleCrop>false</ScaleCrop>
  <Company>Ministerstvo průmyslu a obchodu</Company>
  <LinksUpToDate>false</LinksUpToDate>
  <CharactersWithSpaces>31871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Pápai Adam</dc:creator>
  <cp:keywords/>
  <dc:description/>
  <cp:lastModifiedBy>Bubenková Monika</cp:lastModifiedBy>
  <cp:revision>15</cp:revision>
  <cp:lastPrinted>2023-05-04T11:20:00Z</cp:lastPrinted>
  <dcterms:created xsi:type="dcterms:W3CDTF">2023-06-29T18:12:00Z</dcterms:created>
  <dcterms:modified xsi:type="dcterms:W3CDTF">2023-11-22T07:38:00Z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0x010100787AC3D038E8784E9C16E0921B8D5155</vt:lpwstr>
  </property>
  <property fmtid="{D5CDD505-2E9C-101B-9397-08002B2CF9AE}" pid="3" name="MSIP_Label_8d94c5f0-83f8-4bf2-af20-ac59dfc3b7e2_Enabled">
    <vt:lpwstr>True</vt:lpwstr>
  </property>
  <property fmtid="{D5CDD505-2E9C-101B-9397-08002B2CF9AE}" pid="4" name="MSIP_Label_8d94c5f0-83f8-4bf2-af20-ac59dfc3b7e2_SiteId">
    <vt:lpwstr>1f9775f0-c6d0-40f3-b27c-91cb5bbd294a</vt:lpwstr>
  </property>
  <property fmtid="{D5CDD505-2E9C-101B-9397-08002B2CF9AE}" pid="5" name="MSIP_Label_8d94c5f0-83f8-4bf2-af20-ac59dfc3b7e2_ActionId">
    <vt:lpwstr>cc3d12be-605c-47aa-96f8-790e41ee0504</vt:lpwstr>
  </property>
  <property fmtid="{D5CDD505-2E9C-101B-9397-08002B2CF9AE}" pid="6" name="MSIP_Label_8d94c5f0-83f8-4bf2-af20-ac59dfc3b7e2_Method">
    <vt:lpwstr>Privileged</vt:lpwstr>
  </property>
  <property fmtid="{D5CDD505-2E9C-101B-9397-08002B2CF9AE}" pid="7" name="MSIP_Label_8d94c5f0-83f8-4bf2-af20-ac59dfc3b7e2_SetDate">
    <vt:lpwstr>2021-05-14T10:10:29Z</vt:lpwstr>
  </property>
  <property fmtid="{D5CDD505-2E9C-101B-9397-08002B2CF9AE}" pid="8" name="MSIP_Label_8d94c5f0-83f8-4bf2-af20-ac59dfc3b7e2_Name">
    <vt:lpwstr>Veřejné</vt:lpwstr>
  </property>
  <property fmtid="{D5CDD505-2E9C-101B-9397-08002B2CF9AE}" pid="9" name="MSIP_Label_8d94c5f0-83f8-4bf2-af20-ac59dfc3b7e2_ContentBits">
    <vt:lpwstr>1</vt:lpwstr>
  </property>
  <property fmtid="{D5CDD505-2E9C-101B-9397-08002B2CF9AE}" pid="10" name="MediaServiceImageTags">
    <vt:lpwstr/>
  </property>
  <property fmtid="{D5CDD505-2E9C-101B-9397-08002B2CF9AE}" pid="11" name="MSIP_Label_f1a8c68a-6b66-4f7f-8bfd-1895343bc663_Enabled">
    <vt:lpwstr>true</vt:lpwstr>
  </property>
  <property fmtid="{D5CDD505-2E9C-101B-9397-08002B2CF9AE}" pid="12" name="MSIP_Label_f1a8c68a-6b66-4f7f-8bfd-1895343bc663_SetDate">
    <vt:lpwstr>2023-03-08T10:45:37Z</vt:lpwstr>
  </property>
  <property fmtid="{D5CDD505-2E9C-101B-9397-08002B2CF9AE}" pid="13" name="MSIP_Label_f1a8c68a-6b66-4f7f-8bfd-1895343bc663_Method">
    <vt:lpwstr>Privileged</vt:lpwstr>
  </property>
  <property fmtid="{D5CDD505-2E9C-101B-9397-08002B2CF9AE}" pid="14" name="MSIP_Label_f1a8c68a-6b66-4f7f-8bfd-1895343bc663_Name">
    <vt:lpwstr>L00022</vt:lpwstr>
  </property>
  <property fmtid="{D5CDD505-2E9C-101B-9397-08002B2CF9AE}" pid="15" name="MSIP_Label_f1a8c68a-6b66-4f7f-8bfd-1895343bc663_SiteId">
    <vt:lpwstr>b233f9e1-5599-4693-9cef-38858fe25406</vt:lpwstr>
  </property>
  <property fmtid="{D5CDD505-2E9C-101B-9397-08002B2CF9AE}" pid="16" name="MSIP_Label_f1a8c68a-6b66-4f7f-8bfd-1895343bc663_ActionId">
    <vt:lpwstr>e17ea663-cd9d-4784-95d8-246ed84960c7</vt:lpwstr>
  </property>
  <property fmtid="{D5CDD505-2E9C-101B-9397-08002B2CF9AE}" pid="17" name="MSIP_Label_f1a8c68a-6b66-4f7f-8bfd-1895343bc663_ContentBits">
    <vt:lpwstr>0</vt:lpwstr>
  </property>
  <property fmtid="{D5CDD505-2E9C-101B-9397-08002B2CF9AE}" pid="18" name="DocumentClasification">
    <vt:lpwstr>Veřejné</vt:lpwstr>
  </property>
  <property fmtid="{D5CDD505-2E9C-101B-9397-08002B2CF9AE}" pid="19" name="CEZ_DLP">
    <vt:lpwstr>CEZ:CEZd:D</vt:lpwstr>
  </property>
  <property fmtid="{D5CDD505-2E9C-101B-9397-08002B2CF9AE}" pid="20" name="CEZ_MIPLabelName">
    <vt:lpwstr>Public-CEZd</vt:lpwstr>
  </property>
</Properties>
</file>